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F86083" w14:textId="4E5CB658" w:rsidR="004A3878" w:rsidRPr="00B768A1" w:rsidRDefault="00D503CF" w:rsidP="00634A83">
      <w:pPr>
        <w:pStyle w:val="NoSpacing"/>
      </w:pPr>
      <w:r>
        <w:rPr>
          <w:noProof/>
        </w:rPr>
        <w:drawing>
          <wp:anchor distT="0" distB="0" distL="114300" distR="114300" simplePos="0" relativeHeight="251658266" behindDoc="0" locked="0" layoutInCell="1" allowOverlap="1" wp14:anchorId="18541743" wp14:editId="1D5C1E37">
            <wp:simplePos x="0" y="0"/>
            <wp:positionH relativeFrom="page">
              <wp:posOffset>14767</wp:posOffset>
            </wp:positionH>
            <wp:positionV relativeFrom="paragraph">
              <wp:posOffset>-1592580</wp:posOffset>
            </wp:positionV>
            <wp:extent cx="7717208" cy="10756900"/>
            <wp:effectExtent l="0" t="0" r="0" b="6350"/>
            <wp:wrapNone/>
            <wp:docPr id="19847676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67635" name="Picture 3"/>
                    <pic:cNvPicPr/>
                  </pic:nvPicPr>
                  <pic:blipFill rotWithShape="1">
                    <a:blip r:embed="rId12">
                      <a:extLst>
                        <a:ext uri="{28A0092B-C50C-407E-A947-70E740481C1C}">
                          <a14:useLocalDpi xmlns:a14="http://schemas.microsoft.com/office/drawing/2010/main" val="0"/>
                        </a:ext>
                      </a:extLst>
                    </a:blip>
                    <a:srcRect l="5072" t="4591" r="3646" b="5453"/>
                    <a:stretch/>
                  </pic:blipFill>
                  <pic:spPr bwMode="auto">
                    <a:xfrm>
                      <a:off x="0" y="0"/>
                      <a:ext cx="7717208" cy="1075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9B4E2B" w14:textId="1567C389" w:rsidR="003440D5" w:rsidRPr="00B768A1" w:rsidRDefault="003440D5" w:rsidP="00634A83">
      <w:pPr>
        <w:pStyle w:val="NoSpacing"/>
      </w:pPr>
    </w:p>
    <w:p w14:paraId="09477CBA" w14:textId="13F4E3B8" w:rsidR="000B4517" w:rsidRPr="00B768A1" w:rsidRDefault="000B4517" w:rsidP="00634A83">
      <w:pPr>
        <w:pStyle w:val="NoSpacing"/>
      </w:pPr>
    </w:p>
    <w:p w14:paraId="02062309" w14:textId="7E10F0D5" w:rsidR="00D309FC" w:rsidRPr="00B768A1" w:rsidRDefault="00D309FC" w:rsidP="00634A83">
      <w:pPr>
        <w:pStyle w:val="NoSpacing"/>
      </w:pPr>
    </w:p>
    <w:p w14:paraId="3E2D8529" w14:textId="466848F8" w:rsidR="00D309FC" w:rsidRPr="00B768A1" w:rsidRDefault="00D309FC" w:rsidP="00634A83">
      <w:pPr>
        <w:pStyle w:val="NoSpacing"/>
      </w:pPr>
    </w:p>
    <w:p w14:paraId="620663EE" w14:textId="1C63162F" w:rsidR="00CF2894" w:rsidRDefault="00CF2894" w:rsidP="00634A83">
      <w:pPr>
        <w:pStyle w:val="NoSpacing"/>
      </w:pPr>
    </w:p>
    <w:p w14:paraId="5558B96C" w14:textId="380D98FF" w:rsidR="00D503CF" w:rsidRPr="00D503CF" w:rsidRDefault="00D503CF" w:rsidP="00D503CF"/>
    <w:p w14:paraId="4F2A4552" w14:textId="07A39049" w:rsidR="00D503CF" w:rsidRPr="00D503CF" w:rsidRDefault="00D503CF" w:rsidP="00D503CF"/>
    <w:p w14:paraId="0A4B8B9E" w14:textId="5ED01257" w:rsidR="00D503CF" w:rsidRPr="00D503CF" w:rsidRDefault="00D503CF" w:rsidP="00D503CF"/>
    <w:p w14:paraId="6B8C1D74" w14:textId="49B43531" w:rsidR="00D503CF" w:rsidRPr="00D503CF" w:rsidRDefault="00D503CF" w:rsidP="00D503CF"/>
    <w:p w14:paraId="79D6E645" w14:textId="77777777" w:rsidR="00D503CF" w:rsidRPr="00D503CF" w:rsidRDefault="00D503CF" w:rsidP="00D503CF"/>
    <w:p w14:paraId="56744942" w14:textId="3417E7AD" w:rsidR="00D503CF" w:rsidRPr="00D503CF" w:rsidRDefault="00D503CF" w:rsidP="00D503CF"/>
    <w:p w14:paraId="071921CC" w14:textId="0F6C71F6" w:rsidR="00D503CF" w:rsidRDefault="00D503CF" w:rsidP="00D503CF">
      <w:pPr>
        <w:ind w:firstLine="720"/>
      </w:pPr>
    </w:p>
    <w:p w14:paraId="267DC5AE" w14:textId="77777777" w:rsidR="00D503CF" w:rsidRDefault="00D503CF" w:rsidP="00D503CF"/>
    <w:p w14:paraId="4F12AA87" w14:textId="15611511" w:rsidR="00D503CF" w:rsidRPr="00D503CF" w:rsidRDefault="00D503CF" w:rsidP="00D503CF">
      <w:pPr>
        <w:sectPr w:rsidR="00D503CF" w:rsidRPr="00D503CF" w:rsidSect="001D1F78">
          <w:headerReference w:type="default" r:id="rId13"/>
          <w:footerReference w:type="default" r:id="rId14"/>
          <w:headerReference w:type="first" r:id="rId15"/>
          <w:footerReference w:type="first" r:id="rId16"/>
          <w:endnotePr>
            <w:numFmt w:val="decimal"/>
          </w:endnotePr>
          <w:pgSz w:w="11907" w:h="16839" w:code="9"/>
          <w:pgMar w:top="1418" w:right="1418" w:bottom="1418" w:left="1418" w:header="680" w:footer="85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pgNumType w:start="0"/>
          <w:cols w:space="708"/>
          <w:titlePg/>
          <w:docGrid w:linePitch="360"/>
        </w:sectPr>
      </w:pPr>
    </w:p>
    <w:p w14:paraId="62BCC13D" w14:textId="49FF16C5" w:rsidR="00F8109D" w:rsidRPr="00980AE0" w:rsidRDefault="00E71190" w:rsidP="00634A83">
      <w:pPr>
        <w:pStyle w:val="Subtitle"/>
        <w:rPr>
          <w:rFonts w:eastAsia="Calibri" w:cs="Calibri"/>
          <w:b w:val="0"/>
          <w:bCs/>
          <w:iCs w:val="0"/>
          <w:sz w:val="56"/>
          <w:szCs w:val="56"/>
        </w:rPr>
      </w:pPr>
      <w:r w:rsidRPr="00980AE0">
        <w:rPr>
          <w:rFonts w:eastAsia="Calibri" w:cs="Calibri"/>
          <w:b w:val="0"/>
          <w:bCs/>
          <w:iCs w:val="0"/>
          <w:sz w:val="56"/>
          <w:szCs w:val="56"/>
        </w:rPr>
        <w:t xml:space="preserve">Advice on </w:t>
      </w:r>
      <w:r w:rsidR="009B0DDC" w:rsidRPr="00980AE0">
        <w:rPr>
          <w:rFonts w:eastAsia="Calibri" w:cs="Calibri"/>
          <w:b w:val="0"/>
          <w:bCs/>
          <w:iCs w:val="0"/>
          <w:sz w:val="56"/>
          <w:szCs w:val="56"/>
        </w:rPr>
        <w:t>the</w:t>
      </w:r>
      <w:r w:rsidRPr="00980AE0">
        <w:rPr>
          <w:rFonts w:eastAsia="Calibri" w:cs="Calibri"/>
          <w:b w:val="0"/>
          <w:bCs/>
          <w:iCs w:val="0"/>
          <w:sz w:val="56"/>
          <w:szCs w:val="56"/>
        </w:rPr>
        <w:t xml:space="preserve"> National Suicide Prevention Strategy</w:t>
      </w:r>
    </w:p>
    <w:p w14:paraId="2481139B" w14:textId="10B1A2D3" w:rsidR="009B0DDC" w:rsidRPr="00980AE0" w:rsidRDefault="009B0DDC" w:rsidP="00980AE0">
      <w:pPr>
        <w:rPr>
          <w:bCs/>
          <w:sz w:val="14"/>
          <w:szCs w:val="14"/>
        </w:rPr>
      </w:pPr>
      <w:r w:rsidRPr="00980AE0">
        <w:rPr>
          <w:b/>
          <w:bCs/>
          <w:sz w:val="40"/>
          <w:szCs w:val="40"/>
        </w:rPr>
        <w:t xml:space="preserve">Consultation </w:t>
      </w:r>
      <w:r>
        <w:rPr>
          <w:b/>
          <w:bCs/>
          <w:sz w:val="40"/>
          <w:szCs w:val="40"/>
        </w:rPr>
        <w:t>d</w:t>
      </w:r>
      <w:r w:rsidRPr="00980AE0">
        <w:rPr>
          <w:b/>
          <w:bCs/>
          <w:sz w:val="40"/>
          <w:szCs w:val="40"/>
        </w:rPr>
        <w:t>raft</w:t>
      </w:r>
    </w:p>
    <w:p w14:paraId="4C5F7B7A" w14:textId="71D3949E" w:rsidR="6DF86811" w:rsidRDefault="6DF86811" w:rsidP="00634A83"/>
    <w:p w14:paraId="214825CD" w14:textId="77777777" w:rsidR="007E0C1D" w:rsidRPr="007E0C1D" w:rsidRDefault="007E0C1D" w:rsidP="007E0C1D"/>
    <w:p w14:paraId="711ECAC6" w14:textId="77777777" w:rsidR="007E0C1D" w:rsidRPr="007E0C1D" w:rsidRDefault="007E0C1D" w:rsidP="007E0C1D"/>
    <w:p w14:paraId="126E9468" w14:textId="77777777" w:rsidR="007E0C1D" w:rsidRDefault="007E0C1D" w:rsidP="007E0C1D"/>
    <w:p w14:paraId="32996880" w14:textId="77777777" w:rsidR="007E0C1D" w:rsidRPr="007E0C1D" w:rsidRDefault="007E0C1D" w:rsidP="007E0C1D">
      <w:pPr>
        <w:jc w:val="center"/>
      </w:pPr>
    </w:p>
    <w:p w14:paraId="4FADD296" w14:textId="6C8D6E07" w:rsidR="0026588C" w:rsidRPr="00745B34" w:rsidRDefault="0026588C" w:rsidP="004F5B0E">
      <w:pPr>
        <w:pStyle w:val="Heading1NoTOC"/>
      </w:pPr>
      <w:bookmarkStart w:id="0" w:name="_Toc938318295"/>
      <w:bookmarkStart w:id="1" w:name="_Toc171459021"/>
      <w:r w:rsidRPr="00745B34">
        <w:t>Acknowledgements</w:t>
      </w:r>
      <w:bookmarkEnd w:id="0"/>
      <w:bookmarkEnd w:id="1"/>
    </w:p>
    <w:p w14:paraId="5A74B602" w14:textId="41D161AA" w:rsidR="0026588C" w:rsidRPr="002E7F9A" w:rsidRDefault="0026588C" w:rsidP="00381701">
      <w:pPr>
        <w:pStyle w:val="Heading21"/>
        <w:outlineLvl w:val="9"/>
      </w:pPr>
      <w:bookmarkStart w:id="2" w:name="_Toc1720041968"/>
      <w:r w:rsidRPr="002E7F9A">
        <w:t>Acknowledgement of Country</w:t>
      </w:r>
      <w:bookmarkEnd w:id="2"/>
    </w:p>
    <w:p w14:paraId="4A774BAF" w14:textId="316C19C5" w:rsidR="0026588C" w:rsidRPr="00634A83" w:rsidRDefault="0026588C" w:rsidP="00634A83">
      <w:r w:rsidRPr="00634A83">
        <w:rPr>
          <w:rStyle w:val="normaltextrun"/>
        </w:rPr>
        <w:t xml:space="preserve">The National Suicide Prevention Office (NSPO) acknowledges Aboriginal and Torres Strait Islander peoples as the Traditional Custodians of the lands and waters on which we live, work, and learn. </w:t>
      </w:r>
      <w:r w:rsidRPr="00634A83">
        <w:t>This Strategy benefits from the whole-of-community</w:t>
      </w:r>
      <w:r w:rsidR="007E2E56" w:rsidRPr="00634A83">
        <w:t xml:space="preserve"> </w:t>
      </w:r>
      <w:r w:rsidRPr="00634A83">
        <w:t>approaches Aboriginal and Torres Strait Islander peoples have used for many years. We would like to offer our thanks to the Aboriginal and Torres Strait Islander people who contributed to the development of this Strategy; we are grateful for the leadership, generosity and wisdom that have characterised their contributions.</w:t>
      </w:r>
    </w:p>
    <w:p w14:paraId="5D9F540F" w14:textId="55806C86" w:rsidR="0026588C" w:rsidRPr="00B768A1" w:rsidRDefault="4DBBE1C5" w:rsidP="00381701">
      <w:pPr>
        <w:pStyle w:val="Heading21"/>
        <w:outlineLvl w:val="9"/>
      </w:pPr>
      <w:bookmarkStart w:id="3" w:name="_Toc371981752"/>
      <w:r w:rsidRPr="00B768A1">
        <w:t xml:space="preserve">Recognition of </w:t>
      </w:r>
      <w:r w:rsidR="23FDD80C" w:rsidRPr="00B768A1">
        <w:t>l</w:t>
      </w:r>
      <w:r w:rsidR="0026588C" w:rsidRPr="00B768A1">
        <w:t>ived experience</w:t>
      </w:r>
      <w:bookmarkEnd w:id="3"/>
      <w:r w:rsidR="0026588C" w:rsidRPr="00B768A1">
        <w:t xml:space="preserve"> </w:t>
      </w:r>
    </w:p>
    <w:p w14:paraId="4468BB56" w14:textId="04B34495" w:rsidR="0026588C" w:rsidRPr="00B768A1" w:rsidRDefault="0026588C" w:rsidP="00634A83">
      <w:r w:rsidRPr="00B768A1">
        <w:t xml:space="preserve">The NSPO </w:t>
      </w:r>
      <w:r w:rsidR="199017F7" w:rsidRPr="00B768A1">
        <w:t>recognises</w:t>
      </w:r>
      <w:r w:rsidRPr="00B768A1">
        <w:t xml:space="preserve"> the individual and collective contributions of those with lived and living experience of suicide. People who </w:t>
      </w:r>
      <w:r w:rsidR="00FE0FF4">
        <w:t xml:space="preserve">experience suicidal thoughts, </w:t>
      </w:r>
      <w:r w:rsidRPr="00B768A1">
        <w:t>have survived suicide attempts, cared for a person in suicidal crisis or lost a loved one to suicide demonstrate tremendous generosity through providing their expertise and insights. Every person’s journey is unique and a valued contribution to Australia’s commitment to suicide prevention reform.</w:t>
      </w:r>
    </w:p>
    <w:p w14:paraId="00E79DB3" w14:textId="315B2067" w:rsidR="0026588C" w:rsidRPr="00B768A1" w:rsidRDefault="0026588C" w:rsidP="00381701">
      <w:pPr>
        <w:pStyle w:val="Heading21"/>
        <w:outlineLvl w:val="9"/>
      </w:pPr>
      <w:bookmarkStart w:id="4" w:name="_Toc452124273"/>
      <w:r w:rsidRPr="00B768A1">
        <w:t>Contributors to the National Suicide Prevention Strategy</w:t>
      </w:r>
      <w:bookmarkEnd w:id="4"/>
    </w:p>
    <w:p w14:paraId="50998C21" w14:textId="0D773747" w:rsidR="0026588C" w:rsidRPr="00B768A1" w:rsidDel="00806F11" w:rsidRDefault="0026588C" w:rsidP="00634A83">
      <w:r>
        <w:t xml:space="preserve">The NSPO has worked closely with a </w:t>
      </w:r>
      <w:r w:rsidR="006B5B43">
        <w:t xml:space="preserve">large </w:t>
      </w:r>
      <w:r w:rsidR="00C57CA8">
        <w:t>range</w:t>
      </w:r>
      <w:r w:rsidR="00C8706D">
        <w:t xml:space="preserve"> of people</w:t>
      </w:r>
      <w:r w:rsidR="003B4FA2">
        <w:t xml:space="preserve"> </w:t>
      </w:r>
      <w:r>
        <w:t xml:space="preserve">to develop this Strategy. </w:t>
      </w:r>
      <w:r w:rsidR="003B4FA2">
        <w:t>This includes</w:t>
      </w:r>
      <w:r w:rsidR="005A2DA0">
        <w:t xml:space="preserve"> </w:t>
      </w:r>
      <w:r w:rsidR="00A22329">
        <w:t xml:space="preserve">members of </w:t>
      </w:r>
      <w:r w:rsidR="005A2DA0">
        <w:t>the Lived Experience Partnership Group, NSPO Advisory Board, Jurisdictional Collaborative</w:t>
      </w:r>
      <w:r w:rsidR="008526C1">
        <w:t xml:space="preserve"> Forum</w:t>
      </w:r>
      <w:r w:rsidR="00A22329">
        <w:t xml:space="preserve"> and</w:t>
      </w:r>
      <w:r w:rsidR="008526C1">
        <w:t xml:space="preserve"> Working Groups,</w:t>
      </w:r>
      <w:r w:rsidR="00A22329">
        <w:t xml:space="preserve"> as well as </w:t>
      </w:r>
      <w:r w:rsidR="00C57CA8">
        <w:t>many Australian and international academics, service providers, people with lived and living experience and members of the general public.</w:t>
      </w:r>
      <w:r w:rsidR="008526C1">
        <w:t xml:space="preserve"> </w:t>
      </w:r>
      <w:r>
        <w:t>We would like to thank all of those who gave</w:t>
      </w:r>
      <w:r w:rsidR="00C57CA8">
        <w:t xml:space="preserve"> so generously of</w:t>
      </w:r>
      <w:r>
        <w:t xml:space="preserve"> their time and expertise to this work</w:t>
      </w:r>
      <w:r w:rsidR="00806F11">
        <w:t>.</w:t>
      </w:r>
    </w:p>
    <w:p w14:paraId="4960B1D9" w14:textId="5A24F1B8" w:rsidR="426AA64F" w:rsidRDefault="426AA64F"/>
    <w:p w14:paraId="1E66AC0B" w14:textId="3E477B44" w:rsidR="483889FB" w:rsidRDefault="483889FB" w:rsidP="426AA64F">
      <w:pPr>
        <w:spacing w:before="0" w:after="0"/>
      </w:pPr>
      <w:r w:rsidRPr="426AA64F">
        <w:t xml:space="preserve">Suggested citation: </w:t>
      </w:r>
    </w:p>
    <w:p w14:paraId="14283110" w14:textId="447CA6E8" w:rsidR="483889FB" w:rsidRDefault="00AD2FD3" w:rsidP="426AA64F">
      <w:pPr>
        <w:spacing w:before="0" w:after="0"/>
      </w:pPr>
      <w:r>
        <w:rPr>
          <w:i/>
          <w:iCs/>
        </w:rPr>
        <w:t xml:space="preserve">Advice </w:t>
      </w:r>
      <w:r w:rsidR="483889FB" w:rsidRPr="426AA64F">
        <w:rPr>
          <w:i/>
          <w:iCs/>
        </w:rPr>
        <w:t xml:space="preserve">on </w:t>
      </w:r>
      <w:r>
        <w:rPr>
          <w:i/>
          <w:iCs/>
        </w:rPr>
        <w:t>the</w:t>
      </w:r>
      <w:r w:rsidR="483889FB" w:rsidRPr="426AA64F">
        <w:rPr>
          <w:i/>
          <w:iCs/>
        </w:rPr>
        <w:t xml:space="preserve"> National Suicide Prevention Strategy</w:t>
      </w:r>
      <w:r w:rsidR="001676AB">
        <w:rPr>
          <w:i/>
          <w:iCs/>
        </w:rPr>
        <w:t xml:space="preserve"> (c</w:t>
      </w:r>
      <w:r w:rsidR="00732C20">
        <w:rPr>
          <w:i/>
          <w:iCs/>
        </w:rPr>
        <w:t>onsultation draft</w:t>
      </w:r>
      <w:r w:rsidR="001676AB">
        <w:rPr>
          <w:i/>
          <w:iCs/>
        </w:rPr>
        <w:t>)</w:t>
      </w:r>
      <w:r w:rsidR="483889FB" w:rsidRPr="426AA64F">
        <w:rPr>
          <w:i/>
          <w:iCs/>
        </w:rPr>
        <w:t xml:space="preserve">, </w:t>
      </w:r>
      <w:r w:rsidR="483889FB" w:rsidRPr="426AA64F">
        <w:t>National Suicide Prevention Office, 2024 ©</w:t>
      </w:r>
    </w:p>
    <w:p w14:paraId="6B158201" w14:textId="69F31F93" w:rsidR="00385C3F" w:rsidRDefault="00385C3F" w:rsidP="4030F46E">
      <w:pPr>
        <w:pStyle w:val="BT-Beigebox-Heading"/>
      </w:pPr>
      <w:r w:rsidRPr="00546BCC">
        <w:t xml:space="preserve">A note on </w:t>
      </w:r>
      <w:r>
        <w:t>l</w:t>
      </w:r>
      <w:r w:rsidRPr="00546BCC">
        <w:t>anguage</w:t>
      </w:r>
    </w:p>
    <w:p w14:paraId="71A4239D" w14:textId="77777777" w:rsidR="009544C9" w:rsidRPr="00B768A1" w:rsidRDefault="009544C9" w:rsidP="4030F46E">
      <w:pPr>
        <w:pStyle w:val="BT-Beigebox"/>
      </w:pPr>
      <w:r>
        <w:t>The way we speak about suicide and self-harm has a major influence on how the community understands and responds to people who are experiencing suicidal thoughts and behaviours. It also impacts on the existence and degree of stigma and shame around suicide.</w:t>
      </w:r>
    </w:p>
    <w:p w14:paraId="33295447" w14:textId="4FFA70E9" w:rsidR="00385C3F" w:rsidRPr="00B768A1" w:rsidRDefault="00385C3F" w:rsidP="4030F46E">
      <w:pPr>
        <w:pStyle w:val="BT-Beigebox"/>
      </w:pPr>
      <w:r>
        <w:t xml:space="preserve">While there is ongoing debate on the words used in suicide prevention, this Strategy </w:t>
      </w:r>
      <w:r w:rsidR="1900A647">
        <w:t xml:space="preserve">has </w:t>
      </w:r>
      <w:r>
        <w:t>draw</w:t>
      </w:r>
      <w:r w:rsidR="7D3E3B12">
        <w:t>n</w:t>
      </w:r>
      <w:r>
        <w:t xml:space="preserve"> on the insights of people with lived and living experience of suicide, </w:t>
      </w:r>
      <w:r w:rsidR="7DA86E90">
        <w:t>evidence-informed resources including the Mindframe guide</w:t>
      </w:r>
      <w:r w:rsidR="01074B59">
        <w:t>lines</w:t>
      </w:r>
      <w:hyperlink w:anchor="_ENREF_1" w:tooltip="Everymind, 2020 #970" w:history="1">
        <w:r w:rsidR="002D6F18">
          <w:fldChar w:fldCharType="begin"/>
        </w:r>
        <w:r w:rsidR="002D6F18">
          <w:instrText xml:space="preserve"> ADDIN EN.CITE &lt;EndNote&gt;&lt;Cite&gt;&lt;Author&gt;Everymind&lt;/Author&gt;&lt;Year&gt;2020&lt;/Year&gt;&lt;RecNum&gt;970&lt;/RecNum&gt;&lt;DisplayText&gt;&lt;style face="superscript"&gt;1&lt;/style&gt;&lt;/DisplayText&gt;&lt;record&gt;&lt;rec-number&gt;970&lt;/rec-number&gt;&lt;foreign-keys&gt;&lt;key app="EN" db-id="rsettzd2isasdweewww55s9lffasxav0d0ft" timestamp="1720064941" guid="6a81ca21-8cdc-4901-adad-2ef6498a8576"&gt;970&lt;/key&gt;&lt;/foreign-keys&gt;&lt;ref-type name="Book"&gt;6&lt;/ref-type&gt;&lt;contributors&gt;&lt;authors&gt;&lt;author&gt;Everymind&lt;/author&gt;&lt;/authors&gt;&lt;/contributors&gt;&lt;titles&gt;&lt;title&gt;Reporting suicide and mental ill health: A Mindframe resource for media professionals&lt;/title&gt;&lt;/titles&gt;&lt;dates&gt;&lt;year&gt;2020&lt;/year&gt;&lt;/dates&gt;&lt;pub-location&gt;Newcastle, Australia &lt;/pub-location&gt;&lt;isbn&gt;978-0-6489212-1-9&lt;/isbn&gt;&lt;urls&gt;&lt;/urls&gt;&lt;/record&gt;&lt;/Cite&gt;&lt;/EndNote&gt;</w:instrText>
        </w:r>
        <w:r w:rsidR="002D6F18">
          <w:fldChar w:fldCharType="separate"/>
        </w:r>
        <w:r w:rsidR="002D6F18" w:rsidRPr="00E25362">
          <w:rPr>
            <w:noProof/>
            <w:vertAlign w:val="superscript"/>
          </w:rPr>
          <w:t>1</w:t>
        </w:r>
        <w:r w:rsidR="002D6F18">
          <w:fldChar w:fldCharType="end"/>
        </w:r>
      </w:hyperlink>
      <w:r w:rsidR="7DA86E90">
        <w:t xml:space="preserve">, </w:t>
      </w:r>
      <w:r>
        <w:t xml:space="preserve">research, and the knowledge of sector experts to </w:t>
      </w:r>
      <w:r w:rsidR="028C93AE">
        <w:t xml:space="preserve">guide </w:t>
      </w:r>
      <w:r>
        <w:t xml:space="preserve">the language </w:t>
      </w:r>
      <w:r w:rsidR="6B3CF2E0">
        <w:t xml:space="preserve">used </w:t>
      </w:r>
      <w:r>
        <w:t xml:space="preserve">to describe aspects of suicide. A list of terms and definitions used throughout this Strategy is provided at </w:t>
      </w:r>
      <w:r w:rsidRPr="27D004C4">
        <w:rPr>
          <w:b/>
          <w:bCs/>
        </w:rPr>
        <w:t>Appendix A: Glossary</w:t>
      </w:r>
      <w:r>
        <w:t>.</w:t>
      </w:r>
    </w:p>
    <w:p w14:paraId="1F414791" w14:textId="0EFA37A5" w:rsidR="00724C5B" w:rsidRPr="00B768A1" w:rsidRDefault="00724C5B" w:rsidP="00696ED3">
      <w:pPr>
        <w:pStyle w:val="Heading1NoTOC"/>
      </w:pPr>
      <w:bookmarkStart w:id="5" w:name="_Toc311680408"/>
      <w:bookmarkStart w:id="6" w:name="_Toc171459022"/>
      <w:r w:rsidRPr="00B768A1">
        <w:t>Sources of support</w:t>
      </w:r>
      <w:bookmarkEnd w:id="5"/>
      <w:bookmarkEnd w:id="6"/>
    </w:p>
    <w:p w14:paraId="26633AF4" w14:textId="77DA634C" w:rsidR="00BB39CA" w:rsidRPr="00B768A1" w:rsidRDefault="00724C5B" w:rsidP="00634A83">
      <w:pPr>
        <w:pStyle w:val="BodyText"/>
      </w:pPr>
      <w:r w:rsidRPr="00B768A1">
        <w:t xml:space="preserve">Please be aware this </w:t>
      </w:r>
      <w:r w:rsidR="003D5FB9" w:rsidRPr="00B768A1">
        <w:t>S</w:t>
      </w:r>
      <w:r w:rsidRPr="00B768A1">
        <w:t>trategy contains</w:t>
      </w:r>
      <w:r w:rsidR="003D5FB9" w:rsidRPr="00B768A1">
        <w:t xml:space="preserve"> information about suicide that may be</w:t>
      </w:r>
      <w:r w:rsidRPr="00B768A1">
        <w:t xml:space="preserve"> distressing. Please take care of yourself as you read it and ask for help if needed. Support is always available. </w:t>
      </w:r>
      <w:r w:rsidR="003D5FB9" w:rsidRPr="00B768A1">
        <w:t>Below are options for online and telephone information and support in Australia</w:t>
      </w:r>
      <w:r w:rsidRPr="00B768A1">
        <w:t>.</w:t>
      </w:r>
    </w:p>
    <w:p w14:paraId="76362D18" w14:textId="77777777" w:rsidR="003B79A9" w:rsidRPr="00C37492" w:rsidRDefault="003B79A9" w:rsidP="00634A83">
      <w:pPr>
        <w:pStyle w:val="BodyText"/>
        <w:rPr>
          <w:sz w:val="2"/>
          <w:szCs w:val="2"/>
        </w:rPr>
      </w:pPr>
    </w:p>
    <w:p w14:paraId="2B058E9C" w14:textId="77777777" w:rsidR="00C37492" w:rsidRPr="003A4E1D" w:rsidRDefault="00C37492" w:rsidP="00634A83">
      <w:pPr>
        <w:pStyle w:val="BodyText"/>
        <w:rPr>
          <w:sz w:val="8"/>
          <w:szCs w:val="8"/>
        </w:rPr>
        <w:sectPr w:rsidR="00C37492" w:rsidRPr="003A4E1D" w:rsidSect="00256CDC">
          <w:headerReference w:type="default" r:id="rId17"/>
          <w:footerReference w:type="default" r:id="rId18"/>
          <w:headerReference w:type="first" r:id="rId19"/>
          <w:footerReference w:type="first" r:id="rId20"/>
          <w:endnotePr>
            <w:numFmt w:val="decimal"/>
          </w:endnotePr>
          <w:pgSz w:w="11907" w:h="16839" w:code="9"/>
          <w:pgMar w:top="1418" w:right="1418" w:bottom="1418" w:left="1418" w:header="567" w:footer="851"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pgNumType w:start="1"/>
          <w:cols w:space="708"/>
          <w:titlePg/>
          <w:docGrid w:linePitch="360"/>
        </w:sectPr>
      </w:pPr>
    </w:p>
    <w:p w14:paraId="7BC58DF1" w14:textId="2F3704C5" w:rsidR="003576BA" w:rsidRPr="00B768A1" w:rsidRDefault="003576BA" w:rsidP="00DF35CA">
      <w:pPr>
        <w:pStyle w:val="BT-Beigebox-Heading"/>
        <w:pBdr>
          <w:top w:val="single" w:sz="48" w:space="6" w:color="EFEBDA" w:themeColor="text2"/>
        </w:pBdr>
        <w:spacing w:before="180" w:after="180"/>
      </w:pPr>
      <w:r w:rsidRPr="00B768A1">
        <w:t>Lifeline</w:t>
      </w:r>
    </w:p>
    <w:p w14:paraId="64E362AA" w14:textId="77777777" w:rsidR="003576BA" w:rsidRPr="00B768A1" w:rsidRDefault="003576BA" w:rsidP="00DF35CA">
      <w:pPr>
        <w:pStyle w:val="BT-Beigebox"/>
        <w:pBdr>
          <w:top w:val="single" w:sz="48" w:space="6" w:color="EFEBDA" w:themeColor="text2"/>
        </w:pBdr>
        <w:spacing w:before="180" w:after="180"/>
      </w:pPr>
      <w:r w:rsidRPr="00B768A1">
        <w:t>13 11 14</w:t>
      </w:r>
    </w:p>
    <w:p w14:paraId="024D0760" w14:textId="748137B3" w:rsidR="003576BA" w:rsidRPr="00B768A1" w:rsidRDefault="00F93B6D" w:rsidP="00DF35CA">
      <w:pPr>
        <w:pStyle w:val="BT-Beigebox"/>
        <w:pBdr>
          <w:top w:val="single" w:sz="48" w:space="6" w:color="EFEBDA" w:themeColor="text2"/>
        </w:pBdr>
        <w:spacing w:before="180" w:after="180"/>
        <w:rPr>
          <w:rStyle w:val="Hyperlink"/>
        </w:rPr>
      </w:pPr>
      <w:hyperlink r:id="rId21" w:history="1">
        <w:r w:rsidR="003576BA" w:rsidRPr="00B768A1">
          <w:rPr>
            <w:rStyle w:val="Hyperlink"/>
          </w:rPr>
          <w:t>Lifeline.org.au</w:t>
        </w:r>
      </w:hyperlink>
    </w:p>
    <w:p w14:paraId="318A51FA" w14:textId="175097A6" w:rsidR="003576BA" w:rsidRPr="00B768A1" w:rsidRDefault="003576BA" w:rsidP="003A4E1D">
      <w:pPr>
        <w:pStyle w:val="BT-Livedexperience-Green-Heading"/>
        <w:spacing w:before="180" w:after="180"/>
      </w:pPr>
      <w:r w:rsidRPr="00B768A1">
        <w:t>Suicide Call Back Service</w:t>
      </w:r>
    </w:p>
    <w:p w14:paraId="2277B4AC" w14:textId="77777777" w:rsidR="003576BA" w:rsidRPr="00B768A1" w:rsidRDefault="003576BA" w:rsidP="003A4E1D">
      <w:pPr>
        <w:pStyle w:val="BT-Livedexperience-Green"/>
        <w:spacing w:before="180" w:after="180"/>
      </w:pPr>
      <w:r w:rsidRPr="00B768A1">
        <w:t>1300 659 467</w:t>
      </w:r>
    </w:p>
    <w:p w14:paraId="655ADD95" w14:textId="47A6F95C" w:rsidR="003576BA" w:rsidRPr="00B768A1" w:rsidRDefault="00F93B6D" w:rsidP="003A4E1D">
      <w:pPr>
        <w:pStyle w:val="BT-Livedexperience-Green"/>
        <w:spacing w:before="180" w:after="180"/>
        <w:rPr>
          <w:rStyle w:val="Hyperlink"/>
        </w:rPr>
      </w:pPr>
      <w:hyperlink r:id="rId22" w:history="1">
        <w:r w:rsidR="003576BA" w:rsidRPr="00B768A1">
          <w:rPr>
            <w:rStyle w:val="Hyperlink"/>
          </w:rPr>
          <w:t>Suicidecallbackservice.org.au</w:t>
        </w:r>
      </w:hyperlink>
    </w:p>
    <w:p w14:paraId="39BEFD57" w14:textId="0FE24BD9" w:rsidR="00572996" w:rsidRPr="00B768A1" w:rsidRDefault="00572996" w:rsidP="003A4E1D">
      <w:pPr>
        <w:pStyle w:val="BT-Beigebox-Heading"/>
        <w:spacing w:before="180" w:after="180"/>
      </w:pPr>
      <w:r w:rsidRPr="00B768A1">
        <w:t>Defence Member and Family Helpline</w:t>
      </w:r>
    </w:p>
    <w:p w14:paraId="6F09C40D" w14:textId="35B6C198" w:rsidR="00572996" w:rsidRPr="00B768A1" w:rsidRDefault="00F93B6D" w:rsidP="003A4E1D">
      <w:pPr>
        <w:pStyle w:val="BT-Beigebox"/>
        <w:spacing w:before="180" w:after="180"/>
      </w:pPr>
      <w:hyperlink r:id="rId23" w:history="1">
        <w:r w:rsidR="00572996" w:rsidRPr="00F903C4">
          <w:t>1800 6</w:t>
        </w:r>
      </w:hyperlink>
      <w:r w:rsidR="00572996" w:rsidRPr="00F903C4">
        <w:t>2</w:t>
      </w:r>
      <w:r w:rsidR="00572996" w:rsidRPr="00B768A1">
        <w:t>4 608</w:t>
      </w:r>
    </w:p>
    <w:p w14:paraId="7A44388F" w14:textId="4CF506C2" w:rsidR="003576BA" w:rsidRPr="00B768A1" w:rsidRDefault="003576BA" w:rsidP="003A4E1D">
      <w:pPr>
        <w:pStyle w:val="BT-Livedexperience-Green-Heading"/>
        <w:spacing w:before="180" w:after="180"/>
      </w:pPr>
      <w:r w:rsidRPr="00B768A1">
        <w:t>MensLine Australia</w:t>
      </w:r>
    </w:p>
    <w:p w14:paraId="263AD25E" w14:textId="77777777" w:rsidR="003576BA" w:rsidRPr="00B768A1" w:rsidRDefault="003576BA" w:rsidP="003A4E1D">
      <w:pPr>
        <w:pStyle w:val="BT-Livedexperience-Green"/>
        <w:spacing w:before="180" w:after="180"/>
      </w:pPr>
      <w:r w:rsidRPr="00B768A1">
        <w:t>1300 789 978</w:t>
      </w:r>
    </w:p>
    <w:p w14:paraId="39A522E9" w14:textId="54AE077D" w:rsidR="003576BA" w:rsidRPr="00B768A1" w:rsidRDefault="00F93B6D" w:rsidP="003A4E1D">
      <w:pPr>
        <w:pStyle w:val="BT-Livedexperience-Green"/>
        <w:spacing w:before="180" w:after="180"/>
        <w:rPr>
          <w:rStyle w:val="Hyperlink"/>
        </w:rPr>
      </w:pPr>
      <w:hyperlink r:id="rId24" w:history="1">
        <w:r w:rsidR="003576BA" w:rsidRPr="00B768A1">
          <w:rPr>
            <w:rStyle w:val="Hyperlink"/>
          </w:rPr>
          <w:t>Mensline.org.au</w:t>
        </w:r>
      </w:hyperlink>
    </w:p>
    <w:p w14:paraId="5509EA8A" w14:textId="77777777" w:rsidR="00AC596C" w:rsidRPr="00B768A1" w:rsidRDefault="00AC596C" w:rsidP="003A4E1D">
      <w:pPr>
        <w:pStyle w:val="BT-Beigebox-Heading"/>
        <w:spacing w:before="180" w:after="180"/>
      </w:pPr>
      <w:r w:rsidRPr="00B768A1">
        <w:t>ReachOut</w:t>
      </w:r>
    </w:p>
    <w:p w14:paraId="7877A40B" w14:textId="576D7E0F" w:rsidR="00AC596C" w:rsidRPr="00B768A1" w:rsidRDefault="00F93B6D" w:rsidP="003A4E1D">
      <w:pPr>
        <w:pStyle w:val="BT-Beigebox"/>
        <w:spacing w:before="180" w:after="180"/>
        <w:rPr>
          <w:rStyle w:val="Hyperlink"/>
        </w:rPr>
      </w:pPr>
      <w:hyperlink r:id="rId25" w:history="1">
        <w:r w:rsidR="00AC596C" w:rsidRPr="00B768A1">
          <w:rPr>
            <w:rStyle w:val="Hyperlink"/>
          </w:rPr>
          <w:t>au.reachout.com</w:t>
        </w:r>
      </w:hyperlink>
    </w:p>
    <w:p w14:paraId="1691420E" w14:textId="77777777" w:rsidR="00AC596C" w:rsidRPr="00B768A1" w:rsidRDefault="00AC596C" w:rsidP="003A4E1D">
      <w:pPr>
        <w:pStyle w:val="BT-Livedexperience-Green-Heading"/>
        <w:spacing w:before="180" w:after="180"/>
      </w:pPr>
      <w:r w:rsidRPr="00B768A1">
        <w:t>Aboriginal and Torres Strait Islander peoples</w:t>
      </w:r>
    </w:p>
    <w:p w14:paraId="5D9FD206" w14:textId="77777777" w:rsidR="00AC596C" w:rsidRPr="00B768A1" w:rsidRDefault="00AC596C" w:rsidP="003A4E1D">
      <w:pPr>
        <w:pStyle w:val="BT-Livedexperience-Green"/>
        <w:spacing w:before="180" w:after="180"/>
      </w:pPr>
      <w:r w:rsidRPr="00B768A1">
        <w:t>13 YARN (13 92 76)</w:t>
      </w:r>
    </w:p>
    <w:p w14:paraId="57492032" w14:textId="2A142DE2" w:rsidR="00AC596C" w:rsidRPr="00B768A1" w:rsidRDefault="00F93B6D" w:rsidP="003A4E1D">
      <w:pPr>
        <w:pStyle w:val="BT-Livedexperience-Green"/>
        <w:spacing w:before="180" w:after="180"/>
        <w:rPr>
          <w:rStyle w:val="Hyperlink"/>
        </w:rPr>
      </w:pPr>
      <w:hyperlink r:id="rId26" w:history="1">
        <w:r w:rsidR="00AC596C" w:rsidRPr="00B768A1">
          <w:rPr>
            <w:rStyle w:val="Hyperlink"/>
          </w:rPr>
          <w:t>healthinfonet.ecu.edu.au</w:t>
        </w:r>
      </w:hyperlink>
    </w:p>
    <w:p w14:paraId="6D4B9E16" w14:textId="77777777" w:rsidR="00AC596C" w:rsidRPr="00B768A1" w:rsidRDefault="00AC596C" w:rsidP="003A4E1D">
      <w:pPr>
        <w:pStyle w:val="BT-Beigebox-Heading"/>
        <w:spacing w:before="180" w:after="180"/>
      </w:pPr>
      <w:r w:rsidRPr="00B768A1">
        <w:t>LGBTIQ+ community</w:t>
      </w:r>
    </w:p>
    <w:p w14:paraId="08FCA529" w14:textId="77777777" w:rsidR="00AC596C" w:rsidRPr="00B768A1" w:rsidRDefault="00AC596C" w:rsidP="003A4E1D">
      <w:pPr>
        <w:pStyle w:val="BT-Beigebox"/>
        <w:spacing w:before="180" w:after="180"/>
      </w:pPr>
      <w:r w:rsidRPr="00B768A1">
        <w:t>1800 184 527</w:t>
      </w:r>
    </w:p>
    <w:p w14:paraId="5F58D069" w14:textId="6BF0C465" w:rsidR="00AC596C" w:rsidRDefault="00F93B6D" w:rsidP="003A4E1D">
      <w:pPr>
        <w:pStyle w:val="BT-Beigebox"/>
        <w:spacing w:before="180" w:after="180"/>
        <w:rPr>
          <w:rStyle w:val="Hyperlink"/>
        </w:rPr>
      </w:pPr>
      <w:hyperlink r:id="rId27" w:history="1">
        <w:r w:rsidR="00AC596C" w:rsidRPr="00B768A1">
          <w:rPr>
            <w:rStyle w:val="Hyperlink"/>
          </w:rPr>
          <w:t>Qlife.org.au</w:t>
        </w:r>
      </w:hyperlink>
    </w:p>
    <w:p w14:paraId="1F971CD6" w14:textId="1E2F6DD8" w:rsidR="003576BA" w:rsidRPr="00B768A1" w:rsidRDefault="003576BA" w:rsidP="003A4E1D">
      <w:pPr>
        <w:pStyle w:val="BT-Livedexperience-Green-Heading"/>
        <w:spacing w:before="180" w:after="180"/>
      </w:pPr>
      <w:r w:rsidRPr="00B768A1">
        <w:t>Kids Helpline</w:t>
      </w:r>
    </w:p>
    <w:p w14:paraId="033A0407" w14:textId="77777777" w:rsidR="003576BA" w:rsidRPr="00B768A1" w:rsidRDefault="003576BA" w:rsidP="003A4E1D">
      <w:pPr>
        <w:pStyle w:val="BT-Livedexperience-Green"/>
        <w:spacing w:before="180" w:after="180"/>
      </w:pPr>
      <w:r w:rsidRPr="00B768A1">
        <w:t>1800 551 800</w:t>
      </w:r>
    </w:p>
    <w:p w14:paraId="63B9428E" w14:textId="5A155045" w:rsidR="003576BA" w:rsidRPr="00B768A1" w:rsidRDefault="00F93B6D" w:rsidP="003A4E1D">
      <w:pPr>
        <w:pStyle w:val="BT-Livedexperience-Green"/>
        <w:spacing w:before="180" w:after="180"/>
        <w:rPr>
          <w:rStyle w:val="Hyperlink"/>
        </w:rPr>
      </w:pPr>
      <w:hyperlink r:id="rId28" w:history="1">
        <w:r w:rsidR="003576BA" w:rsidRPr="00B768A1">
          <w:rPr>
            <w:rStyle w:val="Hyperlink"/>
          </w:rPr>
          <w:t>Kidshelpline.com.au</w:t>
        </w:r>
      </w:hyperlink>
    </w:p>
    <w:p w14:paraId="61AD83B5" w14:textId="77777777" w:rsidR="001217CF" w:rsidRPr="00B768A1" w:rsidRDefault="001217CF" w:rsidP="003A4E1D">
      <w:pPr>
        <w:pStyle w:val="BT-Beigebox-Heading"/>
        <w:spacing w:before="180" w:after="180"/>
      </w:pPr>
      <w:r w:rsidRPr="00B768A1">
        <w:t>Head to Health</w:t>
      </w:r>
    </w:p>
    <w:p w14:paraId="58A290EE" w14:textId="0D5395C1" w:rsidR="001217CF" w:rsidRPr="00B768A1" w:rsidRDefault="00F93B6D" w:rsidP="003A4E1D">
      <w:pPr>
        <w:pStyle w:val="BT-Beigebox"/>
        <w:spacing w:before="180" w:after="180"/>
        <w:rPr>
          <w:rStyle w:val="Hyperlink"/>
        </w:rPr>
      </w:pPr>
      <w:hyperlink r:id="rId29" w:history="1">
        <w:r w:rsidR="001217CF" w:rsidRPr="00B768A1">
          <w:rPr>
            <w:rStyle w:val="Hyperlink"/>
          </w:rPr>
          <w:t>Headtohealth.gov.au</w:t>
        </w:r>
      </w:hyperlink>
    </w:p>
    <w:p w14:paraId="24B6810A" w14:textId="1A477DE3" w:rsidR="003576BA" w:rsidRPr="00B768A1" w:rsidRDefault="003576BA" w:rsidP="003A4E1D">
      <w:pPr>
        <w:pStyle w:val="BT-Livedexperience-Green-Heading"/>
        <w:spacing w:before="180" w:after="180"/>
      </w:pPr>
      <w:r w:rsidRPr="00B768A1">
        <w:t>headspace</w:t>
      </w:r>
    </w:p>
    <w:p w14:paraId="08813188" w14:textId="77777777" w:rsidR="003576BA" w:rsidRPr="00B768A1" w:rsidRDefault="003576BA" w:rsidP="003A4E1D">
      <w:pPr>
        <w:pStyle w:val="BT-Livedexperience-Green"/>
        <w:spacing w:before="180" w:after="180"/>
      </w:pPr>
      <w:r w:rsidRPr="00B768A1">
        <w:t>1800 650 890</w:t>
      </w:r>
    </w:p>
    <w:p w14:paraId="5F55DA2A" w14:textId="7EE1A27D" w:rsidR="003576BA" w:rsidRPr="00B768A1" w:rsidRDefault="00F93B6D" w:rsidP="003A4E1D">
      <w:pPr>
        <w:pStyle w:val="BT-Livedexperience-Green"/>
        <w:spacing w:before="180" w:after="180"/>
      </w:pPr>
      <w:hyperlink r:id="rId30" w:history="1">
        <w:r w:rsidR="003576BA" w:rsidRPr="003E7A8C">
          <w:rPr>
            <w:rStyle w:val="Hyperlink"/>
          </w:rPr>
          <w:t>headspace.org.au/</w:t>
        </w:r>
      </w:hyperlink>
    </w:p>
    <w:p w14:paraId="1F7C0733" w14:textId="77777777" w:rsidR="001217CF" w:rsidRPr="00B768A1" w:rsidRDefault="001217CF" w:rsidP="003A4E1D">
      <w:pPr>
        <w:pStyle w:val="BT-Beigebox-Heading"/>
        <w:spacing w:before="180" w:after="180"/>
      </w:pPr>
      <w:r w:rsidRPr="00B768A1">
        <w:t>Open Arms</w:t>
      </w:r>
    </w:p>
    <w:p w14:paraId="742CEE64" w14:textId="77777777" w:rsidR="001217CF" w:rsidRPr="00B768A1" w:rsidRDefault="001217CF" w:rsidP="003A4E1D">
      <w:pPr>
        <w:pStyle w:val="BT-Beigebox"/>
        <w:spacing w:before="180" w:after="180"/>
      </w:pPr>
      <w:r w:rsidRPr="00B768A1">
        <w:t>1800 011 046</w:t>
      </w:r>
    </w:p>
    <w:p w14:paraId="7AC25B60" w14:textId="3B46CFC5" w:rsidR="001217CF" w:rsidRPr="00B768A1" w:rsidRDefault="00F93B6D" w:rsidP="003A4E1D">
      <w:pPr>
        <w:pStyle w:val="BT-Beigebox"/>
        <w:spacing w:before="180" w:after="180"/>
        <w:rPr>
          <w:u w:val="single"/>
        </w:rPr>
      </w:pPr>
      <w:hyperlink r:id="rId31" w:history="1">
        <w:r w:rsidR="001217CF" w:rsidRPr="003E7A8C">
          <w:rPr>
            <w:rStyle w:val="Hyperlink"/>
          </w:rPr>
          <w:t>openarms.gov.au</w:t>
        </w:r>
      </w:hyperlink>
    </w:p>
    <w:p w14:paraId="6FB813E9" w14:textId="38EE3B2A" w:rsidR="003576BA" w:rsidRPr="00B768A1" w:rsidRDefault="003576BA" w:rsidP="003A4E1D">
      <w:pPr>
        <w:pStyle w:val="BT-Livedexperience-Green-Heading"/>
        <w:spacing w:before="180" w:after="180"/>
      </w:pPr>
      <w:r w:rsidRPr="00B768A1">
        <w:t>Culturally and linguistically diverse communities</w:t>
      </w:r>
    </w:p>
    <w:p w14:paraId="03E0D479" w14:textId="02C1F717" w:rsidR="003576BA" w:rsidRPr="00B768A1" w:rsidRDefault="00F93B6D" w:rsidP="003A4E1D">
      <w:pPr>
        <w:pStyle w:val="BT-Livedexperience-Green"/>
        <w:spacing w:before="180" w:after="180"/>
        <w:rPr>
          <w:rStyle w:val="Hyperlink"/>
        </w:rPr>
      </w:pPr>
      <w:hyperlink r:id="rId32" w:history="1">
        <w:r w:rsidR="003576BA" w:rsidRPr="00B768A1">
          <w:rPr>
            <w:rStyle w:val="Hyperlink"/>
          </w:rPr>
          <w:t>embracementalhealth.org.au</w:t>
        </w:r>
      </w:hyperlink>
    </w:p>
    <w:p w14:paraId="3D906BEF" w14:textId="77777777" w:rsidR="00572996" w:rsidRPr="00B768A1" w:rsidRDefault="00572996" w:rsidP="003A4E1D">
      <w:pPr>
        <w:pStyle w:val="BT-Beigebox-Heading"/>
        <w:spacing w:before="180" w:after="180"/>
      </w:pPr>
      <w:r w:rsidRPr="00B768A1">
        <w:t>Beyond Blue</w:t>
      </w:r>
    </w:p>
    <w:p w14:paraId="68897954" w14:textId="77777777" w:rsidR="00572996" w:rsidRPr="00B768A1" w:rsidRDefault="00572996" w:rsidP="003A4E1D">
      <w:pPr>
        <w:pStyle w:val="BT-Beigebox"/>
        <w:spacing w:before="180" w:after="180"/>
      </w:pPr>
      <w:r w:rsidRPr="00B768A1">
        <w:t>1300 224 636</w:t>
      </w:r>
    </w:p>
    <w:p w14:paraId="35BA9B41" w14:textId="7D9B2CA0" w:rsidR="000B52A3" w:rsidRPr="00583AC1" w:rsidRDefault="00F93B6D" w:rsidP="00583AC1">
      <w:pPr>
        <w:pStyle w:val="BT-Beigebox"/>
        <w:spacing w:before="180" w:after="180"/>
        <w:rPr>
          <w:color w:val="231C24" w:themeColor="hyperlink"/>
          <w:u w:val="single"/>
        </w:rPr>
        <w:sectPr w:rsidR="000B52A3" w:rsidRPr="00583AC1" w:rsidSect="00996915">
          <w:endnotePr>
            <w:numFmt w:val="decimal"/>
          </w:endnotePr>
          <w:type w:val="continuous"/>
          <w:pgSz w:w="11907" w:h="16839" w:code="9"/>
          <w:pgMar w:top="1418" w:right="1418" w:bottom="1418" w:left="1418" w:header="680" w:footer="85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num="2" w:space="284"/>
          <w:titlePg/>
          <w:docGrid w:linePitch="360"/>
        </w:sectPr>
      </w:pPr>
      <w:hyperlink r:id="rId33" w:history="1">
        <w:r w:rsidR="00572996" w:rsidRPr="00B768A1">
          <w:rPr>
            <w:rStyle w:val="Hyperlink"/>
          </w:rPr>
          <w:t>Beyondblue.org.au</w:t>
        </w:r>
      </w:hyperlink>
    </w:p>
    <w:p w14:paraId="03920232" w14:textId="756DE419" w:rsidR="001C70A6" w:rsidRDefault="001C70A6" w:rsidP="76585357">
      <w:pPr>
        <w:pStyle w:val="TOCHeading"/>
        <w:spacing w:after="0"/>
      </w:pPr>
      <w:bookmarkStart w:id="7" w:name="_Toc1875249317"/>
      <w:r>
        <w:t>Contents</w:t>
      </w:r>
      <w:bookmarkEnd w:id="7"/>
    </w:p>
    <w:p w14:paraId="2BBDAE89" w14:textId="45A0A302" w:rsidR="00C6751E" w:rsidRDefault="003755E8">
      <w:pPr>
        <w:pStyle w:val="TOC1"/>
        <w:rPr>
          <w:rFonts w:asciiTheme="minorHAnsi" w:eastAsiaTheme="minorEastAsia" w:hAnsiTheme="minorHAnsi" w:cstheme="minorBidi"/>
          <w:b w:val="0"/>
          <w:kern w:val="2"/>
          <w:sz w:val="22"/>
          <w:szCs w:val="22"/>
          <w14:ligatures w14:val="standardContextual"/>
        </w:rPr>
      </w:pPr>
      <w:r>
        <w:fldChar w:fldCharType="begin"/>
      </w:r>
      <w:r w:rsidR="24BC9404">
        <w:instrText>TOC \o "1-2" \z \u \h</w:instrText>
      </w:r>
      <w:r>
        <w:fldChar w:fldCharType="separate"/>
      </w:r>
      <w:hyperlink w:anchor="_Toc171459021" w:history="1">
        <w:r w:rsidR="00C6751E" w:rsidRPr="00F75C97">
          <w:rPr>
            <w:rStyle w:val="Hyperlink"/>
          </w:rPr>
          <w:t>Acknowledgements</w:t>
        </w:r>
        <w:r w:rsidR="00C6751E">
          <w:rPr>
            <w:webHidden/>
          </w:rPr>
          <w:tab/>
        </w:r>
        <w:r w:rsidR="00C6751E">
          <w:rPr>
            <w:webHidden/>
          </w:rPr>
          <w:fldChar w:fldCharType="begin"/>
        </w:r>
        <w:r w:rsidR="00C6751E">
          <w:rPr>
            <w:webHidden/>
          </w:rPr>
          <w:instrText xml:space="preserve"> PAGEREF _Toc171459021 \h </w:instrText>
        </w:r>
        <w:r w:rsidR="00C6751E">
          <w:rPr>
            <w:webHidden/>
          </w:rPr>
        </w:r>
        <w:r w:rsidR="00C6751E">
          <w:rPr>
            <w:webHidden/>
          </w:rPr>
          <w:fldChar w:fldCharType="separate"/>
        </w:r>
        <w:r w:rsidR="00ED13EC">
          <w:rPr>
            <w:webHidden/>
          </w:rPr>
          <w:t>2</w:t>
        </w:r>
        <w:r w:rsidR="00C6751E">
          <w:rPr>
            <w:webHidden/>
          </w:rPr>
          <w:fldChar w:fldCharType="end"/>
        </w:r>
      </w:hyperlink>
    </w:p>
    <w:p w14:paraId="26DD7A3D" w14:textId="01DAC72E" w:rsidR="00C6751E" w:rsidRDefault="00F93B6D">
      <w:pPr>
        <w:pStyle w:val="TOC1"/>
        <w:rPr>
          <w:rFonts w:asciiTheme="minorHAnsi" w:eastAsiaTheme="minorEastAsia" w:hAnsiTheme="minorHAnsi" w:cstheme="minorBidi"/>
          <w:b w:val="0"/>
          <w:kern w:val="2"/>
          <w:sz w:val="22"/>
          <w:szCs w:val="22"/>
          <w14:ligatures w14:val="standardContextual"/>
        </w:rPr>
      </w:pPr>
      <w:hyperlink w:anchor="_Toc171459022" w:history="1">
        <w:r w:rsidR="00C6751E" w:rsidRPr="00F75C97">
          <w:rPr>
            <w:rStyle w:val="Hyperlink"/>
          </w:rPr>
          <w:t>Sources of support</w:t>
        </w:r>
        <w:r w:rsidR="00C6751E">
          <w:rPr>
            <w:webHidden/>
          </w:rPr>
          <w:tab/>
        </w:r>
        <w:r w:rsidR="00C6751E">
          <w:rPr>
            <w:webHidden/>
          </w:rPr>
          <w:fldChar w:fldCharType="begin"/>
        </w:r>
        <w:r w:rsidR="00C6751E">
          <w:rPr>
            <w:webHidden/>
          </w:rPr>
          <w:instrText xml:space="preserve"> PAGEREF _Toc171459022 \h </w:instrText>
        </w:r>
        <w:r w:rsidR="00C6751E">
          <w:rPr>
            <w:webHidden/>
          </w:rPr>
        </w:r>
        <w:r w:rsidR="00C6751E">
          <w:rPr>
            <w:webHidden/>
          </w:rPr>
          <w:fldChar w:fldCharType="separate"/>
        </w:r>
        <w:r w:rsidR="00ED13EC">
          <w:rPr>
            <w:webHidden/>
          </w:rPr>
          <w:t>3</w:t>
        </w:r>
        <w:r w:rsidR="00C6751E">
          <w:rPr>
            <w:webHidden/>
          </w:rPr>
          <w:fldChar w:fldCharType="end"/>
        </w:r>
      </w:hyperlink>
    </w:p>
    <w:p w14:paraId="19A7400B" w14:textId="5BD94DE6" w:rsidR="00C6751E" w:rsidRDefault="00F93B6D">
      <w:pPr>
        <w:pStyle w:val="TOC1"/>
        <w:rPr>
          <w:rFonts w:asciiTheme="minorHAnsi" w:eastAsiaTheme="minorEastAsia" w:hAnsiTheme="minorHAnsi" w:cstheme="minorBidi"/>
          <w:b w:val="0"/>
          <w:kern w:val="2"/>
          <w:sz w:val="22"/>
          <w:szCs w:val="22"/>
          <w14:ligatures w14:val="standardContextual"/>
        </w:rPr>
      </w:pPr>
      <w:hyperlink w:anchor="_Toc171459023" w:history="1">
        <w:r w:rsidR="00C6751E" w:rsidRPr="00F75C97">
          <w:rPr>
            <w:rStyle w:val="Hyperlink"/>
          </w:rPr>
          <w:t>Introduction</w:t>
        </w:r>
        <w:r w:rsidR="00C6751E">
          <w:rPr>
            <w:webHidden/>
          </w:rPr>
          <w:tab/>
        </w:r>
        <w:r w:rsidR="00C6751E">
          <w:rPr>
            <w:webHidden/>
          </w:rPr>
          <w:fldChar w:fldCharType="begin"/>
        </w:r>
        <w:r w:rsidR="00C6751E">
          <w:rPr>
            <w:webHidden/>
          </w:rPr>
          <w:instrText xml:space="preserve"> PAGEREF _Toc171459023 \h </w:instrText>
        </w:r>
        <w:r w:rsidR="00C6751E">
          <w:rPr>
            <w:webHidden/>
          </w:rPr>
        </w:r>
        <w:r w:rsidR="00C6751E">
          <w:rPr>
            <w:webHidden/>
          </w:rPr>
          <w:fldChar w:fldCharType="separate"/>
        </w:r>
        <w:r w:rsidR="00ED13EC">
          <w:rPr>
            <w:webHidden/>
          </w:rPr>
          <w:t>5</w:t>
        </w:r>
        <w:r w:rsidR="00C6751E">
          <w:rPr>
            <w:webHidden/>
          </w:rPr>
          <w:fldChar w:fldCharType="end"/>
        </w:r>
      </w:hyperlink>
    </w:p>
    <w:p w14:paraId="40509D38" w14:textId="2FA67F48" w:rsidR="00C6751E" w:rsidRDefault="00F93B6D">
      <w:pPr>
        <w:pStyle w:val="TOC1"/>
        <w:rPr>
          <w:rFonts w:asciiTheme="minorHAnsi" w:eastAsiaTheme="minorEastAsia" w:hAnsiTheme="minorHAnsi" w:cstheme="minorBidi"/>
          <w:b w:val="0"/>
          <w:kern w:val="2"/>
          <w:sz w:val="22"/>
          <w:szCs w:val="22"/>
          <w14:ligatures w14:val="standardContextual"/>
        </w:rPr>
      </w:pPr>
      <w:hyperlink w:anchor="_Toc171459024" w:history="1">
        <w:r w:rsidR="00C6751E" w:rsidRPr="00F75C97">
          <w:rPr>
            <w:rStyle w:val="Hyperlink"/>
          </w:rPr>
          <w:t>Overview of the National Suicide Prevention Strategy</w:t>
        </w:r>
        <w:r w:rsidR="00C6751E">
          <w:rPr>
            <w:webHidden/>
          </w:rPr>
          <w:tab/>
        </w:r>
        <w:r w:rsidR="00C6751E">
          <w:rPr>
            <w:webHidden/>
          </w:rPr>
          <w:fldChar w:fldCharType="begin"/>
        </w:r>
        <w:r w:rsidR="00C6751E">
          <w:rPr>
            <w:webHidden/>
          </w:rPr>
          <w:instrText xml:space="preserve"> PAGEREF _Toc171459024 \h </w:instrText>
        </w:r>
        <w:r w:rsidR="00C6751E">
          <w:rPr>
            <w:webHidden/>
          </w:rPr>
        </w:r>
        <w:r w:rsidR="00C6751E">
          <w:rPr>
            <w:webHidden/>
          </w:rPr>
          <w:fldChar w:fldCharType="separate"/>
        </w:r>
        <w:r w:rsidR="00ED13EC">
          <w:rPr>
            <w:webHidden/>
          </w:rPr>
          <w:t>10</w:t>
        </w:r>
        <w:r w:rsidR="00C6751E">
          <w:rPr>
            <w:webHidden/>
          </w:rPr>
          <w:fldChar w:fldCharType="end"/>
        </w:r>
      </w:hyperlink>
    </w:p>
    <w:p w14:paraId="6FAC4229" w14:textId="0DA144B4" w:rsidR="00C6751E" w:rsidRDefault="00F93B6D">
      <w:pPr>
        <w:pStyle w:val="TOC1"/>
        <w:rPr>
          <w:rFonts w:asciiTheme="minorHAnsi" w:eastAsiaTheme="minorEastAsia" w:hAnsiTheme="minorHAnsi" w:cstheme="minorBidi"/>
          <w:b w:val="0"/>
          <w:kern w:val="2"/>
          <w:sz w:val="22"/>
          <w:szCs w:val="22"/>
          <w14:ligatures w14:val="standardContextual"/>
        </w:rPr>
      </w:pPr>
      <w:hyperlink w:anchor="_Toc171459025" w:history="1">
        <w:r w:rsidR="00C6751E" w:rsidRPr="00F75C97">
          <w:rPr>
            <w:rStyle w:val="Hyperlink"/>
          </w:rPr>
          <w:t>Prevention of suicidal distress</w:t>
        </w:r>
        <w:r w:rsidR="00C6751E">
          <w:rPr>
            <w:webHidden/>
          </w:rPr>
          <w:tab/>
        </w:r>
        <w:r w:rsidR="00C6751E">
          <w:rPr>
            <w:webHidden/>
          </w:rPr>
          <w:fldChar w:fldCharType="begin"/>
        </w:r>
        <w:r w:rsidR="00C6751E">
          <w:rPr>
            <w:webHidden/>
          </w:rPr>
          <w:instrText xml:space="preserve"> PAGEREF _Toc171459025 \h </w:instrText>
        </w:r>
        <w:r w:rsidR="00C6751E">
          <w:rPr>
            <w:webHidden/>
          </w:rPr>
        </w:r>
        <w:r w:rsidR="00C6751E">
          <w:rPr>
            <w:webHidden/>
          </w:rPr>
          <w:fldChar w:fldCharType="separate"/>
        </w:r>
        <w:r w:rsidR="00ED13EC">
          <w:rPr>
            <w:webHidden/>
          </w:rPr>
          <w:t>13</w:t>
        </w:r>
        <w:r w:rsidR="00C6751E">
          <w:rPr>
            <w:webHidden/>
          </w:rPr>
          <w:fldChar w:fldCharType="end"/>
        </w:r>
      </w:hyperlink>
    </w:p>
    <w:p w14:paraId="3E731069" w14:textId="2DCA063E" w:rsidR="00C6751E" w:rsidRDefault="00F93B6D">
      <w:pPr>
        <w:pStyle w:val="TOC2"/>
        <w:rPr>
          <w:rFonts w:asciiTheme="minorHAnsi" w:hAnsiTheme="minorHAnsi"/>
          <w:kern w:val="2"/>
          <w14:ligatures w14:val="standardContextual"/>
        </w:rPr>
      </w:pPr>
      <w:hyperlink w:anchor="_Toc171459026" w:history="1">
        <w:r w:rsidR="00C6751E" w:rsidRPr="00F75C97">
          <w:rPr>
            <w:rStyle w:val="Hyperlink"/>
          </w:rPr>
          <w:t>Key objective 1: Safety and security</w:t>
        </w:r>
        <w:r w:rsidR="00C6751E">
          <w:rPr>
            <w:webHidden/>
          </w:rPr>
          <w:tab/>
        </w:r>
        <w:r w:rsidR="00C6751E">
          <w:rPr>
            <w:webHidden/>
          </w:rPr>
          <w:fldChar w:fldCharType="begin"/>
        </w:r>
        <w:r w:rsidR="00C6751E">
          <w:rPr>
            <w:webHidden/>
          </w:rPr>
          <w:instrText xml:space="preserve"> PAGEREF _Toc171459026 \h </w:instrText>
        </w:r>
        <w:r w:rsidR="00C6751E">
          <w:rPr>
            <w:webHidden/>
          </w:rPr>
        </w:r>
        <w:r w:rsidR="00C6751E">
          <w:rPr>
            <w:webHidden/>
          </w:rPr>
          <w:fldChar w:fldCharType="separate"/>
        </w:r>
        <w:r w:rsidR="00ED13EC">
          <w:rPr>
            <w:webHidden/>
          </w:rPr>
          <w:t>14</w:t>
        </w:r>
        <w:r w:rsidR="00C6751E">
          <w:rPr>
            <w:webHidden/>
          </w:rPr>
          <w:fldChar w:fldCharType="end"/>
        </w:r>
      </w:hyperlink>
    </w:p>
    <w:p w14:paraId="5F496D2D" w14:textId="5EAA8F90" w:rsidR="00C6751E" w:rsidRDefault="00F93B6D">
      <w:pPr>
        <w:pStyle w:val="TOC2"/>
        <w:rPr>
          <w:rFonts w:asciiTheme="minorHAnsi" w:hAnsiTheme="minorHAnsi"/>
          <w:kern w:val="2"/>
          <w14:ligatures w14:val="standardContextual"/>
        </w:rPr>
      </w:pPr>
      <w:hyperlink w:anchor="_Toc171459027" w:history="1">
        <w:r w:rsidR="00C6751E" w:rsidRPr="00F75C97">
          <w:rPr>
            <w:rStyle w:val="Hyperlink"/>
          </w:rPr>
          <w:t>Key objective 2: Good health</w:t>
        </w:r>
        <w:r w:rsidR="00C6751E">
          <w:rPr>
            <w:webHidden/>
          </w:rPr>
          <w:tab/>
        </w:r>
        <w:r w:rsidR="00C6751E">
          <w:rPr>
            <w:webHidden/>
          </w:rPr>
          <w:fldChar w:fldCharType="begin"/>
        </w:r>
        <w:r w:rsidR="00C6751E">
          <w:rPr>
            <w:webHidden/>
          </w:rPr>
          <w:instrText xml:space="preserve"> PAGEREF _Toc171459027 \h </w:instrText>
        </w:r>
        <w:r w:rsidR="00C6751E">
          <w:rPr>
            <w:webHidden/>
          </w:rPr>
        </w:r>
        <w:r w:rsidR="00C6751E">
          <w:rPr>
            <w:webHidden/>
          </w:rPr>
          <w:fldChar w:fldCharType="separate"/>
        </w:r>
        <w:r w:rsidR="00ED13EC">
          <w:rPr>
            <w:webHidden/>
          </w:rPr>
          <w:t>18</w:t>
        </w:r>
        <w:r w:rsidR="00C6751E">
          <w:rPr>
            <w:webHidden/>
          </w:rPr>
          <w:fldChar w:fldCharType="end"/>
        </w:r>
      </w:hyperlink>
    </w:p>
    <w:p w14:paraId="1EEE39CE" w14:textId="2024382F" w:rsidR="00C6751E" w:rsidRDefault="00F93B6D">
      <w:pPr>
        <w:pStyle w:val="TOC2"/>
        <w:rPr>
          <w:rFonts w:asciiTheme="minorHAnsi" w:hAnsiTheme="minorHAnsi"/>
          <w:kern w:val="2"/>
          <w14:ligatures w14:val="standardContextual"/>
        </w:rPr>
      </w:pPr>
      <w:hyperlink w:anchor="_Toc171459028" w:history="1">
        <w:r w:rsidR="00C6751E" w:rsidRPr="00F75C97">
          <w:rPr>
            <w:rStyle w:val="Hyperlink"/>
          </w:rPr>
          <w:t>Key objective 3: Economic security</w:t>
        </w:r>
        <w:r w:rsidR="00C6751E">
          <w:rPr>
            <w:webHidden/>
          </w:rPr>
          <w:tab/>
        </w:r>
        <w:r w:rsidR="00C6751E">
          <w:rPr>
            <w:webHidden/>
          </w:rPr>
          <w:fldChar w:fldCharType="begin"/>
        </w:r>
        <w:r w:rsidR="00C6751E">
          <w:rPr>
            <w:webHidden/>
          </w:rPr>
          <w:instrText xml:space="preserve"> PAGEREF _Toc171459028 \h </w:instrText>
        </w:r>
        <w:r w:rsidR="00C6751E">
          <w:rPr>
            <w:webHidden/>
          </w:rPr>
        </w:r>
        <w:r w:rsidR="00C6751E">
          <w:rPr>
            <w:webHidden/>
          </w:rPr>
          <w:fldChar w:fldCharType="separate"/>
        </w:r>
        <w:r w:rsidR="00ED13EC">
          <w:rPr>
            <w:webHidden/>
          </w:rPr>
          <w:t>21</w:t>
        </w:r>
        <w:r w:rsidR="00C6751E">
          <w:rPr>
            <w:webHidden/>
          </w:rPr>
          <w:fldChar w:fldCharType="end"/>
        </w:r>
      </w:hyperlink>
    </w:p>
    <w:p w14:paraId="342C613D" w14:textId="407BDAEB" w:rsidR="00C6751E" w:rsidRDefault="00F93B6D">
      <w:pPr>
        <w:pStyle w:val="TOC2"/>
        <w:rPr>
          <w:rFonts w:asciiTheme="minorHAnsi" w:hAnsiTheme="minorHAnsi"/>
          <w:kern w:val="2"/>
          <w14:ligatures w14:val="standardContextual"/>
        </w:rPr>
      </w:pPr>
      <w:hyperlink w:anchor="_Toc171459029" w:history="1">
        <w:r w:rsidR="00C6751E" w:rsidRPr="00F75C97">
          <w:rPr>
            <w:rStyle w:val="Hyperlink"/>
          </w:rPr>
          <w:t>Key objective 4: Social inclusion</w:t>
        </w:r>
        <w:r w:rsidR="00C6751E">
          <w:rPr>
            <w:webHidden/>
          </w:rPr>
          <w:tab/>
        </w:r>
        <w:r w:rsidR="00C6751E">
          <w:rPr>
            <w:webHidden/>
          </w:rPr>
          <w:fldChar w:fldCharType="begin"/>
        </w:r>
        <w:r w:rsidR="00C6751E">
          <w:rPr>
            <w:webHidden/>
          </w:rPr>
          <w:instrText xml:space="preserve"> PAGEREF _Toc171459029 \h </w:instrText>
        </w:r>
        <w:r w:rsidR="00C6751E">
          <w:rPr>
            <w:webHidden/>
          </w:rPr>
        </w:r>
        <w:r w:rsidR="00C6751E">
          <w:rPr>
            <w:webHidden/>
          </w:rPr>
          <w:fldChar w:fldCharType="separate"/>
        </w:r>
        <w:r w:rsidR="00ED13EC">
          <w:rPr>
            <w:webHidden/>
          </w:rPr>
          <w:t>25</w:t>
        </w:r>
        <w:r w:rsidR="00C6751E">
          <w:rPr>
            <w:webHidden/>
          </w:rPr>
          <w:fldChar w:fldCharType="end"/>
        </w:r>
      </w:hyperlink>
    </w:p>
    <w:p w14:paraId="259B2CFD" w14:textId="4D329B36" w:rsidR="00C6751E" w:rsidRDefault="00F93B6D">
      <w:pPr>
        <w:pStyle w:val="TOC2"/>
        <w:rPr>
          <w:rFonts w:asciiTheme="minorHAnsi" w:hAnsiTheme="minorHAnsi"/>
          <w:kern w:val="2"/>
          <w14:ligatures w14:val="standardContextual"/>
        </w:rPr>
      </w:pPr>
      <w:hyperlink w:anchor="_Toc171459030" w:history="1">
        <w:r w:rsidR="00C6751E" w:rsidRPr="00F75C97">
          <w:rPr>
            <w:rStyle w:val="Hyperlink"/>
          </w:rPr>
          <w:t>Key objective 5: Navigating life transitions</w:t>
        </w:r>
        <w:r w:rsidR="00C6751E">
          <w:rPr>
            <w:webHidden/>
          </w:rPr>
          <w:tab/>
        </w:r>
        <w:r w:rsidR="00C6751E">
          <w:rPr>
            <w:webHidden/>
          </w:rPr>
          <w:fldChar w:fldCharType="begin"/>
        </w:r>
        <w:r w:rsidR="00C6751E">
          <w:rPr>
            <w:webHidden/>
          </w:rPr>
          <w:instrText xml:space="preserve"> PAGEREF _Toc171459030 \h </w:instrText>
        </w:r>
        <w:r w:rsidR="00C6751E">
          <w:rPr>
            <w:webHidden/>
          </w:rPr>
        </w:r>
        <w:r w:rsidR="00C6751E">
          <w:rPr>
            <w:webHidden/>
          </w:rPr>
          <w:fldChar w:fldCharType="separate"/>
        </w:r>
        <w:r w:rsidR="00ED13EC">
          <w:rPr>
            <w:webHidden/>
          </w:rPr>
          <w:t>28</w:t>
        </w:r>
        <w:r w:rsidR="00C6751E">
          <w:rPr>
            <w:webHidden/>
          </w:rPr>
          <w:fldChar w:fldCharType="end"/>
        </w:r>
      </w:hyperlink>
    </w:p>
    <w:p w14:paraId="4D19B8DB" w14:textId="19394724" w:rsidR="00C6751E" w:rsidRDefault="00F93B6D">
      <w:pPr>
        <w:pStyle w:val="TOC1"/>
        <w:rPr>
          <w:rFonts w:asciiTheme="minorHAnsi" w:eastAsiaTheme="minorEastAsia" w:hAnsiTheme="minorHAnsi" w:cstheme="minorBidi"/>
          <w:b w:val="0"/>
          <w:kern w:val="2"/>
          <w:sz w:val="22"/>
          <w:szCs w:val="22"/>
          <w14:ligatures w14:val="standardContextual"/>
        </w:rPr>
      </w:pPr>
      <w:hyperlink w:anchor="_Toc171459031" w:history="1">
        <w:r w:rsidR="00C6751E" w:rsidRPr="00F75C97">
          <w:rPr>
            <w:rStyle w:val="Hyperlink"/>
            <w14:textFill>
              <w14:solidFill>
                <w14:schemeClr w14:val="hlink">
                  <w14:lumMod w14:val="75000"/>
                  <w14:lumMod w14:val="75000"/>
                  <w14:lumMod w14:val="75000"/>
                </w14:schemeClr>
              </w14:solidFill>
            </w14:textFill>
          </w:rPr>
          <w:t>Support</w:t>
        </w:r>
        <w:r w:rsidR="00C6751E">
          <w:rPr>
            <w:webHidden/>
          </w:rPr>
          <w:tab/>
        </w:r>
        <w:r w:rsidR="00C6751E">
          <w:rPr>
            <w:webHidden/>
          </w:rPr>
          <w:fldChar w:fldCharType="begin"/>
        </w:r>
        <w:r w:rsidR="00C6751E">
          <w:rPr>
            <w:webHidden/>
          </w:rPr>
          <w:instrText xml:space="preserve"> PAGEREF _Toc171459031 \h </w:instrText>
        </w:r>
        <w:r w:rsidR="00C6751E">
          <w:rPr>
            <w:webHidden/>
          </w:rPr>
        </w:r>
        <w:r w:rsidR="00C6751E">
          <w:rPr>
            <w:webHidden/>
          </w:rPr>
          <w:fldChar w:fldCharType="separate"/>
        </w:r>
        <w:r w:rsidR="00ED13EC">
          <w:rPr>
            <w:webHidden/>
          </w:rPr>
          <w:t>34</w:t>
        </w:r>
        <w:r w:rsidR="00C6751E">
          <w:rPr>
            <w:webHidden/>
          </w:rPr>
          <w:fldChar w:fldCharType="end"/>
        </w:r>
      </w:hyperlink>
    </w:p>
    <w:p w14:paraId="6ED58651" w14:textId="39515965" w:rsidR="00C6751E" w:rsidRDefault="00F93B6D">
      <w:pPr>
        <w:pStyle w:val="TOC2"/>
        <w:rPr>
          <w:rFonts w:asciiTheme="minorHAnsi" w:hAnsiTheme="minorHAnsi"/>
          <w:kern w:val="2"/>
          <w14:ligatures w14:val="standardContextual"/>
        </w:rPr>
      </w:pPr>
      <w:hyperlink w:anchor="_Toc171459032" w:history="1">
        <w:r w:rsidR="00C6751E" w:rsidRPr="00F75C97">
          <w:rPr>
            <w:rStyle w:val="Hyperlink"/>
          </w:rPr>
          <w:t>Key objective 6: Culture of compassion</w:t>
        </w:r>
        <w:r w:rsidR="00C6751E">
          <w:rPr>
            <w:webHidden/>
          </w:rPr>
          <w:tab/>
        </w:r>
        <w:r w:rsidR="00C6751E">
          <w:rPr>
            <w:webHidden/>
          </w:rPr>
          <w:fldChar w:fldCharType="begin"/>
        </w:r>
        <w:r w:rsidR="00C6751E">
          <w:rPr>
            <w:webHidden/>
          </w:rPr>
          <w:instrText xml:space="preserve"> PAGEREF _Toc171459032 \h </w:instrText>
        </w:r>
        <w:r w:rsidR="00C6751E">
          <w:rPr>
            <w:webHidden/>
          </w:rPr>
        </w:r>
        <w:r w:rsidR="00C6751E">
          <w:rPr>
            <w:webHidden/>
          </w:rPr>
          <w:fldChar w:fldCharType="separate"/>
        </w:r>
        <w:r w:rsidR="00ED13EC">
          <w:rPr>
            <w:webHidden/>
          </w:rPr>
          <w:t>35</w:t>
        </w:r>
        <w:r w:rsidR="00C6751E">
          <w:rPr>
            <w:webHidden/>
          </w:rPr>
          <w:fldChar w:fldCharType="end"/>
        </w:r>
      </w:hyperlink>
    </w:p>
    <w:p w14:paraId="108ECCB0" w14:textId="570DA6CB" w:rsidR="00C6751E" w:rsidRDefault="00F93B6D">
      <w:pPr>
        <w:pStyle w:val="TOC2"/>
        <w:rPr>
          <w:rFonts w:asciiTheme="minorHAnsi" w:hAnsiTheme="minorHAnsi"/>
          <w:kern w:val="2"/>
          <w14:ligatures w14:val="standardContextual"/>
        </w:rPr>
      </w:pPr>
      <w:hyperlink w:anchor="_Toc171459033" w:history="1">
        <w:r w:rsidR="00C6751E" w:rsidRPr="00F75C97">
          <w:rPr>
            <w:rStyle w:val="Hyperlink"/>
          </w:rPr>
          <w:t>Key objective 7: Accessibility</w:t>
        </w:r>
        <w:r w:rsidR="00C6751E">
          <w:rPr>
            <w:webHidden/>
          </w:rPr>
          <w:tab/>
        </w:r>
        <w:r w:rsidR="00C6751E">
          <w:rPr>
            <w:webHidden/>
          </w:rPr>
          <w:fldChar w:fldCharType="begin"/>
        </w:r>
        <w:r w:rsidR="00C6751E">
          <w:rPr>
            <w:webHidden/>
          </w:rPr>
          <w:instrText xml:space="preserve"> PAGEREF _Toc171459033 \h </w:instrText>
        </w:r>
        <w:r w:rsidR="00C6751E">
          <w:rPr>
            <w:webHidden/>
          </w:rPr>
        </w:r>
        <w:r w:rsidR="00C6751E">
          <w:rPr>
            <w:webHidden/>
          </w:rPr>
          <w:fldChar w:fldCharType="separate"/>
        </w:r>
        <w:r w:rsidR="00ED13EC">
          <w:rPr>
            <w:webHidden/>
          </w:rPr>
          <w:t>41</w:t>
        </w:r>
        <w:r w:rsidR="00C6751E">
          <w:rPr>
            <w:webHidden/>
          </w:rPr>
          <w:fldChar w:fldCharType="end"/>
        </w:r>
      </w:hyperlink>
    </w:p>
    <w:p w14:paraId="514F27C5" w14:textId="309BB207" w:rsidR="00C6751E" w:rsidRDefault="00F93B6D">
      <w:pPr>
        <w:pStyle w:val="TOC2"/>
        <w:rPr>
          <w:rFonts w:asciiTheme="minorHAnsi" w:hAnsiTheme="minorHAnsi"/>
          <w:kern w:val="2"/>
          <w14:ligatures w14:val="standardContextual"/>
        </w:rPr>
      </w:pPr>
      <w:hyperlink w:anchor="_Toc171459034" w:history="1">
        <w:r w:rsidR="00C6751E" w:rsidRPr="00F75C97">
          <w:rPr>
            <w:rStyle w:val="Hyperlink"/>
          </w:rPr>
          <w:t>Key objective 8: System-level coordination</w:t>
        </w:r>
        <w:r w:rsidR="00C6751E">
          <w:rPr>
            <w:webHidden/>
          </w:rPr>
          <w:tab/>
        </w:r>
        <w:r w:rsidR="00C6751E">
          <w:rPr>
            <w:webHidden/>
          </w:rPr>
          <w:fldChar w:fldCharType="begin"/>
        </w:r>
        <w:r w:rsidR="00C6751E">
          <w:rPr>
            <w:webHidden/>
          </w:rPr>
          <w:instrText xml:space="preserve"> PAGEREF _Toc171459034 \h </w:instrText>
        </w:r>
        <w:r w:rsidR="00C6751E">
          <w:rPr>
            <w:webHidden/>
          </w:rPr>
        </w:r>
        <w:r w:rsidR="00C6751E">
          <w:rPr>
            <w:webHidden/>
          </w:rPr>
          <w:fldChar w:fldCharType="separate"/>
        </w:r>
        <w:r w:rsidR="00ED13EC">
          <w:rPr>
            <w:webHidden/>
          </w:rPr>
          <w:t>46</w:t>
        </w:r>
        <w:r w:rsidR="00C6751E">
          <w:rPr>
            <w:webHidden/>
          </w:rPr>
          <w:fldChar w:fldCharType="end"/>
        </w:r>
      </w:hyperlink>
    </w:p>
    <w:p w14:paraId="64B5945E" w14:textId="00A128E0" w:rsidR="00C6751E" w:rsidRDefault="00F93B6D">
      <w:pPr>
        <w:pStyle w:val="TOC2"/>
        <w:rPr>
          <w:rFonts w:asciiTheme="minorHAnsi" w:hAnsiTheme="minorHAnsi"/>
          <w:kern w:val="2"/>
          <w14:ligatures w14:val="standardContextual"/>
        </w:rPr>
      </w:pPr>
      <w:hyperlink w:anchor="_Toc171459035" w:history="1">
        <w:r w:rsidR="00C6751E" w:rsidRPr="00F75C97">
          <w:rPr>
            <w:rStyle w:val="Hyperlink"/>
          </w:rPr>
          <w:t>Key objective 9: Holistic approaches</w:t>
        </w:r>
        <w:r w:rsidR="00C6751E">
          <w:rPr>
            <w:webHidden/>
          </w:rPr>
          <w:tab/>
        </w:r>
        <w:r w:rsidR="00C6751E">
          <w:rPr>
            <w:webHidden/>
          </w:rPr>
          <w:fldChar w:fldCharType="begin"/>
        </w:r>
        <w:r w:rsidR="00C6751E">
          <w:rPr>
            <w:webHidden/>
          </w:rPr>
          <w:instrText xml:space="preserve"> PAGEREF _Toc171459035 \h </w:instrText>
        </w:r>
        <w:r w:rsidR="00C6751E">
          <w:rPr>
            <w:webHidden/>
          </w:rPr>
        </w:r>
        <w:r w:rsidR="00C6751E">
          <w:rPr>
            <w:webHidden/>
          </w:rPr>
          <w:fldChar w:fldCharType="separate"/>
        </w:r>
        <w:r w:rsidR="00ED13EC">
          <w:rPr>
            <w:webHidden/>
          </w:rPr>
          <w:t>50</w:t>
        </w:r>
        <w:r w:rsidR="00C6751E">
          <w:rPr>
            <w:webHidden/>
          </w:rPr>
          <w:fldChar w:fldCharType="end"/>
        </w:r>
      </w:hyperlink>
    </w:p>
    <w:p w14:paraId="2509D841" w14:textId="7E6CE359" w:rsidR="00C6751E" w:rsidRDefault="00F93B6D">
      <w:pPr>
        <w:pStyle w:val="TOC2"/>
        <w:rPr>
          <w:rFonts w:asciiTheme="minorHAnsi" w:hAnsiTheme="minorHAnsi"/>
          <w:kern w:val="2"/>
          <w14:ligatures w14:val="standardContextual"/>
        </w:rPr>
      </w:pPr>
      <w:hyperlink w:anchor="_Toc171459036" w:history="1">
        <w:r w:rsidR="00C6751E" w:rsidRPr="00F75C97">
          <w:rPr>
            <w:rStyle w:val="Hyperlink"/>
          </w:rPr>
          <w:t>Key objective 10: Increased connection</w:t>
        </w:r>
        <w:r w:rsidR="00C6751E">
          <w:rPr>
            <w:webHidden/>
          </w:rPr>
          <w:tab/>
        </w:r>
        <w:r w:rsidR="00C6751E">
          <w:rPr>
            <w:webHidden/>
          </w:rPr>
          <w:fldChar w:fldCharType="begin"/>
        </w:r>
        <w:r w:rsidR="00C6751E">
          <w:rPr>
            <w:webHidden/>
          </w:rPr>
          <w:instrText xml:space="preserve"> PAGEREF _Toc171459036 \h </w:instrText>
        </w:r>
        <w:r w:rsidR="00C6751E">
          <w:rPr>
            <w:webHidden/>
          </w:rPr>
        </w:r>
        <w:r w:rsidR="00C6751E">
          <w:rPr>
            <w:webHidden/>
          </w:rPr>
          <w:fldChar w:fldCharType="separate"/>
        </w:r>
        <w:r w:rsidR="00ED13EC">
          <w:rPr>
            <w:webHidden/>
          </w:rPr>
          <w:t>53</w:t>
        </w:r>
        <w:r w:rsidR="00C6751E">
          <w:rPr>
            <w:webHidden/>
          </w:rPr>
          <w:fldChar w:fldCharType="end"/>
        </w:r>
      </w:hyperlink>
    </w:p>
    <w:p w14:paraId="05BA03FE" w14:textId="03479DF9" w:rsidR="00C6751E" w:rsidRDefault="00F93B6D">
      <w:pPr>
        <w:pStyle w:val="TOC1"/>
        <w:rPr>
          <w:rFonts w:asciiTheme="minorHAnsi" w:eastAsiaTheme="minorEastAsia" w:hAnsiTheme="minorHAnsi" w:cstheme="minorBidi"/>
          <w:b w:val="0"/>
          <w:kern w:val="2"/>
          <w:sz w:val="22"/>
          <w:szCs w:val="22"/>
          <w14:ligatures w14:val="standardContextual"/>
        </w:rPr>
      </w:pPr>
      <w:hyperlink w:anchor="_Toc171459037" w:history="1">
        <w:r w:rsidR="00C6751E" w:rsidRPr="00F75C97">
          <w:rPr>
            <w:rStyle w:val="Hyperlink"/>
          </w:rPr>
          <w:t>Critical enablers</w:t>
        </w:r>
        <w:r w:rsidR="00C6751E">
          <w:rPr>
            <w:webHidden/>
          </w:rPr>
          <w:tab/>
        </w:r>
        <w:r w:rsidR="00C6751E">
          <w:rPr>
            <w:webHidden/>
          </w:rPr>
          <w:fldChar w:fldCharType="begin"/>
        </w:r>
        <w:r w:rsidR="00C6751E">
          <w:rPr>
            <w:webHidden/>
          </w:rPr>
          <w:instrText xml:space="preserve"> PAGEREF _Toc171459037 \h </w:instrText>
        </w:r>
        <w:r w:rsidR="00C6751E">
          <w:rPr>
            <w:webHidden/>
          </w:rPr>
        </w:r>
        <w:r w:rsidR="00C6751E">
          <w:rPr>
            <w:webHidden/>
          </w:rPr>
          <w:fldChar w:fldCharType="separate"/>
        </w:r>
        <w:r w:rsidR="00ED13EC">
          <w:rPr>
            <w:webHidden/>
          </w:rPr>
          <w:t>57</w:t>
        </w:r>
        <w:r w:rsidR="00C6751E">
          <w:rPr>
            <w:webHidden/>
          </w:rPr>
          <w:fldChar w:fldCharType="end"/>
        </w:r>
      </w:hyperlink>
    </w:p>
    <w:p w14:paraId="4C37DA99" w14:textId="66C8137A" w:rsidR="00C6751E" w:rsidRDefault="00F93B6D">
      <w:pPr>
        <w:pStyle w:val="TOC2"/>
        <w:rPr>
          <w:rFonts w:asciiTheme="minorHAnsi" w:hAnsiTheme="minorHAnsi"/>
          <w:kern w:val="2"/>
          <w14:ligatures w14:val="standardContextual"/>
        </w:rPr>
      </w:pPr>
      <w:hyperlink w:anchor="_Toc171459038" w:history="1">
        <w:r w:rsidR="00C6751E" w:rsidRPr="00F75C97">
          <w:rPr>
            <w:rStyle w:val="Hyperlink"/>
          </w:rPr>
          <w:t>Critical enabler 1: Improved governance</w:t>
        </w:r>
        <w:r w:rsidR="00C6751E">
          <w:rPr>
            <w:webHidden/>
          </w:rPr>
          <w:tab/>
        </w:r>
        <w:r w:rsidR="00C6751E">
          <w:rPr>
            <w:webHidden/>
          </w:rPr>
          <w:fldChar w:fldCharType="begin"/>
        </w:r>
        <w:r w:rsidR="00C6751E">
          <w:rPr>
            <w:webHidden/>
          </w:rPr>
          <w:instrText xml:space="preserve"> PAGEREF _Toc171459038 \h </w:instrText>
        </w:r>
        <w:r w:rsidR="00C6751E">
          <w:rPr>
            <w:webHidden/>
          </w:rPr>
        </w:r>
        <w:r w:rsidR="00C6751E">
          <w:rPr>
            <w:webHidden/>
          </w:rPr>
          <w:fldChar w:fldCharType="separate"/>
        </w:r>
        <w:r w:rsidR="00ED13EC">
          <w:rPr>
            <w:webHidden/>
          </w:rPr>
          <w:t>57</w:t>
        </w:r>
        <w:r w:rsidR="00C6751E">
          <w:rPr>
            <w:webHidden/>
          </w:rPr>
          <w:fldChar w:fldCharType="end"/>
        </w:r>
      </w:hyperlink>
    </w:p>
    <w:p w14:paraId="15CA09AF" w14:textId="2817F245" w:rsidR="00C6751E" w:rsidRDefault="00F93B6D">
      <w:pPr>
        <w:pStyle w:val="TOC2"/>
        <w:rPr>
          <w:rFonts w:asciiTheme="minorHAnsi" w:hAnsiTheme="minorHAnsi"/>
          <w:kern w:val="2"/>
          <w14:ligatures w14:val="standardContextual"/>
        </w:rPr>
      </w:pPr>
      <w:hyperlink w:anchor="_Toc171459039" w:history="1">
        <w:r w:rsidR="00C6751E" w:rsidRPr="00F75C97">
          <w:rPr>
            <w:rStyle w:val="Hyperlink"/>
          </w:rPr>
          <w:t>Critical enabler 2: Embedded lived experience</w:t>
        </w:r>
        <w:r w:rsidR="00C6751E">
          <w:rPr>
            <w:webHidden/>
          </w:rPr>
          <w:tab/>
        </w:r>
        <w:r w:rsidR="00C6751E">
          <w:rPr>
            <w:webHidden/>
          </w:rPr>
          <w:fldChar w:fldCharType="begin"/>
        </w:r>
        <w:r w:rsidR="00C6751E">
          <w:rPr>
            <w:webHidden/>
          </w:rPr>
          <w:instrText xml:space="preserve"> PAGEREF _Toc171459039 \h </w:instrText>
        </w:r>
        <w:r w:rsidR="00C6751E">
          <w:rPr>
            <w:webHidden/>
          </w:rPr>
        </w:r>
        <w:r w:rsidR="00C6751E">
          <w:rPr>
            <w:webHidden/>
          </w:rPr>
          <w:fldChar w:fldCharType="separate"/>
        </w:r>
        <w:r w:rsidR="00ED13EC">
          <w:rPr>
            <w:webHidden/>
          </w:rPr>
          <w:t>62</w:t>
        </w:r>
        <w:r w:rsidR="00C6751E">
          <w:rPr>
            <w:webHidden/>
          </w:rPr>
          <w:fldChar w:fldCharType="end"/>
        </w:r>
      </w:hyperlink>
    </w:p>
    <w:p w14:paraId="02E239D9" w14:textId="0D265F3E" w:rsidR="00C6751E" w:rsidRDefault="00F93B6D">
      <w:pPr>
        <w:pStyle w:val="TOC2"/>
        <w:rPr>
          <w:rFonts w:asciiTheme="minorHAnsi" w:hAnsiTheme="minorHAnsi"/>
          <w:kern w:val="2"/>
          <w14:ligatures w14:val="standardContextual"/>
        </w:rPr>
      </w:pPr>
      <w:hyperlink w:anchor="_Toc171459040" w:history="1">
        <w:r w:rsidR="00C6751E" w:rsidRPr="00F75C97">
          <w:rPr>
            <w:rStyle w:val="Hyperlink"/>
          </w:rPr>
          <w:t>Critical enabler 3: Available and translated evidence</w:t>
        </w:r>
        <w:r w:rsidR="00C6751E">
          <w:rPr>
            <w:webHidden/>
          </w:rPr>
          <w:tab/>
        </w:r>
        <w:r w:rsidR="00C6751E">
          <w:rPr>
            <w:webHidden/>
          </w:rPr>
          <w:fldChar w:fldCharType="begin"/>
        </w:r>
        <w:r w:rsidR="00C6751E">
          <w:rPr>
            <w:webHidden/>
          </w:rPr>
          <w:instrText xml:space="preserve"> PAGEREF _Toc171459040 \h </w:instrText>
        </w:r>
        <w:r w:rsidR="00C6751E">
          <w:rPr>
            <w:webHidden/>
          </w:rPr>
        </w:r>
        <w:r w:rsidR="00C6751E">
          <w:rPr>
            <w:webHidden/>
          </w:rPr>
          <w:fldChar w:fldCharType="separate"/>
        </w:r>
        <w:r w:rsidR="00ED13EC">
          <w:rPr>
            <w:webHidden/>
          </w:rPr>
          <w:t>67</w:t>
        </w:r>
        <w:r w:rsidR="00C6751E">
          <w:rPr>
            <w:webHidden/>
          </w:rPr>
          <w:fldChar w:fldCharType="end"/>
        </w:r>
      </w:hyperlink>
    </w:p>
    <w:p w14:paraId="3BD1E0F2" w14:textId="4BCF6EBD" w:rsidR="00C6751E" w:rsidRDefault="00F93B6D">
      <w:pPr>
        <w:pStyle w:val="TOC2"/>
        <w:rPr>
          <w:rFonts w:asciiTheme="minorHAnsi" w:hAnsiTheme="minorHAnsi"/>
          <w:kern w:val="2"/>
          <w14:ligatures w14:val="standardContextual"/>
        </w:rPr>
      </w:pPr>
      <w:hyperlink w:anchor="_Toc171459041" w:history="1">
        <w:r w:rsidR="00C6751E" w:rsidRPr="00F75C97">
          <w:rPr>
            <w:rStyle w:val="Hyperlink"/>
          </w:rPr>
          <w:t>Critical enabler 4: Capable and integrated workforce</w:t>
        </w:r>
        <w:r w:rsidR="00C6751E">
          <w:rPr>
            <w:webHidden/>
          </w:rPr>
          <w:tab/>
        </w:r>
        <w:r w:rsidR="00C6751E">
          <w:rPr>
            <w:webHidden/>
          </w:rPr>
          <w:fldChar w:fldCharType="begin"/>
        </w:r>
        <w:r w:rsidR="00C6751E">
          <w:rPr>
            <w:webHidden/>
          </w:rPr>
          <w:instrText xml:space="preserve"> PAGEREF _Toc171459041 \h </w:instrText>
        </w:r>
        <w:r w:rsidR="00C6751E">
          <w:rPr>
            <w:webHidden/>
          </w:rPr>
        </w:r>
        <w:r w:rsidR="00C6751E">
          <w:rPr>
            <w:webHidden/>
          </w:rPr>
          <w:fldChar w:fldCharType="separate"/>
        </w:r>
        <w:r w:rsidR="00ED13EC">
          <w:rPr>
            <w:webHidden/>
          </w:rPr>
          <w:t>73</w:t>
        </w:r>
        <w:r w:rsidR="00C6751E">
          <w:rPr>
            <w:webHidden/>
          </w:rPr>
          <w:fldChar w:fldCharType="end"/>
        </w:r>
      </w:hyperlink>
    </w:p>
    <w:p w14:paraId="7DAF76B5" w14:textId="147C4474" w:rsidR="00C6751E" w:rsidRDefault="00F93B6D">
      <w:pPr>
        <w:pStyle w:val="TOC1"/>
        <w:rPr>
          <w:rFonts w:asciiTheme="minorHAnsi" w:eastAsiaTheme="minorEastAsia" w:hAnsiTheme="minorHAnsi" w:cstheme="minorBidi"/>
          <w:b w:val="0"/>
          <w:kern w:val="2"/>
          <w:sz w:val="22"/>
          <w:szCs w:val="22"/>
          <w14:ligatures w14:val="standardContextual"/>
        </w:rPr>
      </w:pPr>
      <w:hyperlink w:anchor="_Toc171459042" w:history="1">
        <w:r w:rsidR="00C6751E" w:rsidRPr="00F75C97">
          <w:rPr>
            <w:rStyle w:val="Hyperlink"/>
          </w:rPr>
          <w:t>Conclusion</w:t>
        </w:r>
        <w:r w:rsidR="00C6751E">
          <w:rPr>
            <w:webHidden/>
          </w:rPr>
          <w:tab/>
        </w:r>
        <w:r w:rsidR="00C6751E">
          <w:rPr>
            <w:webHidden/>
          </w:rPr>
          <w:fldChar w:fldCharType="begin"/>
        </w:r>
        <w:r w:rsidR="00C6751E">
          <w:rPr>
            <w:webHidden/>
          </w:rPr>
          <w:instrText xml:space="preserve"> PAGEREF _Toc171459042 \h </w:instrText>
        </w:r>
        <w:r w:rsidR="00C6751E">
          <w:rPr>
            <w:webHidden/>
          </w:rPr>
        </w:r>
        <w:r w:rsidR="00C6751E">
          <w:rPr>
            <w:webHidden/>
          </w:rPr>
          <w:fldChar w:fldCharType="separate"/>
        </w:r>
        <w:r w:rsidR="00ED13EC">
          <w:rPr>
            <w:webHidden/>
          </w:rPr>
          <w:t>79</w:t>
        </w:r>
        <w:r w:rsidR="00C6751E">
          <w:rPr>
            <w:webHidden/>
          </w:rPr>
          <w:fldChar w:fldCharType="end"/>
        </w:r>
      </w:hyperlink>
    </w:p>
    <w:p w14:paraId="4F6A09F2" w14:textId="3236595E" w:rsidR="00C6751E" w:rsidRDefault="00F93B6D">
      <w:pPr>
        <w:pStyle w:val="TOC1"/>
        <w:rPr>
          <w:rFonts w:asciiTheme="minorHAnsi" w:eastAsiaTheme="minorEastAsia" w:hAnsiTheme="minorHAnsi" w:cstheme="minorBidi"/>
          <w:b w:val="0"/>
          <w:kern w:val="2"/>
          <w:sz w:val="22"/>
          <w:szCs w:val="22"/>
          <w14:ligatures w14:val="standardContextual"/>
        </w:rPr>
      </w:pPr>
      <w:hyperlink w:anchor="_Toc171459043" w:history="1">
        <w:r w:rsidR="00C6751E" w:rsidRPr="00F75C97">
          <w:rPr>
            <w:rStyle w:val="Hyperlink"/>
          </w:rPr>
          <w:t>Appendix A: Glossary</w:t>
        </w:r>
        <w:r w:rsidR="00C6751E">
          <w:rPr>
            <w:webHidden/>
          </w:rPr>
          <w:tab/>
        </w:r>
        <w:r w:rsidR="00C6751E">
          <w:rPr>
            <w:webHidden/>
          </w:rPr>
          <w:fldChar w:fldCharType="begin"/>
        </w:r>
        <w:r w:rsidR="00C6751E">
          <w:rPr>
            <w:webHidden/>
          </w:rPr>
          <w:instrText xml:space="preserve"> PAGEREF _Toc171459043 \h </w:instrText>
        </w:r>
        <w:r w:rsidR="00C6751E">
          <w:rPr>
            <w:webHidden/>
          </w:rPr>
        </w:r>
        <w:r w:rsidR="00C6751E">
          <w:rPr>
            <w:webHidden/>
          </w:rPr>
          <w:fldChar w:fldCharType="separate"/>
        </w:r>
        <w:r w:rsidR="00ED13EC">
          <w:rPr>
            <w:webHidden/>
          </w:rPr>
          <w:t>80</w:t>
        </w:r>
        <w:r w:rsidR="00C6751E">
          <w:rPr>
            <w:webHidden/>
          </w:rPr>
          <w:fldChar w:fldCharType="end"/>
        </w:r>
      </w:hyperlink>
    </w:p>
    <w:p w14:paraId="320C5D0F" w14:textId="31783FB6" w:rsidR="00C6751E" w:rsidRDefault="00F93B6D">
      <w:pPr>
        <w:pStyle w:val="TOC1"/>
        <w:rPr>
          <w:rFonts w:asciiTheme="minorHAnsi" w:eastAsiaTheme="minorEastAsia" w:hAnsiTheme="minorHAnsi" w:cstheme="minorBidi"/>
          <w:b w:val="0"/>
          <w:kern w:val="2"/>
          <w:sz w:val="22"/>
          <w:szCs w:val="22"/>
          <w14:ligatures w14:val="standardContextual"/>
        </w:rPr>
      </w:pPr>
      <w:hyperlink w:anchor="_Toc171459044" w:history="1">
        <w:r w:rsidR="00C6751E" w:rsidRPr="00F75C97">
          <w:rPr>
            <w:rStyle w:val="Hyperlink"/>
          </w:rPr>
          <w:t>Appendix B: Development of the Strategy</w:t>
        </w:r>
        <w:r w:rsidR="00C6751E">
          <w:rPr>
            <w:webHidden/>
          </w:rPr>
          <w:tab/>
        </w:r>
        <w:r w:rsidR="00C6751E">
          <w:rPr>
            <w:webHidden/>
          </w:rPr>
          <w:fldChar w:fldCharType="begin"/>
        </w:r>
        <w:r w:rsidR="00C6751E">
          <w:rPr>
            <w:webHidden/>
          </w:rPr>
          <w:instrText xml:space="preserve"> PAGEREF _Toc171459044 \h </w:instrText>
        </w:r>
        <w:r w:rsidR="00C6751E">
          <w:rPr>
            <w:webHidden/>
          </w:rPr>
        </w:r>
        <w:r w:rsidR="00C6751E">
          <w:rPr>
            <w:webHidden/>
          </w:rPr>
          <w:fldChar w:fldCharType="separate"/>
        </w:r>
        <w:r w:rsidR="00ED13EC">
          <w:rPr>
            <w:webHidden/>
          </w:rPr>
          <w:t>82</w:t>
        </w:r>
        <w:r w:rsidR="00C6751E">
          <w:rPr>
            <w:webHidden/>
          </w:rPr>
          <w:fldChar w:fldCharType="end"/>
        </w:r>
      </w:hyperlink>
    </w:p>
    <w:p w14:paraId="533A3587" w14:textId="1F5AE19E" w:rsidR="001C70A6" w:rsidRPr="00B768A1" w:rsidRDefault="003755E8" w:rsidP="002E4FA9">
      <w:pPr>
        <w:pStyle w:val="TOC1"/>
      </w:pPr>
      <w:r>
        <w:fldChar w:fldCharType="end"/>
      </w:r>
      <w:r w:rsidR="001C70A6" w:rsidRPr="00B768A1">
        <w:t xml:space="preserve"> </w:t>
      </w:r>
    </w:p>
    <w:p w14:paraId="67B4E0A8" w14:textId="4B361031" w:rsidR="00647E32" w:rsidRPr="00745B34" w:rsidRDefault="00647E32" w:rsidP="004F5B0E">
      <w:pPr>
        <w:pStyle w:val="Heading1"/>
      </w:pPr>
      <w:bookmarkStart w:id="8" w:name="_Toc151717667"/>
      <w:bookmarkStart w:id="9" w:name="_Toc152082296"/>
      <w:bookmarkStart w:id="10" w:name="_Toc164868154"/>
      <w:bookmarkStart w:id="11" w:name="_Toc416177621"/>
      <w:bookmarkStart w:id="12" w:name="_Toc1754175846"/>
      <w:bookmarkStart w:id="13" w:name="_Toc171459023"/>
      <w:r w:rsidRPr="00745B34" w:rsidDel="0034386C">
        <w:t>Introduction</w:t>
      </w:r>
      <w:bookmarkEnd w:id="8"/>
      <w:bookmarkEnd w:id="9"/>
      <w:bookmarkEnd w:id="10"/>
      <w:bookmarkEnd w:id="11"/>
      <w:bookmarkEnd w:id="12"/>
      <w:bookmarkEnd w:id="13"/>
    </w:p>
    <w:p w14:paraId="2AD75365" w14:textId="68DBDBEB" w:rsidR="00A72DCC" w:rsidRPr="00745B34" w:rsidRDefault="00A72DCC" w:rsidP="00A72DCC">
      <w:pPr>
        <w:pStyle w:val="Heading31"/>
      </w:pPr>
      <w:r w:rsidRPr="00745B34">
        <w:t xml:space="preserve">Why this Strategy is </w:t>
      </w:r>
      <w:r w:rsidR="00206B3D">
        <w:t>important</w:t>
      </w:r>
    </w:p>
    <w:p w14:paraId="784C68DE" w14:textId="2BE3F98F" w:rsidR="00C23208" w:rsidRPr="00745B34" w:rsidRDefault="6ACF5A7A" w:rsidP="00546BCC">
      <w:r>
        <w:t xml:space="preserve">Suicide rates in Australia remain unacceptably high. </w:t>
      </w:r>
      <w:bookmarkStart w:id="14" w:name="_Toc163401718"/>
      <w:bookmarkEnd w:id="14"/>
    </w:p>
    <w:p w14:paraId="265FF241" w14:textId="3B425630" w:rsidR="00C23208" w:rsidRPr="00B768A1" w:rsidDel="00B94865" w:rsidRDefault="00C23208" w:rsidP="00634A83">
      <w:pPr>
        <w:rPr>
          <w:sz w:val="18"/>
          <w:szCs w:val="18"/>
        </w:rPr>
      </w:pPr>
      <w:r w:rsidRPr="00B768A1">
        <w:t>Every year in Australia, more than 3,000</w:t>
      </w:r>
      <w:r w:rsidR="00A830AB">
        <w:t> </w:t>
      </w:r>
      <w:r w:rsidRPr="00B768A1">
        <w:t>people die by suicide</w:t>
      </w:r>
      <w:r w:rsidR="00F5582B" w:rsidRPr="00B768A1">
        <w:t>—</w:t>
      </w:r>
      <w:r w:rsidRPr="00B768A1">
        <w:t xml:space="preserve">nearly </w:t>
      </w:r>
      <w:r w:rsidR="00AD54BA" w:rsidRPr="00B768A1">
        <w:t>nine</w:t>
      </w:r>
      <w:r w:rsidRPr="00B768A1">
        <w:t xml:space="preserve"> people a day.</w:t>
      </w:r>
      <w:hyperlink w:anchor="_ENREF_2" w:tooltip="Statistics, 2023 #481" w:history="1">
        <w:r w:rsidR="002D6F18">
          <w:fldChar w:fldCharType="begin"/>
        </w:r>
        <w:r w:rsidR="002D6F18">
          <w:instrText xml:space="preserve"> ADDIN EN.CITE &lt;EndNote&gt;&lt;Cite&gt;&lt;Author&gt;Statistics&lt;/Author&gt;&lt;Year&gt;2023&lt;/Year&gt;&lt;RecNum&gt;481&lt;/RecNum&gt;&lt;DisplayText&gt;&lt;style face="superscript"&gt;2&lt;/style&gt;&lt;/DisplayText&gt;&lt;record&gt;&lt;rec-number&gt;481&lt;/rec-number&gt;&lt;foreign-keys&gt;&lt;key app="EN" db-id="rsettzd2isasdweewww55s9lffasxav0d0ft" timestamp="1700699474" guid="3ab42a82-f072-4dca-92fd-dc952307213a"&gt;481&lt;/key&gt;&lt;/foreign-keys&gt;&lt;ref-type name="Web Page"&gt;12&lt;/ref-type&gt;&lt;contributors&gt;&lt;authors&gt;&lt;author&gt;Australian Bureau of Statistics&lt;/author&gt;&lt;/authors&gt;&lt;/contributors&gt;&lt;titles&gt;&lt;title&gt;Causes of Death, Australia, 2022&lt;/title&gt;&lt;/titles&gt;&lt;dates&gt;&lt;year&gt;2023&lt;/year&gt;&lt;/dates&gt;&lt;publisher&gt;ABS, Australian Government&lt;/publisher&gt;&lt;work-type&gt;Internet&lt;/work-type&gt;&lt;urls&gt;&lt;related-urls&gt;&lt;url&gt;https://www.abs.gov.au/statistics/health/causes-death/causes-death-australia/2022&lt;/url&gt;&lt;/related-urls&gt;&lt;/urls&gt;&lt;custom1&gt;2023&lt;/custom1&gt;&lt;custom2&gt;October 02&lt;/custom2&gt;&lt;/record&gt;&lt;/Cite&gt;&lt;/EndNote&gt;</w:instrText>
        </w:r>
        <w:r w:rsidR="002D6F18">
          <w:fldChar w:fldCharType="separate"/>
        </w:r>
        <w:r w:rsidR="002D6F18" w:rsidRPr="00E25362">
          <w:rPr>
            <w:noProof/>
            <w:vertAlign w:val="superscript"/>
          </w:rPr>
          <w:t>2</w:t>
        </w:r>
        <w:r w:rsidR="002D6F18">
          <w:fldChar w:fldCharType="end"/>
        </w:r>
      </w:hyperlink>
      <w:r w:rsidRPr="00B768A1">
        <w:t xml:space="preserve"> Suicide remains the leading cause of death for people aged 15-44</w:t>
      </w:r>
      <w:r w:rsidR="0052476C" w:rsidRPr="00B768A1">
        <w:t>,</w:t>
      </w:r>
      <w:hyperlink w:anchor="_ENREF_2" w:tooltip="Statistics, 2023 #481" w:history="1">
        <w:r w:rsidR="002D6F18">
          <w:fldChar w:fldCharType="begin"/>
        </w:r>
        <w:r w:rsidR="002D6F18">
          <w:instrText xml:space="preserve"> ADDIN EN.CITE &lt;EndNote&gt;&lt;Cite&gt;&lt;Author&gt;Statistics&lt;/Author&gt;&lt;Year&gt;2023&lt;/Year&gt;&lt;RecNum&gt;481&lt;/RecNum&gt;&lt;DisplayText&gt;&lt;style face="superscript"&gt;2&lt;/style&gt;&lt;/DisplayText&gt;&lt;record&gt;&lt;rec-number&gt;481&lt;/rec-number&gt;&lt;foreign-keys&gt;&lt;key app="EN" db-id="rsettzd2isasdweewww55s9lffasxav0d0ft" timestamp="1700699474" guid="3ab42a82-f072-4dca-92fd-dc952307213a"&gt;481&lt;/key&gt;&lt;/foreign-keys&gt;&lt;ref-type name="Web Page"&gt;12&lt;/ref-type&gt;&lt;contributors&gt;&lt;authors&gt;&lt;author&gt;Australian Bureau of Statistics&lt;/author&gt;&lt;/authors&gt;&lt;/contributors&gt;&lt;titles&gt;&lt;title&gt;Causes of Death, Australia, 2022&lt;/title&gt;&lt;/titles&gt;&lt;dates&gt;&lt;year&gt;2023&lt;/year&gt;&lt;/dates&gt;&lt;publisher&gt;ABS, Australian Government&lt;/publisher&gt;&lt;work-type&gt;Internet&lt;/work-type&gt;&lt;urls&gt;&lt;related-urls&gt;&lt;url&gt;https://www.abs.gov.au/statistics/health/causes-death/causes-death-australia/2022&lt;/url&gt;&lt;/related-urls&gt;&lt;/urls&gt;&lt;custom1&gt;2023&lt;/custom1&gt;&lt;custom2&gt;October 02&lt;/custom2&gt;&lt;/record&gt;&lt;/Cite&gt;&lt;/EndNote&gt;</w:instrText>
        </w:r>
        <w:r w:rsidR="002D6F18">
          <w:fldChar w:fldCharType="separate"/>
        </w:r>
        <w:r w:rsidR="002D6F18" w:rsidRPr="00E25362">
          <w:rPr>
            <w:noProof/>
            <w:vertAlign w:val="superscript"/>
          </w:rPr>
          <w:t>2</w:t>
        </w:r>
        <w:r w:rsidR="002D6F18">
          <w:fldChar w:fldCharType="end"/>
        </w:r>
      </w:hyperlink>
      <w:r w:rsidRPr="00B768A1">
        <w:t xml:space="preserve"> </w:t>
      </w:r>
      <w:r w:rsidR="1434015C" w:rsidRPr="00B768A1">
        <w:t xml:space="preserve">and the second </w:t>
      </w:r>
      <w:r w:rsidR="1308ECF1">
        <w:t xml:space="preserve">leading </w:t>
      </w:r>
      <w:r w:rsidR="1434015C" w:rsidRPr="00B768A1">
        <w:t xml:space="preserve">cause of years of life lost, </w:t>
      </w:r>
      <w:r w:rsidR="04145528" w:rsidRPr="00B768A1">
        <w:t>with</w:t>
      </w:r>
      <w:r w:rsidR="0362C0AB" w:rsidRPr="00B768A1">
        <w:t xml:space="preserve"> over</w:t>
      </w:r>
      <w:r w:rsidR="04145528" w:rsidRPr="00B768A1">
        <w:t xml:space="preserve"> 1</w:t>
      </w:r>
      <w:r w:rsidR="1B93EACA" w:rsidRPr="00B768A1">
        <w:t>59</w:t>
      </w:r>
      <w:r w:rsidRPr="00B768A1">
        <w:t>,000</w:t>
      </w:r>
      <w:r w:rsidR="00A830AB">
        <w:t> </w:t>
      </w:r>
      <w:r w:rsidRPr="00B768A1">
        <w:t>years of potential life lost to suicide in Australia each year.</w:t>
      </w:r>
      <w:hyperlink w:anchor="_ENREF_3" w:tooltip="Welfare, 2022 #512" w:history="1">
        <w:r w:rsidR="002D6F18">
          <w:fldChar w:fldCharType="begin"/>
        </w:r>
        <w:r w:rsidR="002D6F18">
          <w:instrText xml:space="preserve"> ADDIN EN.CITE &lt;EndNote&gt;&lt;Cite&gt;&lt;Author&gt;Welfare&lt;/Author&gt;&lt;Year&gt;2022&lt;/Year&gt;&lt;RecNum&gt;512&lt;/RecNum&gt;&lt;DisplayText&gt;&lt;style face="superscript"&gt;3&lt;/style&gt;&lt;/DisplayText&gt;&lt;record&gt;&lt;rec-number&gt;512&lt;/rec-number&gt;&lt;foreign-keys&gt;&lt;key app="EN" db-id="rsettzd2isasdweewww55s9lffasxav0d0ft" timestamp="1707862921" guid="afa4b28b-72e4-4508-812d-89d1f146bcd7"&gt;512&lt;/key&gt;&lt;/foreign-keys&gt;&lt;ref-type name="Web Page"&gt;12&lt;/ref-type&gt;&lt;contributors&gt;&lt;authors&gt;&lt;author&gt;Australian Institute of Health and Welfare&lt;/author&gt;&lt;/authors&gt;&lt;/contributors&gt;&lt;titles&gt;&lt;title&gt;Behavioural Risk Factor Burden for Suicide and Self-Inflicted Injuries&lt;/title&gt;&lt;/titles&gt;&lt;volume&gt;2023&lt;/volume&gt;&lt;dates&gt;&lt;year&gt;2022&lt;/year&gt;&lt;/dates&gt;&lt;work-type&gt;Internet&lt;/work-type&gt;&lt;urls&gt;&lt;related-urls&gt;&lt;url&gt;https://www.aihw.gov.au/suicide-self-harm-monitoring/data/behaviours-risk-factors/burden-of-disease-studies-suicide-self-inflicted&lt;/url&gt;&lt;/related-urls&gt;&lt;/urls&gt;&lt;custom1&gt;2023&lt;/custom1&gt;&lt;custom2&gt;September 25&lt;/custom2&gt;&lt;/record&gt;&lt;/Cite&gt;&lt;/EndNote&gt;</w:instrText>
        </w:r>
        <w:r w:rsidR="002D6F18">
          <w:fldChar w:fldCharType="separate"/>
        </w:r>
        <w:r w:rsidR="002D6F18" w:rsidRPr="00E25362">
          <w:rPr>
            <w:noProof/>
            <w:vertAlign w:val="superscript"/>
          </w:rPr>
          <w:t>3</w:t>
        </w:r>
        <w:r w:rsidR="002D6F18">
          <w:fldChar w:fldCharType="end"/>
        </w:r>
      </w:hyperlink>
    </w:p>
    <w:p w14:paraId="49DD66C7" w14:textId="7C45D367" w:rsidR="00C23208" w:rsidRPr="00B768A1" w:rsidRDefault="00C23208" w:rsidP="00634A83">
      <w:r w:rsidRPr="00B768A1">
        <w:t>But suicide deaths are only the tip of the iceberg. In 2020</w:t>
      </w:r>
      <w:r w:rsidR="00F5582B" w:rsidRPr="00B768A1">
        <w:t>–</w:t>
      </w:r>
      <w:r w:rsidR="00195069" w:rsidRPr="00B768A1">
        <w:t>20</w:t>
      </w:r>
      <w:r w:rsidRPr="00B768A1">
        <w:t xml:space="preserve">22, 1 in 6 people </w:t>
      </w:r>
      <w:r w:rsidR="790688BB" w:rsidRPr="00B768A1">
        <w:t xml:space="preserve">aged 16-85 </w:t>
      </w:r>
      <w:r w:rsidRPr="00B768A1">
        <w:t>in Australia (around 3.3</w:t>
      </w:r>
      <w:r w:rsidR="00A830AB">
        <w:t> </w:t>
      </w:r>
      <w:r w:rsidRPr="00B768A1">
        <w:t xml:space="preserve">million people) </w:t>
      </w:r>
      <w:r w:rsidR="7A33B978" w:rsidRPr="00B768A1">
        <w:t xml:space="preserve">had </w:t>
      </w:r>
      <w:r w:rsidRPr="00B768A1">
        <w:t xml:space="preserve">experienced suicidal thoughts or </w:t>
      </w:r>
      <w:r w:rsidR="04145528" w:rsidRPr="00B768A1">
        <w:t>behaviour</w:t>
      </w:r>
      <w:r w:rsidR="2AF5C977" w:rsidRPr="00B768A1">
        <w:t xml:space="preserve"> at some point in their live</w:t>
      </w:r>
      <w:r w:rsidR="04145528" w:rsidRPr="00B768A1">
        <w:t>s</w:t>
      </w:r>
      <w:r w:rsidR="75C7C8CE" w:rsidRPr="00B768A1">
        <w:t xml:space="preserve">. Further, </w:t>
      </w:r>
      <w:r w:rsidRPr="00B768A1">
        <w:t>more than 1.7</w:t>
      </w:r>
      <w:r w:rsidR="00A830AB">
        <w:t> </w:t>
      </w:r>
      <w:r w:rsidRPr="00B768A1">
        <w:t>million people aged 16-85 had self-harmed in their lifetime.</w:t>
      </w:r>
      <w:hyperlink w:anchor="_ENREF_4" w:tooltip="Statistics, 2023 #363" w:history="1">
        <w:r w:rsidR="002D6F18">
          <w:fldChar w:fldCharType="begin"/>
        </w:r>
        <w:r w:rsidR="002D6F18">
          <w:instrText xml:space="preserve"> ADDIN EN.CITE &lt;EndNote&gt;&lt;Cite&gt;&lt;Author&gt;Statistics&lt;/Author&gt;&lt;Year&gt;2023&lt;/Year&gt;&lt;RecNum&gt;363&lt;/RecNum&gt;&lt;DisplayText&gt;&lt;style face="superscript"&gt;4&lt;/style&gt;&lt;/DisplayText&gt;&lt;record&gt;&lt;rec-number&gt;363&lt;/rec-number&gt;&lt;foreign-keys&gt;&lt;key app="EN" db-id="rsettzd2isasdweewww55s9lffasxav0d0ft" timestamp="1700699472" guid="7708cc37-93f2-4d63-8ca4-230a441eaf59"&gt;363&lt;/key&gt;&lt;/foreign-keys&gt;&lt;ref-type name="Web Page"&gt;12&lt;/ref-type&gt;&lt;contributors&gt;&lt;authors&gt;&lt;author&gt;Australian Bureau of Statistics&lt;/author&gt;&lt;/authors&gt;&lt;/contributors&gt;&lt;titles&gt;&lt;title&gt;National Study of Mental Health and Wellbeing 2020-22&lt;/title&gt;&lt;/titles&gt;&lt;dates&gt;&lt;year&gt;2023&lt;/year&gt;&lt;/dates&gt;&lt;publisher&gt;ABS, Australian Government&lt;/publisher&gt;&lt;work-type&gt;Internet&lt;/work-type&gt;&lt;urls&gt;&lt;related-urls&gt;&lt;url&gt;https://www.abs.gov.au/statistics/health/mental-health/national-study-mental-health-and-wellbeing/2020-2022&lt;/url&gt;&lt;/related-urls&gt;&lt;/urls&gt;&lt;custom1&gt;2023&lt;/custom1&gt;&lt;custom2&gt;October 24&lt;/custom2&gt;&lt;/record&gt;&lt;/Cite&gt;&lt;/EndNote&gt;</w:instrText>
        </w:r>
        <w:r w:rsidR="002D6F18">
          <w:fldChar w:fldCharType="separate"/>
        </w:r>
        <w:r w:rsidR="002D6F18" w:rsidRPr="00E25362">
          <w:rPr>
            <w:noProof/>
            <w:vertAlign w:val="superscript"/>
          </w:rPr>
          <w:t>4</w:t>
        </w:r>
        <w:r w:rsidR="002D6F18">
          <w:fldChar w:fldCharType="end"/>
        </w:r>
      </w:hyperlink>
      <w:r w:rsidR="04145528" w:rsidRPr="00B768A1">
        <w:t xml:space="preserve"> </w:t>
      </w:r>
      <w:r w:rsidR="5CEC90A7" w:rsidRPr="00B768A1">
        <w:t>The same research shows that around 5</w:t>
      </w:r>
      <w:r w:rsidRPr="00B768A1">
        <w:t>5,000</w:t>
      </w:r>
      <w:r w:rsidR="00A830AB">
        <w:t> </w:t>
      </w:r>
      <w:r w:rsidRPr="00B768A1">
        <w:t>people in Australia attempt to take their own life each year</w:t>
      </w:r>
      <w:r w:rsidR="008B069C" w:rsidRPr="00B768A1">
        <w:t>—</w:t>
      </w:r>
      <w:r w:rsidRPr="00B768A1">
        <w:t xml:space="preserve">approximately </w:t>
      </w:r>
      <w:r w:rsidR="04145528" w:rsidRPr="00B768A1">
        <w:t>1</w:t>
      </w:r>
      <w:r w:rsidR="3B273BFB" w:rsidRPr="00B768A1">
        <w:t>5</w:t>
      </w:r>
      <w:r w:rsidR="04145528" w:rsidRPr="00B768A1">
        <w:t>0</w:t>
      </w:r>
      <w:r w:rsidR="00A830AB">
        <w:t> </w:t>
      </w:r>
      <w:r w:rsidRPr="00B768A1">
        <w:t>people each day.</w:t>
      </w:r>
      <w:hyperlink w:anchor="_ENREF_4" w:tooltip="Statistics, 2023 #363" w:history="1">
        <w:r w:rsidR="002D6F18">
          <w:fldChar w:fldCharType="begin"/>
        </w:r>
        <w:r w:rsidR="002D6F18">
          <w:instrText xml:space="preserve"> ADDIN EN.CITE &lt;EndNote&gt;&lt;Cite&gt;&lt;Author&gt;Statistics&lt;/Author&gt;&lt;Year&gt;2023&lt;/Year&gt;&lt;RecNum&gt;363&lt;/RecNum&gt;&lt;DisplayText&gt;&lt;style face="superscript"&gt;4&lt;/style&gt;&lt;/DisplayText&gt;&lt;record&gt;&lt;rec-number&gt;363&lt;/rec-number&gt;&lt;foreign-keys&gt;&lt;key app="EN" db-id="rsettzd2isasdweewww55s9lffasxav0d0ft" timestamp="1700699472" guid="7708cc37-93f2-4d63-8ca4-230a441eaf59"&gt;363&lt;/key&gt;&lt;/foreign-keys&gt;&lt;ref-type name="Web Page"&gt;12&lt;/ref-type&gt;&lt;contributors&gt;&lt;authors&gt;&lt;author&gt;Australian Bureau of Statistics&lt;/author&gt;&lt;/authors&gt;&lt;/contributors&gt;&lt;titles&gt;&lt;title&gt;National Study of Mental Health and Wellbeing 2020-22&lt;/title&gt;&lt;/titles&gt;&lt;dates&gt;&lt;year&gt;2023&lt;/year&gt;&lt;/dates&gt;&lt;publisher&gt;ABS, Australian Government&lt;/publisher&gt;&lt;work-type&gt;Internet&lt;/work-type&gt;&lt;urls&gt;&lt;related-urls&gt;&lt;url&gt;https://www.abs.gov.au/statistics/health/mental-health/national-study-mental-health-and-wellbeing/2020-2022&lt;/url&gt;&lt;/related-urls&gt;&lt;/urls&gt;&lt;custom1&gt;2023&lt;/custom1&gt;&lt;custom2&gt;October 24&lt;/custom2&gt;&lt;/record&gt;&lt;/Cite&gt;&lt;/EndNote&gt;</w:instrText>
        </w:r>
        <w:r w:rsidR="002D6F18">
          <w:fldChar w:fldCharType="separate"/>
        </w:r>
        <w:r w:rsidR="002D6F18" w:rsidRPr="00FF3E48">
          <w:rPr>
            <w:noProof/>
            <w:vertAlign w:val="superscript"/>
          </w:rPr>
          <w:t>4</w:t>
        </w:r>
        <w:r w:rsidR="002D6F18">
          <w:fldChar w:fldCharType="end"/>
        </w:r>
      </w:hyperlink>
    </w:p>
    <w:p w14:paraId="2565C0D7" w14:textId="08FE0FE2" w:rsidR="3307662C" w:rsidRPr="00F84DDC" w:rsidRDefault="3307662C" w:rsidP="00634A83">
      <w:pPr>
        <w:rPr>
          <w:vertAlign w:val="superscript"/>
        </w:rPr>
      </w:pPr>
      <w:r w:rsidRPr="00F84DDC">
        <w:t xml:space="preserve">Suicide, suicide attempts, </w:t>
      </w:r>
      <w:r w:rsidR="37CE9884" w:rsidRPr="00F84DDC">
        <w:t>or</w:t>
      </w:r>
      <w:r w:rsidRPr="00F84DDC">
        <w:t xml:space="preserve"> suicidal distress will impact most Australians at some point in their lives. It is estimated that around 135</w:t>
      </w:r>
      <w:r w:rsidR="00A830AB">
        <w:t> </w:t>
      </w:r>
      <w:r w:rsidRPr="00F84DDC">
        <w:t>people are affected by each suicide death.</w:t>
      </w:r>
      <w:hyperlink w:anchor="_ENREF_5" w:tooltip="J, 2018 #314" w:history="1">
        <w:r w:rsidR="002D6F18">
          <w:fldChar w:fldCharType="begin"/>
        </w:r>
        <w:r w:rsidR="002D6F18">
          <w:instrText xml:space="preserve"> ADDIN EN.CITE &lt;EndNote&gt;&lt;Cite&gt;&lt;Author&gt;J&lt;/Author&gt;&lt;Year&gt;2018&lt;/Year&gt;&lt;RecNum&gt;314&lt;/RecNum&gt;&lt;DisplayText&gt;&lt;style face="superscript"&gt;5&lt;/style&gt;&lt;/DisplayText&gt;&lt;record&gt;&lt;rec-number&gt;314&lt;/rec-number&gt;&lt;foreign-keys&gt;&lt;key app="EN" db-id="rsettzd2isasdweewww55s9lffasxav0d0ft" timestamp="1700699471" guid="bd7436bc-67ba-4055-adfd-b8b3718836a3"&gt;314&lt;/key&gt;&lt;/foreign-keys&gt;&lt;ref-type name="Journal Article"&gt;17&lt;/ref-type&gt;&lt;contributors&gt;&lt;authors&gt;&lt;author&gt;Cerel J&lt;/author&gt;&lt;author&gt;Brown M&lt;/author&gt;&lt;author&gt;Maple M&lt;/author&gt;&lt;author&gt;Singleton J&lt;/author&gt;&lt;author&gt;van de Venne J&lt;/author&gt;&lt;author&gt;Moore M&lt;/author&gt;&lt;author&gt;Flaherty C&lt;/author&gt;&lt;/authors&gt;&lt;/contributors&gt;&lt;titles&gt;&lt;title&gt;How Many People Are Exposed to Suicide? Not Six&lt;/title&gt;&lt;secondary-title&gt;Suicide and Life-Threatening Behavior&lt;/secondary-title&gt;&lt;/titles&gt;&lt;periodical&gt;&lt;full-title&gt;Suicide and Life-Threatening Behavior&lt;/full-title&gt;&lt;/periodical&gt;&lt;dates&gt;&lt;year&gt;2018&lt;/year&gt;&lt;/dates&gt;&lt;urls&gt;&lt;/urls&gt;&lt;electronic-resource-num&gt;DOI: 10.1111/sltb.12450&lt;/electronic-resource-num&gt;&lt;/record&gt;&lt;/Cite&gt;&lt;/EndNote&gt;</w:instrText>
        </w:r>
        <w:r w:rsidR="002D6F18">
          <w:fldChar w:fldCharType="separate"/>
        </w:r>
        <w:r w:rsidR="002D6F18" w:rsidRPr="0082082D">
          <w:rPr>
            <w:noProof/>
            <w:vertAlign w:val="superscript"/>
          </w:rPr>
          <w:t>5</w:t>
        </w:r>
        <w:r w:rsidR="002D6F18">
          <w:fldChar w:fldCharType="end"/>
        </w:r>
      </w:hyperlink>
      <w:r w:rsidRPr="00BC5C9B">
        <w:t xml:space="preserve"> The effects are devastating for families, kin and communities. People who are bereaved by suicide are also at greater risk of dying by suicide themselves</w:t>
      </w:r>
      <w:r w:rsidR="00F53D2A" w:rsidRPr="00BC5C9B">
        <w:t>,</w:t>
      </w:r>
      <w:hyperlink w:anchor="_ENREF_6" w:tooltip="R, 2021 #971" w:history="1">
        <w:r w:rsidR="002D6F18">
          <w:fldChar w:fldCharType="begin"/>
        </w:r>
        <w:r w:rsidR="002D6F18">
          <w:instrText xml:space="preserve"> ADDIN EN.CITE &lt;EndNote&gt;&lt;Cite&gt;&lt;Author&gt;R&lt;/Author&gt;&lt;Year&gt;2021&lt;/Year&gt;&lt;RecNum&gt;971&lt;/RecNum&gt;&lt;DisplayText&gt;&lt;style face="superscript"&gt;6&lt;/style&gt;&lt;/DisplayText&gt;&lt;record&gt;&lt;rec-number&gt;971&lt;/rec-number&gt;&lt;foreign-keys&gt;&lt;key app="EN" db-id="rsettzd2isasdweewww55s9lffasxav0d0ft" timestamp="1720065461" guid="e4d875a9-0313-430f-bd4d-5d398342e2a6"&gt;971&lt;/key&gt;&lt;/foreign-keys&gt;&lt;ref-type name="Journal Article"&gt;17&lt;/ref-type&gt;&lt;contributors&gt;&lt;authors&gt;&lt;author&gt;Grafiadeli R &lt;/author&gt;&lt;author&gt;Glaesmer H &lt;/author&gt;&lt;author&gt;Hofmann L &lt;/author&gt;&lt;author&gt;Schäfer T &lt;/author&gt;&lt;author&gt;Wagner B &lt;/author&gt;&lt;/authors&gt;&lt;/contributors&gt;&lt;titles&gt;&lt;title&gt;Suicide risk after suicide bereavement: the role of loss-related characteristics, mental health, and hopelessness&lt;/title&gt;&lt;secondary-title&gt;Journal of Psychiatric Research&lt;/secondary-title&gt;&lt;/titles&gt;&lt;periodical&gt;&lt;full-title&gt;Journal of Psychiatric Research&lt;/full-title&gt;&lt;/periodical&gt;&lt;pages&gt;184-9&lt;/pages&gt;&lt;volume&gt;144&lt;/volume&gt;&lt;dates&gt;&lt;year&gt;2021&lt;/year&gt;&lt;/dates&gt;&lt;urls&gt;&lt;/urls&gt;&lt;electronic-resource-num&gt;10.1016/j.jpsychires.2021.09.056&lt;/electronic-resource-num&gt;&lt;/record&gt;&lt;/Cite&gt;&lt;/EndNote&gt;</w:instrText>
        </w:r>
        <w:r w:rsidR="002D6F18">
          <w:fldChar w:fldCharType="separate"/>
        </w:r>
        <w:r w:rsidR="002D6F18" w:rsidRPr="0082082D">
          <w:rPr>
            <w:noProof/>
            <w:vertAlign w:val="superscript"/>
          </w:rPr>
          <w:t>6</w:t>
        </w:r>
        <w:r w:rsidR="002D6F18">
          <w:fldChar w:fldCharType="end"/>
        </w:r>
      </w:hyperlink>
      <w:r w:rsidRPr="00F84DDC">
        <w:t xml:space="preserve"> with children of a parent who dies by suicide being three times more likely to take their own lives than children whose parents die by other causes.</w:t>
      </w:r>
      <w:hyperlink w:anchor="_ENREF_7" w:tooltip="C, 2010 #122" w:history="1">
        <w:r w:rsidR="002D6F18">
          <w:fldChar w:fldCharType="begin"/>
        </w:r>
        <w:r w:rsidR="002D6F18">
          <w:instrText xml:space="preserve"> ADDIN EN.CITE &lt;EndNote&gt;&lt;Cite&gt;&lt;Author&gt;C&lt;/Author&gt;&lt;Year&gt;2010&lt;/Year&gt;&lt;RecNum&gt;122&lt;/RecNum&gt;&lt;DisplayText&gt;&lt;style face="superscript"&gt;7&lt;/style&gt;&lt;/DisplayText&gt;&lt;record&gt;&lt;rec-number&gt;122&lt;/rec-number&gt;&lt;foreign-keys&gt;&lt;key app="EN" db-id="rsettzd2isasdweewww55s9lffasxav0d0ft" timestamp="1700699468" guid="aafd6326-aa31-43e2-96a1-0be283b825b5"&gt;122&lt;/key&gt;&lt;/foreign-keys&gt;&lt;ref-type name="Journal Article"&gt;17&lt;/ref-type&gt;&lt;contributors&gt;&lt;authors&gt;&lt;author&gt;Wilcox C&lt;/author&gt;&lt;author&gt;Kuramoto J&lt;/author&gt;&lt;author&gt;Lichtenstein P&lt;/author&gt;&lt;author&gt;Långström N&lt;/author&gt;&lt;author&gt;Brent DA&lt;/author&gt;&lt;author&gt;Runeson B&lt;/author&gt;&lt;/authors&gt;&lt;/contributors&gt;&lt;titles&gt;&lt;title&gt;Psychiatric Morbidity, Violent Crime, and Suicide Among Children and Adolescents Exposed to Parental Death&lt;/title&gt;&lt;secondary-title&gt;Journal of the American Academy of Child &amp;amp; Adolescent Psychiatry&lt;/secondary-title&gt;&lt;/titles&gt;&lt;periodical&gt;&lt;full-title&gt;Journal of the American Academy of Child &amp;amp; Adolescent Psychiatry&lt;/full-title&gt;&lt;/periodical&gt;&lt;dates&gt;&lt;year&gt;2010&lt;/year&gt;&lt;/dates&gt;&lt;urls&gt;&lt;/urls&gt;&lt;electronic-resource-num&gt;DOI: 10.1016/j.jaac.2010.01.020&lt;/electronic-resource-num&gt;&lt;/record&gt;&lt;/Cite&gt;&lt;/EndNote&gt;</w:instrText>
        </w:r>
        <w:r w:rsidR="002D6F18">
          <w:fldChar w:fldCharType="separate"/>
        </w:r>
        <w:r w:rsidR="002D6F18" w:rsidRPr="0082082D">
          <w:rPr>
            <w:noProof/>
            <w:vertAlign w:val="superscript"/>
          </w:rPr>
          <w:t>7</w:t>
        </w:r>
        <w:r w:rsidR="002D6F18">
          <w:fldChar w:fldCharType="end"/>
        </w:r>
      </w:hyperlink>
      <w:r w:rsidRPr="00F84DDC">
        <w:t xml:space="preserve"> Those who care for people who have attempted suicide can experience high levels of distress and their own risk is increased.</w:t>
      </w:r>
      <w:hyperlink w:anchor="_ENREF_8" w:tooltip="M, 2023 #280" w:history="1">
        <w:r w:rsidR="002D6F18">
          <w:fldChar w:fldCharType="begin"/>
        </w:r>
        <w:r w:rsidR="002D6F18">
          <w:instrText xml:space="preserve"> ADDIN EN.CITE &lt;EndNote&gt;&lt;Cite&gt;&lt;Author&gt;M&lt;/Author&gt;&lt;Year&gt;2023&lt;/Year&gt;&lt;RecNum&gt;280&lt;/RecNum&gt;&lt;DisplayText&gt;&lt;style face="superscript"&gt;8&lt;/style&gt;&lt;/DisplayText&gt;&lt;record&gt;&lt;rec-number&gt;280&lt;/rec-number&gt;&lt;foreign-keys&gt;&lt;key app="EN" db-id="rsettzd2isasdweewww55s9lffasxav0d0ft" timestamp="1700699470" guid="340ffcf0-2373-43e8-8ccc-ceac853a4379"&gt;280&lt;/key&gt;&lt;/foreign-keys&gt;&lt;ref-type name="Journal Article"&gt;17&lt;/ref-type&gt;&lt;contributors&gt;&lt;authors&gt;&lt;author&gt;Maple M&lt;/author&gt;&lt;author&gt;Wayland S&lt;/author&gt;&lt;author&gt;Sanford RL&lt;/author&gt;&lt;author&gt;Bhullar N&lt;/author&gt;&lt;/authors&gt;&lt;/contributors&gt;&lt;titles&gt;&lt;title&gt;Predictors of Caregiver Burden Among Carers of Suicide Attempt Survivors&lt;/title&gt;&lt;secondary-title&gt;Crisis: The Journal of Crisis Intervention and Suicide Prevention&lt;/secondary-title&gt;&lt;/titles&gt;&lt;periodical&gt;&lt;full-title&gt;Crisis: The Journal of Crisis Intervention and Suicide Prevention&lt;/full-title&gt;&lt;/periodical&gt;&lt;dates&gt;&lt;year&gt;2023&lt;/year&gt;&lt;/dates&gt;&lt;urls&gt;&lt;/urls&gt;&lt;electronic-resource-num&gt;DOI: 10.1027/0227-5910/a000836&lt;/electronic-resource-num&gt;&lt;/record&gt;&lt;/Cite&gt;&lt;/EndNote&gt;</w:instrText>
        </w:r>
        <w:r w:rsidR="002D6F18">
          <w:fldChar w:fldCharType="separate"/>
        </w:r>
        <w:r w:rsidR="002D6F18" w:rsidRPr="0082082D">
          <w:rPr>
            <w:noProof/>
            <w:vertAlign w:val="superscript"/>
          </w:rPr>
          <w:t>8</w:t>
        </w:r>
        <w:r w:rsidR="002D6F18">
          <w:fldChar w:fldCharType="end"/>
        </w:r>
      </w:hyperlink>
      <w:r w:rsidRPr="00F84DDC">
        <w:t xml:space="preserve"> The impact on emergency and health service personnel who care for people who have attempted suicide is </w:t>
      </w:r>
      <w:r w:rsidR="00D81A61" w:rsidRPr="00F84DDC">
        <w:t xml:space="preserve">also </w:t>
      </w:r>
      <w:r w:rsidRPr="00F84DDC">
        <w:t>long-lasting.</w:t>
      </w:r>
      <w:hyperlink w:anchor="_ENREF_9" w:tooltip="AD, 2021 #123" w:history="1">
        <w:r w:rsidR="002D6F18">
          <w:fldChar w:fldCharType="begin"/>
        </w:r>
        <w:r w:rsidR="002D6F18">
          <w:instrText xml:space="preserve"> ADDIN EN.CITE &lt;EndNote&gt;&lt;Cite&gt;&lt;Author&gt;AD&lt;/Author&gt;&lt;Year&gt;2021&lt;/Year&gt;&lt;RecNum&gt;123&lt;/RecNum&gt;&lt;DisplayText&gt;&lt;style face="superscript"&gt;9&lt;/style&gt;&lt;/DisplayText&gt;&lt;record&gt;&lt;rec-number&gt;123&lt;/rec-number&gt;&lt;foreign-keys&gt;&lt;key app="EN" db-id="rsettzd2isasdweewww55s9lffasxav0d0ft" timestamp="1700699468" guid="05577ccf-8515-4143-a53c-e3ea15ab12ba"&gt;123&lt;/key&gt;&lt;/foreign-keys&gt;&lt;ref-type name="Journal Article"&gt;17&lt;/ref-type&gt;&lt;contributors&gt;&lt;authors&gt;&lt;author&gt;LaMontagne AD&lt;/author&gt;&lt;author&gt;Martin AJ&lt;/author&gt;&lt;author&gt;Page KM&lt;/author&gt;&lt;author&gt;Papas A&lt;/author&gt;&lt;author&gt;Reavley N&lt;/author&gt;&lt;author&gt;Noblet AJ&lt;/author&gt;&lt;author&gt;Milner AJ&lt;/author&gt;&lt;author&gt;Keegel T&lt;/author&gt;&lt;author&gt;Allisey A&lt;/author&gt;&lt;author&gt;Witt K&lt;/author&gt;&lt;/authors&gt;&lt;/contributors&gt;&lt;titles&gt;&lt;title&gt;A Cluster RCT to Improve Workplace Mental Health in a Policing Context: Findings of a Mixed‐Methods Implementation Evaluation&lt;/title&gt;&lt;secondary-title&gt;American Journal of Industrial Medicine&lt;/secondary-title&gt;&lt;/titles&gt;&lt;periodical&gt;&lt;full-title&gt;American Journal of Industrial Medicine&lt;/full-title&gt;&lt;/periodical&gt;&lt;dates&gt;&lt;year&gt;2021&lt;/year&gt;&lt;/dates&gt;&lt;urls&gt;&lt;/urls&gt;&lt;electronic-resource-num&gt;https://doi.org/10.1002/ajim.23217&lt;/electronic-resource-num&gt;&lt;/record&gt;&lt;/Cite&gt;&lt;/EndNote&gt;</w:instrText>
        </w:r>
        <w:r w:rsidR="002D6F18">
          <w:fldChar w:fldCharType="separate"/>
        </w:r>
        <w:r w:rsidR="002D6F18" w:rsidRPr="0082082D">
          <w:rPr>
            <w:noProof/>
            <w:vertAlign w:val="superscript"/>
          </w:rPr>
          <w:t>9</w:t>
        </w:r>
        <w:r w:rsidR="002D6F18">
          <w:fldChar w:fldCharType="end"/>
        </w:r>
      </w:hyperlink>
      <w:r w:rsidRPr="00F84DDC">
        <w:t xml:space="preserve"> Beyond the human impacts, the economic cost of suicide and suicide attempts is estimated to be $30.5</w:t>
      </w:r>
      <w:r w:rsidR="00AB5231">
        <w:t> </w:t>
      </w:r>
      <w:r w:rsidRPr="00F84DDC">
        <w:t>billion each year.</w:t>
      </w:r>
      <w:hyperlink w:anchor="_ENREF_10" w:tooltip="Commission, 2020 #16" w:history="1">
        <w:r w:rsidR="002D6F18">
          <w:fldChar w:fldCharType="begin"/>
        </w:r>
        <w:r w:rsidR="002D6F18">
          <w:instrText xml:space="preserve"> ADDIN EN.CITE &lt;EndNote&gt;&lt;Cite&gt;&lt;Author&gt;Commission&lt;/Author&gt;&lt;Year&gt;2020&lt;/Year&gt;&lt;RecNum&gt;16&lt;/RecNum&gt;&lt;DisplayText&gt;&lt;style face="superscript"&gt;10&lt;/style&gt;&lt;/DisplayText&gt;&lt;record&gt;&lt;rec-number&gt;16&lt;/rec-number&gt;&lt;foreign-keys&gt;&lt;key app="EN" db-id="rsettzd2isasdweewww55s9lffasxav0d0ft" timestamp="1700699466" guid="211cab95-640a-4261-a3ce-923e676f72bf"&gt;16&lt;/key&gt;&lt;/foreign-keys&gt;&lt;ref-type name="Web Page"&gt;12&lt;/ref-type&gt;&lt;contributors&gt;&lt;authors&gt;&lt;author&gt;Productivity Commission&lt;/author&gt;&lt;/authors&gt;&lt;/contributors&gt;&lt;titles&gt;&lt;title&gt;Mental Health, Report No. 95&lt;/title&gt;&lt;/titles&gt;&lt;dates&gt;&lt;year&gt;2020&lt;/year&gt;&lt;/dates&gt;&lt;pub-location&gt;Canberra&lt;/pub-location&gt;&lt;publisher&gt;PC, Australian Government&lt;/publisher&gt;&lt;isbn&gt;978-1-74037-699-0 &lt;/isbn&gt;&lt;work-type&gt;Internet&lt;/work-type&gt;&lt;urls&gt;&lt;related-urls&gt;&lt;url&gt;https://www.pc.gov.au/inquiries/completed/mental-health/report&lt;/url&gt;&lt;/related-urls&gt;&lt;/urls&gt;&lt;custom1&gt;2023&lt;/custom1&gt;&lt;custom2&gt;October 03&lt;/custom2&gt;&lt;/record&gt;&lt;/Cite&gt;&lt;/EndNote&gt;</w:instrText>
        </w:r>
        <w:r w:rsidR="002D6F18">
          <w:fldChar w:fldCharType="separate"/>
        </w:r>
        <w:r w:rsidR="002D6F18" w:rsidRPr="0082082D">
          <w:rPr>
            <w:noProof/>
            <w:vertAlign w:val="superscript"/>
          </w:rPr>
          <w:t>10</w:t>
        </w:r>
        <w:r w:rsidR="002D6F18">
          <w:fldChar w:fldCharType="end"/>
        </w:r>
      </w:hyperlink>
    </w:p>
    <w:p w14:paraId="5602D8A5" w14:textId="24E06C6F" w:rsidR="00C23208" w:rsidRDefault="3307662C" w:rsidP="00634A83">
      <w:r w:rsidRPr="756626F3">
        <w:t>It does not have to be this way</w:t>
      </w:r>
      <w:r w:rsidR="00F84DDC" w:rsidRPr="756626F3">
        <w:t>.</w:t>
      </w:r>
      <w:r w:rsidRPr="00B90F97">
        <w:t xml:space="preserve"> </w:t>
      </w:r>
      <w:r w:rsidR="00F84DDC" w:rsidRPr="756626F3">
        <w:t>M</w:t>
      </w:r>
      <w:r w:rsidRPr="00B90F97">
        <w:t>ost suicides are preventable.</w:t>
      </w:r>
    </w:p>
    <w:p w14:paraId="26F7BD2D" w14:textId="0F7B6104" w:rsidR="009823BF" w:rsidRDefault="009823BF" w:rsidP="00D106CD">
      <w:r>
        <w:t xml:space="preserve">Over the </w:t>
      </w:r>
      <w:r w:rsidR="00DF4186">
        <w:t xml:space="preserve">last few decades, the economic, health and technology </w:t>
      </w:r>
      <w:r w:rsidR="00806820">
        <w:t>factors contributing to suicide and suicidal distress</w:t>
      </w:r>
      <w:r w:rsidR="00DF4186">
        <w:t xml:space="preserve"> have shifted.</w:t>
      </w:r>
      <w:r>
        <w:t xml:space="preserve"> </w:t>
      </w:r>
      <w:r w:rsidR="00B94469">
        <w:t>At the same time</w:t>
      </w:r>
      <w:r w:rsidR="000776BC">
        <w:t xml:space="preserve">, our </w:t>
      </w:r>
      <w:r>
        <w:t>understanding of suicide has increased greatly</w:t>
      </w:r>
      <w:r w:rsidR="000776BC">
        <w:t xml:space="preserve">. </w:t>
      </w:r>
      <w:r w:rsidR="007B2C5B">
        <w:t xml:space="preserve">A </w:t>
      </w:r>
      <w:r w:rsidR="00D106CD">
        <w:t xml:space="preserve">national </w:t>
      </w:r>
      <w:r w:rsidR="009B5F27">
        <w:t xml:space="preserve">strategy </w:t>
      </w:r>
      <w:r w:rsidR="008A1264">
        <w:t xml:space="preserve">is </w:t>
      </w:r>
      <w:r w:rsidR="00E206DB">
        <w:t>critical</w:t>
      </w:r>
      <w:r w:rsidR="008A1264">
        <w:t xml:space="preserve"> to</w:t>
      </w:r>
      <w:r w:rsidR="009B5F27">
        <w:t xml:space="preserve"> ensur</w:t>
      </w:r>
      <w:r w:rsidR="00F67CB3">
        <w:t>ing</w:t>
      </w:r>
      <w:r w:rsidR="009B5F27">
        <w:t xml:space="preserve"> that </w:t>
      </w:r>
      <w:r w:rsidR="00440CFE">
        <w:t>the focu</w:t>
      </w:r>
      <w:r w:rsidR="006E4A2B">
        <w:t xml:space="preserve">s of suicide prevention efforts is updated to reflect this knowledge </w:t>
      </w:r>
      <w:r w:rsidR="00BD4537">
        <w:t>and improve our suicide preventio</w:t>
      </w:r>
      <w:r w:rsidR="008A1264">
        <w:t>n efforts</w:t>
      </w:r>
      <w:r w:rsidR="00BD4537">
        <w:t xml:space="preserve"> into the future. </w:t>
      </w:r>
    </w:p>
    <w:p w14:paraId="72F82092" w14:textId="2C35BF0E" w:rsidR="00166183" w:rsidRPr="003D537B" w:rsidRDefault="009823BF" w:rsidP="003D537B">
      <w:r>
        <w:t xml:space="preserve">The </w:t>
      </w:r>
      <w:r w:rsidR="006959DD" w:rsidRPr="00A01F72">
        <w:t>Advice on the</w:t>
      </w:r>
      <w:r w:rsidR="006959DD">
        <w:t xml:space="preserve"> </w:t>
      </w:r>
      <w:r>
        <w:t xml:space="preserve">National Suicide Prevention </w:t>
      </w:r>
      <w:r w:rsidRPr="00A01F72">
        <w:t>Strategy</w:t>
      </w:r>
      <w:r w:rsidR="006959DD" w:rsidRPr="00A01F72">
        <w:t xml:space="preserve"> (the Strategy)</w:t>
      </w:r>
      <w:r w:rsidRPr="4623DBCA">
        <w:t xml:space="preserve"> </w:t>
      </w:r>
      <w:r>
        <w:t xml:space="preserve">has been developed by the National Suicide Prevention Office </w:t>
      </w:r>
      <w:r w:rsidRPr="4623DBCA">
        <w:t xml:space="preserve">to guide </w:t>
      </w:r>
      <w:r w:rsidR="00013FDA">
        <w:t>long-term</w:t>
      </w:r>
      <w:r w:rsidR="00382956">
        <w:t>,</w:t>
      </w:r>
      <w:r w:rsidR="00013FDA">
        <w:t xml:space="preserve"> </w:t>
      </w:r>
      <w:r w:rsidRPr="4623DBCA">
        <w:t>coordinated suicide prevention activity in Australia. It outlines</w:t>
      </w:r>
      <w:r w:rsidR="00EC6470">
        <w:t xml:space="preserve"> a </w:t>
      </w:r>
      <w:r w:rsidR="000127F4" w:rsidRPr="000127F4">
        <w:t>broaden</w:t>
      </w:r>
      <w:r w:rsidR="000127F4">
        <w:t xml:space="preserve">ing of </w:t>
      </w:r>
      <w:r w:rsidR="000127F4" w:rsidRPr="000127F4">
        <w:t xml:space="preserve">current suicide prevention efforts to encompass a truly preventative approach and </w:t>
      </w:r>
      <w:r w:rsidR="000127F4">
        <w:t xml:space="preserve">to </w:t>
      </w:r>
      <w:r w:rsidR="000127F4" w:rsidRPr="000127F4">
        <w:t>strengthen the current support system</w:t>
      </w:r>
      <w:r w:rsidR="000127F4">
        <w:t xml:space="preserve">. It </w:t>
      </w:r>
      <w:r w:rsidR="00382956">
        <w:t>describes</w:t>
      </w:r>
      <w:r w:rsidRPr="4623DBCA">
        <w:t xml:space="preserve"> clear actions that must be taken to </w:t>
      </w:r>
      <w:r>
        <w:t xml:space="preserve">reduce the number of people who experience suicidal distress </w:t>
      </w:r>
      <w:r w:rsidR="00206B3D">
        <w:t>as well as</w:t>
      </w:r>
      <w:r>
        <w:t xml:space="preserve"> ensure that people who are distressed (and those who care for them) can access high-quality, effective supports that facilitate long-term wellbeing.</w:t>
      </w:r>
    </w:p>
    <w:p w14:paraId="3F640074" w14:textId="693A0C56" w:rsidR="00C23208" w:rsidRPr="00C83523" w:rsidRDefault="00C23208" w:rsidP="00696ED3">
      <w:pPr>
        <w:pStyle w:val="Heading31"/>
      </w:pPr>
      <w:r>
        <w:t>Understanding suicide</w:t>
      </w:r>
    </w:p>
    <w:p w14:paraId="5476B07C" w14:textId="2CDAD3C9" w:rsidR="00683977" w:rsidRDefault="0991895D">
      <w:pPr>
        <w:spacing w:line="259" w:lineRule="auto"/>
      </w:pPr>
      <w:r>
        <w:rPr>
          <w:rStyle w:val="normaltextrun"/>
          <w:color w:val="000000"/>
          <w:shd w:val="clear" w:color="auto" w:fill="FFFFFF"/>
        </w:rPr>
        <w:t xml:space="preserve">Suicidal distress is a human response to overwhelming suffering. </w:t>
      </w:r>
      <w:r w:rsidR="3209E5F5">
        <w:t>It</w:t>
      </w:r>
      <w:r w:rsidR="3C2D8C02" w:rsidRPr="756626F3">
        <w:t xml:space="preserve"> is complex</w:t>
      </w:r>
      <w:r w:rsidR="37956066" w:rsidRPr="756626F3">
        <w:t>—</w:t>
      </w:r>
      <w:r w:rsidR="3C2D8C02" w:rsidRPr="756626F3">
        <w:t>typically, there are many factors at play rather than a single isolated cause. These factors include</w:t>
      </w:r>
      <w:r w:rsidR="789C2D9C" w:rsidRPr="70408DEF">
        <w:rPr>
          <w:rStyle w:val="normaltextrun"/>
          <w:rFonts w:cstheme="minorBidi"/>
        </w:rPr>
        <w:t xml:space="preserve"> social determinants (such as </w:t>
      </w:r>
      <w:r w:rsidR="2947AC70" w:rsidRPr="7E232F61">
        <w:rPr>
          <w:rStyle w:val="normaltextrun"/>
          <w:rFonts w:cstheme="minorBidi"/>
        </w:rPr>
        <w:t xml:space="preserve">income, education, employment, housing, early childhood development, social inclusion, </w:t>
      </w:r>
      <w:r w:rsidR="38F6C0BB" w:rsidRPr="7E232F61">
        <w:rPr>
          <w:rStyle w:val="normaltextrun"/>
          <w:rFonts w:cstheme="minorBidi"/>
        </w:rPr>
        <w:t>and access to healthcare</w:t>
      </w:r>
      <w:r w:rsidR="789C2D9C" w:rsidRPr="70408DEF">
        <w:rPr>
          <w:rStyle w:val="normaltextrun"/>
          <w:rFonts w:cstheme="minorBidi"/>
        </w:rPr>
        <w:t xml:space="preserve">) </w:t>
      </w:r>
      <w:r w:rsidR="789C2D9C" w:rsidRPr="756626F3">
        <w:t xml:space="preserve">and </w:t>
      </w:r>
      <w:r w:rsidR="3C2D8C02" w:rsidRPr="756626F3">
        <w:t xml:space="preserve">individual </w:t>
      </w:r>
      <w:r w:rsidR="789C2D9C" w:rsidRPr="756626F3">
        <w:t>factors</w:t>
      </w:r>
      <w:r w:rsidR="08CCF728">
        <w:t xml:space="preserve">, including </w:t>
      </w:r>
      <w:r w:rsidR="075A8D96">
        <w:t xml:space="preserve">contextual factors (such as stressful </w:t>
      </w:r>
      <w:r w:rsidR="5529D3B1">
        <w:t xml:space="preserve">life events, </w:t>
      </w:r>
      <w:r w:rsidR="7571C0D2">
        <w:t>trauma and abuse</w:t>
      </w:r>
      <w:r w:rsidR="1E5A5F81">
        <w:t>, and discrimination</w:t>
      </w:r>
      <w:r w:rsidR="7571C0D2">
        <w:t>)</w:t>
      </w:r>
      <w:r w:rsidR="2A6B3272">
        <w:t xml:space="preserve">, </w:t>
      </w:r>
      <w:r w:rsidR="51CB39F7">
        <w:t>clinical factors (</w:t>
      </w:r>
      <w:r w:rsidR="1922CA9F">
        <w:t xml:space="preserve">for example, </w:t>
      </w:r>
      <w:r w:rsidR="51CB39F7">
        <w:t xml:space="preserve">mental illness, </w:t>
      </w:r>
      <w:r w:rsidR="39A87AAC">
        <w:t>dr</w:t>
      </w:r>
      <w:r w:rsidR="6F91DC42">
        <w:t>u</w:t>
      </w:r>
      <w:r w:rsidR="39A87AAC">
        <w:t xml:space="preserve">g and alcohol use, </w:t>
      </w:r>
      <w:r w:rsidR="625D6054">
        <w:t>chronic physical illness), personality factors</w:t>
      </w:r>
      <w:r w:rsidR="51CB39F7">
        <w:t xml:space="preserve">, </w:t>
      </w:r>
      <w:r w:rsidR="2B55DCA9">
        <w:t>genetic</w:t>
      </w:r>
      <w:r w:rsidR="1922CA9F">
        <w:t xml:space="preserve"> factors</w:t>
      </w:r>
      <w:r w:rsidR="1762C13B">
        <w:t xml:space="preserve"> and demographic factors (such as age, gender</w:t>
      </w:r>
      <w:r w:rsidR="7E2B34FE">
        <w:t xml:space="preserve">, sexual orientation, </w:t>
      </w:r>
      <w:r w:rsidR="1762C13B" w:rsidRPr="7E232F61">
        <w:rPr>
          <w:rStyle w:val="normaltextrun"/>
          <w:color w:val="000000"/>
        </w:rPr>
        <w:t xml:space="preserve">ethnicity, </w:t>
      </w:r>
      <w:r w:rsidR="5DB2D635" w:rsidRPr="7E232F61">
        <w:rPr>
          <w:rStyle w:val="normaltextrun"/>
          <w:color w:val="000000"/>
        </w:rPr>
        <w:t xml:space="preserve">cultural heritage). </w:t>
      </w:r>
      <w:r w:rsidR="3C2D8C02" w:rsidRPr="70408DEF">
        <w:rPr>
          <w:rStyle w:val="normaltextrun"/>
          <w:rFonts w:cstheme="minorBidi"/>
        </w:rPr>
        <w:t>I</w:t>
      </w:r>
      <w:r w:rsidR="3C2D8C02">
        <w:t xml:space="preserve">t is often </w:t>
      </w:r>
      <w:r w:rsidR="0DFDC287">
        <w:t xml:space="preserve">the impact of </w:t>
      </w:r>
      <w:r w:rsidR="3C2D8C02">
        <w:t xml:space="preserve">social determinants interacting with a person’s individual risk factors that </w:t>
      </w:r>
      <w:r w:rsidR="4672363E">
        <w:t xml:space="preserve">lead </w:t>
      </w:r>
      <w:r w:rsidR="3C2D8C02">
        <w:t>to a person experienc</w:t>
      </w:r>
      <w:r w:rsidR="680B6749">
        <w:t>ing</w:t>
      </w:r>
      <w:r w:rsidR="3C2D8C02">
        <w:t xml:space="preserve"> suicidal distress, as depicted in </w:t>
      </w:r>
      <w:r w:rsidR="008B7C6E">
        <w:fldChar w:fldCharType="begin"/>
      </w:r>
      <w:r w:rsidR="008B7C6E">
        <w:instrText xml:space="preserve"> REF _Ref151720652 \h  \* MERGEFORMAT </w:instrText>
      </w:r>
      <w:r w:rsidR="008B7C6E">
        <w:fldChar w:fldCharType="separate"/>
      </w:r>
      <w:r w:rsidR="009F12B4" w:rsidRPr="00745B34">
        <w:t xml:space="preserve">Figure </w:t>
      </w:r>
      <w:r w:rsidR="009F12B4">
        <w:rPr>
          <w:noProof/>
        </w:rPr>
        <w:t>1</w:t>
      </w:r>
      <w:r w:rsidR="008B7C6E">
        <w:fldChar w:fldCharType="end"/>
      </w:r>
      <w:r w:rsidR="3C2D8C02">
        <w:t>.</w:t>
      </w:r>
    </w:p>
    <w:p w14:paraId="03753557" w14:textId="4215AC10" w:rsidR="00C23208" w:rsidRDefault="42384B54" w:rsidP="00381701">
      <w:pPr>
        <w:spacing w:line="259" w:lineRule="auto"/>
      </w:pPr>
      <w:r>
        <w:rPr>
          <w:noProof/>
        </w:rPr>
        <w:drawing>
          <wp:inline distT="0" distB="0" distL="0" distR="0" wp14:anchorId="0E147709" wp14:editId="46CA03E6">
            <wp:extent cx="5762626" cy="2295525"/>
            <wp:effectExtent l="0" t="0" r="0" b="0"/>
            <wp:docPr id="1484900365" name="Picture 1484900365" descr="Suicidal distress is a human response to overwhelming suffering. It is complex—typically, there are many factors at play rather than a single isolated cause. These factors include social determinants (such as income and social protection, employment and job security, working life conditions, housing and basic amenities, structural equality, education, early childhood development, environment, social inclusion and non-discrimination, and access to quality healthcare) and individual factors, including contextual factors (such as stressful life events and transitions, exposure to suicide, access to means, lack of family supports, trauma including intergenerational trauma, interpersonal violence, child abuse and neglect), demographic factors (such as age, gender, sexual orientation, ethnicity, cultural heritage), clinical factors (for example, mental illness, drug and alcohol use, gambling, history of self-harm, chronic physical illness), personality factors (such as impulsivity, coping style, impressionability), and genetic, familial and neurobiological factors (for example, family history of suicide, DNA methylation). It is often the impact of social determinants interacting with a person’s individual risk factors that lead to a person experiencing suicidal distr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762626" cy="2295525"/>
                    </a:xfrm>
                    <a:prstGeom prst="rect">
                      <a:avLst/>
                    </a:prstGeom>
                  </pic:spPr>
                </pic:pic>
              </a:graphicData>
            </a:graphic>
          </wp:inline>
        </w:drawing>
      </w:r>
    </w:p>
    <w:p w14:paraId="47DAB099" w14:textId="0F9BE3F1" w:rsidR="00C261CB" w:rsidRPr="00745B34" w:rsidRDefault="00C23208" w:rsidP="00745B34">
      <w:pPr>
        <w:pStyle w:val="Caption"/>
      </w:pPr>
      <w:bookmarkStart w:id="15" w:name="_Ref151720652"/>
      <w:r w:rsidRPr="00745B34">
        <w:t xml:space="preserve">Figure </w:t>
      </w:r>
      <w:r w:rsidRPr="00745B34">
        <w:fldChar w:fldCharType="begin"/>
      </w:r>
      <w:r w:rsidRPr="00745B34">
        <w:instrText>SEQ Figure \* ARABIC</w:instrText>
      </w:r>
      <w:r w:rsidRPr="00745B34">
        <w:fldChar w:fldCharType="separate"/>
      </w:r>
      <w:r w:rsidR="009F12B4">
        <w:rPr>
          <w:noProof/>
        </w:rPr>
        <w:t>1</w:t>
      </w:r>
      <w:r w:rsidRPr="00745B34">
        <w:fldChar w:fldCharType="end"/>
      </w:r>
      <w:bookmarkEnd w:id="15"/>
      <w:r w:rsidRPr="00745B34">
        <w:t>: Social determinants and individual risk factors for suicide and self-harm</w:t>
      </w:r>
    </w:p>
    <w:p w14:paraId="29ECFD3A" w14:textId="493C4068" w:rsidR="00C23208" w:rsidRDefault="00184BA0" w:rsidP="00634A83">
      <w:r>
        <w:t>This</w:t>
      </w:r>
      <w:r w:rsidR="008866EE">
        <w:t xml:space="preserve"> </w:t>
      </w:r>
      <w:r w:rsidR="005720A0">
        <w:t>understanding</w:t>
      </w:r>
      <w:r w:rsidR="008866EE">
        <w:t xml:space="preserve"> of suicide</w:t>
      </w:r>
      <w:r>
        <w:t xml:space="preserve"> </w:t>
      </w:r>
      <w:r w:rsidR="007E6397">
        <w:t>is</w:t>
      </w:r>
      <w:r>
        <w:t xml:space="preserve"> consistent with the fact that </w:t>
      </w:r>
      <w:r w:rsidR="00426F16" w:rsidRPr="00745B34">
        <w:t>p</w:t>
      </w:r>
      <w:r w:rsidR="00216A59" w:rsidRPr="00745B34">
        <w:t xml:space="preserve">sychosocial risk factors were </w:t>
      </w:r>
      <w:r w:rsidR="000B4D92" w:rsidRPr="00745B34">
        <w:t>the most commonly reported risk factor</w:t>
      </w:r>
      <w:r>
        <w:t xml:space="preserve"> </w:t>
      </w:r>
      <w:r w:rsidR="00B57C94">
        <w:t xml:space="preserve">in Australia </w:t>
      </w:r>
      <w:r>
        <w:t>(</w:t>
      </w:r>
      <w:r w:rsidR="00216A59" w:rsidRPr="00745B34">
        <w:t xml:space="preserve">present in 68.3% of </w:t>
      </w:r>
      <w:r w:rsidR="26D154AD" w:rsidRPr="00745B34">
        <w:t xml:space="preserve">suicide </w:t>
      </w:r>
      <w:r w:rsidR="00216A59" w:rsidRPr="00745B34">
        <w:t>deaths</w:t>
      </w:r>
      <w:r>
        <w:t>)</w:t>
      </w:r>
      <w:r w:rsidR="00667488">
        <w:t>.</w:t>
      </w:r>
      <w:hyperlink w:anchor="_ENREF_2" w:tooltip="Statistics, 2023 #481" w:history="1">
        <w:r w:rsidR="002D6F18">
          <w:fldChar w:fldCharType="begin"/>
        </w:r>
        <w:r w:rsidR="002D6F18">
          <w:instrText xml:space="preserve"> ADDIN EN.CITE &lt;EndNote&gt;&lt;Cite&gt;&lt;Author&gt;Statistics&lt;/Author&gt;&lt;Year&gt;2023&lt;/Year&gt;&lt;RecNum&gt;481&lt;/RecNum&gt;&lt;DisplayText&gt;&lt;style face="superscript"&gt;2&lt;/style&gt;&lt;/DisplayText&gt;&lt;record&gt;&lt;rec-number&gt;481&lt;/rec-number&gt;&lt;foreign-keys&gt;&lt;key app="EN" db-id="rsettzd2isasdweewww55s9lffasxav0d0ft" timestamp="1700699474" guid="3ab42a82-f072-4dca-92fd-dc952307213a"&gt;481&lt;/key&gt;&lt;/foreign-keys&gt;&lt;ref-type name="Web Page"&gt;12&lt;/ref-type&gt;&lt;contributors&gt;&lt;authors&gt;&lt;author&gt;Australian Bureau of Statistics&lt;/author&gt;&lt;/authors&gt;&lt;/contributors&gt;&lt;titles&gt;&lt;title&gt;Causes of Death, Australia, 2022&lt;/title&gt;&lt;/titles&gt;&lt;dates&gt;&lt;year&gt;2023&lt;/year&gt;&lt;/dates&gt;&lt;publisher&gt;ABS, Australian Government&lt;/publisher&gt;&lt;work-type&gt;Internet&lt;/work-type&gt;&lt;urls&gt;&lt;related-urls&gt;&lt;url&gt;https://www.abs.gov.au/statistics/health/causes-death/causes-death-australia/2022&lt;/url&gt;&lt;/related-urls&gt;&lt;/urls&gt;&lt;custom1&gt;2023&lt;/custom1&gt;&lt;custom2&gt;October 02&lt;/custom2&gt;&lt;/record&gt;&lt;/Cite&gt;&lt;/EndNote&gt;</w:instrText>
        </w:r>
        <w:r w:rsidR="002D6F18">
          <w:fldChar w:fldCharType="separate"/>
        </w:r>
        <w:r w:rsidR="002D6F18" w:rsidRPr="00E25362">
          <w:rPr>
            <w:noProof/>
            <w:vertAlign w:val="superscript"/>
          </w:rPr>
          <w:t>2</w:t>
        </w:r>
        <w:r w:rsidR="002D6F18">
          <w:fldChar w:fldCharType="end"/>
        </w:r>
      </w:hyperlink>
      <w:r w:rsidR="00F03096" w:rsidRPr="009669E7">
        <w:rPr>
          <w:vertAlign w:val="superscript"/>
        </w:rPr>
        <w:t xml:space="preserve"> </w:t>
      </w:r>
      <w:r w:rsidR="00CF70E0" w:rsidRPr="0C11E871">
        <w:rPr>
          <w:rStyle w:val="normaltextrun"/>
        </w:rPr>
        <w:t>It</w:t>
      </w:r>
      <w:r w:rsidR="00CF70E0">
        <w:rPr>
          <w:rStyle w:val="normaltextrun"/>
        </w:rPr>
        <w:t xml:space="preserve"> </w:t>
      </w:r>
      <w:r w:rsidR="00394F5E">
        <w:rPr>
          <w:rStyle w:val="normaltextrun"/>
        </w:rPr>
        <w:t xml:space="preserve">also </w:t>
      </w:r>
      <w:r w:rsidR="00C23208" w:rsidRPr="00B768A1">
        <w:rPr>
          <w:rStyle w:val="normaltextrun"/>
        </w:rPr>
        <w:t>aligns with the key themes that emerged from interviews with approximately 3,000 people with lived and living experience</w:t>
      </w:r>
      <w:r w:rsidR="5B2935E2" w:rsidRPr="00B768A1">
        <w:rPr>
          <w:rStyle w:val="normaltextrun"/>
        </w:rPr>
        <w:t xml:space="preserve"> of suicide</w:t>
      </w:r>
      <w:r w:rsidR="00D75AB9" w:rsidRPr="00B768A1">
        <w:rPr>
          <w:rStyle w:val="normaltextrun"/>
        </w:rPr>
        <w:t xml:space="preserve">. </w:t>
      </w:r>
      <w:r w:rsidR="00CF70E0">
        <w:rPr>
          <w:rStyle w:val="normaltextrun"/>
        </w:rPr>
        <w:t xml:space="preserve">These themes </w:t>
      </w:r>
      <w:r w:rsidR="00C14B73" w:rsidRPr="00B768A1">
        <w:t xml:space="preserve">included </w:t>
      </w:r>
      <w:r w:rsidR="00C23208" w:rsidRPr="00B768A1">
        <w:t>suicidal thoughts and behaviours tracing back to early life experiences of abuse, violence, trauma, family conflict or bereavement</w:t>
      </w:r>
      <w:r w:rsidR="00CF70E0">
        <w:t xml:space="preserve"> as well as experiences with </w:t>
      </w:r>
      <w:r w:rsidR="009E2AE6" w:rsidRPr="00B768A1">
        <w:t>alcohol and other drug problems</w:t>
      </w:r>
      <w:r w:rsidR="67AE0833" w:rsidRPr="00B768A1">
        <w:t>,</w:t>
      </w:r>
      <w:r w:rsidR="009E2AE6" w:rsidRPr="00B768A1">
        <w:t xml:space="preserve"> discrimination </w:t>
      </w:r>
      <w:r w:rsidR="00CF70E0">
        <w:t>and</w:t>
      </w:r>
      <w:r w:rsidR="009E2AE6" w:rsidRPr="00B768A1">
        <w:t xml:space="preserve"> </w:t>
      </w:r>
      <w:r w:rsidR="00236551" w:rsidRPr="00B768A1">
        <w:t>concurrent</w:t>
      </w:r>
      <w:r w:rsidR="009E2AE6" w:rsidRPr="00B768A1">
        <w:t xml:space="preserve"> and complex life stressors closer in time to a suicide attempt.</w:t>
      </w:r>
      <w:hyperlink w:anchor="_ENREF_11" w:tooltip="Adviser, 2020 #650" w:history="1">
        <w:r w:rsidR="002D6F18">
          <w:fldChar w:fldCharType="begin"/>
        </w:r>
        <w:r w:rsidR="002D6F18">
          <w:instrText xml:space="preserve"> ADDIN EN.CITE &lt;EndNote&gt;&lt;Cite&gt;&lt;Author&gt;Adviser&lt;/Author&gt;&lt;Year&gt;2020&lt;/Year&gt;&lt;RecNum&gt;650&lt;/RecNum&gt;&lt;DisplayText&gt;&lt;style face="superscript"&gt;11&lt;/style&gt;&lt;/DisplayText&gt;&lt;record&gt;&lt;rec-number&gt;650&lt;/rec-number&gt;&lt;foreign-keys&gt;&lt;key app="EN" db-id="rsettzd2isasdweewww55s9lffasxav0d0ft" timestamp="1707862923" guid="087a62d9-8ad8-43f7-8e22-61ca2efd64eb"&gt;650&lt;/key&gt;&lt;/foreign-keys&gt;&lt;ref-type name="Web Page"&gt;12&lt;/ref-type&gt;&lt;contributors&gt;&lt;authors&gt;&lt;author&gt;National Suicide Prevention Adviser&lt;/author&gt;&lt;/authors&gt;&lt;/contributors&gt;&lt;titles&gt;&lt;title&gt;Compassion First: Designing our National Approach from the Lived Experience of Suicidal Behaviour&lt;/title&gt;&lt;/titles&gt;&lt;dates&gt;&lt;year&gt;2020&lt;/year&gt;&lt;/dates&gt;&lt;pub-location&gt;Canberra&lt;/pub-location&gt;&lt;publisher&gt;National Mental Health Commission&lt;/publisher&gt;&lt;work-type&gt;Internet&lt;/work-type&gt;&lt;urls&gt;&lt;related-urls&gt;&lt;url&gt;https://www.health.gov.au/resources/publications/national-suicide-prevention-adviser-compassion-first-designing-our-national-approach-from-the-lived-experience-of-suicidal-behaviour&lt;/url&gt;&lt;/related-urls&gt;&lt;/urls&gt;&lt;custom1&gt;2023&lt;/custom1&gt;&lt;custom2&gt;October 04&lt;/custom2&gt;&lt;/record&gt;&lt;/Cite&gt;&lt;/EndNote&gt;</w:instrText>
        </w:r>
        <w:r w:rsidR="002D6F18">
          <w:fldChar w:fldCharType="separate"/>
        </w:r>
        <w:r w:rsidR="002D6F18" w:rsidRPr="0082082D">
          <w:rPr>
            <w:noProof/>
            <w:vertAlign w:val="superscript"/>
          </w:rPr>
          <w:t>11</w:t>
        </w:r>
        <w:r w:rsidR="002D6F18">
          <w:fldChar w:fldCharType="end"/>
        </w:r>
      </w:hyperlink>
    </w:p>
    <w:p w14:paraId="0F6D605E" w14:textId="748FBF38" w:rsidR="00EE0DBA" w:rsidRDefault="00CF5711" w:rsidP="00EE0DBA">
      <w:r>
        <w:t>A</w:t>
      </w:r>
      <w:r w:rsidR="00394F5E">
        <w:t xml:space="preserve"> broader </w:t>
      </w:r>
      <w:r w:rsidR="006436E3">
        <w:t>understanding</w:t>
      </w:r>
      <w:r w:rsidR="00394F5E">
        <w:t xml:space="preserve"> of</w:t>
      </w:r>
      <w:r w:rsidR="00EE0DBA" w:rsidRPr="756626F3">
        <w:t xml:space="preserve"> suicide prevention </w:t>
      </w:r>
      <w:r w:rsidR="004F52DF">
        <w:t xml:space="preserve">is </w:t>
      </w:r>
      <w:r w:rsidR="00683CA5">
        <w:t xml:space="preserve">also </w:t>
      </w:r>
      <w:r w:rsidR="004F52DF">
        <w:t>consistent</w:t>
      </w:r>
      <w:r w:rsidR="00EE0DBA" w:rsidRPr="00B768A1">
        <w:t xml:space="preserve"> with </w:t>
      </w:r>
      <w:r w:rsidR="000264B2">
        <w:t xml:space="preserve">the </w:t>
      </w:r>
      <w:r w:rsidR="00EE0DBA" w:rsidRPr="00B768A1" w:rsidDel="000E4378">
        <w:t>concept</w:t>
      </w:r>
      <w:r w:rsidR="00EE0DBA" w:rsidRPr="00B768A1" w:rsidDel="00654A5E">
        <w:t xml:space="preserve"> </w:t>
      </w:r>
      <w:r w:rsidR="00EE0DBA" w:rsidRPr="00B768A1">
        <w:t>of social and emotional wellbeing</w:t>
      </w:r>
      <w:r w:rsidR="00146D4B">
        <w:t xml:space="preserve">, which </w:t>
      </w:r>
      <w:r w:rsidR="00146D4B" w:rsidRPr="00B768A1">
        <w:t>is foundational to Aboriginal and Torres Strait Islander understandings of physical and mental health</w:t>
      </w:r>
      <w:r w:rsidR="00146D4B">
        <w:t>.</w:t>
      </w:r>
      <w:hyperlink w:anchor="_ENREF_12" w:tooltip="Cabinet, 2017 #652" w:history="1">
        <w:r w:rsidR="002D6F18">
          <w:fldChar w:fldCharType="begin"/>
        </w:r>
        <w:r w:rsidR="002D6F18">
          <w:instrText xml:space="preserve"> ADDIN EN.CITE &lt;EndNote&gt;&lt;Cite&gt;&lt;Author&gt;Cabinet&lt;/Author&gt;&lt;Year&gt;2017&lt;/Year&gt;&lt;RecNum&gt;652&lt;/RecNum&gt;&lt;DisplayText&gt;&lt;style face="superscript"&gt;12&lt;/style&gt;&lt;/DisplayText&gt;&lt;record&gt;&lt;rec-number&gt;652&lt;/rec-number&gt;&lt;foreign-keys&gt;&lt;key app="EN" db-id="rsettzd2isasdweewww55s9lffasxav0d0ft" timestamp="1707862923" guid="2c844330-efe3-4818-b627-5e7005725afc"&gt;652&lt;/key&gt;&lt;/foreign-keys&gt;&lt;ref-type name="Web Page"&gt;12&lt;/ref-type&gt;&lt;contributors&gt;&lt;authors&gt;&lt;author&gt;Department of the Prime Minister and Cabinet&lt;/author&gt;&lt;/authors&gt;&lt;/contributors&gt;&lt;titles&gt;&lt;title&gt;National Strategic Framework for Aboriginal and Torres Strait Islander Peoples&amp;apos; Mental Health and Social and Emotional Wellbeing 2017-2023&lt;/title&gt;&lt;/titles&gt;&lt;dates&gt;&lt;year&gt;2017&lt;/year&gt;&lt;/dates&gt;&lt;pub-location&gt;Canberra&lt;/pub-location&gt;&lt;publisher&gt;PM&amp;amp;C&lt;/publisher&gt;&lt;work-type&gt;Internet&lt;/work-type&gt;&lt;urls&gt;&lt;related-urls&gt;&lt;url&gt;https://www.niaa.gov.au/resource-centre/indigenous-affairs/national-strategic-framework-mental-health-social-emotional-wellbeing-2017-23&lt;/url&gt;&lt;/related-urls&gt;&lt;/urls&gt;&lt;custom1&gt;2023&lt;/custom1&gt;&lt;custom2&gt;October 04&lt;/custom2&gt;&lt;/record&gt;&lt;/Cite&gt;&lt;/EndNote&gt;</w:instrText>
        </w:r>
        <w:r w:rsidR="002D6F18">
          <w:fldChar w:fldCharType="separate"/>
        </w:r>
        <w:r w:rsidR="002D6F18" w:rsidRPr="0082082D">
          <w:rPr>
            <w:noProof/>
            <w:vertAlign w:val="superscript"/>
          </w:rPr>
          <w:t>12</w:t>
        </w:r>
        <w:r w:rsidR="002D6F18">
          <w:fldChar w:fldCharType="end"/>
        </w:r>
      </w:hyperlink>
      <w:r w:rsidR="00146D4B" w:rsidRPr="00B768A1">
        <w:t xml:space="preserve"> </w:t>
      </w:r>
      <w:r w:rsidR="00EE0DBA" w:rsidRPr="756626F3">
        <w:t xml:space="preserve">Social and emotional wellbeing </w:t>
      </w:r>
      <w:r w:rsidR="00EE0DBA" w:rsidRPr="00B768A1">
        <w:t>includes but extends beyond conventional concepts of mental health</w:t>
      </w:r>
      <w:r w:rsidR="00EE0DBA" w:rsidRPr="756626F3">
        <w:t xml:space="preserve"> </w:t>
      </w:r>
      <w:r w:rsidR="00EE0DBA">
        <w:t xml:space="preserve">and </w:t>
      </w:r>
      <w:r w:rsidR="00EE0DBA" w:rsidRPr="756626F3">
        <w:t xml:space="preserve">encompasses </w:t>
      </w:r>
      <w:r w:rsidR="00EE0DBA" w:rsidRPr="00B768A1">
        <w:t>the interconnection between people, family, kin and community, the importance of connection to land, culture, spirituality and ancestry</w:t>
      </w:r>
      <w:r w:rsidR="00851031">
        <w:t xml:space="preserve">, as well as the </w:t>
      </w:r>
      <w:r w:rsidR="003E6B8A">
        <w:t>role</w:t>
      </w:r>
      <w:r w:rsidR="00BB3752">
        <w:t xml:space="preserve"> </w:t>
      </w:r>
      <w:r w:rsidR="002869EC">
        <w:t xml:space="preserve">social determinants </w:t>
      </w:r>
      <w:r w:rsidR="00BB3752">
        <w:t xml:space="preserve">play in </w:t>
      </w:r>
      <w:r w:rsidR="006B38C4">
        <w:t>influencing</w:t>
      </w:r>
      <w:r w:rsidR="000A56C3">
        <w:t xml:space="preserve"> </w:t>
      </w:r>
      <w:r w:rsidR="002869EC">
        <w:t>people’s lives</w:t>
      </w:r>
      <w:r w:rsidR="005F52A2">
        <w:t>.</w:t>
      </w:r>
    </w:p>
    <w:p w14:paraId="43694848" w14:textId="1E160E9D" w:rsidR="00F23DD6" w:rsidRDefault="007701E8" w:rsidP="00691189">
      <w:r>
        <w:t xml:space="preserve">Recognising </w:t>
      </w:r>
      <w:r w:rsidR="00184B56">
        <w:t xml:space="preserve">that suicidal distress arises from the interaction of social </w:t>
      </w:r>
      <w:r w:rsidR="001F6ED0">
        <w:t xml:space="preserve">determinants </w:t>
      </w:r>
      <w:r w:rsidR="007869BC">
        <w:t>and individual factors</w:t>
      </w:r>
      <w:r w:rsidR="00CF5711">
        <w:t xml:space="preserve"> </w:t>
      </w:r>
      <w:r w:rsidR="00691189">
        <w:t xml:space="preserve">makes it </w:t>
      </w:r>
      <w:r w:rsidR="00736310">
        <w:t xml:space="preserve">very apparent </w:t>
      </w:r>
      <w:r w:rsidR="00691189">
        <w:t>that</w:t>
      </w:r>
      <w:r w:rsidR="000C32D2">
        <w:t xml:space="preserve"> </w:t>
      </w:r>
      <w:r w:rsidR="00AF2238">
        <w:t xml:space="preserve">approaches that only address individual factors or treat suicide solely </w:t>
      </w:r>
      <w:r w:rsidR="009B613C">
        <w:t>from a</w:t>
      </w:r>
      <w:r w:rsidR="00AF2238">
        <w:t xml:space="preserve"> mental health </w:t>
      </w:r>
      <w:r w:rsidR="009B613C">
        <w:t>perspective</w:t>
      </w:r>
      <w:r w:rsidR="00AF2238">
        <w:t xml:space="preserve"> are</w:t>
      </w:r>
      <w:r w:rsidR="008639DB">
        <w:t xml:space="preserve"> likely to be</w:t>
      </w:r>
      <w:r w:rsidR="00AF2238">
        <w:t xml:space="preserve"> </w:t>
      </w:r>
      <w:r w:rsidR="008639DB">
        <w:t xml:space="preserve">inadequate. </w:t>
      </w:r>
      <w:r w:rsidR="00CB5E65">
        <w:t>W</w:t>
      </w:r>
      <w:r w:rsidR="00EF29EC">
        <w:t>hile</w:t>
      </w:r>
      <w:r w:rsidR="00DB6F1F">
        <w:t xml:space="preserve"> </w:t>
      </w:r>
      <w:r w:rsidR="002C215D">
        <w:t xml:space="preserve">effective </w:t>
      </w:r>
      <w:r w:rsidR="00984722">
        <w:t xml:space="preserve">mental health care </w:t>
      </w:r>
      <w:r w:rsidR="009B4D87">
        <w:t xml:space="preserve">must </w:t>
      </w:r>
      <w:r w:rsidR="00871BB5">
        <w:t xml:space="preserve">remain </w:t>
      </w:r>
      <w:r w:rsidR="002C215D">
        <w:t>a cornerstone of suicide prevention</w:t>
      </w:r>
      <w:r w:rsidR="00984722">
        <w:t xml:space="preserve">, </w:t>
      </w:r>
      <w:r w:rsidR="002C215D">
        <w:t xml:space="preserve">particularly </w:t>
      </w:r>
      <w:r w:rsidR="00984722">
        <w:t xml:space="preserve">given </w:t>
      </w:r>
      <w:r w:rsidR="005C7A94">
        <w:t>the strong links between mental illness</w:t>
      </w:r>
      <w:r w:rsidR="00984722">
        <w:t xml:space="preserve"> and </w:t>
      </w:r>
      <w:r w:rsidR="005C7A94">
        <w:t>suicide</w:t>
      </w:r>
      <w:r w:rsidR="00984722">
        <w:t>,</w:t>
      </w:r>
      <w:hyperlink w:anchor="_ENREF_2" w:tooltip="Statistics, 2023 #481" w:history="1">
        <w:r w:rsidR="002D6F18">
          <w:fldChar w:fldCharType="begin"/>
        </w:r>
        <w:r w:rsidR="002D6F18">
          <w:instrText xml:space="preserve"> ADDIN EN.CITE &lt;EndNote&gt;&lt;Cite&gt;&lt;Author&gt;Statistics&lt;/Author&gt;&lt;Year&gt;2023&lt;/Year&gt;&lt;RecNum&gt;481&lt;/RecNum&gt;&lt;DisplayText&gt;&lt;style face="superscript"&gt;2&lt;/style&gt;&lt;/DisplayText&gt;&lt;record&gt;&lt;rec-number&gt;481&lt;/rec-number&gt;&lt;foreign-keys&gt;&lt;key app="EN" db-id="rsettzd2isasdweewww55s9lffasxav0d0ft" timestamp="1700699474" guid="3ab42a82-f072-4dca-92fd-dc952307213a"&gt;481&lt;/key&gt;&lt;/foreign-keys&gt;&lt;ref-type name="Web Page"&gt;12&lt;/ref-type&gt;&lt;contributors&gt;&lt;authors&gt;&lt;author&gt;Australian Bureau of Statistics&lt;/author&gt;&lt;/authors&gt;&lt;/contributors&gt;&lt;titles&gt;&lt;title&gt;Causes of Death, Australia, 2022&lt;/title&gt;&lt;/titles&gt;&lt;dates&gt;&lt;year&gt;2023&lt;/year&gt;&lt;/dates&gt;&lt;publisher&gt;ABS, Australian Government&lt;/publisher&gt;&lt;work-type&gt;Internet&lt;/work-type&gt;&lt;urls&gt;&lt;related-urls&gt;&lt;url&gt;https://www.abs.gov.au/statistics/health/causes-death/causes-death-australia/2022&lt;/url&gt;&lt;/related-urls&gt;&lt;/urls&gt;&lt;custom1&gt;2023&lt;/custom1&gt;&lt;custom2&gt;October 02&lt;/custom2&gt;&lt;/record&gt;&lt;/Cite&gt;&lt;/EndNote&gt;</w:instrText>
        </w:r>
        <w:r w:rsidR="002D6F18">
          <w:fldChar w:fldCharType="separate"/>
        </w:r>
        <w:r w:rsidR="002D6F18" w:rsidRPr="00E25362">
          <w:rPr>
            <w:noProof/>
            <w:vertAlign w:val="superscript"/>
          </w:rPr>
          <w:t>2</w:t>
        </w:r>
        <w:r w:rsidR="002D6F18">
          <w:fldChar w:fldCharType="end"/>
        </w:r>
      </w:hyperlink>
      <w:r w:rsidR="00A91B80">
        <w:rPr>
          <w:vertAlign w:val="superscript"/>
        </w:rPr>
        <w:t xml:space="preserve"> </w:t>
      </w:r>
      <w:r w:rsidR="00984722">
        <w:t xml:space="preserve"> </w:t>
      </w:r>
      <w:r w:rsidR="008D3F04" w:rsidRPr="4623DBCA">
        <w:t xml:space="preserve">there is </w:t>
      </w:r>
      <w:r w:rsidR="007B00D2">
        <w:t xml:space="preserve">also </w:t>
      </w:r>
      <w:r w:rsidR="008D3F04" w:rsidRPr="4623DBCA">
        <w:t xml:space="preserve">a clear </w:t>
      </w:r>
      <w:r w:rsidR="00E07EBB">
        <w:t>need</w:t>
      </w:r>
      <w:r w:rsidR="008D3F04" w:rsidRPr="4623DBCA">
        <w:t xml:space="preserve"> for efforts to </w:t>
      </w:r>
      <w:r w:rsidR="00B764BA">
        <w:t>be</w:t>
      </w:r>
      <w:r w:rsidR="00F23DD6">
        <w:t xml:space="preserve"> broaden</w:t>
      </w:r>
      <w:r w:rsidR="00B764BA">
        <w:t>ed</w:t>
      </w:r>
      <w:r w:rsidR="00F23DD6">
        <w:t xml:space="preserve"> </w:t>
      </w:r>
      <w:r w:rsidR="003E6555">
        <w:t xml:space="preserve">to encompass </w:t>
      </w:r>
      <w:r w:rsidR="0029657B">
        <w:t xml:space="preserve">contributory </w:t>
      </w:r>
      <w:r w:rsidR="003E6555">
        <w:t>socio-economic</w:t>
      </w:r>
      <w:r w:rsidR="00FA03B1">
        <w:t xml:space="preserve"> </w:t>
      </w:r>
      <w:r w:rsidR="0029657B">
        <w:t>factors</w:t>
      </w:r>
      <w:r w:rsidR="001A1D87">
        <w:t>.</w:t>
      </w:r>
    </w:p>
    <w:p w14:paraId="07B746BB" w14:textId="088CBE36" w:rsidR="70256B40" w:rsidRPr="007E2FE3" w:rsidRDefault="70256B40" w:rsidP="00634A83">
      <w:r w:rsidRPr="00745B34">
        <w:t xml:space="preserve">Australia’s experience </w:t>
      </w:r>
      <w:r w:rsidR="00E14B49">
        <w:t>during the</w:t>
      </w:r>
      <w:r w:rsidRPr="00745B34">
        <w:t xml:space="preserve"> COVID-19 pandemic</w:t>
      </w:r>
      <w:r w:rsidR="00575275">
        <w:t xml:space="preserve"> </w:t>
      </w:r>
      <w:r w:rsidR="000447D2">
        <w:t>may provide</w:t>
      </w:r>
      <w:r w:rsidR="00575275">
        <w:t xml:space="preserve"> </w:t>
      </w:r>
      <w:r w:rsidR="000447D2">
        <w:t>a glimpse of the valu</w:t>
      </w:r>
      <w:r w:rsidR="00284F94">
        <w:t>e of this approach</w:t>
      </w:r>
      <w:r w:rsidRPr="00745B34">
        <w:t>. Despite increased psychological distress and adverse economic outcomes, rates of death by suicide in Australia did not significantly increase during the first year of the</w:t>
      </w:r>
      <w:r w:rsidR="00271D89" w:rsidRPr="00745B34">
        <w:t xml:space="preserve"> </w:t>
      </w:r>
      <w:r w:rsidRPr="00745B34">
        <w:t>pandemic.</w:t>
      </w:r>
      <w:hyperlink w:anchor="_ENREF_13" w:tooltip="J, 2021 #977" w:history="1">
        <w:r w:rsidR="002D6F18">
          <w:fldChar w:fldCharType="begin">
            <w:fldData xml:space="preserve">PEVuZE5vdGU+PENpdGU+PEF1dGhvcj5KPC9BdXRob3I+PFllYXI+MjAyMTwvWWVhcj48UmVjTnVt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</w:fldData>
          </w:fldChar>
        </w:r>
        <w:r w:rsidR="002D6F18">
          <w:instrText xml:space="preserve"> ADDIN EN.CITE </w:instrText>
        </w:r>
        <w:r w:rsidR="002D6F18">
          <w:fldChar w:fldCharType="begin">
            <w:fldData xml:space="preserve">PEVuZE5vdGU+PENpdGU+PEF1dGhvcj5KPC9BdXRob3I+PFllYXI+MjAyMTwvWWVhcj48UmVjTnVt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</w:fldData>
          </w:fldChar>
        </w:r>
        <w:r w:rsidR="002D6F18">
          <w:instrText xml:space="preserve"> ADDIN EN.CITE.DATA </w:instrText>
        </w:r>
        <w:r w:rsidR="002D6F18">
          <w:fldChar w:fldCharType="end"/>
        </w:r>
        <w:r w:rsidR="002D6F18">
          <w:fldChar w:fldCharType="separate"/>
        </w:r>
        <w:r w:rsidR="002D6F18" w:rsidRPr="0082082D">
          <w:rPr>
            <w:noProof/>
            <w:vertAlign w:val="superscript"/>
          </w:rPr>
          <w:t>13</w:t>
        </w:r>
        <w:r w:rsidR="002D6F18">
          <w:fldChar w:fldCharType="end"/>
        </w:r>
      </w:hyperlink>
      <w:r w:rsidR="001F10EF" w:rsidRPr="001F10EF">
        <w:rPr>
          <w:vertAlign w:val="superscript"/>
        </w:rPr>
        <w:t>,</w:t>
      </w:r>
      <w:hyperlink w:anchor="_ENREF_2" w:tooltip="Statistics, 2023 #481" w:history="1">
        <w:r w:rsidR="002D6F18">
          <w:fldChar w:fldCharType="begin"/>
        </w:r>
        <w:r w:rsidR="002D6F18">
          <w:instrText xml:space="preserve"> ADDIN EN.CITE &lt;EndNote&gt;&lt;Cite&gt;&lt;Author&gt;Statistics&lt;/Author&gt;&lt;Year&gt;2023&lt;/Year&gt;&lt;RecNum&gt;481&lt;/RecNum&gt;&lt;DisplayText&gt;&lt;style face="superscript"&gt;2&lt;/style&gt;&lt;/DisplayText&gt;&lt;record&gt;&lt;rec-number&gt;481&lt;/rec-number&gt;&lt;foreign-keys&gt;&lt;key app="EN" db-id="rsettzd2isasdweewww55s9lffasxav0d0ft" timestamp="1700699474" guid="3ab42a82-f072-4dca-92fd-dc952307213a"&gt;481&lt;/key&gt;&lt;/foreign-keys&gt;&lt;ref-type name="Web Page"&gt;12&lt;/ref-type&gt;&lt;contributors&gt;&lt;authors&gt;&lt;author&gt;Australian Bureau of Statistics&lt;/author&gt;&lt;/authors&gt;&lt;/contributors&gt;&lt;titles&gt;&lt;title&gt;Causes of Death, Australia, 2022&lt;/title&gt;&lt;/titles&gt;&lt;dates&gt;&lt;year&gt;2023&lt;/year&gt;&lt;/dates&gt;&lt;publisher&gt;ABS, Australian Government&lt;/publisher&gt;&lt;work-type&gt;Internet&lt;/work-type&gt;&lt;urls&gt;&lt;related-urls&gt;&lt;url&gt;https://www.abs.gov.au/statistics/health/causes-death/causes-death-australia/2022&lt;/url&gt;&lt;/related-urls&gt;&lt;/urls&gt;&lt;custom1&gt;2023&lt;/custom1&gt;&lt;custom2&gt;October 02&lt;/custom2&gt;&lt;/record&gt;&lt;/Cite&gt;&lt;/EndNote&gt;</w:instrText>
        </w:r>
        <w:r w:rsidR="002D6F18">
          <w:fldChar w:fldCharType="separate"/>
        </w:r>
        <w:r w:rsidR="002D6F18" w:rsidRPr="00E25362">
          <w:rPr>
            <w:noProof/>
            <w:vertAlign w:val="superscript"/>
          </w:rPr>
          <w:t>2</w:t>
        </w:r>
        <w:r w:rsidR="002D6F18">
          <w:fldChar w:fldCharType="end"/>
        </w:r>
      </w:hyperlink>
      <w:r w:rsidR="00566DB7">
        <w:t xml:space="preserve"> </w:t>
      </w:r>
      <w:r w:rsidR="001A1D87">
        <w:t>Although</w:t>
      </w:r>
      <w:r w:rsidRPr="007E2FE3">
        <w:t xml:space="preserve"> the reasons behind </w:t>
      </w:r>
      <w:r w:rsidR="00CE6512" w:rsidRPr="4623DBCA">
        <w:t>fluctuations</w:t>
      </w:r>
      <w:r w:rsidR="31565B2C" w:rsidRPr="4623DBCA">
        <w:t xml:space="preserve"> in </w:t>
      </w:r>
      <w:r w:rsidRPr="007E2FE3">
        <w:t>suicide rates are complex and the long-term impacts of the pandemic are still unclear, the experience suggests that government interventions that aim to reduce measures of insecurity (including economic, housing</w:t>
      </w:r>
      <w:r w:rsidR="007E2FE3">
        <w:t xml:space="preserve"> and</w:t>
      </w:r>
      <w:r w:rsidRPr="007E2FE3">
        <w:t xml:space="preserve"> health), and improve access to timely support services, should be prioritised to reduce suicide.</w:t>
      </w:r>
      <w:hyperlink w:anchor="_ENREF_13" w:tooltip="J, 2021 #977" w:history="1">
        <w:r w:rsidR="002D6F18" w:rsidRPr="004A726D">
          <w:rPr>
            <w:vertAlign w:val="superscript"/>
          </w:rPr>
          <w:fldChar w:fldCharType="begin">
            <w:fldData xml:space="preserve">PEVuZE5vdGU+PENpdGU+PEF1dGhvcj5KPC9BdXRob3I+PFllYXI+MjAyMTwvWWVhcj48UmVjTnVt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</w:fldData>
          </w:fldChar>
        </w:r>
        <w:r w:rsidR="002D6F18">
          <w:rPr>
            <w:vertAlign w:val="superscript"/>
          </w:rPr>
          <w:instrText xml:space="preserve"> ADDIN EN.CITE </w:instrText>
        </w:r>
        <w:r w:rsidR="002D6F18">
          <w:rPr>
            <w:vertAlign w:val="superscript"/>
          </w:rPr>
          <w:fldChar w:fldCharType="begin">
            <w:fldData xml:space="preserve">PEVuZE5vdGU+PENpdGU+PEF1dGhvcj5KPC9BdXRob3I+PFllYXI+MjAyMTwvWWVhcj48UmVjTnVt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</w:fldData>
          </w:fldChar>
        </w:r>
        <w:r w:rsidR="002D6F18">
          <w:rPr>
            <w:vertAlign w:val="superscript"/>
          </w:rPr>
          <w:instrText xml:space="preserve"> ADDIN EN.CITE.DATA </w:instrText>
        </w:r>
        <w:r w:rsidR="002D6F18">
          <w:rPr>
            <w:vertAlign w:val="superscript"/>
          </w:rPr>
        </w:r>
        <w:r w:rsidR="002D6F18">
          <w:rPr>
            <w:vertAlign w:val="superscript"/>
          </w:rPr>
          <w:fldChar w:fldCharType="end"/>
        </w:r>
        <w:r w:rsidR="002D6F18" w:rsidRPr="004A726D">
          <w:rPr>
            <w:vertAlign w:val="superscript"/>
          </w:rPr>
        </w:r>
        <w:r w:rsidR="002D6F18" w:rsidRPr="004A726D">
          <w:rPr>
            <w:vertAlign w:val="superscript"/>
          </w:rPr>
          <w:fldChar w:fldCharType="separate"/>
        </w:r>
        <w:r w:rsidR="002D6F18">
          <w:rPr>
            <w:noProof/>
            <w:vertAlign w:val="superscript"/>
          </w:rPr>
          <w:t>13</w:t>
        </w:r>
        <w:r w:rsidR="002D6F18" w:rsidRPr="004A726D">
          <w:rPr>
            <w:vertAlign w:val="superscript"/>
          </w:rPr>
          <w:fldChar w:fldCharType="end"/>
        </w:r>
      </w:hyperlink>
      <w:r w:rsidR="004A726D" w:rsidRPr="004A726D">
        <w:rPr>
          <w:vertAlign w:val="superscript"/>
        </w:rPr>
        <w:t>,</w:t>
      </w:r>
      <w:hyperlink w:anchor="_ENREF_14" w:tooltip="S, 2022 #28" w:history="1">
        <w:r w:rsidR="002D6F18" w:rsidRPr="004A726D">
          <w:rPr>
            <w:vertAlign w:val="superscript"/>
          </w:rPr>
          <w:fldChar w:fldCharType="begin"/>
        </w:r>
        <w:r w:rsidR="002D6F18">
          <w:rPr>
            <w:vertAlign w:val="superscript"/>
          </w:rPr>
          <w:instrText xml:space="preserve"> ADDIN EN.CITE &lt;EndNote&gt;&lt;Cite&gt;&lt;Author&gt;S&lt;/Author&gt;&lt;Year&gt;2022&lt;/Year&gt;&lt;RecNum&gt;28&lt;/RecNum&gt;&lt;DisplayText&gt;&lt;style face="superscript"&gt;14&lt;/style&gt;&lt;/DisplayText&gt;&lt;record&gt;&lt;rec-number&gt;28&lt;/rec-number&gt;&lt;foreign-keys&gt;&lt;key app="EN" db-id="rsettzd2isasdweewww55s9lffasxav0d0ft" timestamp="1700699466" guid="3b4c2c5a-88fe-4c4e-aa35-c26f98724367"&gt;28&lt;/key&gt;&lt;/foreign-keys&gt;&lt;ref-type name="Journal Article"&gt;17&lt;/ref-type&gt;&lt;contributors&gt;&lt;authors&gt;&lt;author&gt;Mathieu S&lt;/author&gt;&lt;author&gt;Treloar A&lt;/author&gt;&lt;author&gt;Hawgood J&lt;/author&gt;&lt;author&gt;Ross V&lt;/author&gt;&lt;author&gt;Kolves K&lt;/author&gt;&lt;/authors&gt;&lt;/contributors&gt;&lt;titles&gt;&lt;title&gt;The Role of Unemployment, Financial Hardship, and Economic Recession on Suicidal Behaviors and Interventions to Mitigate Their Impact: A Review&lt;/title&gt;&lt;secondary-title&gt;Frontiers in Public Health&lt;/secondary-title&gt;&lt;/titles&gt;&lt;periodical&gt;&lt;full-title&gt;Frontiers in Public Health&lt;/full-title&gt;&lt;/periodical&gt;&lt;dates&gt;&lt;year&gt;2022&lt;/year&gt;&lt;/dates&gt;&lt;urls&gt;&lt;/urls&gt;&lt;electronic-resource-num&gt;10.3389/fpubh.2022.907052&lt;/electronic-resource-num&gt;&lt;/record&gt;&lt;/Cite&gt;&lt;/EndNote&gt;</w:instrText>
        </w:r>
        <w:r w:rsidR="002D6F18" w:rsidRPr="004A726D">
          <w:rPr>
            <w:vertAlign w:val="superscript"/>
          </w:rPr>
          <w:fldChar w:fldCharType="separate"/>
        </w:r>
        <w:r w:rsidR="002D6F18">
          <w:rPr>
            <w:noProof/>
            <w:vertAlign w:val="superscript"/>
          </w:rPr>
          <w:t>14</w:t>
        </w:r>
        <w:r w:rsidR="002D6F18" w:rsidRPr="004A726D">
          <w:rPr>
            <w:vertAlign w:val="superscript"/>
          </w:rPr>
          <w:fldChar w:fldCharType="end"/>
        </w:r>
      </w:hyperlink>
      <w:r w:rsidR="004A726D" w:rsidRPr="004A726D">
        <w:rPr>
          <w:vertAlign w:val="superscript"/>
        </w:rPr>
        <w:t>,</w:t>
      </w:r>
      <w:hyperlink w:anchor="_ENREF_15" w:tooltip="RS, 2021 #973" w:history="1">
        <w:r w:rsidR="002D6F18" w:rsidRPr="004A726D">
          <w:rPr>
            <w:vertAlign w:val="superscript"/>
          </w:rPr>
          <w:fldChar w:fldCharType="begin">
            <w:fldData xml:space="preserve">PEVuZE5vdGU+PENpdGU+PEF1dGhvcj5SUzwvQXV0aG9yPjxZZWFyPjIwMjE8L1llYXI+PFJlY051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</w:fldData>
          </w:fldChar>
        </w:r>
        <w:r w:rsidR="002D6F18">
          <w:rPr>
            <w:vertAlign w:val="superscript"/>
          </w:rPr>
          <w:instrText xml:space="preserve"> ADDIN EN.CITE </w:instrText>
        </w:r>
        <w:r w:rsidR="002D6F18">
          <w:rPr>
            <w:vertAlign w:val="superscript"/>
          </w:rPr>
          <w:fldChar w:fldCharType="begin">
            <w:fldData xml:space="preserve">PEVuZE5vdGU+PENpdGU+PEF1dGhvcj5SUzwvQXV0aG9yPjxZZWFyPjIwMjE8L1llYXI+PFJlY051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</w:fldData>
          </w:fldChar>
        </w:r>
        <w:r w:rsidR="002D6F18">
          <w:rPr>
            <w:vertAlign w:val="superscript"/>
          </w:rPr>
          <w:instrText xml:space="preserve"> ADDIN EN.CITE.DATA </w:instrText>
        </w:r>
        <w:r w:rsidR="002D6F18">
          <w:rPr>
            <w:vertAlign w:val="superscript"/>
          </w:rPr>
        </w:r>
        <w:r w:rsidR="002D6F18">
          <w:rPr>
            <w:vertAlign w:val="superscript"/>
          </w:rPr>
          <w:fldChar w:fldCharType="end"/>
        </w:r>
        <w:r w:rsidR="002D6F18" w:rsidRPr="004A726D">
          <w:rPr>
            <w:vertAlign w:val="superscript"/>
          </w:rPr>
        </w:r>
        <w:r w:rsidR="002D6F18" w:rsidRPr="004A726D">
          <w:rPr>
            <w:vertAlign w:val="superscript"/>
          </w:rPr>
          <w:fldChar w:fldCharType="separate"/>
        </w:r>
        <w:r w:rsidR="002D6F18">
          <w:rPr>
            <w:noProof/>
            <w:vertAlign w:val="superscript"/>
          </w:rPr>
          <w:t>15</w:t>
        </w:r>
        <w:r w:rsidR="002D6F18" w:rsidRPr="004A726D">
          <w:rPr>
            <w:vertAlign w:val="superscript"/>
          </w:rPr>
          <w:fldChar w:fldCharType="end"/>
        </w:r>
      </w:hyperlink>
    </w:p>
    <w:p w14:paraId="68A297BC" w14:textId="38E8099F" w:rsidR="21F61505" w:rsidRPr="00C83523" w:rsidRDefault="21F61505" w:rsidP="00696ED3">
      <w:pPr>
        <w:pStyle w:val="Heading31"/>
      </w:pPr>
      <w:r w:rsidRPr="00C83523">
        <w:t>The disproportionate impacts of suicide</w:t>
      </w:r>
    </w:p>
    <w:p w14:paraId="58A5B59B" w14:textId="23DC5D44" w:rsidR="35021A8D" w:rsidRPr="00B768A1" w:rsidRDefault="5FCB1048" w:rsidP="00634A83">
      <w:r w:rsidRPr="4623DBCA">
        <w:t xml:space="preserve">While suicide impacts the whole population, it does not impact all groups of people equally. </w:t>
      </w:r>
      <w:r w:rsidR="009E2137">
        <w:t>Information about</w:t>
      </w:r>
      <w:r w:rsidR="008D563D">
        <w:t xml:space="preserve"> the known</w:t>
      </w:r>
      <w:r w:rsidR="00305888">
        <w:t xml:space="preserve"> disproportionate impacts </w:t>
      </w:r>
      <w:r w:rsidR="000C698E">
        <w:t xml:space="preserve">on </w:t>
      </w:r>
      <w:r w:rsidR="00E107A0">
        <w:t xml:space="preserve">some </w:t>
      </w:r>
      <w:r w:rsidR="000C698E">
        <w:t xml:space="preserve">specific population groups </w:t>
      </w:r>
      <w:r w:rsidR="00B5627F">
        <w:t>is</w:t>
      </w:r>
      <w:r w:rsidR="00305888">
        <w:t xml:space="preserve"> sum</w:t>
      </w:r>
      <w:r w:rsidR="00917E2C">
        <w:t>marised in Table</w:t>
      </w:r>
      <w:r w:rsidR="00E107A0">
        <w:t> </w:t>
      </w:r>
      <w:r w:rsidR="00917E2C">
        <w:t xml:space="preserve">1. </w:t>
      </w:r>
    </w:p>
    <w:p w14:paraId="3FB39478" w14:textId="1199CBE5" w:rsidR="00963032" w:rsidRDefault="00963032" w:rsidP="00745B34">
      <w:pPr>
        <w:pStyle w:val="Caption"/>
      </w:pPr>
      <w:bookmarkStart w:id="16" w:name="_Ref164856947"/>
      <w:bookmarkStart w:id="17" w:name="_Ref164869180"/>
      <w:r>
        <w:t xml:space="preserve">Table </w:t>
      </w:r>
      <w:bookmarkEnd w:id="16"/>
      <w:r w:rsidR="00B53F20">
        <w:fldChar w:fldCharType="begin"/>
      </w:r>
      <w:r w:rsidR="00B53F20">
        <w:instrText xml:space="preserve"> SEQ Table \* ARABIC </w:instrText>
      </w:r>
      <w:r w:rsidR="00B53F20">
        <w:fldChar w:fldCharType="separate"/>
      </w:r>
      <w:r w:rsidR="009F12B4">
        <w:rPr>
          <w:noProof/>
        </w:rPr>
        <w:t>1</w:t>
      </w:r>
      <w:r w:rsidR="00B53F20">
        <w:fldChar w:fldCharType="end"/>
      </w:r>
      <w:bookmarkEnd w:id="17"/>
      <w:r w:rsidR="004A0E8F">
        <w:t xml:space="preserve">: </w:t>
      </w:r>
      <w:r w:rsidR="0945DE4E">
        <w:t>The d</w:t>
      </w:r>
      <w:r w:rsidR="5F058BDD">
        <w:t xml:space="preserve">isproportionate impacts of suicide </w:t>
      </w:r>
      <w:r w:rsidR="0EC77991">
        <w:t>across population groups in Australia</w:t>
      </w:r>
    </w:p>
    <w:tbl>
      <w:tblPr>
        <w:tblStyle w:val="TableGrid"/>
        <w:tblW w:w="0" w:type="auto"/>
        <w:tblLook w:val="04A0" w:firstRow="1" w:lastRow="0" w:firstColumn="1" w:lastColumn="0" w:noHBand="0" w:noVBand="1"/>
        <w:tblCaption w:val="The disproportionate impacts of suicide across population groups in Australia"/>
        <w:tblDescription w:val="Describes the impact of suicide on various groups in the Australian population."/>
      </w:tblPr>
      <w:tblGrid>
        <w:gridCol w:w="1985"/>
        <w:gridCol w:w="7076"/>
      </w:tblGrid>
      <w:tr w:rsidR="00832CF8" w:rsidRPr="002B69AF" w14:paraId="125CBB19" w14:textId="77777777" w:rsidTr="352D6B08">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85" w:type="dxa"/>
            <w:tcBorders>
              <w:top w:val="nil"/>
              <w:left w:val="nil"/>
              <w:bottom w:val="nil"/>
              <w:right w:val="nil"/>
            </w:tcBorders>
            <w:shd w:val="clear" w:color="auto" w:fill="D1C698" w:themeFill="background2" w:themeFillShade="BF"/>
          </w:tcPr>
          <w:p w14:paraId="3F7D879B" w14:textId="6B34C831" w:rsidR="00832CF8" w:rsidRPr="00745B34" w:rsidRDefault="45BB50ED" w:rsidP="004F5B0E">
            <w:pPr>
              <w:pStyle w:val="NMHCTableHeaderRow"/>
              <w:rPr>
                <w:b/>
              </w:rPr>
            </w:pPr>
            <w:r w:rsidRPr="00745B34">
              <w:rPr>
                <w:b/>
              </w:rPr>
              <w:t>Group</w:t>
            </w:r>
          </w:p>
        </w:tc>
        <w:tc>
          <w:tcPr>
            <w:tcW w:w="7076" w:type="dxa"/>
            <w:tcBorders>
              <w:top w:val="nil"/>
              <w:left w:val="nil"/>
              <w:bottom w:val="nil"/>
              <w:right w:val="nil"/>
            </w:tcBorders>
            <w:shd w:val="clear" w:color="auto" w:fill="D1C698" w:themeFill="background2" w:themeFillShade="BF"/>
            <w:tcMar>
              <w:top w:w="28" w:type="dxa"/>
              <w:bottom w:w="28" w:type="dxa"/>
            </w:tcMar>
          </w:tcPr>
          <w:p w14:paraId="4DC825BE" w14:textId="2998559F" w:rsidR="00832CF8" w:rsidRPr="00745B34" w:rsidRDefault="00832CF8" w:rsidP="004F5B0E">
            <w:pPr>
              <w:pStyle w:val="NMHCTableHeaderRow"/>
              <w:cnfStyle w:val="100000000000" w:firstRow="1" w:lastRow="0" w:firstColumn="0" w:lastColumn="0" w:oddVBand="0" w:evenVBand="0" w:oddHBand="0" w:evenHBand="0" w:firstRowFirstColumn="0" w:firstRowLastColumn="0" w:lastRowFirstColumn="0" w:lastRowLastColumn="0"/>
            </w:pPr>
            <w:r w:rsidRPr="00745B34">
              <w:t>Impact</w:t>
            </w:r>
          </w:p>
        </w:tc>
      </w:tr>
      <w:tr w:rsidR="00832CF8" w14:paraId="74480F31" w14:textId="77777777" w:rsidTr="352D6B08">
        <w:trPr>
          <w:trHeight w:val="1055"/>
        </w:trPr>
        <w:tc>
          <w:tcPr>
            <w:cnfStyle w:val="001000000000" w:firstRow="0" w:lastRow="0" w:firstColumn="1" w:lastColumn="0" w:oddVBand="0" w:evenVBand="0" w:oddHBand="0" w:evenHBand="0" w:firstRowFirstColumn="0" w:firstRowLastColumn="0" w:lastRowFirstColumn="0" w:lastRowLastColumn="0"/>
            <w:tcW w:w="1985" w:type="dxa"/>
            <w:tcBorders>
              <w:top w:val="nil"/>
              <w:left w:val="nil"/>
              <w:bottom w:val="single" w:sz="4" w:space="0" w:color="FFFFFF" w:themeColor="background1"/>
              <w:right w:val="nil"/>
            </w:tcBorders>
            <w:tcMar>
              <w:top w:w="57" w:type="dxa"/>
              <w:bottom w:w="57" w:type="dxa"/>
            </w:tcMar>
          </w:tcPr>
          <w:p w14:paraId="0A827617" w14:textId="10C9BFAA" w:rsidR="00832CF8" w:rsidRPr="00A771EF" w:rsidRDefault="00832CF8" w:rsidP="00634A83">
            <w:pPr>
              <w:rPr>
                <w:b w:val="0"/>
                <w:bCs/>
              </w:rPr>
            </w:pPr>
            <w:r w:rsidRPr="00A771EF">
              <w:rPr>
                <w:b w:val="0"/>
                <w:bCs/>
              </w:rPr>
              <w:t>Males</w:t>
            </w:r>
          </w:p>
        </w:tc>
        <w:tc>
          <w:tcPr>
            <w:tcW w:w="7076" w:type="dxa"/>
            <w:tcBorders>
              <w:top w:val="nil"/>
              <w:left w:val="nil"/>
              <w:bottom w:val="single" w:sz="4" w:space="0" w:color="FFFFFF" w:themeColor="background1"/>
              <w:right w:val="nil"/>
            </w:tcBorders>
            <w:tcMar>
              <w:top w:w="28" w:type="dxa"/>
              <w:bottom w:w="28" w:type="dxa"/>
            </w:tcMar>
          </w:tcPr>
          <w:p w14:paraId="2466C7DB" w14:textId="646E3A90" w:rsidR="00104444" w:rsidRPr="00745B34" w:rsidRDefault="39A2CBDC" w:rsidP="00634A83">
            <w:pPr>
              <w:cnfStyle w:val="000000000000" w:firstRow="0" w:lastRow="0" w:firstColumn="0" w:lastColumn="0" w:oddVBand="0" w:evenVBand="0" w:oddHBand="0" w:evenHBand="0" w:firstRowFirstColumn="0" w:firstRowLastColumn="0" w:lastRowFirstColumn="0" w:lastRowLastColumn="0"/>
              <w:rPr>
                <w:vertAlign w:val="superscript"/>
              </w:rPr>
            </w:pPr>
            <w:r w:rsidRPr="00745B34">
              <w:t>In 2022 in Australia, just over three-quarters of all suicide deaths were among men. There were 2,455</w:t>
            </w:r>
            <w:r w:rsidR="4B6AABA5" w:rsidRPr="00745B34">
              <w:t> </w:t>
            </w:r>
            <w:r w:rsidRPr="00745B34">
              <w:t>male deaths at a rate of 18.8</w:t>
            </w:r>
            <w:r w:rsidR="4B6AABA5" w:rsidRPr="00745B34">
              <w:t> </w:t>
            </w:r>
            <w:r w:rsidRPr="00745B34">
              <w:t>per 100,000.</w:t>
            </w:r>
            <w:hyperlink w:anchor="_ENREF_2" w:tooltip="Statistics, 2023 #481" w:history="1">
              <w:r w:rsidR="002D6F18">
                <w:fldChar w:fldCharType="begin"/>
              </w:r>
              <w:r w:rsidR="002D6F18">
                <w:instrText xml:space="preserve"> ADDIN EN.CITE &lt;EndNote&gt;&lt;Cite&gt;&lt;Author&gt;Statistics&lt;/Author&gt;&lt;Year&gt;2023&lt;/Year&gt;&lt;RecNum&gt;507&lt;/RecNum&gt;&lt;DisplayText&gt;&lt;style face="superscript"&gt;2&lt;/style&gt;&lt;/DisplayText&gt;&lt;record&gt;&lt;rec-number&gt;507&lt;/rec-number&gt;&lt;foreign-keys&gt;&lt;key app="EN" db-id="rsettzd2isasdweewww55s9lffasxav0d0ft" timestamp="1707862913" guid="8270e507-7922-40a2-bad7-1c4046fd0551"&gt;507&lt;/key&gt;&lt;/foreign-keys&gt;&lt;ref-type name="Web Page"&gt;12&lt;/ref-type&gt;&lt;contributors&gt;&lt;authors&gt;&lt;author&gt;Australian Bureau of Statistics&lt;/author&gt;&lt;/authors&gt;&lt;/contributors&gt;&lt;titles&gt;&lt;title&gt;Causes of Death, Australia, 2022&lt;/title&gt;&lt;/titles&gt;&lt;dates&gt;&lt;year&gt;2023&lt;/year&gt;&lt;/dates&gt;&lt;publisher&gt;ABS&lt;/publisher&gt;&lt;work-type&gt;Internet&lt;/work-type&gt;&lt;urls&gt;&lt;related-urls&gt;&lt;url&gt;https://www.abs.gov.au/statistics/health/causes-death/causes-death-australia/2022&lt;/url&gt;&lt;/related-urls&gt;&lt;/urls&gt;&lt;custom1&gt;2023&lt;/custom1&gt;&lt;custom2&gt;October 02&lt;/custom2&gt;&lt;/record&gt;&lt;/Cite&gt;&lt;/EndNote&gt;</w:instrText>
              </w:r>
              <w:r w:rsidR="002D6F18">
                <w:fldChar w:fldCharType="separate"/>
              </w:r>
              <w:r w:rsidR="002D6F18" w:rsidRPr="00E25362">
                <w:rPr>
                  <w:noProof/>
                  <w:vertAlign w:val="superscript"/>
                </w:rPr>
                <w:t>2</w:t>
              </w:r>
              <w:r w:rsidR="002D6F18">
                <w:fldChar w:fldCharType="end"/>
              </w:r>
            </w:hyperlink>
          </w:p>
          <w:p w14:paraId="49F9192F" w14:textId="33B59B97" w:rsidR="00832CF8" w:rsidRDefault="39A2CBDC" w:rsidP="00634A83">
            <w:pPr>
              <w:cnfStyle w:val="000000000000" w:firstRow="0" w:lastRow="0" w:firstColumn="0" w:lastColumn="0" w:oddVBand="0" w:evenVBand="0" w:oddHBand="0" w:evenHBand="0" w:firstRowFirstColumn="0" w:firstRowLastColumn="0" w:lastRowFirstColumn="0" w:lastRowLastColumn="0"/>
            </w:pPr>
            <w:r w:rsidRPr="00745B34">
              <w:t>Suicide is the leading cause of death for males aged 15</w:t>
            </w:r>
            <w:r w:rsidR="3577F63E" w:rsidRPr="00745B34">
              <w:t>-</w:t>
            </w:r>
            <w:r w:rsidRPr="00745B34">
              <w:t>55.</w:t>
            </w:r>
            <w:hyperlink w:anchor="_ENREF_2" w:tooltip="Statistics, 2023 #481" w:history="1">
              <w:r w:rsidR="002D6F18">
                <w:fldChar w:fldCharType="begin"/>
              </w:r>
              <w:r w:rsidR="002D6F18">
                <w:instrText xml:space="preserve"> ADDIN EN.CITE &lt;EndNote&gt;&lt;Cite&gt;&lt;Author&gt;Statistics&lt;/Author&gt;&lt;Year&gt;2023&lt;/Year&gt;&lt;RecNum&gt;507&lt;/RecNum&gt;&lt;DisplayText&gt;&lt;style face="superscript"&gt;2&lt;/style&gt;&lt;/DisplayText&gt;&lt;record&gt;&lt;rec-number&gt;507&lt;/rec-number&gt;&lt;foreign-keys&gt;&lt;key app="EN" db-id="rsettzd2isasdweewww55s9lffasxav0d0ft" timestamp="1707862913" guid="8270e507-7922-40a2-bad7-1c4046fd0551"&gt;507&lt;/key&gt;&lt;/foreign-keys&gt;&lt;ref-type name="Web Page"&gt;12&lt;/ref-type&gt;&lt;contributors&gt;&lt;authors&gt;&lt;author&gt;Australian Bureau of Statistics&lt;/author&gt;&lt;/authors&gt;&lt;/contributors&gt;&lt;titles&gt;&lt;title&gt;Causes of Death, Australia, 2022&lt;/title&gt;&lt;/titles&gt;&lt;dates&gt;&lt;year&gt;2023&lt;/year&gt;&lt;/dates&gt;&lt;publisher&gt;ABS&lt;/publisher&gt;&lt;work-type&gt;Internet&lt;/work-type&gt;&lt;urls&gt;&lt;related-urls&gt;&lt;url&gt;https://www.abs.gov.au/statistics/health/causes-death/causes-death-australia/2022&lt;/url&gt;&lt;/related-urls&gt;&lt;/urls&gt;&lt;custom1&gt;2023&lt;/custom1&gt;&lt;custom2&gt;October 02&lt;/custom2&gt;&lt;/record&gt;&lt;/Cite&gt;&lt;/EndNote&gt;</w:instrText>
              </w:r>
              <w:r w:rsidR="002D6F18">
                <w:fldChar w:fldCharType="separate"/>
              </w:r>
              <w:r w:rsidR="002D6F18" w:rsidRPr="00E25362">
                <w:rPr>
                  <w:noProof/>
                  <w:vertAlign w:val="superscript"/>
                </w:rPr>
                <w:t>2</w:t>
              </w:r>
              <w:r w:rsidR="002D6F18">
                <w:fldChar w:fldCharType="end"/>
              </w:r>
            </w:hyperlink>
          </w:p>
        </w:tc>
      </w:tr>
      <w:tr w:rsidR="00385435" w14:paraId="49CD1546" w14:textId="77777777" w:rsidTr="00381701">
        <w:trPr>
          <w:trHeight w:val="1577"/>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FFFFFF" w:themeColor="background1"/>
            </w:tcBorders>
            <w:tcMar>
              <w:top w:w="57" w:type="dxa"/>
              <w:bottom w:w="57" w:type="dxa"/>
            </w:tcMar>
          </w:tcPr>
          <w:p w14:paraId="61F5FFFC" w14:textId="70B1ABD3" w:rsidR="00385435" w:rsidRPr="00A771EF" w:rsidRDefault="00385435" w:rsidP="00634A83">
            <w:pPr>
              <w:rPr>
                <w:b w:val="0"/>
                <w:bCs/>
              </w:rPr>
            </w:pPr>
            <w:r w:rsidRPr="00A771EF">
              <w:rPr>
                <w:b w:val="0"/>
                <w:bCs/>
              </w:rPr>
              <w:t>Females</w:t>
            </w:r>
          </w:p>
        </w:tc>
        <w:tc>
          <w:tcPr>
            <w:tcW w:w="0" w:type="dxa"/>
            <w:tcBorders>
              <w:top w:val="single" w:sz="4" w:space="0" w:color="FFFFFF" w:themeColor="background1"/>
            </w:tcBorders>
            <w:tcMar>
              <w:top w:w="28" w:type="dxa"/>
              <w:bottom w:w="28" w:type="dxa"/>
            </w:tcMar>
          </w:tcPr>
          <w:p w14:paraId="2025C9DD" w14:textId="391E5975" w:rsidR="00385435" w:rsidRPr="00B768A1" w:rsidRDefault="3577F63E" w:rsidP="00634A83">
            <w:pPr>
              <w:cnfStyle w:val="000000000000" w:firstRow="0" w:lastRow="0" w:firstColumn="0" w:lastColumn="0" w:oddVBand="0" w:evenVBand="0" w:oddHBand="0" w:evenHBand="0" w:firstRowFirstColumn="0" w:firstRowLastColumn="0" w:lastRowFirstColumn="0" w:lastRowLastColumn="0"/>
            </w:pPr>
            <w:r w:rsidRPr="00B768A1">
              <w:t>In 202</w:t>
            </w:r>
            <w:r w:rsidR="008E5958">
              <w:t>2</w:t>
            </w:r>
            <w:r>
              <w:t>–</w:t>
            </w:r>
            <w:r w:rsidRPr="00B768A1">
              <w:t>2</w:t>
            </w:r>
            <w:r w:rsidR="008E5958">
              <w:t>3</w:t>
            </w:r>
            <w:r w:rsidRPr="00B768A1">
              <w:t>, females made up almost two-thirds (66%) of intentional self-harm hospitalisations.</w:t>
            </w:r>
            <w:hyperlink w:anchor="_ENREF_16" w:tooltip="Welfare, 2024 #317" w:history="1">
              <w:r w:rsidR="002D6F18">
                <w:fldChar w:fldCharType="begin"/>
              </w:r>
              <w:r w:rsidR="002D6F18">
                <w:instrText xml:space="preserve"> ADDIN EN.CITE &lt;EndNote&gt;&lt;Cite&gt;&lt;Author&gt;Welfare&lt;/Author&gt;&lt;Year&gt;2024&lt;/Year&gt;&lt;RecNum&gt;317&lt;/RecNum&gt;&lt;DisplayText&gt;&lt;style face="superscript"&gt;16&lt;/style&gt;&lt;/DisplayText&gt;&lt;record&gt;&lt;rec-number&gt;317&lt;/rec-number&gt;&lt;foreign-keys&gt;&lt;key app="EN" db-id="rsettzd2isasdweewww55s9lffasxav0d0ft" timestamp="1700699471" guid="05d41d6f-5064-4c29-8711-4bbdd270c0e1"&gt;317&lt;/key&gt;&lt;/foreign-keys&gt;&lt;ref-type name="Web Page"&gt;12&lt;/ref-type&gt;&lt;contributors&gt;&lt;authors&gt;&lt;author&gt;Australian Institute of Health and Welfare&lt;/author&gt;&lt;/authors&gt;&lt;/contributors&gt;&lt;titles&gt;&lt;title&gt;Intentional Self-Harm Hospitalisations by Age Groups&lt;/title&gt;&lt;/titles&gt;&lt;dates&gt;&lt;year&gt;2024&lt;/year&gt;&lt;/dates&gt;&lt;publisher&gt;AIHW, Australian Government&lt;/publisher&gt;&lt;work-type&gt;Internet&lt;/work-type&gt;&lt;urls&gt;&lt;related-urls&gt;&lt;url&gt;https://www.aihw.gov.au/suicide-self-harm-monitoring/data/intentional-self-harm-hospitalisations/intentional-self-harm-hospitalisations-by-age-sex&lt;/url&gt;&lt;/related-urls&gt;&lt;/urls&gt;&lt;custom1&gt;2024&lt;/custom1&gt;&lt;custom2&gt;August 29&lt;/custom2&gt;&lt;/record&gt;&lt;/Cite&gt;&lt;/EndNote&gt;</w:instrText>
              </w:r>
              <w:r w:rsidR="002D6F18">
                <w:fldChar w:fldCharType="separate"/>
              </w:r>
              <w:r w:rsidR="002D6F18" w:rsidRPr="0082082D">
                <w:rPr>
                  <w:noProof/>
                  <w:vertAlign w:val="superscript"/>
                </w:rPr>
                <w:t>16</w:t>
              </w:r>
              <w:r w:rsidR="002D6F18">
                <w:fldChar w:fldCharType="end"/>
              </w:r>
            </w:hyperlink>
          </w:p>
          <w:p w14:paraId="356A4B07" w14:textId="548E032B" w:rsidR="00385435" w:rsidRPr="00B768A1" w:rsidRDefault="3978D272" w:rsidP="00634A83">
            <w:pPr>
              <w:cnfStyle w:val="000000000000" w:firstRow="0" w:lastRow="0" w:firstColumn="0" w:lastColumn="0" w:oddVBand="0" w:evenVBand="0" w:oddHBand="0" w:evenHBand="0" w:firstRowFirstColumn="0" w:firstRowLastColumn="0" w:lastRowFirstColumn="0" w:lastRowLastColumn="0"/>
            </w:pPr>
            <w:r w:rsidRPr="00B768A1">
              <w:t>Ambulance attendance data indicates higher rates of suicide attempt and self-injury (without suicidal intent) among young females compared to young males.</w:t>
            </w:r>
            <w:hyperlink w:anchor="_ENREF_17" w:tooltip="Welfare, 2023 #318" w:history="1">
              <w:r w:rsidR="002D6F18">
                <w:fldChar w:fldCharType="begin"/>
              </w:r>
              <w:r w:rsidR="002D6F18">
                <w:instrText xml:space="preserve"> ADDIN EN.CITE &lt;EndNote&gt;&lt;Cite&gt;&lt;Author&gt;Welfare&lt;/Author&gt;&lt;Year&gt;2023&lt;/Year&gt;&lt;RecNum&gt;318&lt;/RecNum&gt;&lt;DisplayText&gt;&lt;style face="superscript"&gt;17&lt;/style&gt;&lt;/DisplayText&gt;&lt;record&gt;&lt;rec-number&gt;318&lt;/rec-number&gt;&lt;foreign-keys&gt;&lt;key app="EN" db-id="rsettzd2isasdweewww55s9lffasxav0d0ft" timestamp="1700699471" guid="341190db-8b86-4f1a-9623-8f25fd43a464"&gt;318&lt;/key&gt;&lt;/foreign-keys&gt;&lt;ref-type name="Web Page"&gt;12&lt;/ref-type&gt;&lt;contributors&gt;&lt;authors&gt;&lt;author&gt;Australian Institute of Health and Welfare&lt;/author&gt;&lt;/authors&gt;&lt;/contributors&gt;&lt;titles&gt;&lt;title&gt;Ambulance Attendances: Suicidal Ideation, and Suicidal and Self-Harm Behaviours&lt;/title&gt;&lt;/titles&gt;&lt;volume&gt;2023&lt;/volume&gt;&lt;number&gt;October 04&lt;/number&gt;&lt;dates&gt;&lt;year&gt;2023&lt;/year&gt;&lt;/dates&gt;&lt;publisher&gt;AIHW, Australian Government&lt;/publisher&gt;&lt;urls&gt;&lt;related-urls&gt;&lt;url&gt;https://www.aihw.gov.au/suicide-self-harm-monitoring/data/ambulance-attendances/ambulance-attendances-for-suicidal-behaviours&lt;/url&gt;&lt;/related-urls&gt;&lt;/urls&gt;&lt;/record&gt;&lt;/Cite&gt;&lt;/EndNote&gt;</w:instrText>
              </w:r>
              <w:r w:rsidR="002D6F18">
                <w:fldChar w:fldCharType="separate"/>
              </w:r>
              <w:r w:rsidR="002D6F18" w:rsidRPr="0082082D">
                <w:rPr>
                  <w:noProof/>
                  <w:vertAlign w:val="superscript"/>
                </w:rPr>
                <w:t>17</w:t>
              </w:r>
              <w:r w:rsidR="002D6F18">
                <w:fldChar w:fldCharType="end"/>
              </w:r>
            </w:hyperlink>
          </w:p>
        </w:tc>
      </w:tr>
      <w:tr w:rsidR="00141270" w14:paraId="55BCB843" w14:textId="77777777" w:rsidTr="352D6B08">
        <w:tc>
          <w:tcPr>
            <w:cnfStyle w:val="001000000000" w:firstRow="0" w:lastRow="0" w:firstColumn="1" w:lastColumn="0" w:oddVBand="0" w:evenVBand="0" w:oddHBand="0" w:evenHBand="0" w:firstRowFirstColumn="0" w:firstRowLastColumn="0" w:lastRowFirstColumn="0" w:lastRowLastColumn="0"/>
            <w:tcW w:w="1985" w:type="dxa"/>
            <w:tcMar>
              <w:top w:w="57" w:type="dxa"/>
              <w:bottom w:w="57" w:type="dxa"/>
            </w:tcMar>
          </w:tcPr>
          <w:p w14:paraId="200FACC6" w14:textId="212DA1AA" w:rsidR="00141270" w:rsidRPr="00A771EF" w:rsidRDefault="00141270" w:rsidP="00634A83">
            <w:pPr>
              <w:rPr>
                <w:b w:val="0"/>
                <w:bCs/>
              </w:rPr>
            </w:pPr>
            <w:r w:rsidRPr="00A771EF">
              <w:rPr>
                <w:b w:val="0"/>
                <w:bCs/>
              </w:rPr>
              <w:t>Younger and older Australians</w:t>
            </w:r>
          </w:p>
        </w:tc>
        <w:tc>
          <w:tcPr>
            <w:tcW w:w="7076" w:type="dxa"/>
            <w:tcMar>
              <w:top w:w="28" w:type="dxa"/>
              <w:bottom w:w="28" w:type="dxa"/>
            </w:tcMar>
          </w:tcPr>
          <w:p w14:paraId="3B037AD8" w14:textId="1C923142" w:rsidR="00141270" w:rsidRPr="00B768A1" w:rsidRDefault="07C75D4A" w:rsidP="00634A83">
            <w:pPr>
              <w:cnfStyle w:val="000000000000" w:firstRow="0" w:lastRow="0" w:firstColumn="0" w:lastColumn="0" w:oddVBand="0" w:evenVBand="0" w:oddHBand="0" w:evenHBand="0" w:firstRowFirstColumn="0" w:firstRowLastColumn="0" w:lastRowFirstColumn="0" w:lastRowLastColumn="0"/>
              <w:rPr>
                <w:vertAlign w:val="superscript"/>
              </w:rPr>
            </w:pPr>
            <w:r w:rsidRPr="00B768A1">
              <w:t>Suicide is the main cause of death for young</w:t>
            </w:r>
            <w:r w:rsidR="629D3DA5">
              <w:t>er</w:t>
            </w:r>
            <w:r w:rsidRPr="00B768A1">
              <w:t xml:space="preserve"> Australians. In 2022, over one-third of deaths among Australians aged 15-24</w:t>
            </w:r>
            <w:r w:rsidR="629D3DA5">
              <w:t> </w:t>
            </w:r>
            <w:r w:rsidRPr="00B768A1">
              <w:t>years were due to suicide.</w:t>
            </w:r>
            <w:hyperlink w:anchor="_ENREF_2" w:tooltip="Statistics, 2023 #481" w:history="1">
              <w:r w:rsidR="002D6F18">
                <w:fldChar w:fldCharType="begin"/>
              </w:r>
              <w:r w:rsidR="002D6F18">
                <w:instrText xml:space="preserve"> ADDIN EN.CITE &lt;EndNote&gt;&lt;Cite&gt;&lt;Author&gt;Statistics&lt;/Author&gt;&lt;Year&gt;2023&lt;/Year&gt;&lt;RecNum&gt;507&lt;/RecNum&gt;&lt;DisplayText&gt;&lt;style face="superscript"&gt;2&lt;/style&gt;&lt;/DisplayText&gt;&lt;record&gt;&lt;rec-number&gt;507&lt;/rec-number&gt;&lt;foreign-keys&gt;&lt;key app="EN" db-id="rsettzd2isasdweewww55s9lffasxav0d0ft" timestamp="1707862913" guid="8270e507-7922-40a2-bad7-1c4046fd0551"&gt;507&lt;/key&gt;&lt;/foreign-keys&gt;&lt;ref-type name="Web Page"&gt;12&lt;/ref-type&gt;&lt;contributors&gt;&lt;authors&gt;&lt;author&gt;Australian Bureau of Statistics&lt;/author&gt;&lt;/authors&gt;&lt;/contributors&gt;&lt;titles&gt;&lt;title&gt;Causes of Death, Australia, 2022&lt;/title&gt;&lt;/titles&gt;&lt;dates&gt;&lt;year&gt;2023&lt;/year&gt;&lt;/dates&gt;&lt;publisher&gt;ABS&lt;/publisher&gt;&lt;work-type&gt;Internet&lt;/work-type&gt;&lt;urls&gt;&lt;related-urls&gt;&lt;url&gt;https://www.abs.gov.au/statistics/health/causes-death/causes-death-australia/2022&lt;/url&gt;&lt;/related-urls&gt;&lt;/urls&gt;&lt;custom1&gt;2023&lt;/custom1&gt;&lt;custom2&gt;October 02&lt;/custom2&gt;&lt;/record&gt;&lt;/Cite&gt;&lt;/EndNote&gt;</w:instrText>
              </w:r>
              <w:r w:rsidR="002D6F18">
                <w:fldChar w:fldCharType="separate"/>
              </w:r>
              <w:r w:rsidR="002D6F18" w:rsidRPr="00E25362">
                <w:rPr>
                  <w:noProof/>
                  <w:vertAlign w:val="superscript"/>
                </w:rPr>
                <w:t>2</w:t>
              </w:r>
              <w:r w:rsidR="002D6F18">
                <w:fldChar w:fldCharType="end"/>
              </w:r>
            </w:hyperlink>
          </w:p>
          <w:p w14:paraId="03F4EC06" w14:textId="4BD67628" w:rsidR="007E529A" w:rsidRDefault="07C75D4A" w:rsidP="00634A83">
            <w:pPr>
              <w:cnfStyle w:val="000000000000" w:firstRow="0" w:lastRow="0" w:firstColumn="0" w:lastColumn="0" w:oddVBand="0" w:evenVBand="0" w:oddHBand="0" w:evenHBand="0" w:firstRowFirstColumn="0" w:firstRowLastColumn="0" w:lastRowFirstColumn="0" w:lastRowLastColumn="0"/>
            </w:pPr>
            <w:r w:rsidRPr="00B768A1">
              <w:t>More than half of all suicide deaths in 2022 (54.6%) occurred in people aged 30-59 (1,774</w:t>
            </w:r>
            <w:r w:rsidR="629D3DA5">
              <w:t> </w:t>
            </w:r>
            <w:r w:rsidRPr="00B768A1">
              <w:t>deaths).</w:t>
            </w:r>
            <w:hyperlink w:anchor="_ENREF_2" w:tooltip="Statistics, 2023 #481" w:history="1">
              <w:r w:rsidR="002D6F18">
                <w:fldChar w:fldCharType="begin"/>
              </w:r>
              <w:r w:rsidR="002D6F18">
                <w:instrText xml:space="preserve"> ADDIN EN.CITE &lt;EndNote&gt;&lt;Cite&gt;&lt;Author&gt;Statistics&lt;/Author&gt;&lt;Year&gt;2023&lt;/Year&gt;&lt;RecNum&gt;507&lt;/RecNum&gt;&lt;DisplayText&gt;&lt;style face="superscript"&gt;2&lt;/style&gt;&lt;/DisplayText&gt;&lt;record&gt;&lt;rec-number&gt;507&lt;/rec-number&gt;&lt;foreign-keys&gt;&lt;key app="EN" db-id="rsettzd2isasdweewww55s9lffasxav0d0ft" timestamp="1707862913" guid="8270e507-7922-40a2-bad7-1c4046fd0551"&gt;507&lt;/key&gt;&lt;/foreign-keys&gt;&lt;ref-type name="Web Page"&gt;12&lt;/ref-type&gt;&lt;contributors&gt;&lt;authors&gt;&lt;author&gt;Australian Bureau of Statistics&lt;/author&gt;&lt;/authors&gt;&lt;/contributors&gt;&lt;titles&gt;&lt;title&gt;Causes of Death, Australia, 2022&lt;/title&gt;&lt;/titles&gt;&lt;dates&gt;&lt;year&gt;2023&lt;/year&gt;&lt;/dates&gt;&lt;publisher&gt;ABS&lt;/publisher&gt;&lt;work-type&gt;Internet&lt;/work-type&gt;&lt;urls&gt;&lt;related-urls&gt;&lt;url&gt;https://www.abs.gov.au/statistics/health/causes-death/causes-death-australia/2022&lt;/url&gt;&lt;/related-urls&gt;&lt;/urls&gt;&lt;custom1&gt;2023&lt;/custom1&gt;&lt;custom2&gt;October 02&lt;/custom2&gt;&lt;/record&gt;&lt;/Cite&gt;&lt;/EndNote&gt;</w:instrText>
              </w:r>
              <w:r w:rsidR="002D6F18">
                <w:fldChar w:fldCharType="separate"/>
              </w:r>
              <w:r w:rsidR="002D6F18" w:rsidRPr="00E25362">
                <w:rPr>
                  <w:noProof/>
                  <w:vertAlign w:val="superscript"/>
                </w:rPr>
                <w:t>2</w:t>
              </w:r>
              <w:r w:rsidR="002D6F18">
                <w:fldChar w:fldCharType="end"/>
              </w:r>
            </w:hyperlink>
            <w:r w:rsidR="006965EC">
              <w:t xml:space="preserve"> </w:t>
            </w:r>
          </w:p>
          <w:p w14:paraId="1463DA5C" w14:textId="20985FD5" w:rsidR="00141270" w:rsidRPr="00B768A1" w:rsidRDefault="07C75D4A" w:rsidP="00634A83">
            <w:pPr>
              <w:cnfStyle w:val="000000000000" w:firstRow="0" w:lastRow="0" w:firstColumn="0" w:lastColumn="0" w:oddVBand="0" w:evenVBand="0" w:oddHBand="0" w:evenHBand="0" w:firstRowFirstColumn="0" w:firstRowLastColumn="0" w:lastRowFirstColumn="0" w:lastRowLastColumn="0"/>
            </w:pPr>
            <w:r w:rsidRPr="00B768A1">
              <w:t>However, the highest rates of suicides in a single age group occur among Australians aged 85 and older.</w:t>
            </w:r>
            <w:hyperlink w:anchor="_ENREF_2" w:tooltip="Statistics, 2023 #481" w:history="1">
              <w:r w:rsidR="002D6F18">
                <w:fldChar w:fldCharType="begin"/>
              </w:r>
              <w:r w:rsidR="002D6F18">
                <w:instrText xml:space="preserve"> ADDIN EN.CITE &lt;EndNote&gt;&lt;Cite&gt;&lt;Author&gt;Statistics&lt;/Author&gt;&lt;Year&gt;2023&lt;/Year&gt;&lt;RecNum&gt;507&lt;/RecNum&gt;&lt;DisplayText&gt;&lt;style face="superscript"&gt;2&lt;/style&gt;&lt;/DisplayText&gt;&lt;record&gt;&lt;rec-number&gt;507&lt;/rec-number&gt;&lt;foreign-keys&gt;&lt;key app="EN" db-id="rsettzd2isasdweewww55s9lffasxav0d0ft" timestamp="1707862913" guid="8270e507-7922-40a2-bad7-1c4046fd0551"&gt;507&lt;/key&gt;&lt;/foreign-keys&gt;&lt;ref-type name="Web Page"&gt;12&lt;/ref-type&gt;&lt;contributors&gt;&lt;authors&gt;&lt;author&gt;Australian Bureau of Statistics&lt;/author&gt;&lt;/authors&gt;&lt;/contributors&gt;&lt;titles&gt;&lt;title&gt;Causes of Death, Australia, 2022&lt;/title&gt;&lt;/titles&gt;&lt;dates&gt;&lt;year&gt;2023&lt;/year&gt;&lt;/dates&gt;&lt;publisher&gt;ABS&lt;/publisher&gt;&lt;work-type&gt;Internet&lt;/work-type&gt;&lt;urls&gt;&lt;related-urls&gt;&lt;url&gt;https://www.abs.gov.au/statistics/health/causes-death/causes-death-australia/2022&lt;/url&gt;&lt;/related-urls&gt;&lt;/urls&gt;&lt;custom1&gt;2023&lt;/custom1&gt;&lt;custom2&gt;October 02&lt;/custom2&gt;&lt;/record&gt;&lt;/Cite&gt;&lt;/EndNote&gt;</w:instrText>
              </w:r>
              <w:r w:rsidR="002D6F18">
                <w:fldChar w:fldCharType="separate"/>
              </w:r>
              <w:r w:rsidR="002D6F18" w:rsidRPr="00E25362">
                <w:rPr>
                  <w:noProof/>
                  <w:vertAlign w:val="superscript"/>
                </w:rPr>
                <w:t>2</w:t>
              </w:r>
              <w:r w:rsidR="002D6F18">
                <w:fldChar w:fldCharType="end"/>
              </w:r>
            </w:hyperlink>
          </w:p>
        </w:tc>
      </w:tr>
      <w:tr w:rsidR="006F7850" w14:paraId="4D29B4CB" w14:textId="77777777" w:rsidTr="352D6B08">
        <w:tc>
          <w:tcPr>
            <w:cnfStyle w:val="001000000000" w:firstRow="0" w:lastRow="0" w:firstColumn="1" w:lastColumn="0" w:oddVBand="0" w:evenVBand="0" w:oddHBand="0" w:evenHBand="0" w:firstRowFirstColumn="0" w:firstRowLastColumn="0" w:lastRowFirstColumn="0" w:lastRowLastColumn="0"/>
            <w:tcW w:w="1985" w:type="dxa"/>
          </w:tcPr>
          <w:p w14:paraId="6686BDDD" w14:textId="52F704A1" w:rsidR="006F7850" w:rsidRPr="00A771EF" w:rsidRDefault="006F7850" w:rsidP="00634A83">
            <w:pPr>
              <w:rPr>
                <w:b w:val="0"/>
                <w:bCs/>
              </w:rPr>
            </w:pPr>
            <w:r w:rsidRPr="00A771EF">
              <w:rPr>
                <w:b w:val="0"/>
                <w:bCs/>
              </w:rPr>
              <w:t>Aboriginal and Torres Strait Islander peoples</w:t>
            </w:r>
          </w:p>
        </w:tc>
        <w:tc>
          <w:tcPr>
            <w:tcW w:w="7076" w:type="dxa"/>
            <w:tcMar>
              <w:top w:w="28" w:type="dxa"/>
              <w:bottom w:w="28" w:type="dxa"/>
            </w:tcMar>
          </w:tcPr>
          <w:p w14:paraId="595F092A" w14:textId="4E71039D" w:rsidR="005B0953" w:rsidRPr="00B768A1" w:rsidRDefault="5CA138C3" w:rsidP="005B0953">
            <w:pPr>
              <w:cnfStyle w:val="000000000000" w:firstRow="0" w:lastRow="0" w:firstColumn="0" w:lastColumn="0" w:oddVBand="0" w:evenVBand="0" w:oddHBand="0" w:evenHBand="0" w:firstRowFirstColumn="0" w:firstRowLastColumn="0" w:lastRowFirstColumn="0" w:lastRowLastColumn="0"/>
            </w:pPr>
            <w:r w:rsidRPr="00B768A1">
              <w:t>Aboriginal and Torres Strait Islander peoples are more than twice as likely to die by suicide than the non-Indigenous population.</w:t>
            </w:r>
            <w:hyperlink w:anchor="_ENREF_2" w:tooltip="Statistics, 2023 #481" w:history="1">
              <w:r w:rsidR="002D6F18">
                <w:fldChar w:fldCharType="begin"/>
              </w:r>
              <w:r w:rsidR="002D6F18">
                <w:instrText xml:space="preserve"> ADDIN EN.CITE &lt;EndNote&gt;&lt;Cite&gt;&lt;Author&gt;Statistics&lt;/Author&gt;&lt;Year&gt;2023&lt;/Year&gt;&lt;RecNum&gt;507&lt;/RecNum&gt;&lt;DisplayText&gt;&lt;style face="superscript"&gt;2&lt;/style&gt;&lt;/DisplayText&gt;&lt;record&gt;&lt;rec-number&gt;507&lt;/rec-number&gt;&lt;foreign-keys&gt;&lt;key app="EN" db-id="rsettzd2isasdweewww55s9lffasxav0d0ft" timestamp="1707862913" guid="8270e507-7922-40a2-bad7-1c4046fd0551"&gt;507&lt;/key&gt;&lt;/foreign-keys&gt;&lt;ref-type name="Web Page"&gt;12&lt;/ref-type&gt;&lt;contributors&gt;&lt;authors&gt;&lt;author&gt;Australian Bureau of Statistics&lt;/author&gt;&lt;/authors&gt;&lt;/contributors&gt;&lt;titles&gt;&lt;title&gt;Causes of Death, Australia, 2022&lt;/title&gt;&lt;/titles&gt;&lt;dates&gt;&lt;year&gt;2023&lt;/year&gt;&lt;/dates&gt;&lt;publisher&gt;ABS&lt;/publisher&gt;&lt;work-type&gt;Internet&lt;/work-type&gt;&lt;urls&gt;&lt;related-urls&gt;&lt;url&gt;https://www.abs.gov.au/statistics/health/causes-death/causes-death-australia/2022&lt;/url&gt;&lt;/related-urls&gt;&lt;/urls&gt;&lt;custom1&gt;2023&lt;/custom1&gt;&lt;custom2&gt;October 02&lt;/custom2&gt;&lt;/record&gt;&lt;/Cite&gt;&lt;/EndNote&gt;</w:instrText>
              </w:r>
              <w:r w:rsidR="002D6F18">
                <w:fldChar w:fldCharType="separate"/>
              </w:r>
              <w:r w:rsidR="002D6F18" w:rsidRPr="00E25362">
                <w:rPr>
                  <w:noProof/>
                  <w:vertAlign w:val="superscript"/>
                </w:rPr>
                <w:t>2</w:t>
              </w:r>
              <w:r w:rsidR="002D6F18">
                <w:fldChar w:fldCharType="end"/>
              </w:r>
            </w:hyperlink>
            <w:r w:rsidR="00EE0C8A">
              <w:t xml:space="preserve"> </w:t>
            </w:r>
          </w:p>
          <w:p w14:paraId="5A2EB6DA" w14:textId="5E1CC903" w:rsidR="006F7850" w:rsidRPr="00B768A1" w:rsidRDefault="5CA138C3" w:rsidP="00634A83">
            <w:pPr>
              <w:cnfStyle w:val="000000000000" w:firstRow="0" w:lastRow="0" w:firstColumn="0" w:lastColumn="0" w:oddVBand="0" w:evenVBand="0" w:oddHBand="0" w:evenHBand="0" w:firstRowFirstColumn="0" w:firstRowLastColumn="0" w:lastRowFirstColumn="0" w:lastRowLastColumn="0"/>
            </w:pPr>
            <w:r w:rsidRPr="00B768A1">
              <w:t>In 2022, the age standardised suicide rate for Aboriginal and Torres Strait Islander peoples was 29.9</w:t>
            </w:r>
            <w:r w:rsidR="3D8244BC">
              <w:t> </w:t>
            </w:r>
            <w:r w:rsidRPr="00B768A1">
              <w:t>deaths per 100,000</w:t>
            </w:r>
            <w:r w:rsidR="3D8244BC">
              <w:t>,</w:t>
            </w:r>
            <w:r w:rsidRPr="00B768A1">
              <w:t xml:space="preserve"> which is 2.4</w:t>
            </w:r>
            <w:r w:rsidR="3D8244BC">
              <w:t> </w:t>
            </w:r>
            <w:r w:rsidRPr="00B768A1">
              <w:t>times higher than the non-Indigenous population.</w:t>
            </w:r>
            <w:hyperlink w:anchor="_ENREF_2" w:tooltip="Statistics, 2023 #481" w:history="1">
              <w:r w:rsidR="002D6F18">
                <w:fldChar w:fldCharType="begin"/>
              </w:r>
              <w:r w:rsidR="002D6F18">
                <w:instrText xml:space="preserve"> ADDIN EN.CITE &lt;EndNote&gt;&lt;Cite&gt;&lt;Author&gt;Statistics&lt;/Author&gt;&lt;Year&gt;2023&lt;/Year&gt;&lt;RecNum&gt;507&lt;/RecNum&gt;&lt;DisplayText&gt;&lt;style face="superscript"&gt;2&lt;/style&gt;&lt;/DisplayText&gt;&lt;record&gt;&lt;rec-number&gt;507&lt;/rec-number&gt;&lt;foreign-keys&gt;&lt;key app="EN" db-id="rsettzd2isasdweewww55s9lffasxav0d0ft" timestamp="1707862913" guid="8270e507-7922-40a2-bad7-1c4046fd0551"&gt;507&lt;/key&gt;&lt;/foreign-keys&gt;&lt;ref-type name="Web Page"&gt;12&lt;/ref-type&gt;&lt;contributors&gt;&lt;authors&gt;&lt;author&gt;Australian Bureau of Statistics&lt;/author&gt;&lt;/authors&gt;&lt;/contributors&gt;&lt;titles&gt;&lt;title&gt;Causes of Death, Australia, 2022&lt;/title&gt;&lt;/titles&gt;&lt;dates&gt;&lt;year&gt;2023&lt;/year&gt;&lt;/dates&gt;&lt;publisher&gt;ABS&lt;/publisher&gt;&lt;work-type&gt;Internet&lt;/work-type&gt;&lt;urls&gt;&lt;related-urls&gt;&lt;url&gt;https://www.abs.gov.au/statistics/health/causes-death/causes-death-australia/2022&lt;/url&gt;&lt;/related-urls&gt;&lt;/urls&gt;&lt;custom1&gt;2023&lt;/custom1&gt;&lt;custom2&gt;October 02&lt;/custom2&gt;&lt;/record&gt;&lt;/Cite&gt;&lt;/EndNote&gt;</w:instrText>
              </w:r>
              <w:r w:rsidR="002D6F18">
                <w:fldChar w:fldCharType="separate"/>
              </w:r>
              <w:r w:rsidR="002D6F18" w:rsidRPr="00E25362">
                <w:rPr>
                  <w:noProof/>
                  <w:vertAlign w:val="superscript"/>
                </w:rPr>
                <w:t>2</w:t>
              </w:r>
              <w:r w:rsidR="002D6F18">
                <w:fldChar w:fldCharType="end"/>
              </w:r>
            </w:hyperlink>
          </w:p>
        </w:tc>
      </w:tr>
      <w:tr w:rsidR="0037586A" w14:paraId="34CB64D5" w14:textId="77777777" w:rsidTr="352D6B08">
        <w:trPr>
          <w:trHeight w:val="2593"/>
        </w:trPr>
        <w:tc>
          <w:tcPr>
            <w:cnfStyle w:val="001000000000" w:firstRow="0" w:lastRow="0" w:firstColumn="1" w:lastColumn="0" w:oddVBand="0" w:evenVBand="0" w:oddHBand="0" w:evenHBand="0" w:firstRowFirstColumn="0" w:firstRowLastColumn="0" w:lastRowFirstColumn="0" w:lastRowLastColumn="0"/>
            <w:tcW w:w="1985" w:type="dxa"/>
          </w:tcPr>
          <w:p w14:paraId="3AC0913E" w14:textId="76EAF41E" w:rsidR="0037586A" w:rsidRPr="00A771EF" w:rsidRDefault="0080381C" w:rsidP="00634A83">
            <w:pPr>
              <w:rPr>
                <w:b w:val="0"/>
                <w:bCs/>
              </w:rPr>
            </w:pPr>
            <w:r w:rsidRPr="00A771EF">
              <w:rPr>
                <w:b w:val="0"/>
                <w:bCs/>
              </w:rPr>
              <w:t>Lesbian, gay, bisexual, transgender, intersex, queer or questioning, and/or other sexuality and gender diverse (LGBTIQ+)</w:t>
            </w:r>
          </w:p>
        </w:tc>
        <w:tc>
          <w:tcPr>
            <w:tcW w:w="7076" w:type="dxa"/>
            <w:tcMar>
              <w:top w:w="28" w:type="dxa"/>
              <w:bottom w:w="28" w:type="dxa"/>
            </w:tcMar>
          </w:tcPr>
          <w:p w14:paraId="084D7915" w14:textId="22583FBB" w:rsidR="0080381C" w:rsidRPr="00B768A1" w:rsidRDefault="7AD8384F" w:rsidP="00634A83">
            <w:pPr>
              <w:cnfStyle w:val="000000000000" w:firstRow="0" w:lastRow="0" w:firstColumn="0" w:lastColumn="0" w:oddVBand="0" w:evenVBand="0" w:oddHBand="0" w:evenHBand="0" w:firstRowFirstColumn="0" w:firstRowLastColumn="0" w:lastRowFirstColumn="0" w:lastRowLastColumn="0"/>
              <w:rPr>
                <w:vertAlign w:val="superscript"/>
              </w:rPr>
            </w:pPr>
            <w:r w:rsidRPr="00B768A1">
              <w:t>LGBTQ+ communities experience higher levels of suicidal thoughts and self-harm, compared to non-LGBTQ+ people.</w:t>
            </w:r>
            <w:hyperlink w:anchor="_ENREF_2" w:tooltip="Statistics, 2023 #481" w:history="1">
              <w:r w:rsidR="002D6F18">
                <w:fldChar w:fldCharType="begin"/>
              </w:r>
              <w:r w:rsidR="002D6F18">
                <w:instrText xml:space="preserve"> ADDIN EN.CITE &lt;EndNote&gt;&lt;Cite&gt;&lt;Author&gt;Statistics&lt;/Author&gt;&lt;Year&gt;2023&lt;/Year&gt;&lt;RecNum&gt;507&lt;/RecNum&gt;&lt;DisplayText&gt;&lt;style face="superscript"&gt;2&lt;/style&gt;&lt;/DisplayText&gt;&lt;record&gt;&lt;rec-number&gt;507&lt;/rec-number&gt;&lt;foreign-keys&gt;&lt;key app="EN" db-id="rsettzd2isasdweewww55s9lffasxav0d0ft" timestamp="1707862913" guid="8270e507-7922-40a2-bad7-1c4046fd0551"&gt;507&lt;/key&gt;&lt;/foreign-keys&gt;&lt;ref-type name="Web Page"&gt;12&lt;/ref-type&gt;&lt;contributors&gt;&lt;authors&gt;&lt;author&gt;Australian Bureau of Statistics&lt;/author&gt;&lt;/authors&gt;&lt;/contributors&gt;&lt;titles&gt;&lt;title&gt;Causes of Death, Australia, 2022&lt;/title&gt;&lt;/titles&gt;&lt;dates&gt;&lt;year&gt;2023&lt;/year&gt;&lt;/dates&gt;&lt;publisher&gt;ABS&lt;/publisher&gt;&lt;work-type&gt;Internet&lt;/work-type&gt;&lt;urls&gt;&lt;related-urls&gt;&lt;url&gt;https://www.abs.gov.au/statistics/health/causes-death/causes-death-australia/2022&lt;/url&gt;&lt;/related-urls&gt;&lt;/urls&gt;&lt;custom1&gt;2023&lt;/custom1&gt;&lt;custom2&gt;October 02&lt;/custom2&gt;&lt;/record&gt;&lt;/Cite&gt;&lt;/EndNote&gt;</w:instrText>
              </w:r>
              <w:r w:rsidR="002D6F18">
                <w:fldChar w:fldCharType="separate"/>
              </w:r>
              <w:r w:rsidR="002D6F18" w:rsidRPr="00E25362">
                <w:rPr>
                  <w:noProof/>
                  <w:vertAlign w:val="superscript"/>
                </w:rPr>
                <w:t>2</w:t>
              </w:r>
              <w:r w:rsidR="002D6F18">
                <w:fldChar w:fldCharType="end"/>
              </w:r>
            </w:hyperlink>
          </w:p>
          <w:p w14:paraId="196775A4" w14:textId="35D09F9D" w:rsidR="00923AC1" w:rsidRDefault="7AD8384F" w:rsidP="00FD6560">
            <w:pPr>
              <w:cnfStyle w:val="000000000000" w:firstRow="0" w:lastRow="0" w:firstColumn="0" w:lastColumn="0" w:oddVBand="0" w:evenVBand="0" w:oddHBand="0" w:evenHBand="0" w:firstRowFirstColumn="0" w:firstRowLastColumn="0" w:lastRowFirstColumn="0" w:lastRowLastColumn="0"/>
            </w:pPr>
            <w:r w:rsidRPr="00B768A1">
              <w:t>Within the LGBTQ+ community, trans</w:t>
            </w:r>
            <w:r w:rsidR="04F0489C">
              <w:t>gender</w:t>
            </w:r>
            <w:r w:rsidRPr="00B768A1">
              <w:t xml:space="preserve"> and gender diverse people experience more suicidal thoughts and engage in more suicidal behaviours than cisgender people.</w:t>
            </w:r>
            <w:hyperlink w:anchor="_ENREF_18" w:tooltip="Welfare, 2023 #319" w:history="1">
              <w:r w:rsidR="002D6F18">
                <w:fldChar w:fldCharType="begin"/>
              </w:r>
              <w:r w:rsidR="002D6F18">
                <w:instrText xml:space="preserve"> ADDIN EN.CITE &lt;EndNote&gt;&lt;Cite&gt;&lt;Author&gt;Welfare&lt;/Author&gt;&lt;Year&gt;2023&lt;/Year&gt;&lt;RecNum&gt;319&lt;/RecNum&gt;&lt;DisplayText&gt;&lt;style face="superscript"&gt;18&lt;/style&gt;&lt;/DisplayText&gt;&lt;record&gt;&lt;rec-number&gt;319&lt;/rec-number&gt;&lt;foreign-keys&gt;&lt;key app="EN" db-id="rsettzd2isasdweewww55s9lffasxav0d0ft" timestamp="1700699471" guid="85210e8e-8d07-4667-b821-4d2a9a57947a"&gt;319&lt;/key&gt;&lt;/foreign-keys&gt;&lt;ref-type name="Web Page"&gt;12&lt;/ref-type&gt;&lt;contributors&gt;&lt;authors&gt;&lt;author&gt;Australian Institute of Health and Welfare&lt;/author&gt;&lt;/authors&gt;&lt;/contributors&gt;&lt;titles&gt;&lt;title&gt;LGBTIQ+ Australians: Suicidal Behaviours and Behaviours and Self-Harm&lt;/title&gt;&lt;/titles&gt;&lt;dates&gt;&lt;year&gt;2023&lt;/year&gt;&lt;/dates&gt;&lt;publisher&gt;AIHW, Australian Government&lt;/publisher&gt;&lt;work-type&gt;Internet&lt;/work-type&gt;&lt;urls&gt;&lt;related-urls&gt;&lt;url&gt;https://www.aihw.gov.au/suicide-self-harm-monitoring/data/populations-age-groups/suicidal-and-self-harming-thoughts-and-behaviours&lt;/url&gt;&lt;/related-urls&gt;&lt;/urls&gt;&lt;custom1&gt;2023&lt;/custom1&gt;&lt;custom2&gt;October 04&lt;/custom2&gt;&lt;/record&gt;&lt;/Cite&gt;&lt;/EndNote&gt;</w:instrText>
              </w:r>
              <w:r w:rsidR="002D6F18">
                <w:fldChar w:fldCharType="separate"/>
              </w:r>
              <w:r w:rsidR="002D6F18" w:rsidRPr="0082082D">
                <w:rPr>
                  <w:noProof/>
                  <w:vertAlign w:val="superscript"/>
                </w:rPr>
                <w:t>18</w:t>
              </w:r>
              <w:r w:rsidR="002D6F18">
                <w:fldChar w:fldCharType="end"/>
              </w:r>
            </w:hyperlink>
          </w:p>
          <w:p w14:paraId="0890C467" w14:textId="57A8C8C1" w:rsidR="0037586A" w:rsidRPr="00B768A1" w:rsidRDefault="7AD8384F" w:rsidP="00634A83">
            <w:pPr>
              <w:cnfStyle w:val="000000000000" w:firstRow="0" w:lastRow="0" w:firstColumn="0" w:lastColumn="0" w:oddVBand="0" w:evenVBand="0" w:oddHBand="0" w:evenHBand="0" w:firstRowFirstColumn="0" w:firstRowLastColumn="0" w:lastRowFirstColumn="0" w:lastRowLastColumn="0"/>
            </w:pPr>
            <w:r w:rsidRPr="00B768A1">
              <w:t>For people with innate variations of sex characteristics (intersex) there is inadequate data on suicide rates but evidence of significant distress.</w:t>
            </w:r>
            <w:hyperlink w:anchor="_ENREF_19" w:tooltip="A, 2020 #979" w:history="1">
              <w:r w:rsidR="002D6F18">
                <w:fldChar w:fldCharType="begin"/>
              </w:r>
              <w:r w:rsidR="002D6F18">
                <w:instrText xml:space="preserve"> ADDIN EN.CITE &lt;EndNote&gt;&lt;Cite&gt;&lt;Author&gt;A&lt;/Author&gt;&lt;Year&gt;2020&lt;/Year&gt;&lt;RecNum&gt;979&lt;/RecNum&gt;&lt;DisplayText&gt;&lt;style face="superscript"&gt;19&lt;/style&gt;&lt;/DisplayText&gt;&lt;record&gt;&lt;rec-number&gt;979&lt;/rec-number&gt;&lt;foreign-keys&gt;&lt;key app="EN" db-id="rsettzd2isasdweewww55s9lffasxav0d0ft" timestamp="1720071466" guid="8e152ba2-7dd8-46a5-9ce5-c7ce7548ec20"&gt;979&lt;/key&gt;&lt;/foreign-keys&gt;&lt;ref-type name="Journal Article"&gt;17&lt;/ref-type&gt;&lt;contributors&gt;&lt;authors&gt;&lt;author&gt;Rosenwohl-Mak A &lt;/author&gt;&lt;author&gt;Tamar-Mattis S&lt;/author&gt;&lt;author&gt;Baratz A&lt;/author&gt;&lt;author&gt;Dalke K&lt;/author&gt;&lt;author&gt;Ittelson A&lt;/author&gt;&lt;author&gt;Zieselman K&lt;/author&gt;&lt;author&gt;Flatt J&lt;/author&gt;&lt;/authors&gt;&lt;/contributors&gt;&lt;titles&gt;&lt;title&gt;A national study on the physical and mental health of intersex adults in the U.S. &lt;/title&gt;&lt;secondary-title&gt;PLoS ONE&lt;/secondary-title&gt;&lt;/titles&gt;&lt;periodical&gt;&lt;full-title&gt;PLoS ONE&lt;/full-title&gt;&lt;/periodical&gt;&lt;dates&gt;&lt;year&gt;2020&lt;/year&gt;&lt;/dates&gt;&lt;urls&gt;&lt;/urls&gt;&lt;electronic-resource-num&gt;10.1371/journal.pone.0240088&lt;/electronic-resource-num&gt;&lt;/record&gt;&lt;/Cite&gt;&lt;/EndNote&gt;</w:instrText>
              </w:r>
              <w:r w:rsidR="002D6F18">
                <w:fldChar w:fldCharType="separate"/>
              </w:r>
              <w:r w:rsidR="002D6F18" w:rsidRPr="0082082D">
                <w:rPr>
                  <w:noProof/>
                  <w:vertAlign w:val="superscript"/>
                </w:rPr>
                <w:t>19</w:t>
              </w:r>
              <w:r w:rsidR="002D6F18">
                <w:fldChar w:fldCharType="end"/>
              </w:r>
            </w:hyperlink>
          </w:p>
        </w:tc>
      </w:tr>
      <w:tr w:rsidR="00031AB4" w14:paraId="01BF4B15" w14:textId="77777777" w:rsidTr="352D6B08">
        <w:tc>
          <w:tcPr>
            <w:cnfStyle w:val="001000000000" w:firstRow="0" w:lastRow="0" w:firstColumn="1" w:lastColumn="0" w:oddVBand="0" w:evenVBand="0" w:oddHBand="0" w:evenHBand="0" w:firstRowFirstColumn="0" w:firstRowLastColumn="0" w:lastRowFirstColumn="0" w:lastRowLastColumn="0"/>
            <w:tcW w:w="1985" w:type="dxa"/>
          </w:tcPr>
          <w:p w14:paraId="31BDBF5A" w14:textId="53D41762" w:rsidR="00031AB4" w:rsidRPr="00A771EF" w:rsidRDefault="00031AB4" w:rsidP="00634A83">
            <w:pPr>
              <w:rPr>
                <w:b w:val="0"/>
                <w:bCs/>
              </w:rPr>
            </w:pPr>
            <w:r w:rsidRPr="00A771EF">
              <w:rPr>
                <w:b w:val="0"/>
                <w:bCs/>
              </w:rPr>
              <w:t>Culturally and linguistically diverse Australians</w:t>
            </w:r>
          </w:p>
        </w:tc>
        <w:tc>
          <w:tcPr>
            <w:tcW w:w="7076" w:type="dxa"/>
            <w:tcMar>
              <w:top w:w="28" w:type="dxa"/>
              <w:bottom w:w="28" w:type="dxa"/>
            </w:tcMar>
          </w:tcPr>
          <w:p w14:paraId="7754235B" w14:textId="2EB17BF1" w:rsidR="00031AB4" w:rsidRPr="00031AB4" w:rsidRDefault="13C7019D" w:rsidP="00634A83">
            <w:pPr>
              <w:cnfStyle w:val="000000000000" w:firstRow="0" w:lastRow="0" w:firstColumn="0" w:lastColumn="0" w:oddVBand="0" w:evenVBand="0" w:oddHBand="0" w:evenHBand="0" w:firstRowFirstColumn="0" w:firstRowLastColumn="0" w:lastRowFirstColumn="0" w:lastRowLastColumn="0"/>
            </w:pPr>
            <w:r w:rsidRPr="00B768A1">
              <w:t>Just over 7</w:t>
            </w:r>
            <w:r>
              <w:t> </w:t>
            </w:r>
            <w:r w:rsidRPr="00B768A1">
              <w:t>million Australians were born overseas, and 5.8</w:t>
            </w:r>
            <w:r>
              <w:t> </w:t>
            </w:r>
            <w:r w:rsidRPr="00B768A1">
              <w:t>million people use a language other than English at home.</w:t>
            </w:r>
            <w:hyperlink w:anchor="_ENREF_20" w:tooltip="Statistics, 2022 #980" w:history="1">
              <w:r w:rsidR="002D6F18">
                <w:fldChar w:fldCharType="begin"/>
              </w:r>
              <w:r w:rsidR="002D6F18">
                <w:instrText xml:space="preserve"> ADDIN EN.CITE &lt;EndNote&gt;&lt;Cite&gt;&lt;Author&gt;Statistics&lt;/Author&gt;&lt;Year&gt;2022&lt;/Year&gt;&lt;RecNum&gt;980&lt;/RecNum&gt;&lt;DisplayText&gt;&lt;style face="superscript"&gt;20&lt;/style&gt;&lt;/DisplayText&gt;&lt;record&gt;&lt;rec-number&gt;980&lt;/rec-number&gt;&lt;foreign-keys&gt;&lt;key app="EN" db-id="rsettzd2isasdweewww55s9lffasxav0d0ft" timestamp="1720071732" guid="9f8a4c7b-be79-4fcf-a569-3106e29c6430"&gt;980&lt;/key&gt;&lt;/foreign-keys&gt;&lt;ref-type name="Web Page"&gt;12&lt;/ref-type&gt;&lt;contributors&gt;&lt;authors&gt;&lt;author&gt;Australian Bureau of Statistics&lt;/author&gt;&lt;/authors&gt;&lt;/contributors&gt;&lt;titles&gt;&lt;title&gt;Cultural Diversity of Australia &lt;/title&gt;&lt;/titles&gt;&lt;dates&gt;&lt;year&gt;2022&lt;/year&gt;&lt;/dates&gt;&lt;publisher&gt;ABS, Australian Government&lt;/publisher&gt;&lt;work-type&gt;Internet &lt;/work-type&gt;&lt;urls&gt;&lt;related-urls&gt;&lt;url&gt;https://www.abs.gov.au/articles/cultural-diversity-australia.&lt;/url&gt;&lt;/related-urls&gt;&lt;/urls&gt;&lt;custom1&gt;2024&lt;/custom1&gt;&lt;custom2&gt;February 22&lt;/custom2&gt;&lt;/record&gt;&lt;/Cite&gt;&lt;/EndNote&gt;</w:instrText>
              </w:r>
              <w:r w:rsidR="002D6F18">
                <w:fldChar w:fldCharType="separate"/>
              </w:r>
              <w:r w:rsidR="002D6F18" w:rsidRPr="0082082D">
                <w:rPr>
                  <w:noProof/>
                  <w:vertAlign w:val="superscript"/>
                </w:rPr>
                <w:t>20</w:t>
              </w:r>
              <w:r w:rsidR="002D6F18">
                <w:fldChar w:fldCharType="end"/>
              </w:r>
            </w:hyperlink>
          </w:p>
          <w:p w14:paraId="5762BB7B" w14:textId="0A7F6B15" w:rsidR="00031AB4" w:rsidRPr="00B768A1" w:rsidRDefault="13C7019D" w:rsidP="00634A83">
            <w:pPr>
              <w:pStyle w:val="BodyText"/>
              <w:cnfStyle w:val="000000000000" w:firstRow="0" w:lastRow="0" w:firstColumn="0" w:lastColumn="0" w:oddVBand="0" w:evenVBand="0" w:oddHBand="0" w:evenHBand="0" w:firstRowFirstColumn="0" w:firstRowLastColumn="0" w:lastRowFirstColumn="0" w:lastRowLastColumn="0"/>
              <w:rPr>
                <w:rFonts w:ascii="Century Gothic" w:hAnsi="Century Gothic" w:cs="Century Gothic"/>
                <w:color w:val="221C23"/>
              </w:rPr>
            </w:pPr>
            <w:r w:rsidRPr="00B768A1">
              <w:t>Research shows that suicide rates of Australian-born people and migrants from English-speaking countries are similar</w:t>
            </w:r>
            <w:r w:rsidR="00174F27">
              <w:t>,</w:t>
            </w:r>
            <w:r w:rsidRPr="00B768A1">
              <w:t xml:space="preserve"> but migrants from Oceania countries and African countries have some of the highest suicide rates and these are increasing.</w:t>
            </w:r>
            <w:hyperlink w:anchor="_ENREF_21" w:tooltip="H, 2023 #125" w:history="1">
              <w:r w:rsidR="002D6F18">
                <w:fldChar w:fldCharType="begin"/>
              </w:r>
              <w:r w:rsidR="002D6F18">
                <w:instrText xml:space="preserve"> ADDIN EN.CITE &lt;EndNote&gt;&lt;Cite&gt;&lt;Author&gt;H&lt;/Author&gt;&lt;Year&gt;2023&lt;/Year&gt;&lt;RecNum&gt;125&lt;/RecNum&gt;&lt;DisplayText&gt;&lt;style face="superscript"&gt;21&lt;/style&gt;&lt;/DisplayText&gt;&lt;record&gt;&lt;rec-number&gt;125&lt;/rec-number&gt;&lt;foreign-keys&gt;&lt;key app="EN" db-id="rsettzd2isasdweewww55s9lffasxav0d0ft" timestamp="1700699468" guid="25491e1f-cc6e-41f3-a095-89178c33e21a"&gt;125&lt;/key&gt;&lt;/foreign-keys&gt;&lt;ref-type name="Journal Article"&gt;17&lt;/ref-type&gt;&lt;contributors&gt;&lt;authors&gt;&lt;author&gt;Maheen H&lt;/author&gt;&lt;author&gt;King T&lt;/author&gt;&lt;/authors&gt;&lt;/contributors&gt;&lt;titles&gt;&lt;title&gt;Suicide in First-Generation Australian Migrants, 2006–2019: A Retrospective Mortality Study&lt;/title&gt;&lt;secondary-title&gt;The Lancet Regional Health–Western Pacific&lt;/secondary-title&gt;&lt;/titles&gt;&lt;periodical&gt;&lt;full-title&gt;The Lancet Regional Health–Western Pacific&lt;/full-title&gt;&lt;/periodical&gt;&lt;dates&gt;&lt;year&gt;2023&lt;/year&gt;&lt;/dates&gt;&lt;urls&gt;&lt;/urls&gt;&lt;electronic-resource-num&gt;DOI: 10.1016/j.lanwpc.2023.100845&lt;/electronic-resource-num&gt;&lt;/record&gt;&lt;/Cite&gt;&lt;/EndNote&gt;</w:instrText>
              </w:r>
              <w:r w:rsidR="002D6F18">
                <w:fldChar w:fldCharType="separate"/>
              </w:r>
              <w:r w:rsidR="002D6F18" w:rsidRPr="0082082D">
                <w:rPr>
                  <w:noProof/>
                  <w:vertAlign w:val="superscript"/>
                </w:rPr>
                <w:t>21</w:t>
              </w:r>
              <w:r w:rsidR="002D6F18">
                <w:fldChar w:fldCharType="end"/>
              </w:r>
            </w:hyperlink>
          </w:p>
        </w:tc>
      </w:tr>
      <w:tr w:rsidR="00DB2EA7" w14:paraId="32DC6E71" w14:textId="77777777" w:rsidTr="352D6B08">
        <w:tc>
          <w:tcPr>
            <w:cnfStyle w:val="001000000000" w:firstRow="0" w:lastRow="0" w:firstColumn="1" w:lastColumn="0" w:oddVBand="0" w:evenVBand="0" w:oddHBand="0" w:evenHBand="0" w:firstRowFirstColumn="0" w:firstRowLastColumn="0" w:lastRowFirstColumn="0" w:lastRowLastColumn="0"/>
            <w:tcW w:w="1985" w:type="dxa"/>
          </w:tcPr>
          <w:p w14:paraId="4A0FF8C3" w14:textId="0C218B1C" w:rsidR="00DB2EA7" w:rsidRPr="00A771EF" w:rsidRDefault="00DB2EA7" w:rsidP="00634A83">
            <w:pPr>
              <w:rPr>
                <w:b w:val="0"/>
                <w:bCs/>
              </w:rPr>
            </w:pPr>
            <w:r w:rsidRPr="00A771EF">
              <w:rPr>
                <w:b w:val="0"/>
                <w:bCs/>
              </w:rPr>
              <w:t>People with disability</w:t>
            </w:r>
          </w:p>
        </w:tc>
        <w:tc>
          <w:tcPr>
            <w:tcW w:w="7076" w:type="dxa"/>
            <w:tcMar>
              <w:top w:w="28" w:type="dxa"/>
              <w:bottom w:w="28" w:type="dxa"/>
            </w:tcMar>
          </w:tcPr>
          <w:p w14:paraId="61C738D7" w14:textId="1E87C3CE" w:rsidR="00DB2EA7" w:rsidRPr="00B768A1" w:rsidRDefault="1C606E55" w:rsidP="00546BCC">
            <w:pPr>
              <w:cnfStyle w:val="000000000000" w:firstRow="0" w:lastRow="0" w:firstColumn="0" w:lastColumn="0" w:oddVBand="0" w:evenVBand="0" w:oddHBand="0" w:evenHBand="0" w:firstRowFirstColumn="0" w:firstRowLastColumn="0" w:lastRowFirstColumn="0" w:lastRowLastColumn="0"/>
              <w:rPr>
                <w:rFonts w:ascii="Century Gothic" w:hAnsi="Century Gothic" w:cs="Century Gothic"/>
              </w:rPr>
            </w:pPr>
            <w:r w:rsidRPr="00B768A1">
              <w:t>People with disability are three times more likely to die by suicide than people without disability.</w:t>
            </w:r>
            <w:hyperlink w:anchor="_ENREF_22" w:tooltip="Welfare, 2023 #504" w:history="1">
              <w:r w:rsidR="002D6F18">
                <w:fldChar w:fldCharType="begin"/>
              </w:r>
              <w:r w:rsidR="002D6F18">
                <w:instrText xml:space="preserve"> ADDIN EN.CITE &lt;EndNote&gt;&lt;Cite&gt;&lt;Author&gt;Welfare&lt;/Author&gt;&lt;Year&gt;2023&lt;/Year&gt;&lt;RecNum&gt;504&lt;/RecNum&gt;&lt;DisplayText&gt;&lt;style face="superscript"&gt;22&lt;/style&gt;&lt;/DisplayText&gt;&lt;record&gt;&lt;rec-number&gt;504&lt;/rec-number&gt;&lt;foreign-keys&gt;&lt;key app="EN" db-id="rsettzd2isasdweewww55s9lffasxav0d0ft" timestamp="1707862913" guid="14cdd6de-feba-4365-8329-69402ef9a258"&gt;504&lt;/key&gt;&lt;/foreign-keys&gt;&lt;ref-type name="Web Page"&gt;12&lt;/ref-type&gt;&lt;contributors&gt;&lt;authors&gt;&lt;author&gt;Australian Institute of Health and Welfare&lt;/author&gt;&lt;/authors&gt;&lt;/contributors&gt;&lt;titles&gt;&lt;title&gt;Deaths by Suicide Among People Who Used Disability Services&lt;/title&gt;&lt;/titles&gt;&lt;dates&gt;&lt;year&gt;2023&lt;/year&gt;&lt;/dates&gt;&lt;publisher&gt;AIHW&lt;/publisher&gt;&lt;work-type&gt;Internet&lt;/work-type&gt;&lt;urls&gt;&lt;related-urls&gt;&lt;url&gt;https://www.aihw.gov.au/suicide-self-harm-monitoring/data/populations-age-groups/deaths-by-suicide-among-people-who-used-disability&lt;/url&gt;&lt;/related-urls&gt;&lt;/urls&gt;&lt;custom1&gt;2023&lt;/custom1&gt;&lt;custom2&gt;October 04&lt;/custom2&gt;&lt;/record&gt;&lt;/Cite&gt;&lt;/EndNote&gt;</w:instrText>
              </w:r>
              <w:r w:rsidR="002D6F18">
                <w:fldChar w:fldCharType="separate"/>
              </w:r>
              <w:r w:rsidR="002D6F18" w:rsidRPr="0082082D">
                <w:rPr>
                  <w:noProof/>
                  <w:vertAlign w:val="superscript"/>
                </w:rPr>
                <w:t>22</w:t>
              </w:r>
              <w:r w:rsidR="002D6F18">
                <w:fldChar w:fldCharType="end"/>
              </w:r>
            </w:hyperlink>
            <w:r w:rsidR="00472DC2">
              <w:t xml:space="preserve"> </w:t>
            </w:r>
            <w:r w:rsidRPr="00B768A1">
              <w:t>Between 2013 and 2018, the suicide rate for people who used disability services was 33.5</w:t>
            </w:r>
            <w:r w:rsidR="3A4D451F">
              <w:t> </w:t>
            </w:r>
            <w:r w:rsidRPr="00B768A1">
              <w:t>per 100,000 compared to 11.4</w:t>
            </w:r>
            <w:r w:rsidR="3A4D451F">
              <w:t> </w:t>
            </w:r>
            <w:r w:rsidRPr="00B768A1">
              <w:t>per 100,000 for people without disability.</w:t>
            </w:r>
            <w:hyperlink w:anchor="_ENREF_22" w:tooltip="Welfare, 2023 #504" w:history="1">
              <w:r w:rsidR="002D6F18">
                <w:fldChar w:fldCharType="begin"/>
              </w:r>
              <w:r w:rsidR="002D6F18">
                <w:instrText xml:space="preserve"> ADDIN EN.CITE &lt;EndNote&gt;&lt;Cite&gt;&lt;Author&gt;Welfare&lt;/Author&gt;&lt;Year&gt;2023&lt;/Year&gt;&lt;RecNum&gt;504&lt;/RecNum&gt;&lt;DisplayText&gt;&lt;style face="superscript"&gt;22&lt;/style&gt;&lt;/DisplayText&gt;&lt;record&gt;&lt;rec-number&gt;504&lt;/rec-number&gt;&lt;foreign-keys&gt;&lt;key app="EN" db-id="rsettzd2isasdweewww55s9lffasxav0d0ft" timestamp="1707862913" guid="14cdd6de-feba-4365-8329-69402ef9a258"&gt;504&lt;/key&gt;&lt;/foreign-keys&gt;&lt;ref-type name="Web Page"&gt;12&lt;/ref-type&gt;&lt;contributors&gt;&lt;authors&gt;&lt;author&gt;Australian Institute of Health and Welfare&lt;/author&gt;&lt;/authors&gt;&lt;/contributors&gt;&lt;titles&gt;&lt;title&gt;Deaths by Suicide Among People Who Used Disability Services&lt;/title&gt;&lt;/titles&gt;&lt;dates&gt;&lt;year&gt;2023&lt;/year&gt;&lt;/dates&gt;&lt;publisher&gt;AIHW&lt;/publisher&gt;&lt;work-type&gt;Internet&lt;/work-type&gt;&lt;urls&gt;&lt;related-urls&gt;&lt;url&gt;https://www.aihw.gov.au/suicide-self-harm-monitoring/data/populations-age-groups/deaths-by-suicide-among-people-who-used-disability&lt;/url&gt;&lt;/related-urls&gt;&lt;/urls&gt;&lt;custom1&gt;2023&lt;/custom1&gt;&lt;custom2&gt;October 04&lt;/custom2&gt;&lt;/record&gt;&lt;/Cite&gt;&lt;/EndNote&gt;</w:instrText>
              </w:r>
              <w:r w:rsidR="002D6F18">
                <w:fldChar w:fldCharType="separate"/>
              </w:r>
              <w:r w:rsidR="002D6F18" w:rsidRPr="0082082D">
                <w:rPr>
                  <w:noProof/>
                  <w:vertAlign w:val="superscript"/>
                </w:rPr>
                <w:t>22</w:t>
              </w:r>
              <w:r w:rsidR="002D6F18">
                <w:fldChar w:fldCharType="end"/>
              </w:r>
            </w:hyperlink>
          </w:p>
        </w:tc>
      </w:tr>
      <w:tr w:rsidR="00B32D81" w14:paraId="6CB0BB96" w14:textId="77777777" w:rsidTr="352D6B08">
        <w:trPr>
          <w:trHeight w:val="636"/>
        </w:trPr>
        <w:tc>
          <w:tcPr>
            <w:cnfStyle w:val="001000000000" w:firstRow="0" w:lastRow="0" w:firstColumn="1" w:lastColumn="0" w:oddVBand="0" w:evenVBand="0" w:oddHBand="0" w:evenHBand="0" w:firstRowFirstColumn="0" w:firstRowLastColumn="0" w:lastRowFirstColumn="0" w:lastRowLastColumn="0"/>
            <w:tcW w:w="1985" w:type="dxa"/>
          </w:tcPr>
          <w:p w14:paraId="71646B72" w14:textId="60DDFF3D" w:rsidR="00B32D81" w:rsidRPr="00A771EF" w:rsidRDefault="00B32D81" w:rsidP="00634A83">
            <w:pPr>
              <w:rPr>
                <w:b w:val="0"/>
                <w:bCs/>
              </w:rPr>
            </w:pPr>
            <w:r w:rsidRPr="00A771EF">
              <w:rPr>
                <w:b w:val="0"/>
                <w:bCs/>
              </w:rPr>
              <w:t>Ex-serving Australian Defence Force members</w:t>
            </w:r>
          </w:p>
        </w:tc>
        <w:tc>
          <w:tcPr>
            <w:tcW w:w="7076" w:type="dxa"/>
            <w:tcMar>
              <w:top w:w="28" w:type="dxa"/>
              <w:bottom w:w="28" w:type="dxa"/>
            </w:tcMar>
          </w:tcPr>
          <w:p w14:paraId="54B5AB14" w14:textId="6A06CDB9" w:rsidR="00E86228" w:rsidRDefault="6B3EBF5E" w:rsidP="00634A83">
            <w:pPr>
              <w:cnfStyle w:val="000000000000" w:firstRow="0" w:lastRow="0" w:firstColumn="0" w:lastColumn="0" w:oddVBand="0" w:evenVBand="0" w:oddHBand="0" w:evenHBand="0" w:firstRowFirstColumn="0" w:firstRowLastColumn="0" w:lastRowFirstColumn="0" w:lastRowLastColumn="0"/>
            </w:pPr>
            <w:r w:rsidRPr="00B768A1">
              <w:t>Ex-serving Australian Defence Force (ADF) members are at a higher risk of death by suicide than non-veterans.</w:t>
            </w:r>
            <w:hyperlink w:anchor="_ENREF_23" w:tooltip="Welfare, 2023 #981" w:history="1">
              <w:r w:rsidR="002D6F18">
                <w:fldChar w:fldCharType="begin"/>
              </w:r>
              <w:r w:rsidR="002D6F18">
                <w:instrText xml:space="preserve"> ADDIN EN.CITE &lt;EndNote&gt;&lt;Cite&gt;&lt;Author&gt;Welfare&lt;/Author&gt;&lt;Year&gt;2023&lt;/Year&gt;&lt;RecNum&gt;981&lt;/RecNum&gt;&lt;DisplayText&gt;&lt;style face="superscript"&gt;23&lt;/style&gt;&lt;/DisplayText&gt;&lt;record&gt;&lt;rec-number&gt;981&lt;/rec-number&gt;&lt;foreign-keys&gt;&lt;key app="EN" db-id="rsettzd2isasdweewww55s9lffasxav0d0ft" timestamp="1720071985" guid="68e2f524-d715-4312-90e5-429d4d265bd7"&gt;981&lt;/key&gt;&lt;/foreign-keys&gt;&lt;ref-type name="Web Page"&gt;12&lt;/ref-type&gt;&lt;contributors&gt;&lt;authors&gt;&lt;author&gt;Australian Institute of Health and Welfare&lt;/author&gt;&lt;/authors&gt;&lt;/contributors&gt;&lt;titles&gt;&lt;title&gt;Serving and ex-serving Australian Defence Force members who have served since 1985: suicide monitoring 1997 to 2021&lt;/title&gt;&lt;/titles&gt;&lt;dates&gt;&lt;year&gt;2023&lt;/year&gt;&lt;/dates&gt;&lt;pub-location&gt;Canberra&lt;/pub-location&gt;&lt;publisher&gt;AIHW, Australian Government&lt;/publisher&gt;&lt;work-type&gt;Internet&lt;/work-type&gt;&lt;urls&gt;&lt;related-urls&gt;&lt;url&gt;https://www.aihw.gov.au/reports/veterans/serving-exserving-adf-suicide-monitoring-2023/&lt;/url&gt;&lt;/related-urls&gt;&lt;/urls&gt;&lt;custom1&gt;2024&lt;/custom1&gt;&lt;custom2&gt;February 22&lt;/custom2&gt;&lt;/record&gt;&lt;/Cite&gt;&lt;/EndNote&gt;</w:instrText>
              </w:r>
              <w:r w:rsidR="002D6F18">
                <w:fldChar w:fldCharType="separate"/>
              </w:r>
              <w:r w:rsidR="002D6F18" w:rsidRPr="0082082D">
                <w:rPr>
                  <w:noProof/>
                  <w:vertAlign w:val="superscript"/>
                </w:rPr>
                <w:t>23</w:t>
              </w:r>
              <w:r w:rsidR="002D6F18">
                <w:fldChar w:fldCharType="end"/>
              </w:r>
            </w:hyperlink>
            <w:r w:rsidR="00E86228">
              <w:t xml:space="preserve"> </w:t>
            </w:r>
            <w:r w:rsidRPr="00B768A1">
              <w:t>Ex-serving males and ex-serving females are, respectively, 26% and 107% more likely to take their own life than Australian males and females.</w:t>
            </w:r>
            <w:hyperlink w:anchor="_ENREF_23" w:tooltip="Welfare, 2023 #981" w:history="1">
              <w:r w:rsidR="002D6F18">
                <w:fldChar w:fldCharType="begin"/>
              </w:r>
              <w:r w:rsidR="002D6F18">
                <w:instrText xml:space="preserve"> ADDIN EN.CITE &lt;EndNote&gt;&lt;Cite&gt;&lt;Author&gt;Welfare&lt;/Author&gt;&lt;Year&gt;2023&lt;/Year&gt;&lt;RecNum&gt;981&lt;/RecNum&gt;&lt;DisplayText&gt;&lt;style face="superscript"&gt;23&lt;/style&gt;&lt;/DisplayText&gt;&lt;record&gt;&lt;rec-number&gt;981&lt;/rec-number&gt;&lt;foreign-keys&gt;&lt;key app="EN" db-id="rsettzd2isasdweewww55s9lffasxav0d0ft" timestamp="1720071985" guid="68e2f524-d715-4312-90e5-429d4d265bd7"&gt;981&lt;/key&gt;&lt;/foreign-keys&gt;&lt;ref-type name="Web Page"&gt;12&lt;/ref-type&gt;&lt;contributors&gt;&lt;authors&gt;&lt;author&gt;Australian Institute of Health and Welfare&lt;/author&gt;&lt;/authors&gt;&lt;/contributors&gt;&lt;titles&gt;&lt;title&gt;Serving and ex-serving Australian Defence Force members who have served since 1985: suicide monitoring 1997 to 2021&lt;/title&gt;&lt;/titles&gt;&lt;dates&gt;&lt;year&gt;2023&lt;/year&gt;&lt;/dates&gt;&lt;pub-location&gt;Canberra&lt;/pub-location&gt;&lt;publisher&gt;AIHW, Australian Government&lt;/publisher&gt;&lt;work-type&gt;Internet&lt;/work-type&gt;&lt;urls&gt;&lt;related-urls&gt;&lt;url&gt;https://www.aihw.gov.au/reports/veterans/serving-exserving-adf-suicide-monitoring-2023/&lt;/url&gt;&lt;/related-urls&gt;&lt;/urls&gt;&lt;custom1&gt;2024&lt;/custom1&gt;&lt;custom2&gt;February 22&lt;/custom2&gt;&lt;/record&gt;&lt;/Cite&gt;&lt;/EndNote&gt;</w:instrText>
              </w:r>
              <w:r w:rsidR="002D6F18">
                <w:fldChar w:fldCharType="separate"/>
              </w:r>
              <w:r w:rsidR="002D6F18" w:rsidRPr="0082082D">
                <w:rPr>
                  <w:noProof/>
                  <w:vertAlign w:val="superscript"/>
                </w:rPr>
                <w:t>23</w:t>
              </w:r>
              <w:r w:rsidR="002D6F18">
                <w:fldChar w:fldCharType="end"/>
              </w:r>
            </w:hyperlink>
            <w:r w:rsidR="00C201FE">
              <w:t xml:space="preserve"> </w:t>
            </w:r>
          </w:p>
          <w:p w14:paraId="347AF90A" w14:textId="7490AD36" w:rsidR="00B32D81" w:rsidRPr="00B768A1" w:rsidRDefault="5FC5478B" w:rsidP="00634A83">
            <w:pPr>
              <w:cnfStyle w:val="000000000000" w:firstRow="0" w:lastRow="0" w:firstColumn="0" w:lastColumn="0" w:oddVBand="0" w:evenVBand="0" w:oddHBand="0" w:evenHBand="0" w:firstRowFirstColumn="0" w:firstRowLastColumn="0" w:lastRowFirstColumn="0" w:lastRowLastColumn="0"/>
            </w:pPr>
            <w:r w:rsidRPr="756626F3">
              <w:t xml:space="preserve">Males </w:t>
            </w:r>
            <w:r w:rsidR="6B6E1574" w:rsidRPr="00B768A1">
              <w:t>who leave the ADF for involuntary medical reasons are three times as likely to take their own life than those who leave voluntarily.</w:t>
            </w:r>
            <w:hyperlink w:anchor="_ENREF_23" w:tooltip="Welfare, 2023 #981" w:history="1">
              <w:r w:rsidR="002D6F18">
                <w:fldChar w:fldCharType="begin"/>
              </w:r>
              <w:r w:rsidR="002D6F18">
                <w:instrText xml:space="preserve"> ADDIN EN.CITE &lt;EndNote&gt;&lt;Cite&gt;&lt;Author&gt;Welfare&lt;/Author&gt;&lt;Year&gt;2023&lt;/Year&gt;&lt;RecNum&gt;981&lt;/RecNum&gt;&lt;DisplayText&gt;&lt;style face="superscript"&gt;23&lt;/style&gt;&lt;/DisplayText&gt;&lt;record&gt;&lt;rec-number&gt;981&lt;/rec-number&gt;&lt;foreign-keys&gt;&lt;key app="EN" db-id="rsettzd2isasdweewww55s9lffasxav0d0ft" timestamp="1720071985" guid="68e2f524-d715-4312-90e5-429d4d265bd7"&gt;981&lt;/key&gt;&lt;/foreign-keys&gt;&lt;ref-type name="Web Page"&gt;12&lt;/ref-type&gt;&lt;contributors&gt;&lt;authors&gt;&lt;author&gt;Australian Institute of Health and Welfare&lt;/author&gt;&lt;/authors&gt;&lt;/contributors&gt;&lt;titles&gt;&lt;title&gt;Serving and ex-serving Australian Defence Force members who have served since 1985: suicide monitoring 1997 to 2021&lt;/title&gt;&lt;/titles&gt;&lt;dates&gt;&lt;year&gt;2023&lt;/year&gt;&lt;/dates&gt;&lt;pub-location&gt;Canberra&lt;/pub-location&gt;&lt;publisher&gt;AIHW, Australian Government&lt;/publisher&gt;&lt;work-type&gt;Internet&lt;/work-type&gt;&lt;urls&gt;&lt;related-urls&gt;&lt;url&gt;https://www.aihw.gov.au/reports/veterans/serving-exserving-adf-suicide-monitoring-2023/&lt;/url&gt;&lt;/related-urls&gt;&lt;/urls&gt;&lt;custom1&gt;2024&lt;/custom1&gt;&lt;custom2&gt;February 22&lt;/custom2&gt;&lt;/record&gt;&lt;/Cite&gt;&lt;/EndNote&gt;</w:instrText>
              </w:r>
              <w:r w:rsidR="002D6F18">
                <w:fldChar w:fldCharType="separate"/>
              </w:r>
              <w:r w:rsidR="002D6F18" w:rsidRPr="0082082D">
                <w:rPr>
                  <w:noProof/>
                  <w:vertAlign w:val="superscript"/>
                </w:rPr>
                <w:t>23</w:t>
              </w:r>
              <w:r w:rsidR="002D6F18">
                <w:fldChar w:fldCharType="end"/>
              </w:r>
            </w:hyperlink>
          </w:p>
        </w:tc>
      </w:tr>
      <w:tr w:rsidR="00EE0DC4" w:rsidRPr="00EE0DC4" w14:paraId="05FEF12D" w14:textId="77777777" w:rsidTr="352D6B08">
        <w:tc>
          <w:tcPr>
            <w:cnfStyle w:val="001000000000" w:firstRow="0" w:lastRow="0" w:firstColumn="1" w:lastColumn="0" w:oddVBand="0" w:evenVBand="0" w:oddHBand="0" w:evenHBand="0" w:firstRowFirstColumn="0" w:firstRowLastColumn="0" w:lastRowFirstColumn="0" w:lastRowLastColumn="0"/>
            <w:tcW w:w="1985" w:type="dxa"/>
          </w:tcPr>
          <w:p w14:paraId="109ACEA4" w14:textId="6ECE47C4" w:rsidR="00EE0DC4" w:rsidRPr="00A771EF" w:rsidRDefault="00EE0DC4" w:rsidP="00634A83">
            <w:pPr>
              <w:rPr>
                <w:b w:val="0"/>
                <w:bCs/>
              </w:rPr>
            </w:pPr>
            <w:r w:rsidRPr="00A771EF">
              <w:rPr>
                <w:b w:val="0"/>
                <w:bCs/>
              </w:rPr>
              <w:t>People with mental illness</w:t>
            </w:r>
          </w:p>
        </w:tc>
        <w:tc>
          <w:tcPr>
            <w:tcW w:w="7076" w:type="dxa"/>
            <w:tcMar>
              <w:top w:w="28" w:type="dxa"/>
              <w:bottom w:w="28" w:type="dxa"/>
            </w:tcMar>
          </w:tcPr>
          <w:p w14:paraId="0BCA0131" w14:textId="66A1C5AA" w:rsidR="00D5658F" w:rsidRDefault="7DC5A436" w:rsidP="00745B34">
            <w:pPr>
              <w:cnfStyle w:val="000000000000" w:firstRow="0" w:lastRow="0" w:firstColumn="0" w:lastColumn="0" w:oddVBand="0" w:evenVBand="0" w:oddHBand="0" w:evenHBand="0" w:firstRowFirstColumn="0" w:firstRowLastColumn="0" w:lastRowFirstColumn="0" w:lastRowLastColumn="0"/>
              <w:rPr>
                <w:rStyle w:val="normaltextrun"/>
                <w:rFonts w:ascii="Century Gothic" w:eastAsia="Century Gothic" w:hAnsi="Century Gothic" w:cs="Century Gothic"/>
              </w:rPr>
            </w:pPr>
            <w:r w:rsidRPr="00745B34">
              <w:t>In 2022, ABS data indicated that 63% of people who died by suicide had a mental and/or behavioural disorder present.</w:t>
            </w:r>
            <w:hyperlink w:anchor="_ENREF_2" w:tooltip="Statistics, 2023 #481" w:history="1">
              <w:r w:rsidR="002D6F18">
                <w:fldChar w:fldCharType="begin"/>
              </w:r>
              <w:r w:rsidR="002D6F18">
                <w:instrText xml:space="preserve"> ADDIN EN.CITE &lt;EndNote&gt;&lt;Cite&gt;&lt;Author&gt;Statistics&lt;/Author&gt;&lt;Year&gt;2023&lt;/Year&gt;&lt;RecNum&gt;507&lt;/RecNum&gt;&lt;DisplayText&gt;&lt;style face="superscript"&gt;2&lt;/style&gt;&lt;/DisplayText&gt;&lt;record&gt;&lt;rec-number&gt;507&lt;/rec-number&gt;&lt;foreign-keys&gt;&lt;key app="EN" db-id="rsettzd2isasdweewww55s9lffasxav0d0ft" timestamp="1707862913" guid="8270e507-7922-40a2-bad7-1c4046fd0551"&gt;507&lt;/key&gt;&lt;/foreign-keys&gt;&lt;ref-type name="Web Page"&gt;12&lt;/ref-type&gt;&lt;contributors&gt;&lt;authors&gt;&lt;author&gt;Australian Bureau of Statistics&lt;/author&gt;&lt;/authors&gt;&lt;/contributors&gt;&lt;titles&gt;&lt;title&gt;Causes of Death, Australia, 2022&lt;/title&gt;&lt;/titles&gt;&lt;dates&gt;&lt;year&gt;2023&lt;/year&gt;&lt;/dates&gt;&lt;publisher&gt;ABS&lt;/publisher&gt;&lt;work-type&gt;Internet&lt;/work-type&gt;&lt;urls&gt;&lt;related-urls&gt;&lt;url&gt;https://www.abs.gov.au/statistics/health/causes-death/causes-death-australia/2022&lt;/url&gt;&lt;/related-urls&gt;&lt;/urls&gt;&lt;custom1&gt;2023&lt;/custom1&gt;&lt;custom2&gt;October 02&lt;/custom2&gt;&lt;/record&gt;&lt;/Cite&gt;&lt;/EndNote&gt;</w:instrText>
              </w:r>
              <w:r w:rsidR="002D6F18">
                <w:fldChar w:fldCharType="separate"/>
              </w:r>
              <w:r w:rsidR="002D6F18" w:rsidRPr="00E25362">
                <w:rPr>
                  <w:noProof/>
                  <w:vertAlign w:val="superscript"/>
                </w:rPr>
                <w:t>2</w:t>
              </w:r>
              <w:r w:rsidR="002D6F18">
                <w:fldChar w:fldCharType="end"/>
              </w:r>
            </w:hyperlink>
            <w:r w:rsidR="00D5658F" w:rsidRPr="00745B34">
              <w:rPr>
                <w:rStyle w:val="normaltextrun"/>
                <w:rFonts w:ascii="Century Gothic" w:eastAsia="Century Gothic" w:hAnsi="Century Gothic" w:cs="Century Gothic"/>
                <w:vertAlign w:val="superscript"/>
              </w:rPr>
              <w:t xml:space="preserve"> </w:t>
            </w:r>
            <w:r w:rsidRPr="00745B34">
              <w:t>Some studies suggest this may be higher at 80%</w:t>
            </w:r>
            <w:hyperlink w:anchor="_ENREF_24" w:tooltip="M, 2021 #982" w:history="1">
              <w:r w:rsidR="002D6F18">
                <w:fldChar w:fldCharType="begin"/>
              </w:r>
              <w:r w:rsidR="002D6F18">
                <w:instrText xml:space="preserve"> ADDIN EN.CITE &lt;EndNote&gt;&lt;Cite&gt;&lt;Author&gt;M&lt;/Author&gt;&lt;Year&gt;2021&lt;/Year&gt;&lt;RecNum&gt;982&lt;/RecNum&gt;&lt;DisplayText&gt;&lt;style face="superscript"&gt;24&lt;/style&gt;&lt;/DisplayText&gt;&lt;record&gt;&lt;rec-number&gt;982&lt;/rec-number&gt;&lt;foreign-keys&gt;&lt;key app="EN" db-id="rsettzd2isasdweewww55s9lffasxav0d0ft" timestamp="1720072145" guid="80090fd2-0165-4e4c-9714-ed4f16b3da41"&gt;982&lt;/key&gt;&lt;/foreign-keys&gt;&lt;ref-type name="Journal Article"&gt;17&lt;/ref-type&gt;&lt;contributors&gt;&lt;authors&gt;&lt;author&gt;Moitra M&lt;/author&gt;&lt;author&gt;Santomauro D&lt;/author&gt;&lt;author&gt;Degenhardt L&lt;/author&gt;&lt;author&gt;Collins PY&lt;/author&gt;&lt;author&gt;Whiteford H&lt;/author&gt;&lt;author&gt;Vos T &lt;/author&gt;&lt;author&gt;Ferrari A&lt;/author&gt;&lt;/authors&gt;&lt;/contributors&gt;&lt;titles&gt;&lt;title&gt;Estimating the risk of suicide associated with mental disorders: a systematic review and meta-regression analysis&lt;/title&gt;&lt;secondary-title&gt;Journal of Psychiatric Research&lt;/secondary-title&gt;&lt;/titles&gt;&lt;periodical&gt;&lt;full-title&gt;Journal of Psychiatric Research&lt;/full-title&gt;&lt;/periodical&gt;&lt;volume&gt;137&lt;/volume&gt;&lt;section&gt;242&lt;/section&gt;&lt;dates&gt;&lt;year&gt;2021&lt;/year&gt;&lt;/dates&gt;&lt;urls&gt;&lt;/urls&gt;&lt;electronic-resource-num&gt;doi:10.1016/j.jpsychires.2021.02.053&lt;/electronic-resource-num&gt;&lt;/record&gt;&lt;/Cite&gt;&lt;/EndNote&gt;</w:instrText>
              </w:r>
              <w:r w:rsidR="002D6F18">
                <w:fldChar w:fldCharType="separate"/>
              </w:r>
              <w:r w:rsidR="002D6F18" w:rsidRPr="0082082D">
                <w:rPr>
                  <w:noProof/>
                  <w:vertAlign w:val="superscript"/>
                </w:rPr>
                <w:t>24</w:t>
              </w:r>
              <w:r w:rsidR="002D6F18">
                <w:fldChar w:fldCharType="end"/>
              </w:r>
            </w:hyperlink>
            <w:r w:rsidRPr="00745B34">
              <w:t xml:space="preserve"> or even 90%</w:t>
            </w:r>
            <w:r w:rsidR="006936ED">
              <w:t>.</w:t>
            </w:r>
            <w:hyperlink w:anchor="_ENREF_25" w:tooltip="L, 2018 #983" w:history="1">
              <w:r w:rsidR="002D6F18">
                <w:fldChar w:fldCharType="begin"/>
              </w:r>
              <w:r w:rsidR="002D6F18">
                <w:instrText xml:space="preserve"> ADDIN EN.CITE &lt;EndNote&gt;&lt;Cite&gt;&lt;Author&gt;L&lt;/Author&gt;&lt;Year&gt;2018&lt;/Year&gt;&lt;RecNum&gt;983&lt;/RecNum&gt;&lt;DisplayText&gt;&lt;style face="superscript"&gt;25&lt;/style&gt;&lt;/DisplayText&gt;&lt;record&gt;&lt;rec-number&gt;983&lt;/rec-number&gt;&lt;foreign-keys&gt;&lt;key app="EN" db-id="rsettzd2isasdweewww55s9lffasxav0d0ft" timestamp="1720072338" guid="a9f7369e-b599-4ff2-beb4-cbc5f2c72b8e"&gt;983&lt;/key&gt;&lt;/foreign-keys&gt;&lt;ref-type name="Journal Article"&gt;17&lt;/ref-type&gt;&lt;contributors&gt;&lt;authors&gt;&lt;author&gt;Brådvik L&lt;/author&gt;&lt;/authors&gt;&lt;/contributors&gt;&lt;titles&gt;&lt;title&gt;Suicide risk and mental disorders&lt;/title&gt;&lt;secondary-title&gt;International Journal of Environmental Research and Public Health&lt;/secondary-title&gt;&lt;/titles&gt;&lt;periodical&gt;&lt;full-title&gt;International Journal of Environmental Research and Public Health&lt;/full-title&gt;&lt;/periodical&gt;&lt;dates&gt;&lt;year&gt;2018&lt;/year&gt;&lt;/dates&gt;&lt;urls&gt;&lt;/urls&gt;&lt;electronic-resource-num&gt;doi:10.3390/ijerph15092028&lt;/electronic-resource-num&gt;&lt;/record&gt;&lt;/Cite&gt;&lt;/EndNote&gt;</w:instrText>
              </w:r>
              <w:r w:rsidR="002D6F18">
                <w:fldChar w:fldCharType="separate"/>
              </w:r>
              <w:r w:rsidR="002D6F18" w:rsidRPr="0082082D">
                <w:rPr>
                  <w:noProof/>
                  <w:vertAlign w:val="superscript"/>
                </w:rPr>
                <w:t>25</w:t>
              </w:r>
              <w:r w:rsidR="002D6F18">
                <w:fldChar w:fldCharType="end"/>
              </w:r>
            </w:hyperlink>
            <w:r w:rsidRPr="00B768A1">
              <w:rPr>
                <w:rStyle w:val="normaltextrun"/>
                <w:rFonts w:ascii="Century Gothic" w:eastAsia="Century Gothic" w:hAnsi="Century Gothic" w:cs="Century Gothic"/>
              </w:rPr>
              <w:t xml:space="preserve"> </w:t>
            </w:r>
          </w:p>
          <w:p w14:paraId="465C96B0" w14:textId="525A95B0" w:rsidR="00EE0DC4" w:rsidRPr="00745B34" w:rsidRDefault="7DC5A436" w:rsidP="00745B34">
            <w:pPr>
              <w:cnfStyle w:val="000000000000" w:firstRow="0" w:lastRow="0" w:firstColumn="0" w:lastColumn="0" w:oddVBand="0" w:evenVBand="0" w:oddHBand="0" w:evenHBand="0" w:firstRowFirstColumn="0" w:firstRowLastColumn="0" w:lastRowFirstColumn="0" w:lastRowLastColumn="0"/>
            </w:pPr>
            <w:r w:rsidRPr="00745B34">
              <w:rPr>
                <w:rStyle w:val="normaltextrun"/>
                <w:rFonts w:eastAsia="Century Gothic"/>
              </w:rPr>
              <w:t>Research also shows that people with severe and complex mental illnesses have a significantly higher risk of dying by suicide than those without.</w:t>
            </w:r>
            <w:hyperlink w:anchor="_ENREF_25" w:tooltip="L, 2018 #983" w:history="1">
              <w:r w:rsidR="002D6F18">
                <w:rPr>
                  <w:rStyle w:val="normaltextrun"/>
                  <w:rFonts w:eastAsia="Century Gothic"/>
                </w:rPr>
                <w:fldChar w:fldCharType="begin"/>
              </w:r>
              <w:r w:rsidR="002D6F18">
                <w:rPr>
                  <w:rStyle w:val="normaltextrun"/>
                  <w:rFonts w:eastAsia="Century Gothic"/>
                </w:rPr>
                <w:instrText xml:space="preserve"> ADDIN EN.CITE &lt;EndNote&gt;&lt;Cite&gt;&lt;Author&gt;L&lt;/Author&gt;&lt;Year&gt;2018&lt;/Year&gt;&lt;RecNum&gt;983&lt;/RecNum&gt;&lt;DisplayText&gt;&lt;style face="superscript"&gt;25&lt;/style&gt;&lt;/DisplayText&gt;&lt;record&gt;&lt;rec-number&gt;983&lt;/rec-number&gt;&lt;foreign-keys&gt;&lt;key app="EN" db-id="rsettzd2isasdweewww55s9lffasxav0d0ft" timestamp="1720072338" guid="a9f7369e-b599-4ff2-beb4-cbc5f2c72b8e"&gt;983&lt;/key&gt;&lt;/foreign-keys&gt;&lt;ref-type name="Journal Article"&gt;17&lt;/ref-type&gt;&lt;contributors&gt;&lt;authors&gt;&lt;author&gt;Brådvik L&lt;/author&gt;&lt;/authors&gt;&lt;/contributors&gt;&lt;titles&gt;&lt;title&gt;Suicide risk and mental disorders&lt;/title&gt;&lt;secondary-title&gt;International Journal of Environmental Research and Public Health&lt;/secondary-title&gt;&lt;/titles&gt;&lt;periodical&gt;&lt;full-title&gt;International Journal of Environmental Research and Public Health&lt;/full-title&gt;&lt;/periodical&gt;&lt;dates&gt;&lt;year&gt;2018&lt;/year&gt;&lt;/dates&gt;&lt;urls&gt;&lt;/urls&gt;&lt;electronic-resource-num&gt;doi:10.3390/ijerph15092028&lt;/electronic-resource-num&gt;&lt;/record&gt;&lt;/Cite&gt;&lt;/EndNote&gt;</w:instrText>
              </w:r>
              <w:r w:rsidR="002D6F18">
                <w:rPr>
                  <w:rStyle w:val="normaltextrun"/>
                  <w:rFonts w:eastAsia="Century Gothic"/>
                </w:rPr>
                <w:fldChar w:fldCharType="separate"/>
              </w:r>
              <w:r w:rsidR="002D6F18" w:rsidRPr="0082082D">
                <w:rPr>
                  <w:rStyle w:val="normaltextrun"/>
                  <w:rFonts w:eastAsia="Century Gothic"/>
                  <w:noProof/>
                  <w:vertAlign w:val="superscript"/>
                </w:rPr>
                <w:t>25</w:t>
              </w:r>
              <w:r w:rsidR="002D6F18">
                <w:rPr>
                  <w:rStyle w:val="normaltextrun"/>
                  <w:rFonts w:eastAsia="Century Gothic"/>
                </w:rPr>
                <w:fldChar w:fldCharType="end"/>
              </w:r>
            </w:hyperlink>
          </w:p>
          <w:p w14:paraId="1DF61E8E" w14:textId="68923BB8" w:rsidR="00EE0DC4" w:rsidRPr="00745B34" w:rsidRDefault="7DC5A436" w:rsidP="00745B34">
            <w:pPr>
              <w:cnfStyle w:val="000000000000" w:firstRow="0" w:lastRow="0" w:firstColumn="0" w:lastColumn="0" w:oddVBand="0" w:evenVBand="0" w:oddHBand="0" w:evenHBand="0" w:firstRowFirstColumn="0" w:firstRowLastColumn="0" w:lastRowFirstColumn="0" w:lastRowLastColumn="0"/>
              <w:rPr>
                <w:b/>
              </w:rPr>
            </w:pPr>
            <w:r w:rsidRPr="00745B34">
              <w:rPr>
                <w:rStyle w:val="normaltextrun"/>
                <w:rFonts w:eastAsia="Century Gothic"/>
              </w:rPr>
              <w:t>However, most people who have a mental illness do not die by suicide, and a person does not have to have a mental illness to be at risk of suicide.</w:t>
            </w:r>
            <w:hyperlink w:anchor="_ENREF_4" w:tooltip="Statistics, 2023 #363" w:history="1">
              <w:r w:rsidR="002D6F18">
                <w:rPr>
                  <w:rStyle w:val="normaltextrun"/>
                  <w:rFonts w:eastAsia="Century Gothic"/>
                </w:rPr>
                <w:fldChar w:fldCharType="begin"/>
              </w:r>
              <w:r w:rsidR="002D6F18">
                <w:rPr>
                  <w:rStyle w:val="normaltextrun"/>
                  <w:rFonts w:eastAsia="Century Gothic"/>
                </w:rPr>
                <w:instrText xml:space="preserve"> ADDIN EN.CITE &lt;EndNote&gt;&lt;Cite&gt;&lt;Author&gt;Statistics&lt;/Author&gt;&lt;Year&gt;2023&lt;/Year&gt;&lt;RecNum&gt;558&lt;/RecNum&gt;&lt;DisplayText&gt;&lt;style face="superscript"&gt;4&lt;/style&gt;&lt;/DisplayText&gt;&lt;record&gt;&lt;rec-number&gt;558&lt;/rec-number&gt;&lt;foreign-keys&gt;&lt;key app="EN" db-id="rsettzd2isasdweewww55s9lffasxav0d0ft" timestamp="1707862922" guid="0668b6b4-3e33-4f11-b428-da84b50ff55a"&gt;558&lt;/key&gt;&lt;/foreign-keys&gt;&lt;ref-type name="Web Page"&gt;12&lt;/ref-type&gt;&lt;contributors&gt;&lt;authors&gt;&lt;author&gt;Australian Bureau of Statistics&lt;/author&gt;&lt;/authors&gt;&lt;/contributors&gt;&lt;titles&gt;&lt;title&gt;National Study of Mental Health and Wellbeing 2020-22&lt;/title&gt;&lt;/titles&gt;&lt;dates&gt;&lt;year&gt;2023&lt;/year&gt;&lt;/dates&gt;&lt;publisher&gt;ABS&lt;/publisher&gt;&lt;work-type&gt;Internet&lt;/work-type&gt;&lt;urls&gt;&lt;related-urls&gt;&lt;url&gt;https://www.abs.gov.au/statistics/health/mental-health/national-study-mental-health-and-wellbeing/2020-2022&lt;/url&gt;&lt;/related-urls&gt;&lt;/urls&gt;&lt;custom1&gt;2023&lt;/custom1&gt;&lt;custom2&gt;October 24&lt;/custom2&gt;&lt;/record&gt;&lt;/Cite&gt;&lt;/EndNote&gt;</w:instrText>
              </w:r>
              <w:r w:rsidR="002D6F18">
                <w:rPr>
                  <w:rStyle w:val="normaltextrun"/>
                  <w:rFonts w:eastAsia="Century Gothic"/>
                </w:rPr>
                <w:fldChar w:fldCharType="separate"/>
              </w:r>
              <w:r w:rsidR="002D6F18" w:rsidRPr="00E25362">
                <w:rPr>
                  <w:rStyle w:val="normaltextrun"/>
                  <w:rFonts w:eastAsia="Century Gothic"/>
                  <w:noProof/>
                  <w:vertAlign w:val="superscript"/>
                </w:rPr>
                <w:t>4</w:t>
              </w:r>
              <w:r w:rsidR="002D6F18">
                <w:rPr>
                  <w:rStyle w:val="normaltextrun"/>
                  <w:rFonts w:eastAsia="Century Gothic"/>
                </w:rPr>
                <w:fldChar w:fldCharType="end"/>
              </w:r>
            </w:hyperlink>
          </w:p>
        </w:tc>
      </w:tr>
      <w:tr w:rsidR="00875C51" w:rsidRPr="00EE0DC4" w14:paraId="55934371" w14:textId="77777777" w:rsidTr="352D6B08">
        <w:tc>
          <w:tcPr>
            <w:cnfStyle w:val="001000000000" w:firstRow="0" w:lastRow="0" w:firstColumn="1" w:lastColumn="0" w:oddVBand="0" w:evenVBand="0" w:oddHBand="0" w:evenHBand="0" w:firstRowFirstColumn="0" w:firstRowLastColumn="0" w:lastRowFirstColumn="0" w:lastRowLastColumn="0"/>
            <w:tcW w:w="1985" w:type="dxa"/>
          </w:tcPr>
          <w:p w14:paraId="0BE4B966" w14:textId="669342A7" w:rsidR="00875C51" w:rsidRPr="00A771EF" w:rsidRDefault="00875C51" w:rsidP="00634A83">
            <w:pPr>
              <w:rPr>
                <w:b w:val="0"/>
                <w:bCs/>
              </w:rPr>
            </w:pPr>
            <w:r w:rsidRPr="00A771EF">
              <w:rPr>
                <w:b w:val="0"/>
                <w:bCs/>
              </w:rPr>
              <w:t>Families, carers and kin</w:t>
            </w:r>
          </w:p>
        </w:tc>
        <w:tc>
          <w:tcPr>
            <w:tcW w:w="7076" w:type="dxa"/>
            <w:tcMar>
              <w:top w:w="28" w:type="dxa"/>
              <w:bottom w:w="28" w:type="dxa"/>
            </w:tcMar>
          </w:tcPr>
          <w:p w14:paraId="60A92F95" w14:textId="7A3F90C6" w:rsidR="00875C51" w:rsidRPr="00EE0DC4" w:rsidRDefault="282FBE20" w:rsidP="00634A83">
            <w:pPr>
              <w:pStyle w:val="BodyText"/>
              <w:cnfStyle w:val="000000000000" w:firstRow="0" w:lastRow="0" w:firstColumn="0" w:lastColumn="0" w:oddVBand="0" w:evenVBand="0" w:oddHBand="0" w:evenHBand="0" w:firstRowFirstColumn="0" w:firstRowLastColumn="0" w:lastRowFirstColumn="0" w:lastRowLastColumn="0"/>
              <w:rPr>
                <w:rStyle w:val="normaltextrun"/>
                <w:rFonts w:ascii="Century Gothic" w:eastAsia="Century Gothic" w:hAnsi="Century Gothic" w:cs="Century Gothic"/>
              </w:rPr>
            </w:pPr>
            <w:r w:rsidRPr="00B768A1">
              <w:t xml:space="preserve">Families, carers and kin often provide informal care following a suicide attempt. This has been found to contribute in some cases to caregiver burden, </w:t>
            </w:r>
            <w:r w:rsidR="5A56D228">
              <w:t xml:space="preserve">that is, </w:t>
            </w:r>
            <w:r w:rsidRPr="00B768A1">
              <w:t>the caregiver experiences higher levels of distress and increased risk of suicide.</w:t>
            </w:r>
            <w:hyperlink w:anchor="_ENREF_8" w:tooltip="M, 2023 #280" w:history="1">
              <w:r w:rsidR="002D6F18">
                <w:fldChar w:fldCharType="begin"/>
              </w:r>
              <w:r w:rsidR="002D6F18">
                <w:instrText xml:space="preserve"> ADDIN EN.CITE &lt;EndNote&gt;&lt;Cite&gt;&lt;Author&gt;M&lt;/Author&gt;&lt;Year&gt;2023&lt;/Year&gt;&lt;RecNum&gt;280&lt;/RecNum&gt;&lt;DisplayText&gt;&lt;style face="superscript"&gt;8&lt;/style&gt;&lt;/DisplayText&gt;&lt;record&gt;&lt;rec-number&gt;280&lt;/rec-number&gt;&lt;foreign-keys&gt;&lt;key app="EN" db-id="rsettzd2isasdweewww55s9lffasxav0d0ft" timestamp="1700699470" guid="340ffcf0-2373-43e8-8ccc-ceac853a4379"&gt;280&lt;/key&gt;&lt;/foreign-keys&gt;&lt;ref-type name="Journal Article"&gt;17&lt;/ref-type&gt;&lt;contributors&gt;&lt;authors&gt;&lt;author&gt;Maple M&lt;/author&gt;&lt;author&gt;Wayland S&lt;/author&gt;&lt;author&gt;Sanford RL&lt;/author&gt;&lt;author&gt;Bhullar N&lt;/author&gt;&lt;/authors&gt;&lt;/contributors&gt;&lt;titles&gt;&lt;title&gt;Predictors of Caregiver Burden Among Carers of Suicide Attempt Survivors&lt;/title&gt;&lt;secondary-title&gt;Crisis: The Journal of Crisis Intervention and Suicide Prevention&lt;/secondary-title&gt;&lt;/titles&gt;&lt;periodical&gt;&lt;full-title&gt;Crisis: The Journal of Crisis Intervention and Suicide Prevention&lt;/full-title&gt;&lt;/periodical&gt;&lt;dates&gt;&lt;year&gt;2023&lt;/year&gt;&lt;/dates&gt;&lt;urls&gt;&lt;/urls&gt;&lt;electronic-resource-num&gt;DOI: 10.1027/0227-5910/a000836&lt;/electronic-resource-num&gt;&lt;/record&gt;&lt;/Cite&gt;&lt;/EndNote&gt;</w:instrText>
              </w:r>
              <w:r w:rsidR="002D6F18">
                <w:fldChar w:fldCharType="separate"/>
              </w:r>
              <w:r w:rsidR="002D6F18" w:rsidRPr="0082082D">
                <w:rPr>
                  <w:noProof/>
                  <w:vertAlign w:val="superscript"/>
                </w:rPr>
                <w:t>8</w:t>
              </w:r>
              <w:r w:rsidR="002D6F18">
                <w:fldChar w:fldCharType="end"/>
              </w:r>
            </w:hyperlink>
            <w:r w:rsidR="00446237" w:rsidRPr="0016724E">
              <w:rPr>
                <w:vertAlign w:val="superscript"/>
              </w:rPr>
              <w:t>,</w:t>
            </w:r>
            <w:hyperlink w:anchor="_ENREF_26" w:tooltip="ST, 2021 #984" w:history="1">
              <w:r w:rsidR="002D6F18">
                <w:fldChar w:fldCharType="begin"/>
              </w:r>
              <w:r w:rsidR="002D6F18">
                <w:instrText xml:space="preserve"> ADDIN EN.CITE &lt;EndNote&gt;&lt;Cite&gt;&lt;Author&gt;ST&lt;/Author&gt;&lt;Year&gt;2021&lt;/Year&gt;&lt;RecNum&gt;984&lt;/RecNum&gt;&lt;DisplayText&gt;&lt;style face="superscript"&gt;26&lt;/style&gt;&lt;/DisplayText&gt;&lt;record&gt;&lt;rec-number&gt;984&lt;/rec-number&gt;&lt;foreign-keys&gt;&lt;key app="EN" db-id="rsettzd2isasdweewww55s9lffasxav0d0ft" timestamp="1720072454" guid="fe75af61-d441-4fbe-81ef-1825d35aba02"&gt;984&lt;/key&gt;&lt;/foreign-keys&gt;&lt;ref-type name="Journal Article"&gt;17&lt;/ref-type&gt;&lt;contributors&gt;&lt;authors&gt;&lt;author&gt;O&amp;apos;Dwyer ST&lt;/author&gt;&lt;author&gt;Janssens A&lt;/author&gt;&lt;author&gt;Sansom A&lt;/author&gt;&lt;author&gt;Biddle L&lt;/author&gt;&lt;author&gt;Mars B&lt;/author&gt;&lt;author&gt;Slater T&lt;/author&gt;&lt;author&gt;Moran P&lt;/author&gt;&lt;author&gt;Stallard P&lt;/author&gt;&lt;author&gt;Melluish J&lt;/author&gt;&lt;author&gt;Reakes L&lt;/author&gt;&lt;author&gt;Walker A&lt;/author&gt;&lt;author&gt;Andrewartha C&lt;/author&gt;&lt;author&gt;Hastings RP&lt;/author&gt;&lt;/authors&gt;&lt;/contributors&gt;&lt;titles&gt;&lt;title&gt;Suicidality in family caregivers of people with long-term illnesses and disabilities: A scoping review&lt;/title&gt;&lt;secondary-title&gt;Comprehensive Psychiatry&lt;/secondary-title&gt;&lt;/titles&gt;&lt;periodical&gt;&lt;full-title&gt;Comprehensive Psychiatry&lt;/full-title&gt;&lt;/periodical&gt;&lt;pages&gt;152261&lt;/pages&gt;&lt;volume&gt;110&lt;/volume&gt;&lt;keywords&gt;&lt;keyword&gt;Carers&lt;/keyword&gt;&lt;keyword&gt;Caregivers&lt;/keyword&gt;&lt;keyword&gt;Suicide&lt;/keyword&gt;&lt;keyword&gt;Homicide&lt;/keyword&gt;&lt;keyword&gt;Disability&lt;/keyword&gt;&lt;keyword&gt;Chronic illness&lt;/keyword&gt;&lt;/keywords&gt;&lt;dates&gt;&lt;year&gt;2021&lt;/year&gt;&lt;pub-dates&gt;&lt;date&gt;2021/10/01/&lt;/date&gt;&lt;/pub-dates&gt;&lt;/dates&gt;&lt;isbn&gt;0010-440X&lt;/isbn&gt;&lt;urls&gt;&lt;related-urls&gt;&lt;url&gt;https://www.sciencedirect.com/science/article/pii/S0010440X21000390&lt;/url&gt;&lt;/related-urls&gt;&lt;/urls&gt;&lt;electronic-resource-num&gt;https://doi.org/10.1016/j.comppsych.2021.152261&lt;/electronic-resource-num&gt;&lt;/record&gt;&lt;/Cite&gt;&lt;/EndNote&gt;</w:instrText>
              </w:r>
              <w:r w:rsidR="002D6F18">
                <w:fldChar w:fldCharType="separate"/>
              </w:r>
              <w:r w:rsidR="002D6F18" w:rsidRPr="0082082D">
                <w:rPr>
                  <w:noProof/>
                  <w:vertAlign w:val="superscript"/>
                </w:rPr>
                <w:t>26</w:t>
              </w:r>
              <w:r w:rsidR="002D6F18">
                <w:fldChar w:fldCharType="end"/>
              </w:r>
            </w:hyperlink>
            <w:r w:rsidR="0606A92A" w:rsidRPr="352D6B08">
              <w:rPr>
                <w:rStyle w:val="EndnoteReference"/>
                <w:rFonts w:eastAsia="Century Gothic"/>
              </w:rPr>
              <w:t xml:space="preserve"> </w:t>
            </w:r>
            <w:r w:rsidR="0606A92A" w:rsidRPr="352D6B08">
              <w:rPr>
                <w:rStyle w:val="EndnoteReference"/>
                <w:rFonts w:eastAsia="Century Gothic"/>
                <w:vertAlign w:val="baseline"/>
              </w:rPr>
              <w:t xml:space="preserve">Family history of suicide </w:t>
            </w:r>
            <w:r w:rsidR="48F7BBFF" w:rsidRPr="352D6B08">
              <w:rPr>
                <w:rStyle w:val="EndnoteReference"/>
                <w:rFonts w:eastAsia="Century Gothic"/>
                <w:vertAlign w:val="baseline"/>
              </w:rPr>
              <w:t>is recognised as a risk factor for suicide, through exposure to suicide, bereavement by suicide and</w:t>
            </w:r>
            <w:r w:rsidR="04154E48" w:rsidRPr="352D6B08">
              <w:rPr>
                <w:rStyle w:val="EndnoteReference"/>
                <w:rFonts w:eastAsia="Century Gothic"/>
                <w:vertAlign w:val="baseline"/>
              </w:rPr>
              <w:t xml:space="preserve"> heritability of suicidal behaviour.</w:t>
            </w:r>
            <w:hyperlink w:anchor="_ENREF_27" w:tooltip="AL, 2016 #155" w:history="1">
              <w:r w:rsidR="002D6F18">
                <w:rPr>
                  <w:rStyle w:val="EndnoteReference"/>
                  <w:rFonts w:eastAsia="Century Gothic"/>
                  <w:vertAlign w:val="baseline"/>
                </w:rPr>
                <w:fldChar w:fldCharType="begin"/>
              </w:r>
              <w:r w:rsidR="002D6F18">
                <w:rPr>
                  <w:rFonts w:eastAsia="Century Gothic"/>
                </w:rPr>
                <w:instrText xml:space="preserve"> ADDIN EN.CITE &lt;EndNote&gt;&lt;Cite&gt;&lt;Author&gt;AL&lt;/Author&gt;&lt;Year&gt;2016&lt;/Year&gt;&lt;RecNum&gt;155&lt;/RecNum&gt;&lt;DisplayText&gt;&lt;style face="superscript"&gt;27&lt;/style&gt;&lt;/DisplayText&gt;&lt;record&gt;&lt;rec-number&gt;155&lt;/rec-number&gt;&lt;foreign-keys&gt;&lt;key app="EN" db-id="rsettzd2isasdweewww55s9lffasxav0d0ft" timestamp="1700699468" guid="e4280e81-36d8-4480-81e0-68e206a844a7"&gt;155&lt;/key&gt;&lt;/foreign-keys&gt;&lt;ref-type name="Journal Article"&gt;17&lt;/ref-type&gt;&lt;contributors&gt;&lt;authors&gt;&lt;author&gt;Pitman AL&lt;/author&gt;&lt;author&gt;Osborn DPJ&lt;/author&gt;&lt;author&gt;Rantell K&lt;/author&gt;&lt;author&gt;King MB&lt;/author&gt;&lt;/authors&gt;&lt;/contributors&gt;&lt;titles&gt;&lt;title&gt;Bereavement by Suicide as a Risk Factor for Suicide Attempt: A Cross-Sectional National UK-Wide Study of 3432 Young Bereaved Adults&lt;/title&gt;&lt;secondary-title&gt;BMJ Open&lt;/secondary-title&gt;&lt;/titles&gt;&lt;periodical&gt;&lt;full-title&gt;BMJ Open&lt;/full-title&gt;&lt;/periodical&gt;&lt;dates&gt;&lt;year&gt;2016&lt;/year&gt;&lt;/dates&gt;&lt;urls&gt;&lt;/urls&gt;&lt;electronic-resource-num&gt;DOI: 10.1136/bmjopen-2015-009948&lt;/electronic-resource-num&gt;&lt;/record&gt;&lt;/Cite&gt;&lt;/EndNote&gt;</w:instrText>
              </w:r>
              <w:r w:rsidR="002D6F18">
                <w:rPr>
                  <w:rStyle w:val="EndnoteReference"/>
                  <w:rFonts w:eastAsia="Century Gothic"/>
                  <w:vertAlign w:val="baseline"/>
                </w:rPr>
                <w:fldChar w:fldCharType="separate"/>
              </w:r>
              <w:r w:rsidR="002D6F18" w:rsidRPr="0082082D">
                <w:rPr>
                  <w:rFonts w:eastAsia="Century Gothic"/>
                  <w:noProof/>
                  <w:vertAlign w:val="superscript"/>
                </w:rPr>
                <w:t>27</w:t>
              </w:r>
              <w:r w:rsidR="002D6F18">
                <w:rPr>
                  <w:rStyle w:val="EndnoteReference"/>
                  <w:rFonts w:eastAsia="Century Gothic"/>
                  <w:vertAlign w:val="baseline"/>
                </w:rPr>
                <w:fldChar w:fldCharType="end"/>
              </w:r>
            </w:hyperlink>
            <w:r w:rsidR="0016724E" w:rsidRPr="001C2495">
              <w:rPr>
                <w:rFonts w:eastAsia="Century Gothic"/>
                <w:vertAlign w:val="superscript"/>
              </w:rPr>
              <w:t>,</w:t>
            </w:r>
            <w:hyperlink w:anchor="_ENREF_28" w:tooltip="G, 2019 #985" w:history="1">
              <w:r w:rsidR="002D6F18">
                <w:rPr>
                  <w:rFonts w:eastAsia="Century Gothic"/>
                </w:rPr>
                <w:fldChar w:fldCharType="begin"/>
              </w:r>
              <w:r w:rsidR="002D6F18">
                <w:rPr>
                  <w:rFonts w:eastAsia="Century Gothic"/>
                </w:rPr>
                <w:instrText xml:space="preserve"> ADDIN EN.CITE &lt;EndNote&gt;&lt;Cite&gt;&lt;Author&gt;G&lt;/Author&gt;&lt;Year&gt;2019&lt;/Year&gt;&lt;RecNum&gt;985&lt;/RecNum&gt;&lt;DisplayText&gt;&lt;style face="superscript"&gt;28&lt;/style&gt;&lt;/DisplayText&gt;&lt;record&gt;&lt;rec-number&gt;985&lt;/rec-number&gt;&lt;foreign-keys&gt;&lt;key app="EN" db-id="rsettzd2isasdweewww55s9lffasxav0d0ft" timestamp="1720075866" guid="534ffacb-8e50-49c3-8eb5-48c379c60e1d"&gt;985&lt;/key&gt;&lt;/foreign-keys&gt;&lt;ref-type name="Journal Article"&gt;17&lt;/ref-type&gt;&lt;contributors&gt;&lt;authors&gt;&lt;author&gt;Turecki G&lt;/author&gt;&lt;author&gt;Brent DA&lt;/author&gt;&lt;author&gt;Gunnell D&lt;/author&gt;&lt;author&gt;O’Connor RC&lt;/author&gt;&lt;author&gt;Oquendo MA&lt;/author&gt;&lt;author&gt;Pirkis J&lt;/author&gt;&lt;author&gt;Stanley BH&lt;/author&gt;&lt;/authors&gt;&lt;/contributors&gt;&lt;titles&gt;&lt;title&gt;Suicide and suicide risk&lt;/title&gt;&lt;secondary-title&gt;Nature Reviews Disease Primers&lt;/secondary-title&gt;&lt;/titles&gt;&lt;periodical&gt;&lt;full-title&gt;Nature Reviews Disease Primers&lt;/full-title&gt;&lt;/periodical&gt;&lt;pages&gt;74&lt;/pages&gt;&lt;volume&gt;5&lt;/volume&gt;&lt;number&gt;1&lt;/number&gt;&lt;dates&gt;&lt;year&gt;2019&lt;/year&gt;&lt;pub-dates&gt;&lt;date&gt;2019/10/24&lt;/date&gt;&lt;/pub-dates&gt;&lt;/dates&gt;&lt;isbn&gt;2056-676X&lt;/isbn&gt;&lt;urls&gt;&lt;related-urls&gt;&lt;url&gt;https://doi.org/10.1038/s41572-019-0121-0&lt;/url&gt;&lt;/related-urls&gt;&lt;/urls&gt;&lt;electronic-resource-num&gt;10.1038/s41572-019-0121-0&lt;/electronic-resource-num&gt;&lt;/record&gt;&lt;/Cite&gt;&lt;/EndNote&gt;</w:instrText>
              </w:r>
              <w:r w:rsidR="002D6F18">
                <w:rPr>
                  <w:rFonts w:eastAsia="Century Gothic"/>
                </w:rPr>
                <w:fldChar w:fldCharType="separate"/>
              </w:r>
              <w:r w:rsidR="002D6F18" w:rsidRPr="0082082D">
                <w:rPr>
                  <w:rFonts w:eastAsia="Century Gothic"/>
                  <w:noProof/>
                  <w:vertAlign w:val="superscript"/>
                </w:rPr>
                <w:t>28</w:t>
              </w:r>
              <w:r w:rsidR="002D6F18">
                <w:rPr>
                  <w:rFonts w:eastAsia="Century Gothic"/>
                </w:rPr>
                <w:fldChar w:fldCharType="end"/>
              </w:r>
            </w:hyperlink>
            <w:r w:rsidR="48F7BBFF" w:rsidRPr="00381701">
              <w:rPr>
                <w:rStyle w:val="EndnoteReference"/>
                <w:rFonts w:eastAsia="Century Gothic"/>
              </w:rPr>
              <w:t xml:space="preserve"> </w:t>
            </w:r>
          </w:p>
        </w:tc>
      </w:tr>
    </w:tbl>
    <w:p w14:paraId="36FB42FB" w14:textId="7EF50D65" w:rsidR="007363D1" w:rsidRDefault="007363D1" w:rsidP="00381701">
      <w:pPr>
        <w:spacing w:before="240" w:after="160"/>
      </w:pPr>
      <w:r>
        <w:t xml:space="preserve">Importantly, </w:t>
      </w:r>
      <w:r w:rsidR="0073263F">
        <w:t xml:space="preserve">this data should not mask the strengths and resilience within these communities. It does </w:t>
      </w:r>
      <w:r>
        <w:t xml:space="preserve">not reflect inherent vulnerabilities within specific groups, but rather the </w:t>
      </w:r>
      <w:r w:rsidR="0073263F">
        <w:t xml:space="preserve">fact that </w:t>
      </w:r>
      <w:r w:rsidR="00F91D9E">
        <w:t xml:space="preserve">the root cause of the disproportionate rates of suicide lies in the </w:t>
      </w:r>
      <w:r>
        <w:t xml:space="preserve">disparities and inequities </w:t>
      </w:r>
      <w:r w:rsidR="00F91D9E">
        <w:t xml:space="preserve">in social and economic circumstances </w:t>
      </w:r>
      <w:r>
        <w:t>that impact the</w:t>
      </w:r>
      <w:r w:rsidR="00F91D9E">
        <w:t>m.</w:t>
      </w:r>
      <w:r w:rsidR="006159FB" w:rsidRPr="006159FB">
        <w:t xml:space="preserve"> While the specific disparities and the way they manifest differs between communities, recurring themes include experiences of discrimination, economic insecurity, stigma, poor health outcomes, and reduced access to supports capable of </w:t>
      </w:r>
      <w:r>
        <w:t xml:space="preserve">responding </w:t>
      </w:r>
      <w:r w:rsidR="006E065C">
        <w:t xml:space="preserve">to </w:t>
      </w:r>
      <w:r>
        <w:t xml:space="preserve">their needs. </w:t>
      </w:r>
    </w:p>
    <w:p w14:paraId="106C5BD6" w14:textId="6535C21C" w:rsidR="006159FB" w:rsidRDefault="006159FB" w:rsidP="006159FB">
      <w:pPr>
        <w:spacing w:after="160"/>
      </w:pPr>
      <w:r w:rsidRPr="006159FB">
        <w:t>Given this, a shift to a broader approach to suicide prevention – one that not only provides comprehensive supports that respond to diverse health and socio-economic needs, but also addresses the socio-economic drivers of distress in the first place – will directly target the underlying causes of the disproportionate rates of suicide in these communities. This approach will also ensure that the system is inherently designed to be more flexible and is better able to respond to intersectionality – the reality that many people may identify with multiple groups and that these identity markers do not exist independently but, rather, influence each other with compounding effects.</w:t>
      </w:r>
    </w:p>
    <w:p w14:paraId="613339DD" w14:textId="77777777" w:rsidR="00A81718" w:rsidRPr="00546BCC" w:rsidRDefault="00A81718" w:rsidP="00E73CAF">
      <w:pPr>
        <w:pStyle w:val="BT-Quotes"/>
        <w:pBdr>
          <w:top w:val="single" w:sz="36" w:space="0" w:color="EFEBDA" w:themeColor="text2"/>
        </w:pBdr>
        <w:spacing w:before="240" w:after="0"/>
        <w:rPr>
          <w:sz w:val="4"/>
          <w:szCs w:val="4"/>
        </w:rPr>
      </w:pPr>
    </w:p>
    <w:p w14:paraId="046120E0" w14:textId="33059855" w:rsidR="1847DF77" w:rsidRPr="00B768A1" w:rsidRDefault="1847DF77" w:rsidP="00546BCC">
      <w:pPr>
        <w:pStyle w:val="BT-Quotes"/>
        <w:pBdr>
          <w:top w:val="single" w:sz="36" w:space="0" w:color="EFEBDA" w:themeColor="text2"/>
        </w:pBdr>
        <w:spacing w:after="240"/>
      </w:pPr>
      <w:r w:rsidRPr="00B768A1">
        <w:t xml:space="preserve">“Suicide can affect anyone. However, suicide does not affect everyone in the same way. My experiences with suicide intersect with my disability, cultural diversity, gender, sexuality, homelessness, and more. To understand and support me, intersectionality is not just an option—it’s a necessity. My identities and experiences cannot be separated into silos or checkboxes. By </w:t>
      </w:r>
      <w:r w:rsidRPr="000B034C">
        <w:rPr>
          <w:rStyle w:val="Strong"/>
          <w:b w:val="0"/>
        </w:rPr>
        <w:t>embracing intersectionality</w:t>
      </w:r>
      <w:r w:rsidRPr="000B034C">
        <w:rPr>
          <w:b/>
        </w:rPr>
        <w:t>,</w:t>
      </w:r>
      <w:r w:rsidRPr="00B768A1">
        <w:t xml:space="preserve"> we recognise that a one-size-fits-all approach is inappropriate and dismissive of our identities. We need to see young people as whole people and co-produce suicide prevention supports that are truly </w:t>
      </w:r>
      <w:r>
        <w:t>holistic</w:t>
      </w:r>
      <w:r w:rsidRPr="00B768A1">
        <w:t xml:space="preserve"> and </w:t>
      </w:r>
      <w:r>
        <w:t>inclusive</w:t>
      </w:r>
      <w:r w:rsidRPr="00B768A1">
        <w:t>.”</w:t>
      </w:r>
    </w:p>
    <w:p w14:paraId="46BD345F" w14:textId="3D07F79A" w:rsidR="003C694E" w:rsidRPr="006B341A" w:rsidRDefault="1847DF77" w:rsidP="00546BCC">
      <w:pPr>
        <w:pStyle w:val="BT-Quotes"/>
        <w:pBdr>
          <w:top w:val="single" w:sz="36" w:space="0" w:color="EFEBDA" w:themeColor="text2"/>
        </w:pBdr>
        <w:spacing w:before="240" w:after="240"/>
        <w:jc w:val="right"/>
      </w:pPr>
      <w:r w:rsidRPr="00B768A1">
        <w:rPr>
          <w:rStyle w:val="Strong"/>
        </w:rPr>
        <w:t xml:space="preserve">Emily Unity, </w:t>
      </w:r>
      <w:r w:rsidRPr="00B768A1">
        <w:rPr>
          <w:rStyle w:val="Strong"/>
          <w:b w:val="0"/>
          <w:bCs w:val="0"/>
        </w:rPr>
        <w:t>Participant, consultation with young people, July 2023</w:t>
      </w:r>
      <w:bookmarkStart w:id="18" w:name="_Toc151717668"/>
      <w:bookmarkStart w:id="19" w:name="_Toc152082300"/>
    </w:p>
    <w:p w14:paraId="096F5610" w14:textId="6F1E2F44" w:rsidR="00385D1E" w:rsidRPr="00B768A1" w:rsidRDefault="00385D1E" w:rsidP="007E518A">
      <w:pPr>
        <w:pStyle w:val="Heading31"/>
      </w:pPr>
      <w:r>
        <w:t>How this Strategy was developed</w:t>
      </w:r>
    </w:p>
    <w:p w14:paraId="711E2CE9" w14:textId="6B070931" w:rsidR="00924EBB" w:rsidRDefault="0D692A7E" w:rsidP="00476527">
      <w:r w:rsidRPr="00B768A1">
        <w:t>Th</w:t>
      </w:r>
      <w:r w:rsidR="00D3621C">
        <w:t>e</w:t>
      </w:r>
      <w:r w:rsidRPr="00B768A1">
        <w:t xml:space="preserve"> Strategy builds on the significant work already being done in suicide prevention, including under the </w:t>
      </w:r>
      <w:r w:rsidRPr="352D6B08">
        <w:rPr>
          <w:i/>
          <w:iCs/>
        </w:rPr>
        <w:t>National Mental Health and Suicide Prevention Agreement</w:t>
      </w:r>
      <w:r w:rsidR="00EF24BB" w:rsidRPr="00EF24BB">
        <w:t>.</w:t>
      </w:r>
      <w:hyperlink w:anchor="_ENREF_29" w:tooltip="Relations, 2022 #986" w:history="1">
        <w:r w:rsidR="002D6F18">
          <w:fldChar w:fldCharType="begin"/>
        </w:r>
        <w:r w:rsidR="002D6F18">
          <w:instrText xml:space="preserve"> ADDIN EN.CITE &lt;EndNote&gt;&lt;Cite&gt;&lt;Author&gt;Relations&lt;/Author&gt;&lt;Year&gt;2022&lt;/Year&gt;&lt;RecNum&gt;986&lt;/RecNum&gt;&lt;DisplayText&gt;&lt;style face="superscript"&gt;29&lt;/style&gt;&lt;/DisplayText&gt;&lt;record&gt;&lt;rec-number&gt;986&lt;/rec-number&gt;&lt;foreign-keys&gt;&lt;key app="EN" db-id="rsettzd2isasdweewww55s9lffasxav0d0ft" timestamp="1720076948" guid="32964ad8-6066-45d7-88ee-95f279fee5d3"&gt;986&lt;/key&gt;&lt;/foreign-keys&gt;&lt;ref-type name="Government Document"&gt;46&lt;/ref-type&gt;&lt;contributors&gt;&lt;authors&gt;&lt;author&gt;Federal Financial Relations &lt;/author&gt;&lt;/authors&gt;&lt;/contributors&gt;&lt;titles&gt;&lt;title&gt;The National Mental Health and Suicide Prevention Agreement&lt;/title&gt;&lt;/titles&gt;&lt;dates&gt;&lt;year&gt;2022&lt;/year&gt;&lt;/dates&gt;&lt;publisher&gt;Commonwealth of Australia&lt;/publisher&gt;&lt;urls&gt;&lt;related-urls&gt;&lt;url&gt;https://federalfinancialrelations.gov.au/agreements/mental-health-suicide-prevention-agreement&lt;/url&gt;&lt;/related-urls&gt;&lt;/urls&gt;&lt;/record&gt;&lt;/Cite&gt;&lt;/EndNote&gt;</w:instrText>
        </w:r>
        <w:r w:rsidR="002D6F18">
          <w:fldChar w:fldCharType="separate"/>
        </w:r>
        <w:r w:rsidR="002D6F18" w:rsidRPr="0082082D">
          <w:rPr>
            <w:noProof/>
            <w:vertAlign w:val="superscript"/>
          </w:rPr>
          <w:t>29</w:t>
        </w:r>
        <w:r w:rsidR="002D6F18">
          <w:fldChar w:fldCharType="end"/>
        </w:r>
      </w:hyperlink>
      <w:r w:rsidR="00EF24BB">
        <w:t xml:space="preserve"> </w:t>
      </w:r>
      <w:r w:rsidRPr="00B768A1">
        <w:t xml:space="preserve">It operationalises three seminal </w:t>
      </w:r>
      <w:r w:rsidR="004617E8">
        <w:t>documents</w:t>
      </w:r>
      <w:r w:rsidRPr="00B768A1">
        <w:t>:</w:t>
      </w:r>
      <w:r w:rsidR="00C71F97">
        <w:t xml:space="preserve"> </w:t>
      </w:r>
      <w:r w:rsidRPr="00B768A1">
        <w:t xml:space="preserve">the </w:t>
      </w:r>
      <w:r w:rsidRPr="00637A0D">
        <w:rPr>
          <w:rStyle w:val="Emphasis"/>
        </w:rPr>
        <w:t>Productivity Commission, Mental Health, Inquiry Report</w:t>
      </w:r>
      <w:hyperlink w:anchor="_ENREF_10" w:tooltip="Commission, 2020 #16" w:history="1">
        <w:r w:rsidR="002D6F18">
          <w:rPr>
            <w:rStyle w:val="Emphasis"/>
          </w:rPr>
          <w:fldChar w:fldCharType="begin"/>
        </w:r>
        <w:r w:rsidR="002D6F18">
          <w:rPr>
            <w:rStyle w:val="Emphasis"/>
          </w:rPr>
          <w:instrText xml:space="preserve"> ADDIN EN.CITE &lt;EndNote&gt;&lt;Cite&gt;&lt;Author&gt;Commission&lt;/Author&gt;&lt;Year&gt;2020&lt;/Year&gt;&lt;RecNum&gt;16&lt;/RecNum&gt;&lt;DisplayText&gt;&lt;style face="superscript"&gt;10&lt;/style&gt;&lt;/DisplayText&gt;&lt;record&gt;&lt;rec-number&gt;16&lt;/rec-number&gt;&lt;foreign-keys&gt;&lt;key app="EN" db-id="rsettzd2isasdweewww55s9lffasxav0d0ft" timestamp="1700699466" guid="211cab95-640a-4261-a3ce-923e676f72bf"&gt;16&lt;/key&gt;&lt;/foreign-keys&gt;&lt;ref-type name="Web Page"&gt;12&lt;/ref-type&gt;&lt;contributors&gt;&lt;authors&gt;&lt;author&gt;Productivity Commission&lt;/author&gt;&lt;/authors&gt;&lt;/contributors&gt;&lt;titles&gt;&lt;title&gt;Mental Health, Report No. 95&lt;/title&gt;&lt;/titles&gt;&lt;dates&gt;&lt;year&gt;2020&lt;/year&gt;&lt;/dates&gt;&lt;pub-location&gt;Canberra&lt;/pub-location&gt;&lt;publisher&gt;PC, Australian Government&lt;/publisher&gt;&lt;isbn&gt;978-1-74037-699-0 &lt;/isbn&gt;&lt;work-type&gt;Internet&lt;/work-type&gt;&lt;urls&gt;&lt;related-urls&gt;&lt;url&gt;https://www.pc.gov.au/inquiries/completed/mental-health/report&lt;/url&gt;&lt;/related-urls&gt;&lt;/urls&gt;&lt;custom1&gt;2023&lt;/custom1&gt;&lt;custom2&gt;October 03&lt;/custom2&gt;&lt;/record&gt;&lt;/Cite&gt;&lt;/EndNote&gt;</w:instrText>
        </w:r>
        <w:r w:rsidR="002D6F18">
          <w:rPr>
            <w:rStyle w:val="Emphasis"/>
          </w:rPr>
          <w:fldChar w:fldCharType="separate"/>
        </w:r>
        <w:r w:rsidR="002D6F18" w:rsidRPr="0082082D">
          <w:rPr>
            <w:rStyle w:val="Emphasis"/>
            <w:noProof/>
            <w:vertAlign w:val="superscript"/>
          </w:rPr>
          <w:t>10</w:t>
        </w:r>
        <w:r w:rsidR="002D6F18">
          <w:rPr>
            <w:rStyle w:val="Emphasis"/>
          </w:rPr>
          <w:fldChar w:fldCharType="end"/>
        </w:r>
      </w:hyperlink>
      <w:r w:rsidR="00C71F97" w:rsidRPr="352D6B08">
        <w:rPr>
          <w:rStyle w:val="Emphasis"/>
          <w:i w:val="0"/>
          <w:iCs w:val="0"/>
        </w:rPr>
        <w:t xml:space="preserve">, </w:t>
      </w:r>
      <w:r w:rsidRPr="00B768A1">
        <w:t xml:space="preserve">the </w:t>
      </w:r>
      <w:r w:rsidRPr="5B74CE65">
        <w:t>Royal Commission into Victoria’s Mental Health System, Final Report</w:t>
      </w:r>
      <w:hyperlink w:anchor="_ENREF_30" w:tooltip="Government, 2021 #915" w:history="1">
        <w:r w:rsidR="002D6F18">
          <w:fldChar w:fldCharType="begin"/>
        </w:r>
        <w:r w:rsidR="002D6F18">
          <w:instrText xml:space="preserve"> ADDIN EN.CITE &lt;EndNote&gt;&lt;Cite&gt;&lt;Author&gt;Government&lt;/Author&gt;&lt;Year&gt;2021&lt;/Year&gt;&lt;RecNum&gt;915&lt;/RecNum&gt;&lt;DisplayText&gt;&lt;style face="superscript"&gt;30&lt;/style&gt;&lt;/DisplayText&gt;&lt;record&gt;&lt;rec-number&gt;915&lt;/rec-number&gt;&lt;foreign-keys&gt;&lt;key app="EN" db-id="rsettzd2isasdweewww55s9lffasxav0d0ft" timestamp="1707862927" guid="f278d57f-7fb5-43d3-903f-07dc0339fde9"&gt;915&lt;/key&gt;&lt;/foreign-keys&gt;&lt;ref-type name="Web Page"&gt;12&lt;/ref-type&gt;&lt;contributors&gt;&lt;authors&gt;&lt;author&gt;Victoria State Government&lt;/author&gt;&lt;/authors&gt;&lt;/contributors&gt;&lt;titles&gt;&lt;title&gt;Royal Commission into Victoria’s Mental Health System, Final Report, Summary and Recommendations, Part Paper No. 202, Session 2018-21 (Document 1 of 6)&lt;/title&gt;&lt;/titles&gt;&lt;dates&gt;&lt;year&gt;2021&lt;/year&gt;&lt;/dates&gt;&lt;pub-location&gt;Melbourne, Victoria&lt;/pub-location&gt;&lt;publisher&gt;Victoria State Government&lt;/publisher&gt;&lt;work-type&gt;Internet&lt;/work-type&gt;&lt;urls&gt;&lt;related-urls&gt;&lt;url&gt;https://finalreport.rcvmhs.vic.gov.au/wp-content/uploads/2021/02/RCVMHS_FinalReport_ExecSummary_Accessible.pdf&lt;/url&gt;&lt;/related-urls&gt;&lt;/urls&gt;&lt;custom1&gt;2023&lt;/custom1&gt;&lt;custom2&gt;November 06&lt;/custom2&gt;&lt;/record&gt;&lt;/Cite&gt;&lt;/EndNote&gt;</w:instrText>
        </w:r>
        <w:r w:rsidR="002D6F18">
          <w:fldChar w:fldCharType="separate"/>
        </w:r>
        <w:r w:rsidR="002D6F18" w:rsidRPr="0082082D">
          <w:rPr>
            <w:noProof/>
            <w:vertAlign w:val="superscript"/>
          </w:rPr>
          <w:t>30</w:t>
        </w:r>
        <w:r w:rsidR="002D6F18">
          <w:fldChar w:fldCharType="end"/>
        </w:r>
      </w:hyperlink>
      <w:r w:rsidR="00C71F97">
        <w:t xml:space="preserve">, and </w:t>
      </w:r>
      <w:r w:rsidRPr="00B768A1">
        <w:t xml:space="preserve">the </w:t>
      </w:r>
      <w:r w:rsidRPr="352D6B08">
        <w:rPr>
          <w:i/>
          <w:iCs/>
        </w:rPr>
        <w:t>National Suicide Prevention</w:t>
      </w:r>
      <w:r w:rsidRPr="00B768A1">
        <w:t xml:space="preserve"> </w:t>
      </w:r>
      <w:r w:rsidRPr="00195A13">
        <w:rPr>
          <w:rStyle w:val="Emphasis"/>
        </w:rPr>
        <w:t>Final Advice</w:t>
      </w:r>
      <w:r w:rsidRPr="00B768A1">
        <w:t xml:space="preserve"> reports.</w:t>
      </w:r>
      <w:hyperlink w:anchor="_ENREF_31" w:tooltip="Adviser, 2020 #325" w:history="1">
        <w:r w:rsidR="002D6F18">
          <w:fldChar w:fldCharType="begin"/>
        </w:r>
        <w:r w:rsidR="002D6F18">
          <w:instrText xml:space="preserve"> ADDIN EN.CITE &lt;EndNote&gt;&lt;Cite&gt;&lt;Author&gt;Adviser&lt;/Author&gt;&lt;Year&gt;2020&lt;/Year&gt;&lt;RecNum&gt;656&lt;/RecNum&gt;&lt;DisplayText&gt;&lt;style face="superscript"&gt;31&lt;/style&gt;&lt;/DisplayText&gt;&lt;record&gt;&lt;rec-number&gt;656&lt;/rec-number&gt;&lt;foreign-keys&gt;&lt;key app="EN" db-id="rsettzd2isasdweewww55s9lffasxav0d0ft" timestamp="1707862923" guid="7b63f857-1dbc-42e9-8a85-d664fc6f94d6"&gt;656&lt;/key&gt;&lt;/foreign-keys&gt;&lt;ref-type name="Web Page"&gt;12&lt;/ref-type&gt;&lt;contributors&gt;&lt;authors&gt;&lt;author&gt;National Suicide Prevention Adviser&lt;/author&gt;&lt;/authors&gt;&lt;/contributors&gt;&lt;titles&gt;&lt;title&gt;National Suicide Prevention Adviser Final Advice&lt;/title&gt;&lt;/titles&gt;&lt;dates&gt;&lt;year&gt;2020&lt;/year&gt;&lt;/dates&gt;&lt;pub-location&gt;Canberra&lt;/pub-location&gt;&lt;publisher&gt;National Mental Health Commission&lt;/publisher&gt;&lt;urls&gt;&lt;related-urls&gt;&lt;url&gt;https://www.mentalhealthcommission.gov.au/national-suicide-prevention-office/national-suicide-prevention-adviser-final-advice&lt;/url&gt;&lt;/related-urls&gt;&lt;/urls&gt;&lt;custom1&gt;2023&lt;/custom1&gt;&lt;custom2&gt;October 04&lt;/custom2&gt;&lt;/record&gt;&lt;/Cite&gt;&lt;/EndNote&gt;</w:instrText>
        </w:r>
        <w:r w:rsidR="002D6F18">
          <w:fldChar w:fldCharType="separate"/>
        </w:r>
        <w:r w:rsidR="002D6F18" w:rsidRPr="0082082D">
          <w:rPr>
            <w:noProof/>
            <w:vertAlign w:val="superscript"/>
          </w:rPr>
          <w:t>31</w:t>
        </w:r>
        <w:r w:rsidR="002D6F18">
          <w:fldChar w:fldCharType="end"/>
        </w:r>
      </w:hyperlink>
      <w:r w:rsidR="006C6DCC">
        <w:t xml:space="preserve"> </w:t>
      </w:r>
      <w:r w:rsidR="007F2EB3">
        <w:t>The Strategy</w:t>
      </w:r>
      <w:r w:rsidR="0028368C">
        <w:t xml:space="preserve"> </w:t>
      </w:r>
      <w:r w:rsidR="006C6DCC">
        <w:t xml:space="preserve">also </w:t>
      </w:r>
      <w:r w:rsidR="0028368C">
        <w:t xml:space="preserve">draws on </w:t>
      </w:r>
      <w:r w:rsidR="006B7733">
        <w:t>numerous</w:t>
      </w:r>
      <w:r w:rsidR="0028368C">
        <w:t xml:space="preserve"> other existing agreements, plans, strategies, reports, submissions and inquiries, as well as</w:t>
      </w:r>
      <w:r w:rsidR="00C97710">
        <w:t xml:space="preserve"> specifically</w:t>
      </w:r>
      <w:r w:rsidR="0028368C">
        <w:t xml:space="preserve"> commissioned research. </w:t>
      </w:r>
    </w:p>
    <w:p w14:paraId="4863EA7F" w14:textId="0303C597" w:rsidR="00476527" w:rsidRDefault="00025597" w:rsidP="00476527">
      <w:r>
        <w:t>Crucially</w:t>
      </w:r>
      <w:r w:rsidR="00476527">
        <w:t xml:space="preserve">, the work has been informed and guided by the insights of people with lived and living experience of suicide and the people who support them, provided during targeted consultations with groups disproportionately impacted by suicide. </w:t>
      </w:r>
    </w:p>
    <w:p w14:paraId="7447759A" w14:textId="0700E7ED" w:rsidR="00F5428B" w:rsidRPr="00B768A1" w:rsidRDefault="00F5428B" w:rsidP="00F5428B">
      <w:r>
        <w:t xml:space="preserve">The Strategy also </w:t>
      </w:r>
      <w:r w:rsidRPr="00B768A1">
        <w:t>seeks to humbly learn from and reinforce Aboriginal and Torres Strait Islander knowledge, cultures and ways of doing, embodied in social and emotional wellbeing approaches. It</w:t>
      </w:r>
      <w:r>
        <w:t xml:space="preserve"> draws on</w:t>
      </w:r>
      <w:r w:rsidRPr="00B768A1">
        <w:t xml:space="preserve"> the final report of the Aboriginal and Torres Strait Islander Suicide Prevention Evaluation Project,</w:t>
      </w:r>
      <w:hyperlink w:anchor="_ENREF_32" w:tooltip="P, 2016 #9" w:history="1">
        <w:r w:rsidR="002D6F18">
          <w:fldChar w:fldCharType="begin"/>
        </w:r>
        <w:r w:rsidR="002D6F18">
          <w:instrText xml:space="preserve"> ADDIN EN.CITE &lt;EndNote&gt;&lt;Cite&gt;&lt;Author&gt;P&lt;/Author&gt;&lt;Year&gt;2016&lt;/Year&gt;&lt;RecNum&gt;660&lt;/RecNum&gt;&lt;DisplayText&gt;&lt;style face="superscript"&gt;32&lt;/style&gt;&lt;/DisplayText&gt;&lt;record&gt;&lt;rec-number&gt;660&lt;/rec-number&gt;&lt;foreign-keys&gt;&lt;key app="EN" db-id="rsettzd2isasdweewww55s9lffasxav0d0ft" timestamp="1707862923" guid="6ddd1f08-7650-43dd-826e-9666ee2940e4"&gt;660&lt;/key&gt;&lt;/foreign-keys&gt;&lt;ref-type name="Web Page"&gt;12&lt;/ref-type&gt;&lt;contributors&gt;&lt;authors&gt;&lt;author&gt;Dudgeon P&lt;/author&gt;&lt;author&gt;Milroy J&lt;/author&gt;&lt;author&gt;Calma T&lt;/author&gt;&lt;author&gt;Luxford Y&lt;/author&gt;&lt;author&gt;Ring I&lt;/author&gt;&lt;author&gt;Walker R&lt;/author&gt;&lt;author&gt;Cox A&lt;/author&gt;&lt;author&gt;Georgatos G&lt;/author&gt;&lt;author&gt;Holland C&lt;/author&gt;&lt;/authors&gt;&lt;/contributors&gt;&lt;titles&gt;&lt;title&gt;Solutions that Work: What the evidence and our people tell us. Aboriginal and Torres Strait Islander Suicide Prevention Evaluation Project Report&lt;/title&gt;&lt;/titles&gt;&lt;dates&gt;&lt;year&gt;2016&lt;/year&gt;&lt;/dates&gt;&lt;pub-location&gt;Crawley&lt;/pub-location&gt;&lt;publisher&gt;University of Western Australia&lt;/publisher&gt;&lt;urls&gt;&lt;related-urls&gt;&lt;url&gt;https://www.atsispep.sis.uwa.edu.au/__data/assets/pdf_file/0006/2947299/ATSISPEP-Report-Final-Web.pdf&lt;/url&gt;&lt;/related-urls&gt;&lt;/urls&gt;&lt;custom1&gt;2023&lt;/custom1&gt;&lt;custom2&gt;October 04&lt;/custom2&gt;&lt;/record&gt;&lt;/Cite&gt;&lt;/EndNote&gt;</w:instrText>
        </w:r>
        <w:r w:rsidR="002D6F18">
          <w:fldChar w:fldCharType="separate"/>
        </w:r>
        <w:r w:rsidR="002D6F18" w:rsidRPr="0082082D">
          <w:rPr>
            <w:noProof/>
            <w:vertAlign w:val="superscript"/>
          </w:rPr>
          <w:t>32</w:t>
        </w:r>
        <w:r w:rsidR="002D6F18">
          <w:fldChar w:fldCharType="end"/>
        </w:r>
      </w:hyperlink>
      <w:r w:rsidRPr="00B768A1">
        <w:t xml:space="preserve"> </w:t>
      </w:r>
      <w:r>
        <w:t xml:space="preserve">and </w:t>
      </w:r>
      <w:r w:rsidRPr="00B768A1">
        <w:t xml:space="preserve">aligns with the </w:t>
      </w:r>
      <w:r w:rsidRPr="352D6B08">
        <w:rPr>
          <w:i/>
          <w:iCs/>
        </w:rPr>
        <w:t>National Agreement on</w:t>
      </w:r>
      <w:r w:rsidRPr="00B768A1">
        <w:t xml:space="preserve"> </w:t>
      </w:r>
      <w:r w:rsidRPr="352D6B08">
        <w:rPr>
          <w:i/>
          <w:iCs/>
        </w:rPr>
        <w:t>Closing the Gap</w:t>
      </w:r>
      <w:r w:rsidRPr="00F857EA">
        <w:t>,</w:t>
      </w:r>
      <w:hyperlink w:anchor="_ENREF_33" w:tooltip="Cabinet, 2020 #787" w:history="1">
        <w:r w:rsidR="002D6F18">
          <w:fldChar w:fldCharType="begin"/>
        </w:r>
        <w:r w:rsidR="002D6F18">
          <w:instrText xml:space="preserve"> ADDIN EN.CITE &lt;EndNote&gt;&lt;Cite&gt;&lt;Author&gt;Cabinet&lt;/Author&gt;&lt;Year&gt;2020&lt;/Year&gt;&lt;RecNum&gt;787&lt;/RecNum&gt;&lt;DisplayText&gt;&lt;style face="superscript"&gt;33&lt;/style&gt;&lt;/DisplayText&gt;&lt;record&gt;&lt;rec-number&gt;787&lt;/rec-number&gt;&lt;foreign-keys&gt;&lt;key app="EN" db-id="rsettzd2isasdweewww55s9lffasxav0d0ft" timestamp="1707862925" guid="55d46732-cffa-41c4-91a1-eb130e0a4edc"&gt;787&lt;/key&gt;&lt;/foreign-keys&gt;&lt;ref-type name="Web Page"&gt;12&lt;/ref-type&gt;&lt;contributors&gt;&lt;authors&gt;&lt;author&gt;Department of the Prime Minister and Cabinet&lt;/author&gt;&lt;/authors&gt;&lt;/contributors&gt;&lt;titles&gt;&lt;title&gt;National Agreement on Closing the Gap&lt;/title&gt;&lt;/titles&gt;&lt;dates&gt;&lt;year&gt;2020&lt;/year&gt;&lt;/dates&gt;&lt;pub-location&gt;Canberra, Australian Capital Territory&lt;/pub-location&gt;&lt;publisher&gt;PM&amp;amp;C&lt;/publisher&gt;&lt;work-type&gt;Internet&lt;/work-type&gt;&lt;urls&gt;&lt;related-urls&gt;&lt;url&gt;https://www.closingthegap.gov.au/national-agreement&lt;/url&gt;&lt;/related-urls&gt;&lt;/urls&gt;&lt;custom1&gt;2023&lt;/custom1&gt;&lt;custom2&gt;October 04&lt;/custom2&gt;&lt;/record&gt;&lt;/Cite&gt;&lt;/EndNote&gt;</w:instrText>
        </w:r>
        <w:r w:rsidR="002D6F18">
          <w:fldChar w:fldCharType="separate"/>
        </w:r>
        <w:r w:rsidR="002D6F18" w:rsidRPr="0082082D">
          <w:rPr>
            <w:noProof/>
            <w:vertAlign w:val="superscript"/>
          </w:rPr>
          <w:t>33</w:t>
        </w:r>
        <w:r w:rsidR="002D6F18">
          <w:fldChar w:fldCharType="end"/>
        </w:r>
      </w:hyperlink>
      <w:r w:rsidRPr="00B768A1">
        <w:t xml:space="preserve"> which acknowledges the ongoing strength and resilience of Aboriginal and Torres Strait Islander peoples.</w:t>
      </w:r>
    </w:p>
    <w:p w14:paraId="5E814C8C" w14:textId="77777777" w:rsidR="00B50FE3" w:rsidRDefault="0028368C" w:rsidP="00B50FE3">
      <w:r w:rsidRPr="00B768A1">
        <w:t>Th</w:t>
      </w:r>
      <w:r>
        <w:t xml:space="preserve">e </w:t>
      </w:r>
      <w:r w:rsidR="00F5428B">
        <w:t>drafting</w:t>
      </w:r>
      <w:r>
        <w:t xml:space="preserve"> of the</w:t>
      </w:r>
      <w:r w:rsidRPr="00B768A1">
        <w:t xml:space="preserve"> Strategy has been </w:t>
      </w:r>
      <w:r>
        <w:t xml:space="preserve">guided by </w:t>
      </w:r>
      <w:r w:rsidR="00F5428B">
        <w:t>t</w:t>
      </w:r>
      <w:r>
        <w:t xml:space="preserve">he Lived Experience Partnership Group, the NSPO Advisory Board, the NSPO Scientific Advisor, two working groups and a Jurisdictional Collaborative Forum. </w:t>
      </w:r>
      <w:r w:rsidR="002B17E4">
        <w:t xml:space="preserve">Further information </w:t>
      </w:r>
      <w:r w:rsidR="00ED4922">
        <w:t>on the</w:t>
      </w:r>
      <w:r w:rsidR="002B17E4">
        <w:t xml:space="preserve"> development of the Strategy </w:t>
      </w:r>
      <w:r w:rsidR="003A2218">
        <w:t xml:space="preserve">and membership of groups involved </w:t>
      </w:r>
      <w:r w:rsidR="002B17E4">
        <w:t xml:space="preserve">is outlined in </w:t>
      </w:r>
      <w:r w:rsidR="002B17E4" w:rsidRPr="00735AF9">
        <w:rPr>
          <w:b/>
          <w:bCs/>
        </w:rPr>
        <w:t>Appendix B: Development of the Strategy</w:t>
      </w:r>
      <w:r w:rsidR="00B66EAB">
        <w:t xml:space="preserve">. </w:t>
      </w:r>
    </w:p>
    <w:p w14:paraId="4EFD225B" w14:textId="5A3C62BD" w:rsidR="002B6189" w:rsidRPr="00B768A1" w:rsidRDefault="00DF14F3" w:rsidP="00634A83">
      <w:r>
        <w:t xml:space="preserve">The complex development of the Strategy reflects the deep commitment of all parts of the Australian community to work together to achieve a significant and sustained reduction in suicide and suicide attempts.   </w:t>
      </w:r>
    </w:p>
    <w:p w14:paraId="5865ED30" w14:textId="3D8938E5" w:rsidR="002B6189" w:rsidRPr="00B95BD4" w:rsidRDefault="002B6189" w:rsidP="004F5B0E">
      <w:pPr>
        <w:pStyle w:val="Heading1"/>
      </w:pPr>
      <w:bookmarkStart w:id="20" w:name="_Toc164868155"/>
      <w:bookmarkStart w:id="21" w:name="_Toc1331345948"/>
      <w:bookmarkStart w:id="22" w:name="_Toc1027487798"/>
      <w:bookmarkStart w:id="23" w:name="_Toc171459024"/>
      <w:r w:rsidRPr="00B95BD4">
        <w:t>Overview of the National Suicide Prevention Strategy</w:t>
      </w:r>
      <w:bookmarkEnd w:id="18"/>
      <w:bookmarkEnd w:id="19"/>
      <w:bookmarkEnd w:id="20"/>
      <w:bookmarkEnd w:id="21"/>
      <w:bookmarkEnd w:id="22"/>
      <w:bookmarkEnd w:id="23"/>
    </w:p>
    <w:p w14:paraId="46A996AC" w14:textId="7052C755" w:rsidR="0085250E" w:rsidRPr="00B768A1" w:rsidRDefault="38DA8E25" w:rsidP="00634A83">
      <w:r>
        <w:t xml:space="preserve">This Strategy </w:t>
      </w:r>
      <w:r w:rsidR="00FD05E6">
        <w:t>outlines the</w:t>
      </w:r>
      <w:r w:rsidR="18A49509">
        <w:t xml:space="preserve"> actions</w:t>
      </w:r>
      <w:r w:rsidR="00FD05E6">
        <w:t xml:space="preserve"> required to realise</w:t>
      </w:r>
      <w:r>
        <w:t xml:space="preserve"> a comprehensive </w:t>
      </w:r>
      <w:r w:rsidR="00FD05E6">
        <w:t>approach to</w:t>
      </w:r>
      <w:r>
        <w:t xml:space="preserve"> suicide prevention</w:t>
      </w:r>
      <w:r w:rsidR="00FD05E6">
        <w:t>,</w:t>
      </w:r>
      <w:r>
        <w:t xml:space="preserve"> align</w:t>
      </w:r>
      <w:r w:rsidR="00FD05E6">
        <w:t>ing</w:t>
      </w:r>
      <w:r>
        <w:t xml:space="preserve"> national efforts with the latest evidence and insights about what works.</w:t>
      </w:r>
      <w:r w:rsidR="00C22755">
        <w:t xml:space="preserve"> </w:t>
      </w:r>
      <w:r>
        <w:t xml:space="preserve">This includes adopting a genuinely preventive approach that reduces the likelihood of suicidal distress occurring in the first place, broadening support options to provide a more holistic response for people experiencing suicidal distress, and </w:t>
      </w:r>
      <w:r w:rsidR="007B2547">
        <w:t>establishing</w:t>
      </w:r>
      <w:r>
        <w:t xml:space="preserve"> the systems-level structures and processes required to sustain progress towards an </w:t>
      </w:r>
      <w:r w:rsidR="7A2153AF">
        <w:t>effective</w:t>
      </w:r>
      <w:r>
        <w:t xml:space="preserve"> suicide prevention system.</w:t>
      </w:r>
    </w:p>
    <w:p w14:paraId="3F2BD9B5" w14:textId="14E76333" w:rsidR="0085250E" w:rsidRPr="00B768A1" w:rsidRDefault="002B6189" w:rsidP="00634A83">
      <w:r w:rsidRPr="00B768A1">
        <w:t xml:space="preserve">This Strategy identifies two </w:t>
      </w:r>
      <w:r w:rsidR="00D04068" w:rsidRPr="00B768A1">
        <w:t>d</w:t>
      </w:r>
      <w:r w:rsidRPr="00B768A1">
        <w:t>omains of suicide prevention</w:t>
      </w:r>
      <w:r w:rsidR="0085250E" w:rsidRPr="00B768A1">
        <w:t>:</w:t>
      </w:r>
    </w:p>
    <w:p w14:paraId="29FEB2B6" w14:textId="42ACE1E0" w:rsidR="00440FE1" w:rsidRPr="00247E24" w:rsidRDefault="00A40F6B" w:rsidP="00634A83">
      <w:r w:rsidRPr="00247E24">
        <w:rPr>
          <w:b/>
          <w:bCs/>
        </w:rPr>
        <w:t>P</w:t>
      </w:r>
      <w:r w:rsidR="00982A49" w:rsidRPr="00247E24">
        <w:rPr>
          <w:b/>
          <w:bCs/>
        </w:rPr>
        <w:t xml:space="preserve">revention </w:t>
      </w:r>
      <w:r w:rsidR="00440FE1" w:rsidRPr="00247E24">
        <w:rPr>
          <w:b/>
          <w:bCs/>
        </w:rPr>
        <w:t>of suic</w:t>
      </w:r>
      <w:r w:rsidR="00982A49" w:rsidRPr="00247E24">
        <w:rPr>
          <w:b/>
          <w:bCs/>
        </w:rPr>
        <w:t>i</w:t>
      </w:r>
      <w:r w:rsidR="00440FE1" w:rsidRPr="00247E24">
        <w:rPr>
          <w:b/>
          <w:bCs/>
        </w:rPr>
        <w:t>dal distress</w:t>
      </w:r>
      <w:r w:rsidR="41B7361C" w:rsidRPr="00247E24">
        <w:t xml:space="preserve"> describes what is required to reduce the likelihood of suicidal distress arising. This involves strengthening the baseline wellbeing of communities and better supporting those who are struggling with factors we know can lead to suicidal distress.</w:t>
      </w:r>
    </w:p>
    <w:p w14:paraId="5A973458" w14:textId="50C389D1" w:rsidR="00440FE1" w:rsidRPr="00247E24" w:rsidRDefault="00A40F6B" w:rsidP="00634A83">
      <w:r w:rsidRPr="426AA64F">
        <w:rPr>
          <w:b/>
          <w:bCs/>
        </w:rPr>
        <w:t>S</w:t>
      </w:r>
      <w:r w:rsidR="002B6189" w:rsidRPr="426AA64F">
        <w:rPr>
          <w:b/>
          <w:bCs/>
        </w:rPr>
        <w:t>upport</w:t>
      </w:r>
      <w:r w:rsidR="00982A49" w:rsidRPr="426AA64F">
        <w:rPr>
          <w:b/>
          <w:bCs/>
        </w:rPr>
        <w:t xml:space="preserve"> for people experiencing suicidal thoughts and behaviours, and those who care for them</w:t>
      </w:r>
      <w:r w:rsidR="0F3BD578">
        <w:t xml:space="preserve">, </w:t>
      </w:r>
      <w:r w:rsidR="000E8984">
        <w:t xml:space="preserve">describes what is required to have an </w:t>
      </w:r>
      <w:r w:rsidR="67AB0D32">
        <w:t xml:space="preserve">effective </w:t>
      </w:r>
      <w:r w:rsidR="000E8984">
        <w:t>support system: compassion, accessibility, coordination, connection, and a holistic approach to reducing suicidal distress. To provide high-quality support, these components must operate in each part of the support system and across the system as a whole.</w:t>
      </w:r>
    </w:p>
    <w:p w14:paraId="29DDD4EE" w14:textId="153DE796" w:rsidR="002F4ED8" w:rsidRPr="00247E24" w:rsidRDefault="00982A49" w:rsidP="00634A83">
      <w:r w:rsidRPr="00247E24">
        <w:t xml:space="preserve">Each </w:t>
      </w:r>
      <w:r w:rsidR="00FF233A" w:rsidRPr="00247E24">
        <w:t>d</w:t>
      </w:r>
      <w:r w:rsidRPr="00247E24">
        <w:t xml:space="preserve">omain has </w:t>
      </w:r>
      <w:r w:rsidR="002B6189" w:rsidRPr="00247E24">
        <w:t xml:space="preserve">a set of </w:t>
      </w:r>
      <w:r w:rsidR="00FF233A" w:rsidRPr="00247E24">
        <w:t>k</w:t>
      </w:r>
      <w:r w:rsidR="002B6189" w:rsidRPr="00247E24">
        <w:t xml:space="preserve">ey </w:t>
      </w:r>
      <w:r w:rsidR="00713E55" w:rsidRPr="00247E24">
        <w:t>o</w:t>
      </w:r>
      <w:r w:rsidR="002B6189" w:rsidRPr="00247E24">
        <w:t xml:space="preserve">bjectives and corresponding actions to achieve them. These are underpinned by four </w:t>
      </w:r>
      <w:r w:rsidR="00FF233A" w:rsidRPr="00247E24">
        <w:t>c</w:t>
      </w:r>
      <w:r w:rsidR="00F07EB3" w:rsidRPr="00247E24">
        <w:t xml:space="preserve">ritical </w:t>
      </w:r>
      <w:r w:rsidR="00FF233A" w:rsidRPr="00247E24">
        <w:t>e</w:t>
      </w:r>
      <w:r w:rsidR="002B6189" w:rsidRPr="00247E24">
        <w:t xml:space="preserve">nablers, which must be present for the </w:t>
      </w:r>
      <w:r w:rsidR="00FF233A" w:rsidRPr="00247E24">
        <w:t>k</w:t>
      </w:r>
      <w:r w:rsidR="002B6189" w:rsidRPr="00247E24">
        <w:t xml:space="preserve">ey </w:t>
      </w:r>
      <w:r w:rsidR="00713E55" w:rsidRPr="00247E24">
        <w:t>o</w:t>
      </w:r>
      <w:r w:rsidR="002B6189" w:rsidRPr="00247E24">
        <w:t>bjectives to be fully realised</w:t>
      </w:r>
      <w:r w:rsidR="00332595" w:rsidRPr="00247E24">
        <w:t xml:space="preserve">. </w:t>
      </w:r>
    </w:p>
    <w:p w14:paraId="2AE99DB2" w14:textId="534FB486" w:rsidR="009D3F7B" w:rsidRDefault="002F4ED8">
      <w:pPr>
        <w:spacing w:after="240"/>
      </w:pPr>
      <w:r>
        <w:t xml:space="preserve">These </w:t>
      </w:r>
      <w:r w:rsidR="000E03E0">
        <w:t xml:space="preserve">elements </w:t>
      </w:r>
      <w:r w:rsidR="00DD6730">
        <w:t>are represented in</w:t>
      </w:r>
      <w:r w:rsidR="00687381">
        <w:t xml:space="preserve"> the model depicted in </w:t>
      </w:r>
      <w:r>
        <w:fldChar w:fldCharType="begin"/>
      </w:r>
      <w:r>
        <w:instrText xml:space="preserve"> REF _Ref151720747 \h </w:instrText>
      </w:r>
      <w:r>
        <w:fldChar w:fldCharType="separate"/>
      </w:r>
      <w:r w:rsidR="009F12B4">
        <w:t xml:space="preserve">Figure </w:t>
      </w:r>
      <w:r w:rsidR="009F12B4">
        <w:rPr>
          <w:noProof/>
        </w:rPr>
        <w:t>2</w:t>
      </w:r>
      <w:r>
        <w:fldChar w:fldCharType="end"/>
      </w:r>
      <w:r w:rsidR="00A1329C">
        <w:t xml:space="preserve">, which </w:t>
      </w:r>
      <w:r w:rsidR="0004144C">
        <w:t xml:space="preserve">is </w:t>
      </w:r>
      <w:r w:rsidR="00F75CEE">
        <w:t>intended to</w:t>
      </w:r>
      <w:r w:rsidR="003A24D9">
        <w:t xml:space="preserve"> </w:t>
      </w:r>
      <w:r w:rsidR="003B120D">
        <w:t>provide</w:t>
      </w:r>
      <w:r w:rsidR="00B25351">
        <w:t xml:space="preserve"> a </w:t>
      </w:r>
      <w:r w:rsidR="00081E59">
        <w:t>common</w:t>
      </w:r>
      <w:r w:rsidR="00B25351">
        <w:t xml:space="preserve"> understanding of the</w:t>
      </w:r>
      <w:r w:rsidR="003A24D9">
        <w:t xml:space="preserve"> </w:t>
      </w:r>
      <w:r w:rsidR="00166126">
        <w:t xml:space="preserve">components required </w:t>
      </w:r>
      <w:r w:rsidR="00344715">
        <w:t>to realise</w:t>
      </w:r>
      <w:r w:rsidR="00CC245D">
        <w:t xml:space="preserve"> an </w:t>
      </w:r>
      <w:r w:rsidR="464E1B67">
        <w:t>effective</w:t>
      </w:r>
      <w:r w:rsidR="00CC245D">
        <w:t xml:space="preserve"> suicide prevention system</w:t>
      </w:r>
      <w:r w:rsidR="003B120D">
        <w:t xml:space="preserve"> and</w:t>
      </w:r>
      <w:r w:rsidR="00050FB3">
        <w:t>,</w:t>
      </w:r>
      <w:r w:rsidR="003B120D">
        <w:t xml:space="preserve"> </w:t>
      </w:r>
      <w:r w:rsidR="00050FB3">
        <w:t>consequently,</w:t>
      </w:r>
      <w:r w:rsidR="003B120D">
        <w:t xml:space="preserve"> be </w:t>
      </w:r>
      <w:r w:rsidR="00C304F6">
        <w:t xml:space="preserve">a blueprint for </w:t>
      </w:r>
      <w:r w:rsidR="00863788">
        <w:t>future suicide prevention efforts</w:t>
      </w:r>
      <w:r w:rsidR="002B6189">
        <w:t>.</w:t>
      </w:r>
    </w:p>
    <w:p w14:paraId="1037B9B4" w14:textId="5FC9E318" w:rsidR="627F4A83" w:rsidRDefault="562AFC2D" w:rsidP="00381701">
      <w:pPr>
        <w:spacing w:after="240"/>
      </w:pPr>
      <w:r>
        <w:rPr>
          <w:noProof/>
        </w:rPr>
        <w:drawing>
          <wp:inline distT="0" distB="0" distL="0" distR="0" wp14:anchorId="73FE74D6" wp14:editId="1B537A24">
            <wp:extent cx="5762626" cy="2619375"/>
            <wp:effectExtent l="0" t="0" r="0" b="0"/>
            <wp:docPr id="1851368644" name="Picture 1851368644" descr="The National Suicide Prevention Strategy identifies two domains of suicide prevention. They are Prevention of suicidal distress and Support for people experiencing suicidal thoughts and behaviours and those who care for them. &#10;&#10;Each domain has a set of key objectives and corresponding actions to achieve those objectives. &#10;&#10;In the Prevention domain, the 5 key objectives are safety and security, good health, economic security, social inclusion and navigating life transitions. &#10;&#10;In the Support domain, the 5 key objectives are culture of compassion, accessibility, system-level coordination, holistic distress reduction, and increased connection. &#10;&#10;The domains and key objectives are underpinned by four Critical enablers, which must be present for any of the Key Objectives to be fully realised. The Critical enablers are improved governance, embedded lived experience, available and translated evidence, and a capable and integrated workfor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762626" cy="2619375"/>
                    </a:xfrm>
                    <a:prstGeom prst="rect">
                      <a:avLst/>
                    </a:prstGeom>
                  </pic:spPr>
                </pic:pic>
              </a:graphicData>
            </a:graphic>
          </wp:inline>
        </w:drawing>
      </w:r>
    </w:p>
    <w:p w14:paraId="4DEF86F1" w14:textId="08F7B3CC" w:rsidR="002B6189" w:rsidRPr="00B768A1" w:rsidRDefault="7EBCFD87" w:rsidP="00381701">
      <w:pPr>
        <w:pStyle w:val="Caption"/>
        <w:spacing w:after="240"/>
      </w:pPr>
      <w:bookmarkStart w:id="24" w:name="_Ref151720747"/>
      <w:r>
        <w:t xml:space="preserve">Figure </w:t>
      </w:r>
      <w:r w:rsidR="00320938" w:rsidRPr="001140E6">
        <w:fldChar w:fldCharType="begin"/>
      </w:r>
      <w:r w:rsidR="00320938" w:rsidRPr="001140E6">
        <w:instrText>SEQ Figure \* ARABIC</w:instrText>
      </w:r>
      <w:r w:rsidR="00320938" w:rsidRPr="001140E6">
        <w:fldChar w:fldCharType="separate"/>
      </w:r>
      <w:r w:rsidR="009F12B4">
        <w:rPr>
          <w:noProof/>
        </w:rPr>
        <w:t>2</w:t>
      </w:r>
      <w:r w:rsidR="00320938" w:rsidRPr="001140E6">
        <w:fldChar w:fldCharType="end"/>
      </w:r>
      <w:bookmarkEnd w:id="24"/>
      <w:r>
        <w:t xml:space="preserve">: </w:t>
      </w:r>
      <w:r w:rsidR="1B461D04">
        <w:t xml:space="preserve">The </w:t>
      </w:r>
      <w:r>
        <w:t>National Suicide Prevention Strategy</w:t>
      </w:r>
      <w:r w:rsidR="257A29C3">
        <w:t xml:space="preserve"> </w:t>
      </w:r>
      <w:r w:rsidR="53CD013A">
        <w:t>model</w:t>
      </w:r>
    </w:p>
    <w:p w14:paraId="5841860E" w14:textId="69EDC6F3" w:rsidR="00ED7DF9" w:rsidRDefault="00ED7DF9" w:rsidP="00634A83">
      <w:r>
        <w:t>Th</w:t>
      </w:r>
      <w:r w:rsidR="43F61CD5">
        <w:t>e</w:t>
      </w:r>
      <w:r>
        <w:t xml:space="preserve"> Strategy operationalises</w:t>
      </w:r>
      <w:r w:rsidR="00530EF0">
        <w:t xml:space="preserve"> th</w:t>
      </w:r>
      <w:r w:rsidR="327F80B1">
        <w:t>is</w:t>
      </w:r>
      <w:r w:rsidR="00530EF0">
        <w:t xml:space="preserve"> model</w:t>
      </w:r>
      <w:r>
        <w:t xml:space="preserve"> by identifying the specific actions required to make progress </w:t>
      </w:r>
      <w:r w:rsidR="00BC1045">
        <w:t xml:space="preserve">in ensuring these </w:t>
      </w:r>
      <w:r w:rsidR="0016332A">
        <w:t>elements</w:t>
      </w:r>
      <w:r w:rsidR="00BC1045">
        <w:t xml:space="preserve"> are in place</w:t>
      </w:r>
      <w:r w:rsidR="009862CA">
        <w:t xml:space="preserve"> nationally</w:t>
      </w:r>
      <w:r w:rsidR="00BC1045">
        <w:t>.</w:t>
      </w:r>
      <w:r>
        <w:t xml:space="preserve"> </w:t>
      </w:r>
      <w:r w:rsidR="22556F4E">
        <w:t xml:space="preserve">The model </w:t>
      </w:r>
      <w:r w:rsidR="00682F3D">
        <w:t>should</w:t>
      </w:r>
      <w:r w:rsidR="22556F4E">
        <w:t xml:space="preserve"> also serve as the common basis for other work such as a National Suicide Prevention Workforce Strategy and National Suicide Prevention Outcomes Framework that will, respectively, identify what is required to deliver the workforces needed to support such an approach and enable meaningful tracking of progress in suicide prevention efforts.</w:t>
      </w:r>
      <w:r>
        <w:t xml:space="preserve"> </w:t>
      </w:r>
    </w:p>
    <w:p w14:paraId="06013A5C" w14:textId="61F64658" w:rsidR="26355C7C" w:rsidRPr="00B768A1" w:rsidRDefault="4A4728DE" w:rsidP="00634A83">
      <w:r w:rsidRPr="00B768A1">
        <w:t xml:space="preserve">This Strategy is designed to operate in concert with </w:t>
      </w:r>
      <w:r w:rsidRPr="00225308">
        <w:rPr>
          <w:rFonts w:eastAsia="Century Gothic"/>
        </w:rPr>
        <w:t>existing strategies that address social determinants of suicide</w:t>
      </w:r>
      <w:r w:rsidR="00B377BE" w:rsidRPr="00B768A1">
        <w:t>, suicide prevention efforts underway in each state and territory,</w:t>
      </w:r>
      <w:r w:rsidRPr="00225308">
        <w:rPr>
          <w:rFonts w:eastAsia="Century Gothic"/>
        </w:rPr>
        <w:t xml:space="preserve"> and other significant</w:t>
      </w:r>
      <w:r w:rsidRPr="00B768A1">
        <w:t xml:space="preserve"> pieces of work in suicide prevention that are currently in development. They should </w:t>
      </w:r>
      <w:r w:rsidR="006604AB">
        <w:t xml:space="preserve">all </w:t>
      </w:r>
      <w:r w:rsidRPr="00B768A1">
        <w:t xml:space="preserve">be seen as </w:t>
      </w:r>
      <w:r w:rsidR="4E08037A">
        <w:t>vital</w:t>
      </w:r>
      <w:r w:rsidRPr="00B768A1">
        <w:t xml:space="preserve"> components that together provide national direction for suicide prevention efforts.</w:t>
      </w:r>
    </w:p>
    <w:p w14:paraId="74604DF8" w14:textId="0F93C24B" w:rsidR="00DE210F" w:rsidRPr="00B768A1" w:rsidRDefault="0022380E" w:rsidP="00634A83">
      <w:r w:rsidRPr="00B768A1">
        <w:t>Example</w:t>
      </w:r>
      <w:r w:rsidR="00317F14" w:rsidRPr="00B768A1">
        <w:t xml:space="preserve">s </w:t>
      </w:r>
      <w:r w:rsidRPr="00B768A1">
        <w:t xml:space="preserve">of </w:t>
      </w:r>
      <w:r w:rsidR="003E7FB2" w:rsidRPr="00B768A1">
        <w:t>strategies</w:t>
      </w:r>
      <w:r w:rsidR="000A33FB" w:rsidRPr="00B768A1">
        <w:t xml:space="preserve"> that</w:t>
      </w:r>
      <w:r w:rsidR="4A4728DE" w:rsidRPr="00655DC4">
        <w:t xml:space="preserve"> address </w:t>
      </w:r>
      <w:r w:rsidR="005F57D8" w:rsidRPr="00B768A1">
        <w:t>social determinants of suicide include</w:t>
      </w:r>
      <w:r w:rsidR="4A4728DE" w:rsidRPr="00A20852">
        <w:t xml:space="preserve"> </w:t>
      </w:r>
      <w:r w:rsidR="00A15C4E">
        <w:t xml:space="preserve">strategies for </w:t>
      </w:r>
      <w:r w:rsidR="4A4728DE" w:rsidRPr="00A20852">
        <w:t>housing (</w:t>
      </w:r>
      <w:r w:rsidR="00C34D68">
        <w:t>t</w:t>
      </w:r>
      <w:r w:rsidR="4A4728DE" w:rsidRPr="00A20852">
        <w:t>he National Housing and Homelessness Plan</w:t>
      </w:r>
      <w:r w:rsidR="00D366E4">
        <w:t xml:space="preserve">, which is </w:t>
      </w:r>
      <w:r w:rsidR="007E619A" w:rsidRPr="00186C32">
        <w:t>in development</w:t>
      </w:r>
      <w:hyperlink w:anchor="_ENREF_34" w:tooltip="Services, 2024 #987" w:history="1">
        <w:r w:rsidR="002D6F18">
          <w:fldChar w:fldCharType="begin"/>
        </w:r>
        <w:r w:rsidR="002D6F18">
          <w:instrText xml:space="preserve"> ADDIN EN.CITE &lt;EndNote&gt;&lt;Cite&gt;&lt;Author&gt;Services&lt;/Author&gt;&lt;Year&gt;2024&lt;/Year&gt;&lt;RecNum&gt;987&lt;/RecNum&gt;&lt;DisplayText&gt;&lt;style face="superscript"&gt;34&lt;/style&gt;&lt;/DisplayText&gt;&lt;record&gt;&lt;rec-number&gt;987&lt;/rec-number&gt;&lt;foreign-keys&gt;&lt;key app="EN" db-id="rsettzd2isasdweewww55s9lffasxav0d0ft" timestamp="1720077505" guid="c03f98f9-0e0e-4f6f-8c4a-fe8f95b2618a"&gt;987&lt;/key&gt;&lt;/foreign-keys&gt;&lt;ref-type name="Web Page"&gt;12&lt;/ref-type&gt;&lt;contributors&gt;&lt;authors&gt;&lt;author&gt;Department of Social Services&lt;/author&gt;&lt;/authors&gt;&lt;/contributors&gt;&lt;titles&gt;&lt;title&gt;Developing the National Housing and Homelessness Plan &lt;/title&gt;&lt;/titles&gt;&lt;dates&gt;&lt;year&gt;2024&lt;/year&gt;&lt;/dates&gt;&lt;publisher&gt;Department of Social Services&lt;/publisher&gt;&lt;work-type&gt;Internet&lt;/work-type&gt;&lt;urls&gt;&lt;related-urls&gt;&lt;url&gt;https://www.dss.gov.au/housing-support-programs-services-housing/developing-the-national-housing-and-homelessness-plan&lt;/url&gt;&lt;/related-urls&gt;&lt;/urls&gt;&lt;custom1&gt;2024&lt;/custom1&gt;&lt;custom2&gt;March 6&lt;/custom2&gt;&lt;/record&gt;&lt;/Cite&gt;&lt;/EndNote&gt;</w:instrText>
        </w:r>
        <w:r w:rsidR="002D6F18">
          <w:fldChar w:fldCharType="separate"/>
        </w:r>
        <w:r w:rsidR="002D6F18" w:rsidRPr="0082082D">
          <w:rPr>
            <w:noProof/>
            <w:vertAlign w:val="superscript"/>
          </w:rPr>
          <w:t>34</w:t>
        </w:r>
        <w:r w:rsidR="002D6F18">
          <w:fldChar w:fldCharType="end"/>
        </w:r>
      </w:hyperlink>
      <w:r w:rsidR="4A4728DE" w:rsidRPr="005B4664">
        <w:t>) and personal safety (</w:t>
      </w:r>
      <w:r w:rsidR="005B4664">
        <w:t>t</w:t>
      </w:r>
      <w:r w:rsidR="4A4728DE" w:rsidRPr="005B4664">
        <w:t>he National Plan to End Violence against Women and Children</w:t>
      </w:r>
      <w:hyperlink w:anchor="_ENREF_35" w:tooltip="Services,  #988" w:history="1">
        <w:r w:rsidR="002D6F18">
          <w:fldChar w:fldCharType="begin"/>
        </w:r>
        <w:r w:rsidR="002D6F18">
          <w:instrText xml:space="preserve"> ADDIN EN.CITE &lt;EndNote&gt;&lt;Cite&gt;&lt;Author&gt;Services&lt;/Author&gt;&lt;RecNum&gt;988&lt;/RecNum&gt;&lt;DisplayText&gt;&lt;style face="superscript"&gt;35&lt;/style&gt;&lt;/DisplayText&gt;&lt;record&gt;&lt;rec-number&gt;988&lt;/rec-number&gt;&lt;foreign-keys&gt;&lt;key app="EN" db-id="rsettzd2isasdweewww55s9lffasxav0d0ft" timestamp="1720077702" guid="ab2b8f72-c43e-4065-bdf0-57f67489ce10"&gt;988&lt;/key&gt;&lt;/foreign-keys&gt;&lt;ref-type name="Web Page"&gt;12&lt;/ref-type&gt;&lt;contributors&gt;&lt;authors&gt;&lt;author&gt;Department of Social Services&lt;/author&gt;&lt;/authors&gt;&lt;secondary-authors&gt;&lt;author&gt;Department of Social Services&lt;/author&gt;&lt;/secondary-authors&gt;&lt;/contributors&gt;&lt;titles&gt;&lt;title&gt;National Plan to End Violence against Women and Children 2022–2032 &lt;/title&gt;&lt;/titles&gt;&lt;dates&gt;&lt;/dates&gt;&lt;publisher&gt;Department of Social Services&lt;/publisher&gt;&lt;urls&gt;&lt;related-urls&gt;&lt;url&gt;https://www.dss.gov.au/sites/default/files/documents/10_2023/national-plan-end-violence-against-women-and-children-2022-2032.pdf&lt;/url&gt;&lt;/related-urls&gt;&lt;/urls&gt;&lt;custom1&gt;2024&lt;/custom1&gt;&lt;custom2&gt;March 6&lt;/custom2&gt;&lt;/record&gt;&lt;/Cite&gt;&lt;/EndNote&gt;</w:instrText>
        </w:r>
        <w:r w:rsidR="002D6F18">
          <w:fldChar w:fldCharType="separate"/>
        </w:r>
        <w:r w:rsidR="002D6F18" w:rsidRPr="0082082D">
          <w:rPr>
            <w:noProof/>
            <w:vertAlign w:val="superscript"/>
          </w:rPr>
          <w:t>35</w:t>
        </w:r>
        <w:r w:rsidR="002D6F18">
          <w:fldChar w:fldCharType="end"/>
        </w:r>
      </w:hyperlink>
      <w:r w:rsidR="4A4728DE" w:rsidRPr="00A20852">
        <w:t xml:space="preserve">). </w:t>
      </w:r>
      <w:r w:rsidR="005A5B49">
        <w:t>S</w:t>
      </w:r>
      <w:r w:rsidR="00763F28" w:rsidRPr="00B768A1">
        <w:t xml:space="preserve">uch </w:t>
      </w:r>
      <w:r w:rsidR="4A4728DE" w:rsidRPr="00186C32">
        <w:t xml:space="preserve">strategies are mentioned </w:t>
      </w:r>
      <w:r w:rsidR="005A5B49">
        <w:t xml:space="preserve">where relevant </w:t>
      </w:r>
      <w:r w:rsidR="4A4728DE" w:rsidRPr="00A20852">
        <w:t>throughout this Strategy.</w:t>
      </w:r>
    </w:p>
    <w:p w14:paraId="11BA1370" w14:textId="0A2A9FF4" w:rsidR="004A5D94" w:rsidRPr="00B768A1" w:rsidRDefault="004A5D94" w:rsidP="00634A83">
      <w:r w:rsidRPr="00B768A1">
        <w:t xml:space="preserve">Significant work is </w:t>
      </w:r>
      <w:r w:rsidR="005E02C3" w:rsidRPr="00B768A1">
        <w:t>underway</w:t>
      </w:r>
      <w:r w:rsidRPr="00B768A1">
        <w:t xml:space="preserve"> in states and territories to develop and implement jurisdictional suicide prevention plans. The NSPO worked closely with suicide prevention leads from each state and territory and engaged in consultation with relevant departments within the jurisdictions to ensure alignment between these efforts and the coordinated national approach described in this Strategy.</w:t>
      </w:r>
    </w:p>
    <w:p w14:paraId="132F9C0F" w14:textId="6F3DA3F9" w:rsidR="26355C7C" w:rsidRPr="00B768A1" w:rsidRDefault="00253F8C" w:rsidP="00634A83">
      <w:r>
        <w:t>The following</w:t>
      </w:r>
      <w:r w:rsidR="00DE210F">
        <w:t xml:space="preserve"> are</w:t>
      </w:r>
      <w:r w:rsidR="4A4728DE" w:rsidRPr="00247E24">
        <w:t xml:space="preserve"> </w:t>
      </w:r>
      <w:r w:rsidR="7A7B3558">
        <w:t xml:space="preserve">crucial </w:t>
      </w:r>
      <w:r w:rsidR="4A4728DE" w:rsidRPr="4623DBCA">
        <w:rPr>
          <w:rFonts w:eastAsia="Century Gothic"/>
        </w:rPr>
        <w:t xml:space="preserve">pieces of work in suicide prevention that are </w:t>
      </w:r>
      <w:r w:rsidR="00DE210F">
        <w:t xml:space="preserve">currently </w:t>
      </w:r>
      <w:r w:rsidR="4A4728DE" w:rsidRPr="4623DBCA">
        <w:rPr>
          <w:rFonts w:eastAsia="Century Gothic"/>
        </w:rPr>
        <w:t>under development</w:t>
      </w:r>
      <w:r w:rsidRPr="4623DBCA">
        <w:rPr>
          <w:rFonts w:eastAsia="Century Gothic"/>
        </w:rPr>
        <w:t xml:space="preserve"> </w:t>
      </w:r>
      <w:r>
        <w:t>and have not yet been released</w:t>
      </w:r>
      <w:r w:rsidR="00DE210F" w:rsidRPr="00247E24">
        <w:t>.</w:t>
      </w:r>
    </w:p>
    <w:p w14:paraId="6C12E105" w14:textId="50648F9E" w:rsidR="26355C7C" w:rsidRPr="00B768A1" w:rsidRDefault="4A4728DE" w:rsidP="00634A83">
      <w:pPr>
        <w:pStyle w:val="BT-Beigebox"/>
      </w:pPr>
      <w:r w:rsidRPr="00B768A1">
        <w:t>The</w:t>
      </w:r>
      <w:r w:rsidRPr="00B768A1">
        <w:rPr>
          <w:b/>
          <w:bCs/>
          <w:i/>
          <w:iCs/>
        </w:rPr>
        <w:t xml:space="preserve"> </w:t>
      </w:r>
      <w:r w:rsidRPr="00794F79">
        <w:rPr>
          <w:b/>
          <w:bCs/>
        </w:rPr>
        <w:t>National Aboriginal and Torres Strait Islander Suicide Prevention Strategy</w:t>
      </w:r>
      <w:r w:rsidRPr="00B768A1">
        <w:rPr>
          <w:b/>
          <w:bCs/>
          <w:i/>
          <w:iCs/>
        </w:rPr>
        <w:t xml:space="preserve"> </w:t>
      </w:r>
      <w:r w:rsidRPr="00B768A1">
        <w:t>and this Strategy sit side by side as mutually reinforcing scaffolding. The vision set out in this Strategy cannot be achieved without significant and sustained reductions in Aboriginal and Torres Strait Islander suicides. Such reductions can only be achieved through Aboriginal and Torres Strait Islander community and cultural leadership</w:t>
      </w:r>
      <w:r w:rsidR="18A7311C" w:rsidRPr="00B768A1">
        <w:t>. B</w:t>
      </w:r>
      <w:r w:rsidRPr="00B768A1">
        <w:t xml:space="preserve">ut accountability for improved social and emotional wellbeing outcomes cannot rest with Aboriginal and Torres Strait Islander run services and agencies alone. </w:t>
      </w:r>
    </w:p>
    <w:p w14:paraId="1FF6334F" w14:textId="66868A11" w:rsidR="26355C7C" w:rsidRPr="00B768A1" w:rsidRDefault="4A4728DE" w:rsidP="00634A83">
      <w:pPr>
        <w:pStyle w:val="BT-Beigebox"/>
      </w:pPr>
      <w:r w:rsidRPr="003D20E4">
        <w:t>The</w:t>
      </w:r>
      <w:r w:rsidRPr="003D20E4">
        <w:rPr>
          <w:b/>
          <w:bCs/>
        </w:rPr>
        <w:t xml:space="preserve"> Gayaa Dhuwi (Proud Spirit) Declaration Implementation Framework and Plan</w:t>
      </w:r>
      <w:r w:rsidRPr="00B768A1">
        <w:rPr>
          <w:b/>
          <w:bCs/>
        </w:rPr>
        <w:t xml:space="preserve"> </w:t>
      </w:r>
      <w:r w:rsidRPr="00B768A1">
        <w:t xml:space="preserve">commits all governments to work in genuine partnership with Aboriginal and Torres Strait Islander peoples, organisations and communities to drive </w:t>
      </w:r>
      <w:r w:rsidRPr="00A20852">
        <w:t>culturally</w:t>
      </w:r>
      <w:r w:rsidRPr="00B768A1">
        <w:t xml:space="preserve"> safe and responsive mental health, social and emotional wellbeing, and suicide prevention solutions. This Strategy seeks to emphasise Aboriginal and Torres Strait Islander concepts of social and emotional wellbeing as a key source of leadership and guidance for holistic approaches to suicide prevention across the Australian population. It describes approaches aligned with the goals of the Plan.</w:t>
      </w:r>
    </w:p>
    <w:p w14:paraId="10AD2B15" w14:textId="22D0EBA4" w:rsidR="4A4728DE" w:rsidRDefault="0DEF7243" w:rsidP="00634A83">
      <w:pPr>
        <w:pStyle w:val="BT-Beigebox"/>
      </w:pPr>
      <w:r>
        <w:t xml:space="preserve"> </w:t>
      </w:r>
      <w:r w:rsidRPr="00F833FC">
        <w:rPr>
          <w:b/>
          <w:bCs/>
        </w:rPr>
        <w:t>The Royal Commission into Defence and Veteran Suicide</w:t>
      </w:r>
      <w:r>
        <w:t xml:space="preserve"> is expected to deliver its final report in 2024</w:t>
      </w:r>
      <w:r w:rsidR="00201914">
        <w:t xml:space="preserve">. This </w:t>
      </w:r>
      <w:r w:rsidR="00805A5A">
        <w:t>report</w:t>
      </w:r>
      <w:r>
        <w:t xml:space="preserve"> will </w:t>
      </w:r>
      <w:r w:rsidR="002812D9">
        <w:t>outline</w:t>
      </w:r>
      <w:r>
        <w:t xml:space="preserve"> how to address the impact of suicide experienced by Defence personnel, veterans and their families. </w:t>
      </w:r>
      <w:r w:rsidR="002812D9">
        <w:t>Additionally, t</w:t>
      </w:r>
      <w:r>
        <w:t>he Departments of Defence and Veterans Affairs (DVA) are developing a joint narrative on suicide prevention with actions targeted to address the specific requirements of Defence personnel and veterans. A Joint Defence and DVA Suicide Prevention Action Plan will be informed by the Royal Commission recommendations endorsed by Government. In expectation of this joint effort, Defence and DVA will continue to work with stakeholders to progress actions as a critical part of national suicide prevention efforts.</w:t>
      </w:r>
    </w:p>
    <w:p w14:paraId="19D8A0C2" w14:textId="77777777" w:rsidR="00364F60" w:rsidRDefault="00364F60">
      <w:pPr>
        <w:spacing w:after="160"/>
        <w:rPr>
          <w:rFonts w:eastAsiaTheme="majorEastAsia"/>
          <w:b/>
          <w:bCs/>
          <w:sz w:val="28"/>
          <w:szCs w:val="28"/>
        </w:rPr>
      </w:pPr>
      <w:r>
        <w:br w:type="page"/>
      </w:r>
    </w:p>
    <w:p w14:paraId="26DDFC05" w14:textId="6735E680" w:rsidR="0EEA9DA5" w:rsidRDefault="645DBAFC" w:rsidP="00A771EF">
      <w:pPr>
        <w:pStyle w:val="Heading31"/>
      </w:pPr>
      <w:r>
        <w:t>Implementation</w:t>
      </w:r>
      <w:r w:rsidR="00FE577B">
        <w:t xml:space="preserve"> and monitoring</w:t>
      </w:r>
    </w:p>
    <w:p w14:paraId="665E4767" w14:textId="1F69BFA7" w:rsidR="645DBAFC" w:rsidRDefault="645DBAFC" w:rsidP="002310C1">
      <w:r w:rsidRPr="44FBB750">
        <w:t>The changes described throughout the Strategy are substantial</w:t>
      </w:r>
      <w:r w:rsidR="00440DBA">
        <w:t xml:space="preserve"> and i</w:t>
      </w:r>
      <w:r w:rsidRPr="44FBB750">
        <w:t xml:space="preserve">mplementation will require sustained commitment. </w:t>
      </w:r>
      <w:r w:rsidR="00FB308C">
        <w:t xml:space="preserve">The Strategy has been designed </w:t>
      </w:r>
      <w:r w:rsidR="008124FB">
        <w:t xml:space="preserve">for implementation to </w:t>
      </w:r>
      <w:r w:rsidRPr="44FBB750">
        <w:t>occur over a 10-year period, made-up of two 5-year cycles</w:t>
      </w:r>
      <w:r w:rsidR="00272ED3">
        <w:t xml:space="preserve"> with a </w:t>
      </w:r>
      <w:r w:rsidRPr="44FBB750">
        <w:t>reflection point midway allow</w:t>
      </w:r>
      <w:r w:rsidR="00272ED3">
        <w:t>ing</w:t>
      </w:r>
      <w:r w:rsidRPr="44FBB750">
        <w:t xml:space="preserve"> for adjustment of implementation in line with progress and new evidence (</w:t>
      </w:r>
      <w:r w:rsidR="00A25F7F">
        <w:fldChar w:fldCharType="begin"/>
      </w:r>
      <w:r w:rsidR="00A25F7F">
        <w:instrText xml:space="preserve"> REF _Ref166597811 \h </w:instrText>
      </w:r>
      <w:r w:rsidR="00A25F7F">
        <w:fldChar w:fldCharType="separate"/>
      </w:r>
      <w:r w:rsidR="009F12B4" w:rsidRPr="44FBB750">
        <w:t xml:space="preserve">Figure </w:t>
      </w:r>
      <w:r w:rsidR="009F12B4">
        <w:rPr>
          <w:noProof/>
        </w:rPr>
        <w:t>3</w:t>
      </w:r>
      <w:r w:rsidR="00A25F7F">
        <w:fldChar w:fldCharType="end"/>
      </w:r>
      <w:r w:rsidRPr="44FBB750">
        <w:t>).</w:t>
      </w:r>
    </w:p>
    <w:p w14:paraId="1619F089" w14:textId="0FADD7D1" w:rsidR="645DBAFC" w:rsidRDefault="645DBAFC" w:rsidP="00C86A9C">
      <w:pPr>
        <w:spacing w:before="240"/>
        <w:jc w:val="center"/>
        <w:rPr>
          <w:rFonts w:eastAsia="Century Gothic"/>
        </w:rPr>
      </w:pPr>
      <w:r>
        <w:rPr>
          <w:noProof/>
        </w:rPr>
        <w:drawing>
          <wp:inline distT="0" distB="0" distL="0" distR="0" wp14:anchorId="78B62D76" wp14:editId="37BD00CA">
            <wp:extent cx="4100626" cy="2204085"/>
            <wp:effectExtent l="0" t="0" r="0" b="5715"/>
            <wp:docPr id="521763941" name="Picture 521763941" descr="The National Suicide Prevention Strategy is structured to occur over 10 years, from 2024 to 2034. Two five-year Implementation Plans will be used, the first from 2024 to 2029 and the second from 2030 to 2034. This will allow stakeholders to monitor and report on progress and use the insights generated from the first implementation plan to shape the second implementa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763941" name="Picture 521763941" descr="The National Suicide Prevention Strategy is structured to occur over 10 years, from 2024 to 2034. Two five-year Implementation Plans will be used, the first from 2024 to 2029 and the second from 2030 to 2034. This will allow stakeholders to monitor and report on progress and use the insights generated from the first implementation plan to shape the second implementation plan."/>
                    <pic:cNvPicPr/>
                  </pic:nvPicPr>
                  <pic:blipFill>
                    <a:blip r:embed="rId36">
                      <a:extLst>
                        <a:ext uri="{28A0092B-C50C-407E-A947-70E740481C1C}">
                          <a14:useLocalDpi xmlns:a14="http://schemas.microsoft.com/office/drawing/2010/main" val="0"/>
                        </a:ext>
                      </a:extLst>
                    </a:blip>
                    <a:stretch>
                      <a:fillRect/>
                    </a:stretch>
                  </pic:blipFill>
                  <pic:spPr>
                    <a:xfrm>
                      <a:off x="0" y="0"/>
                      <a:ext cx="4122079" cy="2215616"/>
                    </a:xfrm>
                    <a:prstGeom prst="rect">
                      <a:avLst/>
                    </a:prstGeom>
                  </pic:spPr>
                </pic:pic>
              </a:graphicData>
            </a:graphic>
          </wp:inline>
        </w:drawing>
      </w:r>
    </w:p>
    <w:p w14:paraId="5F5CBE31" w14:textId="2DA9F7F5" w:rsidR="645DBAFC" w:rsidRDefault="645DBAFC" w:rsidP="00381701">
      <w:pPr>
        <w:pStyle w:val="Caption"/>
        <w:spacing w:before="120" w:after="240"/>
      </w:pPr>
      <w:bookmarkStart w:id="25" w:name="_Ref166597811"/>
      <w:r w:rsidRPr="44FBB750">
        <w:t xml:space="preserve">Figure </w:t>
      </w:r>
      <w:r w:rsidR="00F93B6D">
        <w:fldChar w:fldCharType="begin"/>
      </w:r>
      <w:r w:rsidR="00F93B6D">
        <w:instrText>SEQ Figure \* ARABIC \* MERGEFORMAT</w:instrText>
      </w:r>
      <w:r w:rsidR="00F93B6D">
        <w:fldChar w:fldCharType="separate"/>
      </w:r>
      <w:r w:rsidR="009F12B4">
        <w:rPr>
          <w:noProof/>
        </w:rPr>
        <w:t>3</w:t>
      </w:r>
      <w:r w:rsidR="00F93B6D">
        <w:rPr>
          <w:noProof/>
        </w:rPr>
        <w:fldChar w:fldCharType="end"/>
      </w:r>
      <w:bookmarkStart w:id="26" w:name="_Ref166597805"/>
      <w:bookmarkEnd w:id="25"/>
      <w:r w:rsidRPr="44FBB750">
        <w:t>: Implementation and progress reporting of the National Suicide Prevention Strategy</w:t>
      </w:r>
      <w:bookmarkEnd w:id="26"/>
    </w:p>
    <w:p w14:paraId="7683CBAD" w14:textId="577E24B6" w:rsidR="645DBAFC" w:rsidRDefault="0021133F" w:rsidP="00634A83">
      <w:r>
        <w:t>I</w:t>
      </w:r>
      <w:r w:rsidRPr="4623DBCA">
        <w:t>mplementation planning</w:t>
      </w:r>
      <w:r>
        <w:t xml:space="preserve"> </w:t>
      </w:r>
      <w:r w:rsidR="65277AE4" w:rsidRPr="50DFD766">
        <w:t>will</w:t>
      </w:r>
      <w:r w:rsidR="645DBAFC" w:rsidRPr="44FBB750">
        <w:t xml:space="preserve"> require collaboration across governments</w:t>
      </w:r>
      <w:r w:rsidR="00D068C1">
        <w:t xml:space="preserve"> and portfolios</w:t>
      </w:r>
      <w:r w:rsidR="645DBAFC" w:rsidRPr="44FBB750">
        <w:t xml:space="preserve">, </w:t>
      </w:r>
      <w:r w:rsidR="00272ED3">
        <w:t>given</w:t>
      </w:r>
      <w:r w:rsidR="00C86A9C">
        <w:t xml:space="preserve"> their shared</w:t>
      </w:r>
      <w:r w:rsidR="645DBAFC" w:rsidRPr="44FBB750">
        <w:t xml:space="preserve"> role in preventing suicide</w:t>
      </w:r>
      <w:r w:rsidR="00272ED3">
        <w:t xml:space="preserve">. </w:t>
      </w:r>
      <w:r w:rsidR="00C87B9D">
        <w:t>Planning</w:t>
      </w:r>
      <w:r w:rsidR="645DBAFC" w:rsidRPr="44FBB750">
        <w:t xml:space="preserve"> should </w:t>
      </w:r>
      <w:r w:rsidR="21347FEA" w:rsidRPr="50DFD766">
        <w:t>also</w:t>
      </w:r>
      <w:r w:rsidR="009F2FE9">
        <w:t xml:space="preserve"> </w:t>
      </w:r>
      <w:r w:rsidR="71FA0F47" w:rsidRPr="50DFD766">
        <w:t>involve</w:t>
      </w:r>
      <w:r w:rsidR="645DBAFC" w:rsidRPr="44FBB750">
        <w:t xml:space="preserve"> close engagement with sectors, services and communities to maximise buy-in and mobilise effort from everyone with a role to play in suicide prevention.</w:t>
      </w:r>
      <w:r w:rsidR="00867C44">
        <w:t xml:space="preserve"> </w:t>
      </w:r>
      <w:r w:rsidR="645DBAFC" w:rsidRPr="44FBB750">
        <w:t>To ensure effectiveness and accountability, implementation planning and activit</w:t>
      </w:r>
      <w:r w:rsidR="00AA0458">
        <w:t>y</w:t>
      </w:r>
      <w:r w:rsidR="645DBAFC" w:rsidRPr="44FBB750">
        <w:t xml:space="preserve"> should occur in consultation with people with lived and living experience of suicide.</w:t>
      </w:r>
    </w:p>
    <w:p w14:paraId="199894BD" w14:textId="081B73D1" w:rsidR="6B5612B7" w:rsidRDefault="00FE577B" w:rsidP="00634A83">
      <w:r>
        <w:t>R</w:t>
      </w:r>
      <w:r w:rsidR="645DBAFC" w:rsidRPr="44FBB750">
        <w:t>egular, timely monitoring</w:t>
      </w:r>
      <w:r w:rsidR="006608DA">
        <w:t xml:space="preserve"> of </w:t>
      </w:r>
      <w:r w:rsidR="00A45A5E">
        <w:t xml:space="preserve">implementation of the Strategy will be </w:t>
      </w:r>
      <w:r w:rsidR="645DBAFC" w:rsidRPr="44FBB750">
        <w:t>required to track progress</w:t>
      </w:r>
      <w:r w:rsidR="00A45A5E">
        <w:t xml:space="preserve"> and inform </w:t>
      </w:r>
      <w:r w:rsidR="005379FC">
        <w:t xml:space="preserve">planning. </w:t>
      </w:r>
      <w:r w:rsidR="645DBAFC" w:rsidRPr="44FBB750">
        <w:t xml:space="preserve">In </w:t>
      </w:r>
      <w:r w:rsidR="005379FC" w:rsidRPr="44FBB750">
        <w:t>addition,</w:t>
      </w:r>
      <w:r w:rsidR="645DBAFC" w:rsidRPr="44FBB750">
        <w:t xml:space="preserve"> </w:t>
      </w:r>
      <w:r>
        <w:t xml:space="preserve">it </w:t>
      </w:r>
      <w:r w:rsidR="005379FC">
        <w:t>will be</w:t>
      </w:r>
      <w:r>
        <w:t xml:space="preserve"> necessary to </w:t>
      </w:r>
      <w:r w:rsidR="006608DA">
        <w:t>monitor the impact of national efforts. To achieve this, a</w:t>
      </w:r>
      <w:r w:rsidR="00202FA0">
        <w:t xml:space="preserve">n agreed set of </w:t>
      </w:r>
      <w:r w:rsidR="009D3335">
        <w:t>suicide prevention outcome</w:t>
      </w:r>
      <w:r w:rsidR="00C36358">
        <w:t xml:space="preserve">s and indicators </w:t>
      </w:r>
      <w:r w:rsidR="645DBAFC" w:rsidRPr="44FBB750">
        <w:t>(expanding beyond health measures)</w:t>
      </w:r>
      <w:r w:rsidR="00F11ADC">
        <w:t xml:space="preserve"> </w:t>
      </w:r>
      <w:r w:rsidR="00A66659">
        <w:t>should</w:t>
      </w:r>
      <w:r w:rsidR="00F11ADC">
        <w:t xml:space="preserve"> be developed</w:t>
      </w:r>
      <w:r w:rsidR="645DBAFC" w:rsidRPr="44FBB750">
        <w:t xml:space="preserve">. Regular </w:t>
      </w:r>
      <w:r w:rsidR="73B750C9" w:rsidRPr="50DFD766">
        <w:t>reporting</w:t>
      </w:r>
      <w:r w:rsidR="645DBAFC" w:rsidRPr="44FBB750">
        <w:t xml:space="preserve"> of both </w:t>
      </w:r>
      <w:r w:rsidR="005379FC">
        <w:t xml:space="preserve">implementation </w:t>
      </w:r>
      <w:r w:rsidR="645DBAFC" w:rsidRPr="44FBB750">
        <w:t>activity and impacts will provide regular insights that will guide implementation of the Strategy over the next 10 years.</w:t>
      </w:r>
    </w:p>
    <w:p w14:paraId="6993C95C" w14:textId="4569B184" w:rsidR="00C32398" w:rsidRPr="001B56B3" w:rsidRDefault="00C32398" w:rsidP="00C32398">
      <w:pPr>
        <w:pStyle w:val="BT-Beigebox-Heading"/>
        <w:rPr>
          <w:rStyle w:val="Strong"/>
          <w:b/>
          <w:bCs w:val="0"/>
        </w:rPr>
      </w:pPr>
      <w:r>
        <w:rPr>
          <w:rStyle w:val="Strong"/>
          <w:b/>
          <w:bCs w:val="0"/>
        </w:rPr>
        <w:t xml:space="preserve">Case studies: </w:t>
      </w:r>
      <w:r w:rsidRPr="001B56B3">
        <w:rPr>
          <w:rStyle w:val="Strong"/>
          <w:b/>
          <w:bCs w:val="0"/>
        </w:rPr>
        <w:t>Activities to build on</w:t>
      </w:r>
    </w:p>
    <w:p w14:paraId="65A0CE9F" w14:textId="77777777" w:rsidR="00C32398" w:rsidRPr="001B56B3" w:rsidRDefault="00C32398" w:rsidP="00C32398">
      <w:pPr>
        <w:pStyle w:val="BT-Beigebox"/>
      </w:pPr>
      <w:r w:rsidRPr="001B56B3">
        <w:t xml:space="preserve">Throughout the Strategy, examples of initiatives and programs are highlighted as </w:t>
      </w:r>
      <w:r w:rsidRPr="001B56B3">
        <w:rPr>
          <w:rStyle w:val="Strong"/>
          <w:b w:val="0"/>
          <w:bCs w:val="0"/>
        </w:rPr>
        <w:t>activities to build on</w:t>
      </w:r>
      <w:r w:rsidRPr="001B56B3">
        <w:t xml:space="preserve"> in suicide prevention. These examples have evidence of being effective and are aligned with the aims of the sections of the Strategy where they appear.</w:t>
      </w:r>
    </w:p>
    <w:p w14:paraId="6523A1CB" w14:textId="77777777" w:rsidR="00C32398" w:rsidRPr="001B56B3" w:rsidRDefault="00C32398" w:rsidP="00C32398">
      <w:pPr>
        <w:pStyle w:val="BT-Beigebox"/>
      </w:pPr>
      <w:r w:rsidRPr="001B56B3">
        <w:t>The NSPO acknowledges that the programs presented are not the only relevant and effective programs that exist. The intent of providing examples of initiatives and programs in this Strategy is to highlight some of the effective work occurring in suicide prevention.</w:t>
      </w:r>
    </w:p>
    <w:p w14:paraId="3F1F3672" w14:textId="2BC3C804" w:rsidR="00C32398" w:rsidRDefault="00C32398" w:rsidP="00C32398">
      <w:pPr>
        <w:pStyle w:val="BT-Beigebox"/>
      </w:pPr>
      <w:r w:rsidRPr="001B56B3">
        <w:t>Inclusion in this Strategy is not an endorsement of the program or a suggestion that these programs should be funded, or should be funded in exclusion of others, to achieve the aims of the Strategy.</w:t>
      </w:r>
    </w:p>
    <w:p w14:paraId="0133CC9B" w14:textId="17A651C3" w:rsidR="00E864FA" w:rsidRPr="00DD098B" w:rsidRDefault="00072F4E" w:rsidP="002E7F9A">
      <w:pPr>
        <w:pStyle w:val="heading1prevention"/>
        <w:rPr>
          <w:color w:val="D48005" w:themeColor="accent5" w:themeShade="BF"/>
        </w:rPr>
      </w:pPr>
      <w:bookmarkStart w:id="27" w:name="_Toc163401726"/>
      <w:bookmarkStart w:id="28" w:name="_Toc163401728"/>
      <w:bookmarkStart w:id="29" w:name="_Toc303536315"/>
      <w:bookmarkStart w:id="30" w:name="_Toc1969574585"/>
      <w:bookmarkStart w:id="31" w:name="_Toc171459025"/>
      <w:bookmarkEnd w:id="27"/>
      <w:bookmarkEnd w:id="28"/>
      <w:r w:rsidRPr="00DD098B">
        <w:rPr>
          <w14:textFill>
            <w14:solidFill>
              <w14:schemeClr w14:val="accent5">
                <w14:lumMod w14:val="75000"/>
                <w14:lumMod w14:val="75000"/>
                <w14:lumMod w14:val="75000"/>
              </w14:schemeClr>
            </w14:solidFill>
          </w14:textFill>
        </w:rPr>
        <w:t>P</w:t>
      </w:r>
      <w:r w:rsidR="00E864FA" w:rsidRPr="00DD098B">
        <w:rPr>
          <w14:textFill>
            <w14:solidFill>
              <w14:schemeClr w14:val="accent5">
                <w14:lumMod w14:val="75000"/>
                <w14:lumMod w14:val="75000"/>
                <w14:lumMod w14:val="75000"/>
              </w14:schemeClr>
            </w14:solidFill>
          </w14:textFill>
        </w:rPr>
        <w:t>revention</w:t>
      </w:r>
      <w:r w:rsidR="001D3B84" w:rsidRPr="00DD098B">
        <w:rPr>
          <w14:textFill>
            <w14:solidFill>
              <w14:schemeClr w14:val="accent5">
                <w14:lumMod w14:val="75000"/>
                <w14:lumMod w14:val="75000"/>
                <w14:lumMod w14:val="75000"/>
              </w14:schemeClr>
            </w14:solidFill>
          </w14:textFill>
        </w:rPr>
        <w:t xml:space="preserve"> of </w:t>
      </w:r>
      <w:r w:rsidR="00E44313" w:rsidRPr="00DD098B">
        <w:rPr>
          <w14:textFill>
            <w14:solidFill>
              <w14:schemeClr w14:val="accent5">
                <w14:lumMod w14:val="75000"/>
                <w14:lumMod w14:val="75000"/>
                <w14:lumMod w14:val="75000"/>
              </w14:schemeClr>
            </w14:solidFill>
          </w14:textFill>
        </w:rPr>
        <w:t>suicidal distress</w:t>
      </w:r>
      <w:bookmarkEnd w:id="29"/>
      <w:bookmarkEnd w:id="30"/>
      <w:bookmarkEnd w:id="31"/>
    </w:p>
    <w:p w14:paraId="15765C6D" w14:textId="1AE60887" w:rsidR="00F41EBF" w:rsidRDefault="5EDBFB66" w:rsidP="00634A83">
      <w:r>
        <w:t xml:space="preserve">A comprehensive approach to suicide </w:t>
      </w:r>
      <w:r w:rsidR="32AA3895">
        <w:t xml:space="preserve">prevention </w:t>
      </w:r>
      <w:r>
        <w:t>must do more than support people who are experiencing suicidal distress</w:t>
      </w:r>
      <w:r w:rsidR="05B9EF4A">
        <w:t>—</w:t>
      </w:r>
      <w:r>
        <w:t>it must</w:t>
      </w:r>
      <w:r w:rsidR="245BDCB5">
        <w:t xml:space="preserve"> also</w:t>
      </w:r>
      <w:r>
        <w:t xml:space="preserve"> </w:t>
      </w:r>
      <w:r w:rsidR="2CC1D58A">
        <w:t xml:space="preserve">reduce the likelihood of </w:t>
      </w:r>
      <w:r>
        <w:t xml:space="preserve">people </w:t>
      </w:r>
      <w:r w:rsidR="016191AF">
        <w:t xml:space="preserve">experiencing </w:t>
      </w:r>
      <w:r>
        <w:t xml:space="preserve">suicidal </w:t>
      </w:r>
      <w:r w:rsidR="3FF0C738">
        <w:t>distress</w:t>
      </w:r>
      <w:r>
        <w:t xml:space="preserve"> in the first place.</w:t>
      </w:r>
    </w:p>
    <w:p w14:paraId="40CAD2F4" w14:textId="1DB9E6D0" w:rsidR="004F45F7" w:rsidRDefault="00277821" w:rsidP="00A37820">
      <w:r>
        <w:t xml:space="preserve">Suicidal distress is often related to the </w:t>
      </w:r>
      <w:r w:rsidR="00A7435B">
        <w:t xml:space="preserve">impact of the </w:t>
      </w:r>
      <w:r w:rsidR="00A7435B" w:rsidRPr="00A7435B">
        <w:t>social, cultural, economic, legal and physical environments in which people live, work, learn and play</w:t>
      </w:r>
      <w:r w:rsidR="00A7435B">
        <w:t xml:space="preserve"> (outlined in </w:t>
      </w:r>
      <w:r>
        <w:fldChar w:fldCharType="begin"/>
      </w:r>
      <w:r>
        <w:instrText xml:space="preserve"> REF _Ref151720652 \h </w:instrText>
      </w:r>
      <w:r>
        <w:fldChar w:fldCharType="separate"/>
      </w:r>
      <w:r w:rsidR="009F12B4" w:rsidRPr="00745B34">
        <w:t xml:space="preserve">Figure </w:t>
      </w:r>
      <w:r w:rsidR="009F12B4">
        <w:rPr>
          <w:noProof/>
        </w:rPr>
        <w:t>1</w:t>
      </w:r>
      <w:r>
        <w:fldChar w:fldCharType="end"/>
      </w:r>
      <w:r w:rsidR="00A7435B">
        <w:t xml:space="preserve">). </w:t>
      </w:r>
      <w:r w:rsidR="14176AFF" w:rsidRPr="00B768A1">
        <w:t>T</w:t>
      </w:r>
      <w:r w:rsidR="441DFAA5" w:rsidRPr="00B768A1">
        <w:t xml:space="preserve">his Strategy focuses on </w:t>
      </w:r>
      <w:r w:rsidR="00A37820">
        <w:t xml:space="preserve">five of these key social determinants: </w:t>
      </w:r>
      <w:r w:rsidR="441DFAA5" w:rsidRPr="00B768A1">
        <w:t>safety</w:t>
      </w:r>
      <w:r w:rsidR="649D4E3D" w:rsidRPr="00B768A1">
        <w:t>;</w:t>
      </w:r>
      <w:r w:rsidR="441DFAA5" w:rsidRPr="00B768A1">
        <w:t xml:space="preserve"> good health</w:t>
      </w:r>
      <w:r w:rsidR="28EACAB7" w:rsidRPr="00B768A1">
        <w:t>;</w:t>
      </w:r>
      <w:r w:rsidR="441DFAA5" w:rsidRPr="00B768A1">
        <w:t xml:space="preserve"> economic security</w:t>
      </w:r>
      <w:r w:rsidR="056D0C58" w:rsidRPr="00B768A1">
        <w:t>;</w:t>
      </w:r>
      <w:r w:rsidR="441DFAA5" w:rsidRPr="00B768A1">
        <w:t xml:space="preserve"> social </w:t>
      </w:r>
      <w:r w:rsidR="1C0DC472" w:rsidRPr="00B768A1">
        <w:t>inclusion</w:t>
      </w:r>
      <w:r w:rsidR="6427DB11" w:rsidRPr="00B768A1">
        <w:t>;</w:t>
      </w:r>
      <w:r w:rsidR="441DFAA5" w:rsidRPr="00B768A1">
        <w:t xml:space="preserve"> and the ability to navigate key life </w:t>
      </w:r>
      <w:r w:rsidR="006E2DCC">
        <w:t>transitions</w:t>
      </w:r>
      <w:r w:rsidR="441DFAA5" w:rsidRPr="00B768A1">
        <w:t>.</w:t>
      </w:r>
      <w:r w:rsidR="5EDBFB66" w:rsidRPr="00B768A1">
        <w:t xml:space="preserve"> </w:t>
      </w:r>
      <w:r w:rsidR="2477E16A" w:rsidRPr="00B768A1">
        <w:t xml:space="preserve">These </w:t>
      </w:r>
      <w:r w:rsidR="5EDBFB66" w:rsidRPr="00B768A1">
        <w:t>warrant particular attention because of their potential to</w:t>
      </w:r>
      <w:r w:rsidR="3FCE6798" w:rsidRPr="00B768A1">
        <w:t xml:space="preserve"> positively influence wellbeing and also </w:t>
      </w:r>
      <w:r w:rsidR="1C01FE17" w:rsidRPr="00B768A1">
        <w:t>negatively impact on a person</w:t>
      </w:r>
      <w:r w:rsidR="4ADF78A1" w:rsidRPr="00B768A1">
        <w:t xml:space="preserve"> and </w:t>
      </w:r>
      <w:r w:rsidR="216C7843" w:rsidRPr="00B768A1">
        <w:t>contribute</w:t>
      </w:r>
      <w:r w:rsidR="14176AFF" w:rsidRPr="00B768A1">
        <w:t xml:space="preserve"> </w:t>
      </w:r>
      <w:r w:rsidR="5EDBFB66" w:rsidRPr="00B768A1">
        <w:t>to suicidal distress.</w:t>
      </w:r>
      <w:hyperlink w:anchor="_ENREF_36" w:tooltip="J, 2022 #916" w:history="1">
        <w:r w:rsidR="002D6F18">
          <w:fldChar w:fldCharType="begin"/>
        </w:r>
        <w:r w:rsidR="002D6F18">
          <w:instrText xml:space="preserve"> ADDIN EN.CITE &lt;EndNote&gt;&lt;Cite&gt;&lt;Author&gt;J&lt;/Author&gt;&lt;Year&gt;2022&lt;/Year&gt;&lt;RecNum&gt;43&lt;/RecNum&gt;&lt;DisplayText&gt;&lt;style face="superscript"&gt;36&lt;/style&gt;&lt;/DisplayText&gt;&lt;record&gt;&lt;rec-number&gt;43&lt;/rec-number&gt;&lt;foreign-keys&gt;&lt;key app="EN" db-id="rsettzd2isasdweewww55s9lffasxav0d0ft" timestamp="1700699466" guid="3a8717cb-fce2-43a5-854b-586027b067a0"&gt;43&lt;/key&gt;&lt;/foreign-keys&gt;&lt;ref-type name="Web Page"&gt;12&lt;/ref-type&gt;&lt;contributors&gt;&lt;authors&gt;&lt;author&gt;Pirkis J&lt;/author&gt;&lt;author&gt;Robinson J&lt;/author&gt;&lt;author&gt;Gunnell D&lt;/author&gt;&lt;author&gt;Hawton K&lt;/author&gt;&lt;author&gt;Hetrick S&lt;/author&gt;&lt;author&gt;Niederkrotenthaler T&lt;/author&gt;&lt;author&gt;Sinyor M&lt;/author&gt;&lt;author&gt;Yip P&lt;/author&gt;&lt;/authors&gt;&lt;tertiary-authors&gt;&lt;author&gt;Centre for Mental Health, The University of Melbourne&lt;/author&gt;&lt;/tertiary-authors&gt;&lt;/contributors&gt;&lt;titles&gt;&lt;title&gt;Understanding Suicide and Self-Harm&lt;/title&gt;&lt;/titles&gt;&lt;dates&gt;&lt;year&gt;2022&lt;/year&gt;&lt;/dates&gt;&lt;pub-location&gt;Melbourne&lt;/pub-location&gt;&lt;work-type&gt;Internet&lt;/work-type&gt;&lt;urls&gt;&lt;related-urls&gt;&lt;url&gt;Link to be updated once available&lt;/url&gt;&lt;/related-urls&gt;&lt;/urls&gt;&lt;custom1&gt;2023&lt;/custom1&gt;&lt;custom2&gt;October 23&lt;/custom2&gt;&lt;/record&gt;&lt;/Cite&gt;&lt;/EndNote&gt;</w:instrText>
        </w:r>
        <w:r w:rsidR="002D6F18">
          <w:fldChar w:fldCharType="separate"/>
        </w:r>
        <w:r w:rsidR="002D6F18" w:rsidRPr="0082082D">
          <w:rPr>
            <w:noProof/>
            <w:vertAlign w:val="superscript"/>
          </w:rPr>
          <w:t>36</w:t>
        </w:r>
        <w:r w:rsidR="002D6F18">
          <w:fldChar w:fldCharType="end"/>
        </w:r>
      </w:hyperlink>
      <w:r w:rsidR="00A9449F">
        <w:t xml:space="preserve"> </w:t>
      </w:r>
      <w:r w:rsidR="0038321A">
        <w:t>T</w:t>
      </w:r>
      <w:r w:rsidR="5EDBFB66">
        <w:t xml:space="preserve">his </w:t>
      </w:r>
      <w:r w:rsidR="170BC917">
        <w:t xml:space="preserve">Strategy </w:t>
      </w:r>
      <w:r w:rsidR="5EDBFB66">
        <w:t xml:space="preserve">approaches these factors </w:t>
      </w:r>
      <w:r w:rsidR="00621F82">
        <w:t>from both perspectives</w:t>
      </w:r>
      <w:r w:rsidR="5EDBFB66">
        <w:t>.</w:t>
      </w:r>
    </w:p>
    <w:p w14:paraId="7FFF73AD" w14:textId="0C6BF563" w:rsidR="001A22A2" w:rsidRPr="006D1488" w:rsidRDefault="005266A4" w:rsidP="00B95BD4">
      <w:pPr>
        <w:pStyle w:val="Subheading1withnumber"/>
        <w:rPr>
          <w:sz w:val="26"/>
          <w:szCs w:val="26"/>
        </w:rPr>
      </w:pPr>
      <w:r w:rsidRPr="006D1488">
        <w:rPr>
          <w:sz w:val="26"/>
          <w:szCs w:val="26"/>
        </w:rPr>
        <w:t xml:space="preserve">Strengthening </w:t>
      </w:r>
      <w:r w:rsidR="004F48C7" w:rsidRPr="006D1488">
        <w:rPr>
          <w:sz w:val="26"/>
          <w:szCs w:val="26"/>
        </w:rPr>
        <w:t>protective wellbeing</w:t>
      </w:r>
    </w:p>
    <w:p w14:paraId="59B7B5C2" w14:textId="21D756FB" w:rsidR="004D5DBF" w:rsidRPr="00B95BD4" w:rsidRDefault="4D874CE9" w:rsidP="004D5DBF">
      <w:pPr>
        <w:rPr>
          <w:vertAlign w:val="superscript"/>
        </w:rPr>
      </w:pPr>
      <w:r w:rsidRPr="20F56C59">
        <w:t>Communities</w:t>
      </w:r>
      <w:r w:rsidR="2644BEF2" w:rsidRPr="20F56C59">
        <w:t xml:space="preserve"> in which people feel safe, healthy, economically secure </w:t>
      </w:r>
      <w:r w:rsidR="627A0CF9" w:rsidRPr="20F56C59">
        <w:t xml:space="preserve">and </w:t>
      </w:r>
      <w:r w:rsidR="00FA0150">
        <w:t>connected to others</w:t>
      </w:r>
      <w:r w:rsidR="2644BEF2" w:rsidRPr="20F56C59">
        <w:t xml:space="preserve"> are associated with higher levels of wellbeing, lower levels of distress and lower suicide rates.</w:t>
      </w:r>
      <w:hyperlink w:anchor="_ENREF_37" w:tooltip="A, 2015 #129" w:history="1">
        <w:r w:rsidR="002D6F18" w:rsidRPr="00155BAA">
          <w:rPr>
            <w:vertAlign w:val="superscript"/>
          </w:rPr>
          <w:fldChar w:fldCharType="begin"/>
        </w:r>
        <w:r w:rsidR="002D6F18">
          <w:rPr>
            <w:vertAlign w:val="superscript"/>
          </w:rPr>
          <w:instrText xml:space="preserve"> ADDIN EN.CITE &lt;EndNote&gt;&lt;Cite&gt;&lt;Author&gt;A&lt;/Author&gt;&lt;Year&gt;2015&lt;/Year&gt;&lt;RecNum&gt;129&lt;/RecNum&gt;&lt;DisplayText&gt;&lt;style face="superscript"&gt;37&lt;/style&gt;&lt;/DisplayText&gt;&lt;record&gt;&lt;rec-number&gt;129&lt;/rec-number&gt;&lt;foreign-keys&gt;&lt;key app="EN" db-id="rsettzd2isasdweewww55s9lffasxav0d0ft" timestamp="1700699468" guid="2fb36be6-1617-44a8-b8b3-50fe476772b1"&gt;129&lt;/key&gt;&lt;/foreign-keys&gt;&lt;ref-type name="Book"&gt;6&lt;/ref-type&gt;&lt;contributors&gt;&lt;authors&gt;&lt;author&gt;Case A&lt;/author&gt;&lt;author&gt;Deaton A&lt;/author&gt;&lt;/authors&gt;&lt;/contributors&gt;&lt;titles&gt;&lt;title&gt;Suicide, Age, and Well-Being: An Empirical Investigation&lt;/title&gt;&lt;/titles&gt;&lt;dates&gt;&lt;year&gt;2015&lt;/year&gt;&lt;/dates&gt;&lt;pub-location&gt;Chicago, United States of America&lt;/pub-location&gt;&lt;publisher&gt;University of Chicago Press&lt;/publisher&gt;&lt;urls&gt;&lt;/urls&gt;&lt;/record&gt;&lt;/Cite&gt;&lt;/EndNote&gt;</w:instrText>
        </w:r>
        <w:r w:rsidR="002D6F18" w:rsidRPr="00155BAA">
          <w:rPr>
            <w:vertAlign w:val="superscript"/>
          </w:rPr>
          <w:fldChar w:fldCharType="separate"/>
        </w:r>
        <w:r w:rsidR="002D6F18">
          <w:rPr>
            <w:noProof/>
            <w:vertAlign w:val="superscript"/>
          </w:rPr>
          <w:t>37</w:t>
        </w:r>
        <w:r w:rsidR="002D6F18" w:rsidRPr="00155BAA">
          <w:rPr>
            <w:vertAlign w:val="superscript"/>
          </w:rPr>
          <w:fldChar w:fldCharType="end"/>
        </w:r>
      </w:hyperlink>
      <w:r w:rsidR="00155BAA" w:rsidRPr="00155BAA">
        <w:rPr>
          <w:vertAlign w:val="superscript"/>
        </w:rPr>
        <w:t>,</w:t>
      </w:r>
      <w:hyperlink w:anchor="_ENREF_38" w:tooltip="JF, 2007 #130" w:history="1">
        <w:r w:rsidR="002D6F18" w:rsidRPr="00155BAA">
          <w:rPr>
            <w:vertAlign w:val="superscript"/>
          </w:rPr>
          <w:fldChar w:fldCharType="begin"/>
        </w:r>
        <w:r w:rsidR="002D6F18">
          <w:rPr>
            <w:vertAlign w:val="superscript"/>
          </w:rPr>
          <w:instrText xml:space="preserve"> ADDIN EN.CITE &lt;EndNote&gt;&lt;Cite&gt;&lt;Author&gt;JF&lt;/Author&gt;&lt;Year&gt;2007&lt;/Year&gt;&lt;RecNum&gt;130&lt;/RecNum&gt;&lt;DisplayText&gt;&lt;style face="superscript"&gt;38&lt;/style&gt;&lt;/DisplayText&gt;&lt;record&gt;&lt;rec-number&gt;130&lt;/rec-number&gt;&lt;foreign-keys&gt;&lt;key app="EN" db-id="rsettzd2isasdweewww55s9lffasxav0d0ft" timestamp="1700699468" guid="6796ff14-e0dd-492f-a31e-30b17c06b144"&gt;130&lt;/key&gt;&lt;/foreign-keys&gt;&lt;ref-type name="Journal Article"&gt;17&lt;/ref-type&gt;&lt;contributors&gt;&lt;authors&gt;&lt;author&gt;Helliwell JF&lt;/author&gt;&lt;/authors&gt;&lt;/contributors&gt;&lt;titles&gt;&lt;title&gt;Well-Being and Social Capital: Does Suicide Pose a Puzzle?&lt;/title&gt;&lt;secondary-title&gt;Social Indicators Research&lt;/secondary-title&gt;&lt;/titles&gt;&lt;periodical&gt;&lt;full-title&gt;Social Indicators Research&lt;/full-title&gt;&lt;/periodical&gt;&lt;dates&gt;&lt;year&gt;2007&lt;/year&gt;&lt;/dates&gt;&lt;urls&gt;&lt;/urls&gt;&lt;electronic-resource-num&gt;DOI: 10.1007/s11205-006-0022-y&lt;/electronic-resource-num&gt;&lt;/record&gt;&lt;/Cite&gt;&lt;/EndNote&gt;</w:instrText>
        </w:r>
        <w:r w:rsidR="002D6F18" w:rsidRPr="00155BAA">
          <w:rPr>
            <w:vertAlign w:val="superscript"/>
          </w:rPr>
          <w:fldChar w:fldCharType="separate"/>
        </w:r>
        <w:r w:rsidR="002D6F18">
          <w:rPr>
            <w:noProof/>
            <w:vertAlign w:val="superscript"/>
          </w:rPr>
          <w:t>38</w:t>
        </w:r>
        <w:r w:rsidR="002D6F18" w:rsidRPr="00155BAA">
          <w:rPr>
            <w:vertAlign w:val="superscript"/>
          </w:rPr>
          <w:fldChar w:fldCharType="end"/>
        </w:r>
      </w:hyperlink>
      <w:r w:rsidR="00155BAA" w:rsidRPr="00155BAA">
        <w:rPr>
          <w:vertAlign w:val="superscript"/>
        </w:rPr>
        <w:t>,</w:t>
      </w:r>
      <w:hyperlink w:anchor="_ENREF_39" w:tooltip="S, 2021 #131" w:history="1">
        <w:r w:rsidR="002D6F18" w:rsidRPr="00155BAA">
          <w:rPr>
            <w:vertAlign w:val="superscript"/>
          </w:rPr>
          <w:fldChar w:fldCharType="begin"/>
        </w:r>
        <w:r w:rsidR="002D6F18">
          <w:rPr>
            <w:vertAlign w:val="superscript"/>
          </w:rPr>
          <w:instrText xml:space="preserve"> ADDIN EN.CITE &lt;EndNote&gt;&lt;Cite&gt;&lt;Author&gt;S&lt;/Author&gt;&lt;Year&gt;2021&lt;/Year&gt;&lt;RecNum&gt;131&lt;/RecNum&gt;&lt;DisplayText&gt;&lt;style face="superscript"&gt;39&lt;/style&gt;&lt;/DisplayText&gt;&lt;record&gt;&lt;rec-number&gt;131&lt;/rec-number&gt;&lt;foreign-keys&gt;&lt;key app="EN" db-id="rsettzd2isasdweewww55s9lffasxav0d0ft" timestamp="1700699468" guid="80ba55dc-d9b2-4120-8d0b-55458dafa6c5"&gt;131&lt;/key&gt;&lt;/foreign-keys&gt;&lt;ref-type name="Journal Article"&gt;17&lt;/ref-type&gt;&lt;contributors&gt;&lt;authors&gt;&lt;author&gt;Dev S&lt;/author&gt;&lt;author&gt;Kim D&lt;/author&gt;&lt;/authors&gt;&lt;/contributors&gt;&lt;titles&gt;&lt;title&gt;State and County-Level Social Capital as Predictors of County-Level Suicide Rates in the United States: A Lagged Multilevel Study&lt;/title&gt;&lt;secondary-title&gt;Public Health Reports&lt;/secondary-title&gt;&lt;/titles&gt;&lt;periodical&gt;&lt;full-title&gt;Public Health Reports&lt;/full-title&gt;&lt;/periodical&gt;&lt;dates&gt;&lt;year&gt;2021&lt;/year&gt;&lt;/dates&gt;&lt;urls&gt;&lt;/urls&gt;&lt;electronic-resource-num&gt;10.1177/0033354920976555&lt;/electronic-resource-num&gt;&lt;/record&gt;&lt;/Cite&gt;&lt;/EndNote&gt;</w:instrText>
        </w:r>
        <w:r w:rsidR="002D6F18" w:rsidRPr="00155BAA">
          <w:rPr>
            <w:vertAlign w:val="superscript"/>
          </w:rPr>
          <w:fldChar w:fldCharType="separate"/>
        </w:r>
        <w:r w:rsidR="002D6F18">
          <w:rPr>
            <w:noProof/>
            <w:vertAlign w:val="superscript"/>
          </w:rPr>
          <w:t>39</w:t>
        </w:r>
        <w:r w:rsidR="002D6F18" w:rsidRPr="00155BAA">
          <w:rPr>
            <w:vertAlign w:val="superscript"/>
          </w:rPr>
          <w:fldChar w:fldCharType="end"/>
        </w:r>
      </w:hyperlink>
      <w:r w:rsidR="00155BAA" w:rsidRPr="00155BAA">
        <w:rPr>
          <w:vertAlign w:val="superscript"/>
        </w:rPr>
        <w:t>,</w:t>
      </w:r>
      <w:hyperlink w:anchor="_ENREF_40" w:tooltip="BD, 2009 #132" w:history="1">
        <w:r w:rsidR="002D6F18" w:rsidRPr="00155BAA">
          <w:rPr>
            <w:vertAlign w:val="superscript"/>
          </w:rPr>
          <w:fldChar w:fldCharType="begin"/>
        </w:r>
        <w:r w:rsidR="002D6F18">
          <w:rPr>
            <w:vertAlign w:val="superscript"/>
          </w:rPr>
          <w:instrText xml:space="preserve"> ADDIN EN.CITE &lt;EndNote&gt;&lt;Cite&gt;&lt;Author&gt;BD&lt;/Author&gt;&lt;Year&gt;2009&lt;/Year&gt;&lt;RecNum&gt;132&lt;/RecNum&gt;&lt;DisplayText&gt;&lt;style face="superscript"&gt;40&lt;/style&gt;&lt;/DisplayText&gt;&lt;record&gt;&lt;rec-number&gt;132&lt;/rec-number&gt;&lt;foreign-keys&gt;&lt;key app="EN" db-id="rsettzd2isasdweewww55s9lffasxav0d0ft" timestamp="1700699468" guid="b80467e6-c5a8-4942-9246-1c06e978a8f6"&gt;132&lt;/key&gt;&lt;/foreign-keys&gt;&lt;ref-type name="Journal Article"&gt;17&lt;/ref-type&gt;&lt;contributors&gt;&lt;authors&gt;&lt;author&gt;Kelly BD&lt;/author&gt;&lt;author&gt;Davoren M&lt;/author&gt;&lt;author&gt;Mhaoláin ÁN&lt;/author&gt;&lt;author&gt;Breen EG&lt;/author&gt;&lt;author&gt;Casey P&lt;/author&gt;&lt;/authors&gt;&lt;/contributors&gt;&lt;titles&gt;&lt;title&gt;Social Capital and Suicide in 11 European Countries: An Ecological Analysis&lt;/title&gt;&lt;secondary-title&gt;Social Psychiatry and Psychiatric Epidemiology&lt;/secondary-title&gt;&lt;/titles&gt;&lt;periodical&gt;&lt;full-title&gt;Social Psychiatry and Psychiatric Epidemiology&lt;/full-title&gt;&lt;/periodical&gt;&lt;dates&gt;&lt;year&gt;2009&lt;/year&gt;&lt;/dates&gt;&lt;urls&gt;&lt;/urls&gt;&lt;electronic-resource-num&gt;DOI: 10.1007/s00127-009-0018-4&lt;/electronic-resource-num&gt;&lt;/record&gt;&lt;/Cite&gt;&lt;/EndNote&gt;</w:instrText>
        </w:r>
        <w:r w:rsidR="002D6F18" w:rsidRPr="00155BAA">
          <w:rPr>
            <w:vertAlign w:val="superscript"/>
          </w:rPr>
          <w:fldChar w:fldCharType="separate"/>
        </w:r>
        <w:r w:rsidR="002D6F18">
          <w:rPr>
            <w:noProof/>
            <w:vertAlign w:val="superscript"/>
          </w:rPr>
          <w:t>40</w:t>
        </w:r>
        <w:r w:rsidR="002D6F18" w:rsidRPr="00155BAA">
          <w:rPr>
            <w:vertAlign w:val="superscript"/>
          </w:rPr>
          <w:fldChar w:fldCharType="end"/>
        </w:r>
      </w:hyperlink>
      <w:r w:rsidR="00155BAA" w:rsidRPr="00155BAA">
        <w:rPr>
          <w:vertAlign w:val="superscript"/>
        </w:rPr>
        <w:t>,</w:t>
      </w:r>
      <w:hyperlink w:anchor="_ENREF_41" w:tooltip="AE, 2013 #133" w:history="1">
        <w:r w:rsidR="002D6F18" w:rsidRPr="00155BAA">
          <w:rPr>
            <w:vertAlign w:val="superscript"/>
          </w:rPr>
          <w:fldChar w:fldCharType="begin"/>
        </w:r>
        <w:r w:rsidR="002D6F18">
          <w:rPr>
            <w:vertAlign w:val="superscript"/>
          </w:rPr>
          <w:instrText xml:space="preserve"> ADDIN EN.CITE &lt;EndNote&gt;&lt;Cite&gt;&lt;Author&gt;AE&lt;/Author&gt;&lt;Year&gt;2013&lt;/Year&gt;&lt;RecNum&gt;517&lt;/RecNum&gt;&lt;DisplayText&gt;&lt;style face="superscript"&gt;41&lt;/style&gt;&lt;/DisplayText&gt;&lt;record&gt;&lt;rec-number&gt;517&lt;/rec-number&gt;&lt;foreign-keys&gt;&lt;key app="EN" db-id="rsettzd2isasdweewww55s9lffasxav0d0ft" timestamp="1707862921" guid="76a52e86-8bef-46a0-bb52-1caac707907e"&gt;517&lt;/key&gt;&lt;/foreign-keys&gt;&lt;ref-type name="Journal Article"&gt;17&lt;/ref-type&gt;&lt;contributors&gt;&lt;authors&gt;&lt;author&gt;Kunst AE&lt;/author&gt;&lt;author&gt;van Hooijdonk C&lt;/author&gt;&lt;author&gt;Droomers M&lt;/author&gt;&lt;author&gt;Mackenbach JP&lt;/author&gt;&lt;/authors&gt;&lt;/contributors&gt;&lt;titles&gt;&lt;title&gt;Community Social Capital and Suicide Mortality in the Netherlands: A Cross-Sectional Registry-Based Study&lt;/title&gt;&lt;secondary-title&gt;BMC Public Health&lt;/secondary-title&gt;&lt;/titles&gt;&lt;periodical&gt;&lt;full-title&gt;BMC Public Health&lt;/full-title&gt;&lt;/periodical&gt;&lt;dates&gt;&lt;year&gt;2013&lt;/year&gt;&lt;/dates&gt;&lt;urls&gt;&lt;/urls&gt;&lt;electronic-resource-num&gt;https://doi.org/10.1186/1471-2458-13-969&lt;/electronic-resource-num&gt;&lt;/record&gt;&lt;/Cite&gt;&lt;/EndNote&gt;</w:instrText>
        </w:r>
        <w:r w:rsidR="002D6F18" w:rsidRPr="00155BAA">
          <w:rPr>
            <w:vertAlign w:val="superscript"/>
          </w:rPr>
          <w:fldChar w:fldCharType="separate"/>
        </w:r>
        <w:r w:rsidR="002D6F18">
          <w:rPr>
            <w:noProof/>
            <w:vertAlign w:val="superscript"/>
          </w:rPr>
          <w:t>41</w:t>
        </w:r>
        <w:r w:rsidR="002D6F18" w:rsidRPr="00155BAA">
          <w:rPr>
            <w:vertAlign w:val="superscript"/>
          </w:rPr>
          <w:fldChar w:fldCharType="end"/>
        </w:r>
      </w:hyperlink>
      <w:r w:rsidR="2644BEF2" w:rsidRPr="00B95BD4">
        <w:rPr>
          <w:vertAlign w:val="superscript"/>
        </w:rPr>
        <w:t xml:space="preserve"> </w:t>
      </w:r>
      <w:r w:rsidR="2644BEF2">
        <w:t>Improving the community’s baseline wellbeing enhances opportunit</w:t>
      </w:r>
      <w:r w:rsidR="00881B87">
        <w:t>ies</w:t>
      </w:r>
      <w:r w:rsidR="2644BEF2">
        <w:t xml:space="preserve"> to thrive and has a protective effect by ‘buffering’ the impact of suicidal risk factors.</w:t>
      </w:r>
      <w:hyperlink w:anchor="_ENREF_36" w:tooltip="J, 2022 #916" w:history="1">
        <w:r w:rsidR="002D6F18">
          <w:fldChar w:fldCharType="begin"/>
        </w:r>
        <w:r w:rsidR="002D6F18">
          <w:instrText xml:space="preserve"> ADDIN EN.CITE &lt;EndNote&gt;&lt;Cite&gt;&lt;Author&gt;J&lt;/Author&gt;&lt;Year&gt;2022&lt;/Year&gt;&lt;RecNum&gt;43&lt;/RecNum&gt;&lt;DisplayText&gt;&lt;style face="superscript"&gt;36&lt;/style&gt;&lt;/DisplayText&gt;&lt;record&gt;&lt;rec-number&gt;43&lt;/rec-number&gt;&lt;foreign-keys&gt;&lt;key app="EN" db-id="rsettzd2isasdweewww55s9lffasxav0d0ft" timestamp="1700699466" guid="3a8717cb-fce2-43a5-854b-586027b067a0"&gt;43&lt;/key&gt;&lt;/foreign-keys&gt;&lt;ref-type name="Web Page"&gt;12&lt;/ref-type&gt;&lt;contributors&gt;&lt;authors&gt;&lt;author&gt;Pirkis J&lt;/author&gt;&lt;author&gt;Robinson J&lt;/author&gt;&lt;author&gt;Gunnell D&lt;/author&gt;&lt;author&gt;Hawton K&lt;/author&gt;&lt;author&gt;Hetrick S&lt;/author&gt;&lt;author&gt;Niederkrotenthaler T&lt;/author&gt;&lt;author&gt;Sinyor M&lt;/author&gt;&lt;author&gt;Yip P&lt;/author&gt;&lt;/authors&gt;&lt;tertiary-authors&gt;&lt;author&gt;Centre for Mental Health, The University of Melbourne&lt;/author&gt;&lt;/tertiary-authors&gt;&lt;/contributors&gt;&lt;titles&gt;&lt;title&gt;Understanding Suicide and Self-Harm&lt;/title&gt;&lt;/titles&gt;&lt;dates&gt;&lt;year&gt;2022&lt;/year&gt;&lt;/dates&gt;&lt;pub-location&gt;Melbourne&lt;/pub-location&gt;&lt;work-type&gt;Internet&lt;/work-type&gt;&lt;urls&gt;&lt;related-urls&gt;&lt;url&gt;Link to be updated once available&lt;/url&gt;&lt;/related-urls&gt;&lt;/urls&gt;&lt;custom1&gt;2023&lt;/custom1&gt;&lt;custom2&gt;October 23&lt;/custom2&gt;&lt;/record&gt;&lt;/Cite&gt;&lt;/EndNote&gt;</w:instrText>
        </w:r>
        <w:r w:rsidR="002D6F18">
          <w:fldChar w:fldCharType="separate"/>
        </w:r>
        <w:r w:rsidR="002D6F18" w:rsidRPr="0082082D">
          <w:rPr>
            <w:noProof/>
            <w:vertAlign w:val="superscript"/>
          </w:rPr>
          <w:t>36</w:t>
        </w:r>
        <w:r w:rsidR="002D6F18">
          <w:fldChar w:fldCharType="end"/>
        </w:r>
      </w:hyperlink>
      <w:r w:rsidR="2644BEF2">
        <w:t xml:space="preserve"> </w:t>
      </w:r>
      <w:r w:rsidR="004D5DBF" w:rsidRPr="00F8789D">
        <w:t>Given this,</w:t>
      </w:r>
      <w:r w:rsidR="004D5DBF">
        <w:t xml:space="preserve"> suicide prevention should include </w:t>
      </w:r>
      <w:r w:rsidR="004D5DBF" w:rsidRPr="00B768A1">
        <w:t xml:space="preserve">efforts to </w:t>
      </w:r>
      <w:r w:rsidR="004B432B">
        <w:t>strengthen</w:t>
      </w:r>
      <w:r w:rsidR="00220254">
        <w:t xml:space="preserve"> the positive impacts of these</w:t>
      </w:r>
      <w:r w:rsidR="004D5DBF" w:rsidRPr="00B768A1">
        <w:t xml:space="preserve"> factors.</w:t>
      </w:r>
      <w:hyperlink w:anchor="_ENREF_42" w:tooltip="B, 2020 #134" w:history="1">
        <w:r w:rsidR="002D6F18" w:rsidRPr="00155BAA">
          <w:rPr>
            <w:vertAlign w:val="superscript"/>
          </w:rPr>
          <w:fldChar w:fldCharType="begin"/>
        </w:r>
        <w:r w:rsidR="002D6F18">
          <w:rPr>
            <w:vertAlign w:val="superscript"/>
          </w:rPr>
          <w:instrText xml:space="preserve"> ADDIN EN.CITE &lt;EndNote&gt;&lt;Cite&gt;&lt;Author&gt;B&lt;/Author&gt;&lt;Year&gt;2020&lt;/Year&gt;&lt;RecNum&gt;134&lt;/RecNum&gt;&lt;DisplayText&gt;&lt;style face="superscript"&gt;42&lt;/style&gt;&lt;/DisplayText&gt;&lt;record&gt;&lt;rec-number&gt;134&lt;/rec-number&gt;&lt;foreign-keys&gt;&lt;key app="EN" db-id="rsettzd2isasdweewww55s9lffasxav0d0ft" timestamp="1700699468" guid="9de89db6-7ad3-4ca4-8dd9-4dbe08e759cb"&gt;134&lt;/key&gt;&lt;/foreign-keys&gt;&lt;ref-type name="Journal Article"&gt;17&lt;/ref-type&gt;&lt;contributors&gt;&lt;authors&gt;&lt;author&gt;Lew B&lt;/author&gt;&lt;author&gt;Chistopolskaya K&lt;/author&gt;&lt;author&gt;Osman A&lt;/author&gt;&lt;author&gt;Huen JMY&lt;/author&gt;&lt;author&gt;Abu Talib M&lt;/author&gt;&lt;author&gt;Leung ANM&lt;/author&gt;&lt;/authors&gt;&lt;/contributors&gt;&lt;titles&gt;&lt;title&gt;Meaning in Life as a Protective Factor Against Suicidal Tendencies in Chinese University Students&lt;/title&gt;&lt;secondary-title&gt;BMC Psychiatry&lt;/secondary-title&gt;&lt;/titles&gt;&lt;periodical&gt;&lt;full-title&gt;BMC Psychiatry&lt;/full-title&gt;&lt;/periodical&gt;&lt;dates&gt;&lt;year&gt;2020&lt;/year&gt;&lt;/dates&gt;&lt;urls&gt;&lt;/urls&gt;&lt;electronic-resource-num&gt;DOI: 10.1186/s12888-020-02485-4&lt;/electronic-resource-num&gt;&lt;/record&gt;&lt;/Cite&gt;&lt;/EndNote&gt;</w:instrText>
        </w:r>
        <w:r w:rsidR="002D6F18" w:rsidRPr="00155BAA">
          <w:rPr>
            <w:vertAlign w:val="superscript"/>
          </w:rPr>
          <w:fldChar w:fldCharType="separate"/>
        </w:r>
        <w:r w:rsidR="002D6F18">
          <w:rPr>
            <w:noProof/>
            <w:vertAlign w:val="superscript"/>
          </w:rPr>
          <w:t>42</w:t>
        </w:r>
        <w:r w:rsidR="002D6F18" w:rsidRPr="00155BAA">
          <w:rPr>
            <w:vertAlign w:val="superscript"/>
          </w:rPr>
          <w:fldChar w:fldCharType="end"/>
        </w:r>
      </w:hyperlink>
      <w:r w:rsidR="00155BAA" w:rsidRPr="00155BAA">
        <w:rPr>
          <w:vertAlign w:val="superscript"/>
        </w:rPr>
        <w:t>,</w:t>
      </w:r>
      <w:hyperlink w:anchor="_ENREF_43" w:tooltip="NZ, 2017 #135" w:history="1">
        <w:r w:rsidR="002D6F18" w:rsidRPr="00155BAA">
          <w:rPr>
            <w:vertAlign w:val="superscript"/>
          </w:rPr>
          <w:fldChar w:fldCharType="begin"/>
        </w:r>
        <w:r w:rsidR="002D6F18">
          <w:rPr>
            <w:vertAlign w:val="superscript"/>
          </w:rPr>
          <w:instrText xml:space="preserve"> ADDIN EN.CITE &lt;EndNote&gt;&lt;Cite&gt;&lt;Author&gt;NZ&lt;/Author&gt;&lt;Year&gt;2017&lt;/Year&gt;&lt;RecNum&gt;135&lt;/RecNum&gt;&lt;DisplayText&gt;&lt;style face="superscript"&gt;43&lt;/style&gt;&lt;/DisplayText&gt;&lt;record&gt;&lt;rec-number&gt;135&lt;/rec-number&gt;&lt;foreign-keys&gt;&lt;key app="EN" db-id="rsettzd2isasdweewww55s9lffasxav0d0ft" timestamp="1700699468" guid="f0b1cb67-6b7f-4865-9ae9-b3a4d77c76d5"&gt;135&lt;/key&gt;&lt;/foreign-keys&gt;&lt;ref-type name="Journal Article"&gt;17&lt;/ref-type&gt;&lt;contributors&gt;&lt;authors&gt;&lt;author&gt;Šedivy NZ&lt;/author&gt;&lt;author&gt;Podlogar T&lt;/author&gt;&lt;author&gt;Kerr DCR&lt;/author&gt;&lt;author&gt;De Leo D&lt;/author&gt;&lt;/authors&gt;&lt;/contributors&gt;&lt;titles&gt;&lt;title&gt;Community Social Support as a Protective Factor Against Suicide: A Gender-Specific Ecological Study of 75 Regions of 23 European Countries&lt;/title&gt;&lt;secondary-title&gt;Health &amp;amp; Place&lt;/secondary-title&gt;&lt;/titles&gt;&lt;periodical&gt;&lt;full-title&gt;Health &amp;amp; Place&lt;/full-title&gt;&lt;/periodical&gt;&lt;dates&gt;&lt;year&gt;2017&lt;/year&gt;&lt;/dates&gt;&lt;urls&gt;&lt;/urls&gt;&lt;electronic-resource-num&gt;DOI: 10.1016/j.healthplace.2017.09.004&lt;/electronic-resource-num&gt;&lt;/record&gt;&lt;/Cite&gt;&lt;/EndNote&gt;</w:instrText>
        </w:r>
        <w:r w:rsidR="002D6F18" w:rsidRPr="00155BAA">
          <w:rPr>
            <w:vertAlign w:val="superscript"/>
          </w:rPr>
          <w:fldChar w:fldCharType="separate"/>
        </w:r>
        <w:r w:rsidR="002D6F18">
          <w:rPr>
            <w:noProof/>
            <w:vertAlign w:val="superscript"/>
          </w:rPr>
          <w:t>43</w:t>
        </w:r>
        <w:r w:rsidR="002D6F18" w:rsidRPr="00155BAA">
          <w:rPr>
            <w:vertAlign w:val="superscript"/>
          </w:rPr>
          <w:fldChar w:fldCharType="end"/>
        </w:r>
      </w:hyperlink>
      <w:r w:rsidR="00155BAA" w:rsidRPr="00155BAA">
        <w:rPr>
          <w:vertAlign w:val="superscript"/>
        </w:rPr>
        <w:t>,</w:t>
      </w:r>
      <w:hyperlink w:anchor="_ENREF_44" w:tooltip="JS, 2012 #136" w:history="1">
        <w:r w:rsidR="002D6F18" w:rsidRPr="00155BAA">
          <w:rPr>
            <w:vertAlign w:val="superscript"/>
          </w:rPr>
          <w:fldChar w:fldCharType="begin"/>
        </w:r>
        <w:r w:rsidR="002D6F18">
          <w:rPr>
            <w:vertAlign w:val="superscript"/>
          </w:rPr>
          <w:instrText xml:space="preserve"> ADDIN EN.CITE &lt;EndNote&gt;&lt;Cite&gt;&lt;Author&gt;JS&lt;/Author&gt;&lt;Year&gt;2012&lt;/Year&gt;&lt;RecNum&gt;136&lt;/RecNum&gt;&lt;DisplayText&gt;&lt;style face="superscript"&gt;44&lt;/style&gt;&lt;/DisplayText&gt;&lt;record&gt;&lt;rec-number&gt;136&lt;/rec-number&gt;&lt;foreign-keys&gt;&lt;key app="EN" db-id="rsettzd2isasdweewww55s9lffasxav0d0ft" timestamp="1700699468" guid="6fd65e43-fd63-45c9-bbc8-63b534961d36"&gt;136&lt;/key&gt;&lt;/foreign-keys&gt;&lt;ref-type name="Journal Article"&gt;17&lt;/ref-type&gt;&lt;contributors&gt;&lt;authors&gt;&lt;author&gt;Bureau JS&lt;/author&gt;&lt;author&gt;Mageau GA&lt;/author&gt;&lt;author&gt;Vallerand RJ&lt;/author&gt;&lt;author&gt;Rousseau FL&lt;/author&gt;&lt;author&gt;Otis J&lt;/author&gt;&lt;/authors&gt;&lt;/contributors&gt;&lt;titles&gt;&lt;title&gt;Self‐Determination: A Buffer Against Suicide Ideation&lt;/title&gt;&lt;secondary-title&gt;Suicide and Life‐Threatening Behavior&lt;/secondary-title&gt;&lt;/titles&gt;&lt;periodical&gt;&lt;full-title&gt;Suicide and Life‐Threatening Behavior&lt;/full-title&gt;&lt;/periodical&gt;&lt;dates&gt;&lt;year&gt;2012&lt;/year&gt;&lt;/dates&gt;&lt;urls&gt;&lt;/urls&gt;&lt;electronic-resource-num&gt;DOI: 10.1111/j.1943-278X.2012.00097.x&lt;/electronic-resource-num&gt;&lt;/record&gt;&lt;/Cite&gt;&lt;/EndNote&gt;</w:instrText>
        </w:r>
        <w:r w:rsidR="002D6F18" w:rsidRPr="00155BAA">
          <w:rPr>
            <w:vertAlign w:val="superscript"/>
          </w:rPr>
          <w:fldChar w:fldCharType="separate"/>
        </w:r>
        <w:r w:rsidR="002D6F18">
          <w:rPr>
            <w:noProof/>
            <w:vertAlign w:val="superscript"/>
          </w:rPr>
          <w:t>44</w:t>
        </w:r>
        <w:r w:rsidR="002D6F18" w:rsidRPr="00155BAA">
          <w:rPr>
            <w:vertAlign w:val="superscript"/>
          </w:rPr>
          <w:fldChar w:fldCharType="end"/>
        </w:r>
      </w:hyperlink>
      <w:r w:rsidR="00AE1403">
        <w:rPr>
          <w:vertAlign w:val="superscript"/>
        </w:rPr>
        <w:t xml:space="preserve"> </w:t>
      </w:r>
    </w:p>
    <w:p w14:paraId="6D5EEE2E" w14:textId="3686A341" w:rsidR="001277B7" w:rsidRPr="00B768A1" w:rsidRDefault="70FD8109" w:rsidP="00634A83">
      <w:r w:rsidRPr="00D81101">
        <w:t>Wellbeing is more than simply the absence of illness</w:t>
      </w:r>
      <w:r w:rsidR="532DE755" w:rsidRPr="00D81101">
        <w:t xml:space="preserve"> but </w:t>
      </w:r>
      <w:r w:rsidR="11470EC9" w:rsidRPr="00D81101">
        <w:t xml:space="preserve">encompasses quality of life and the ability of people and </w:t>
      </w:r>
      <w:r w:rsidR="7A855796" w:rsidRPr="00D81101">
        <w:t>communities</w:t>
      </w:r>
      <w:r w:rsidR="11470EC9" w:rsidRPr="00D81101">
        <w:t xml:space="preserve"> to contribute to the world with a sense of meaning and purpose.</w:t>
      </w:r>
      <w:hyperlink w:anchor="_ENREF_45" w:tooltip="G, 2014 #137" w:history="1">
        <w:r w:rsidR="002D6F18">
          <w:fldChar w:fldCharType="begin"/>
        </w:r>
        <w:r w:rsidR="002D6F18">
          <w:instrText xml:space="preserve"> ADDIN EN.CITE &lt;EndNote&gt;&lt;Cite&gt;&lt;Author&gt;G&lt;/Author&gt;&lt;Year&gt;2014&lt;/Year&gt;&lt;RecNum&gt;137&lt;/RecNum&gt;&lt;DisplayText&gt;&lt;style face="superscript"&gt;45&lt;/style&gt;&lt;/DisplayText&gt;&lt;record&gt;&lt;rec-number&gt;137&lt;/rec-number&gt;&lt;foreign-keys&gt;&lt;key app="EN" db-id="rsettzd2isasdweewww55s9lffasxav0d0ft" timestamp="1700699468" guid="01069dca-588c-4481-bece-1d19593d2f00"&gt;137&lt;/key&gt;&lt;/foreign-keys&gt;&lt;ref-type name="Web Page"&gt;12&lt;/ref-type&gt;&lt;contributors&gt;&lt;authors&gt;&lt;author&gt;Gee G&lt;/author&gt;&lt;author&gt;Dudgeon P&lt;/author&gt;&lt;author&gt;Schultz C&lt;/author&gt;&lt;author&gt;Hart A&lt;/author&gt;&lt;author&gt;Kelly K&lt;/author&gt;&lt;/authors&gt;&lt;/contributors&gt;&lt;titles&gt;&lt;title&gt;Aboriginal and Torres Strait Islander Social and Emotional Wellbeing&lt;/title&gt;&lt;secondary-title&gt;Working Together: Aboriginal and Torres Strait Islander Mental Health and Wellbeing Principles and Practice&lt;/secondary-title&gt;&lt;/titles&gt;&lt;dates&gt;&lt;year&gt;2014&lt;/year&gt;&lt;/dates&gt;&lt;pub-location&gt;Canberra&lt;/pub-location&gt;&lt;publisher&gt;PMC, Australian Government&lt;/publisher&gt;&lt;urls&gt;&lt;related-urls&gt;&lt;url&gt;https://research.bond.edu.au/en/publications/aboriginal-and-torres-strait-islander-social-and-emotional-wellbe&lt;/url&gt;&lt;/related-urls&gt;&lt;/urls&gt;&lt;custom1&gt;2023&lt;/custom1&gt;&lt;custom2&gt;October 05&lt;/custom2&gt;&lt;/record&gt;&lt;/Cite&gt;&lt;/EndNote&gt;</w:instrText>
        </w:r>
        <w:r w:rsidR="002D6F18">
          <w:fldChar w:fldCharType="separate"/>
        </w:r>
        <w:r w:rsidR="002D6F18" w:rsidRPr="0082082D">
          <w:rPr>
            <w:noProof/>
            <w:vertAlign w:val="superscript"/>
          </w:rPr>
          <w:t>45</w:t>
        </w:r>
        <w:r w:rsidR="002D6F18">
          <w:fldChar w:fldCharType="end"/>
        </w:r>
      </w:hyperlink>
      <w:r w:rsidR="11470EC9">
        <w:t xml:space="preserve"> Aboriginal and Torres Strait Islander concepts of social and emotional wellbeing </w:t>
      </w:r>
      <w:r w:rsidR="006C18EC">
        <w:t>also</w:t>
      </w:r>
      <w:r w:rsidR="11470EC9">
        <w:t xml:space="preserve"> incorporate the importance of connection to Country, culture, language, spirituality and ancestry,</w:t>
      </w:r>
      <w:hyperlink w:anchor="_ENREF_46" w:tooltip="Cabinet,  #989" w:history="1">
        <w:r w:rsidR="002D6F18">
          <w:fldChar w:fldCharType="begin"/>
        </w:r>
        <w:r w:rsidR="002D6F18">
          <w:instrText xml:space="preserve"> ADDIN EN.CITE &lt;EndNote&gt;&lt;Cite&gt;&lt;Author&gt;Cabinet&lt;/Author&gt;&lt;RecNum&gt;989&lt;/RecNum&gt;&lt;DisplayText&gt;&lt;style face="superscript"&gt;46&lt;/style&gt;&lt;/DisplayText&gt;&lt;record&gt;&lt;rec-number&gt;989&lt;/rec-number&gt;&lt;foreign-keys&gt;&lt;key app="EN" db-id="rsettzd2isasdweewww55s9lffasxav0d0ft" timestamp="1720396224" guid="9800c48e-6ebc-48b0-9492-3fbb2720ec49"&gt;989&lt;/key&gt;&lt;/foreign-keys&gt;&lt;ref-type name="Book"&gt;6&lt;/ref-type&gt;&lt;contributors&gt;&lt;authors&gt;&lt;author&gt;Department of the Prime Minister and Cabinet&lt;/author&gt;&lt;/authors&gt;&lt;tertiary-authors&gt;&lt;author&gt;Patricia Dudgeon&lt;/author&gt;&lt;author&gt;Helen Milroy&lt;/author&gt;&lt;author&gt;Roz Walker&lt;/author&gt;&lt;/tertiary-authors&gt;&lt;/contributors&gt;&lt;titles&gt;&lt;title&gt;Working Together: Aboriginal and Torres Strait Islander Mental Health and Wellbeing Principles and Practice&lt;/title&gt;&lt;/titles&gt;&lt;pages&gt;588&lt;/pages&gt;&lt;edition&gt;2nd&lt;/edition&gt;&lt;dates&gt;&lt;pub-dates&gt;&lt;date&gt;2014&lt;/date&gt;&lt;/pub-dates&gt;&lt;/dates&gt;&lt;pub-location&gt;Canberra&lt;/pub-location&gt;&lt;publisher&gt;PMC, Australian Government&lt;/publisher&gt;&lt;isbn&gt;978-0-9775975-3-6&lt;/isbn&gt;&lt;urls&gt;&lt;related-urls&gt;&lt;url&gt;https://www.telethonkids.org.au/our-research/early-environment/developmental-origins-of-child-health/expired-projects/working-together-second-edition/&lt;/url&gt;&lt;/related-urls&gt;&lt;/urls&gt;&lt;language&gt;English&lt;/language&gt;&lt;/record&gt;&lt;/Cite&gt;&lt;/EndNote&gt;</w:instrText>
        </w:r>
        <w:r w:rsidR="002D6F18">
          <w:fldChar w:fldCharType="separate"/>
        </w:r>
        <w:r w:rsidR="002D6F18" w:rsidRPr="0082082D">
          <w:rPr>
            <w:noProof/>
            <w:vertAlign w:val="superscript"/>
          </w:rPr>
          <w:t>46</w:t>
        </w:r>
        <w:r w:rsidR="002D6F18">
          <w:fldChar w:fldCharType="end"/>
        </w:r>
      </w:hyperlink>
      <w:r w:rsidR="11470EC9">
        <w:t xml:space="preserve"> noting the role of culture as a foundation for Aboriginal and Torres Strait Islander peoples.</w:t>
      </w:r>
      <w:hyperlink w:anchor="_ENREF_47" w:tooltip="Care, 2021 #990" w:history="1">
        <w:r w:rsidR="002D6F18">
          <w:fldChar w:fldCharType="begin"/>
        </w:r>
        <w:r w:rsidR="002D6F18">
          <w:instrText xml:space="preserve"> ADDIN EN.CITE &lt;EndNote&gt;&lt;Cite&gt;&lt;Author&gt;Care&lt;/Author&gt;&lt;Year&gt;2021&lt;/Year&gt;&lt;RecNum&gt;990&lt;/RecNum&gt;&lt;DisplayText&gt;&lt;style face="superscript"&gt;47&lt;/style&gt;&lt;/DisplayText&gt;&lt;record&gt;&lt;rec-number&gt;990&lt;/rec-number&gt;&lt;foreign-keys&gt;&lt;key app="EN" db-id="rsettzd2isasdweewww55s9lffasxav0d0ft" timestamp="1720399330" guid="eb691d3d-6160-4cfb-81d5-5c48f76f9dbc"&gt;990&lt;/key&gt;&lt;/foreign-keys&gt;&lt;ref-type name="Web Page"&gt;12&lt;/ref-type&gt;&lt;contributors&gt;&lt;authors&gt;&lt;author&gt;Department of Health and Aged Care&lt;/author&gt;&lt;/authors&gt;&lt;/contributors&gt;&lt;titles&gt;&lt;title&gt;National Aboriginal and Torres Strait Islander Health Plan 2021–2031&lt;/title&gt;&lt;/titles&gt;&lt;dates&gt;&lt;year&gt;2021&lt;/year&gt;&lt;pub-dates&gt;&lt;date&gt;27 June 2022&lt;/date&gt;&lt;/pub-dates&gt;&lt;/dates&gt;&lt;pub-location&gt;Canberra&lt;/pub-location&gt;&lt;publisher&gt;DOHAC, Australian Government&lt;/publisher&gt;&lt;work-type&gt;Internet&lt;/work-type&gt;&lt;urls&gt;&lt;related-urls&gt;&lt;url&gt;https://www.health.gov.au/resources/publications/national-aboriginal-and-torres-strait-islander-health-plan-2021-2031&lt;/url&gt;&lt;/related-urls&gt;&lt;/urls&gt;&lt;custom1&gt;2023&lt;/custom1&gt;&lt;custom2&gt;December 6&lt;/custom2&gt;&lt;/record&gt;&lt;/Cite&gt;&lt;/EndNote&gt;</w:instrText>
        </w:r>
        <w:r w:rsidR="002D6F18">
          <w:fldChar w:fldCharType="separate"/>
        </w:r>
        <w:r w:rsidR="002D6F18" w:rsidRPr="0082082D">
          <w:rPr>
            <w:noProof/>
            <w:vertAlign w:val="superscript"/>
          </w:rPr>
          <w:t>47</w:t>
        </w:r>
        <w:r w:rsidR="002D6F18">
          <w:fldChar w:fldCharType="end"/>
        </w:r>
      </w:hyperlink>
    </w:p>
    <w:p w14:paraId="4A2F66C2" w14:textId="63AE2813" w:rsidR="00842262" w:rsidRPr="001E391F" w:rsidRDefault="384055C2" w:rsidP="00634A83">
      <w:pPr>
        <w:rPr>
          <w:rFonts w:ascii="Century Gothic" w:hAnsi="Century Gothic"/>
          <w:vertAlign w:val="superscript"/>
        </w:rPr>
      </w:pPr>
      <w:r>
        <w:t>Building</w:t>
      </w:r>
      <w:r w:rsidR="5B752933">
        <w:t xml:space="preserve"> wellbeing requires policies developed from a human rights perspective that help to establish safety and security, promote inclusive societies, and recognise “the right of everyone to the enjoyment of the highest attainable standard of physical and mental health”.</w:t>
      </w:r>
      <w:hyperlink w:anchor="_ENREF_48" w:tooltip="United Nations Human Rights, 1966 #456" w:history="1">
        <w:r w:rsidR="002D6F18">
          <w:fldChar w:fldCharType="begin"/>
        </w:r>
        <w:r w:rsidR="002D6F18">
          <w:instrText xml:space="preserve"> ADDIN EN.CITE &lt;EndNote&gt;&lt;Cite&gt;&lt;Author&gt;United Nations Human Rights&lt;/Author&gt;&lt;Year&gt;1966&lt;/Year&gt;&lt;RecNum&gt;456&lt;/RecNum&gt;&lt;DisplayText&gt;&lt;style face="superscript"&gt;48&lt;/style&gt;&lt;/DisplayText&gt;&lt;record&gt;&lt;rec-number&gt;456&lt;/rec-number&gt;&lt;foreign-keys&gt;&lt;key app="EN" db-id="rsettzd2isasdweewww55s9lffasxav0d0ft" timestamp="1700699474" guid="146609ae-5345-4c2e-a223-a62cd8be4fc2"&gt;456&lt;/key&gt;&lt;/foreign-keys&gt;&lt;ref-type name="Web Page"&gt;12&lt;/ref-type&gt;&lt;contributors&gt;&lt;authors&gt;&lt;author&gt;United Nations Human Rights, Office of the High Commissioner&lt;/author&gt;&lt;/authors&gt;&lt;/contributors&gt;&lt;titles&gt;&lt;title&gt;International Covenant of Civil and Political Rights, Part III, Article 6&lt;/title&gt;&lt;/titles&gt;&lt;dates&gt;&lt;year&gt;1966&lt;/year&gt;&lt;/dates&gt;&lt;publisher&gt;United Nations Human Rights, Office of the High Commissioner&lt;/publisher&gt;&lt;work-type&gt;Internet&lt;/work-type&gt;&lt;urls&gt;&lt;related-urls&gt;&lt;url&gt;https://www.ohchr.org/en/instruments-mechanisms/instruments/international-covenant-civil-and-political-rights#article-6&lt;/url&gt;&lt;/related-urls&gt;&lt;/urls&gt;&lt;custom1&gt;2023&lt;/custom1&gt;&lt;custom2&gt;November 06&lt;/custom2&gt;&lt;/record&gt;&lt;/Cite&gt;&lt;/EndNote&gt;</w:instrText>
        </w:r>
        <w:r w:rsidR="002D6F18">
          <w:fldChar w:fldCharType="separate"/>
        </w:r>
        <w:r w:rsidR="002D6F18" w:rsidRPr="0082082D">
          <w:rPr>
            <w:noProof/>
            <w:vertAlign w:val="superscript"/>
          </w:rPr>
          <w:t>48</w:t>
        </w:r>
        <w:r w:rsidR="002D6F18">
          <w:fldChar w:fldCharType="end"/>
        </w:r>
      </w:hyperlink>
      <w:r w:rsidR="5B752933" w:rsidRPr="59485962">
        <w:rPr>
          <w:rStyle w:val="normaltextrun"/>
          <w:rFonts w:ascii="Century Gothic" w:hAnsi="Century Gothic"/>
          <w:vertAlign w:val="superscript"/>
        </w:rPr>
        <w:t xml:space="preserve"> </w:t>
      </w:r>
      <w:r w:rsidR="51377587">
        <w:t xml:space="preserve">It also requires a focus on </w:t>
      </w:r>
      <w:r w:rsidR="67C2CD0A">
        <w:t>equity</w:t>
      </w:r>
      <w:r w:rsidR="3EDD0A92">
        <w:t>—</w:t>
      </w:r>
      <w:r w:rsidR="00B407F4">
        <w:t xml:space="preserve"> </w:t>
      </w:r>
      <w:r w:rsidR="43BBB239">
        <w:t xml:space="preserve">an emphasis on </w:t>
      </w:r>
      <w:r w:rsidR="7AF1804A">
        <w:t>directly address</w:t>
      </w:r>
      <w:r w:rsidR="25515ADF">
        <w:t>ing</w:t>
      </w:r>
      <w:r w:rsidR="7AF1804A">
        <w:t xml:space="preserve"> disadvantage and differences in </w:t>
      </w:r>
      <w:r w:rsidR="3F74B82C">
        <w:t>opp</w:t>
      </w:r>
      <w:r w:rsidR="5C3CDCEA">
        <w:t>ortunities to thrive</w:t>
      </w:r>
      <w:r w:rsidR="0CEA596B">
        <w:t xml:space="preserve"> </w:t>
      </w:r>
      <w:r w:rsidR="7AF1804A">
        <w:t>that account for much of the disproportionate impact of suicide across society.</w:t>
      </w:r>
    </w:p>
    <w:p w14:paraId="4393E8F3" w14:textId="52CB401E" w:rsidR="004F48C7" w:rsidRPr="006D1488" w:rsidRDefault="00717E42" w:rsidP="00B95BD4">
      <w:pPr>
        <w:pStyle w:val="Subheading1withnumber"/>
        <w:rPr>
          <w:sz w:val="26"/>
          <w:szCs w:val="26"/>
        </w:rPr>
      </w:pPr>
      <w:r w:rsidRPr="006D1488">
        <w:rPr>
          <w:sz w:val="26"/>
          <w:szCs w:val="26"/>
        </w:rPr>
        <w:t>Reduc</w:t>
      </w:r>
      <w:r w:rsidR="00B274FF" w:rsidRPr="006D1488">
        <w:rPr>
          <w:sz w:val="26"/>
          <w:szCs w:val="26"/>
        </w:rPr>
        <w:t>ing the prev</w:t>
      </w:r>
      <w:r w:rsidR="006B2547" w:rsidRPr="006D1488">
        <w:rPr>
          <w:sz w:val="26"/>
          <w:szCs w:val="26"/>
        </w:rPr>
        <w:t xml:space="preserve">alence and impact of key drivers </w:t>
      </w:r>
      <w:r w:rsidR="00E466ED" w:rsidRPr="006D1488">
        <w:rPr>
          <w:sz w:val="26"/>
          <w:szCs w:val="26"/>
        </w:rPr>
        <w:t>of</w:t>
      </w:r>
      <w:r w:rsidRPr="006D1488">
        <w:rPr>
          <w:sz w:val="26"/>
          <w:szCs w:val="26"/>
        </w:rPr>
        <w:t xml:space="preserve"> distress</w:t>
      </w:r>
    </w:p>
    <w:p w14:paraId="3C905067" w14:textId="57305841" w:rsidR="00047D06" w:rsidRDefault="157C3C39" w:rsidP="00D71D82">
      <w:r>
        <w:t>There will inevitably be some people who experience stress associated with socio-economic factors and these stressors are known to elevate suicide risk.</w:t>
      </w:r>
      <w:r w:rsidR="215DCA5F">
        <w:t xml:space="preserve"> </w:t>
      </w:r>
      <w:r w:rsidR="51A01A5B">
        <w:t>Experiences of c</w:t>
      </w:r>
      <w:r w:rsidR="251AC772">
        <w:t>hild</w:t>
      </w:r>
      <w:r w:rsidR="0948FE79">
        <w:t>hood abuse and neglect</w:t>
      </w:r>
      <w:r w:rsidR="251AC772">
        <w:t>, alcohol and drug-related harm, and intimate partner violence (against females) were associated with almost half (48%) of suicide deaths and self-inflicted injuries in 2019.</w:t>
      </w:r>
      <w:hyperlink w:anchor="_ENREF_49" w:tooltip="Welfare, 2021 #372" w:history="1">
        <w:r w:rsidR="002D6F18">
          <w:fldChar w:fldCharType="begin"/>
        </w:r>
        <w:r w:rsidR="002D6F18">
          <w:instrText xml:space="preserve"> ADDIN EN.CITE &lt;EndNote&gt;&lt;Cite&gt;&lt;Author&gt;Welfare&lt;/Author&gt;&lt;Year&gt;2021&lt;/Year&gt;&lt;RecNum&gt;372&lt;/RecNum&gt;&lt;DisplayText&gt;&lt;style face="superscript"&gt;49&lt;/style&gt;&lt;/DisplayText&gt;&lt;record&gt;&lt;rec-number&gt;372&lt;/rec-number&gt;&lt;foreign-keys&gt;&lt;key app="EN" db-id="rsettzd2isasdweewww55s9lffasxav0d0ft" timestamp="1700699472" guid="97bd2e66-e49d-4bc8-a339-74fea0864afd"&gt;372&lt;/key&gt;&lt;/foreign-keys&gt;&lt;ref-type name="Web Page"&gt;12&lt;/ref-type&gt;&lt;contributors&gt;&lt;authors&gt;&lt;author&gt;Australian Institute of Health and Welfare&lt;/author&gt;&lt;/authors&gt;&lt;/contributors&gt;&lt;titles&gt;&lt;title&gt;The Health Impact of Suicide and Self-Inflicted Injuries in Australia, 2019&lt;/title&gt;&lt;/titles&gt;&lt;dates&gt;&lt;year&gt;2021&lt;/year&gt;&lt;/dates&gt;&lt;publisher&gt;AIHW, Australian Government&lt;/publisher&gt;&lt;work-type&gt;Internet&lt;/work-type&gt;&lt;urls&gt;&lt;related-urls&gt;&lt;url&gt;https://www.aihw.gov.au/reports/burden-of-disease/health-impact-suicide-self-inflicted-injuries-2019/contents/about&lt;/url&gt;&lt;/related-urls&gt;&lt;/urls&gt;&lt;custom1&gt;2023&lt;/custom1&gt;&lt;custom2&gt;October 24&lt;/custom2&gt;&lt;/record&gt;&lt;/Cite&gt;&lt;/EndNote&gt;</w:instrText>
        </w:r>
        <w:r w:rsidR="002D6F18">
          <w:fldChar w:fldCharType="separate"/>
        </w:r>
        <w:r w:rsidR="002D6F18" w:rsidRPr="0082082D">
          <w:rPr>
            <w:noProof/>
            <w:vertAlign w:val="superscript"/>
          </w:rPr>
          <w:t>49</w:t>
        </w:r>
        <w:r w:rsidR="002D6F18">
          <w:fldChar w:fldCharType="end"/>
        </w:r>
      </w:hyperlink>
      <w:r w:rsidR="251AC772" w:rsidRPr="20F56C59">
        <w:rPr>
          <w:rStyle w:val="EndnoteReference"/>
        </w:rPr>
        <w:t xml:space="preserve"> </w:t>
      </w:r>
      <w:r w:rsidR="26486D54">
        <w:t>Similarly,</w:t>
      </w:r>
      <w:r w:rsidR="7F086CA3">
        <w:t xml:space="preserve"> </w:t>
      </w:r>
      <w:r w:rsidR="251AC772">
        <w:t>economic uncertaint</w:t>
      </w:r>
      <w:r w:rsidR="5EEBF0EF">
        <w:t>y</w:t>
      </w:r>
      <w:r w:rsidR="251AC772">
        <w:t>,</w:t>
      </w:r>
      <w:hyperlink w:anchor="_ENREF_50" w:tooltip="Welfare, 2023 #388" w:history="1">
        <w:r w:rsidR="002D6F18" w:rsidRPr="00996BA1">
          <w:rPr>
            <w:vertAlign w:val="superscript"/>
          </w:rPr>
          <w:fldChar w:fldCharType="begin"/>
        </w:r>
        <w:r w:rsidR="002D6F18">
          <w:rPr>
            <w:vertAlign w:val="superscript"/>
          </w:rPr>
          <w:instrText xml:space="preserve"> ADDIN EN.CITE &lt;EndNote&gt;&lt;Cite&gt;&lt;Author&gt;Welfare&lt;/Author&gt;&lt;Year&gt;2023&lt;/Year&gt;&lt;RecNum&gt;388&lt;/RecNum&gt;&lt;DisplayText&gt;&lt;style face="superscript"&gt;50&lt;/style&gt;&lt;/DisplayText&gt;&lt;record&gt;&lt;rec-number&gt;388&lt;/rec-number&gt;&lt;foreign-keys&gt;&lt;key app="EN" db-id="rsettzd2isasdweewww55s9lffasxav0d0ft" timestamp="1700699472" guid="2a834723-85f6-4339-94ed-42f50a10e7fa"&gt;388&lt;/key&gt;&lt;/foreign-keys&gt;&lt;ref-type name="Web Page"&gt;12&lt;/ref-type&gt;&lt;contributors&gt;&lt;authors&gt;&lt;author&gt;Australian Institute of Health and Welfare&lt;/author&gt;&lt;/authors&gt;&lt;/contributors&gt;&lt;titles&gt;&lt;title&gt;Regression Risk Models for Selected Census Variables&lt;/title&gt;&lt;/titles&gt;&lt;dates&gt;&lt;year&gt;2023&lt;/year&gt;&lt;/dates&gt;&lt;publisher&gt;AIHW, Australian Government&lt;/publisher&gt;&lt;work-type&gt;Internet&lt;/work-type&gt;&lt;urls&gt;&lt;related-urls&gt;&lt;url&gt;https://www.aihw.gov.au/suicide-self-harm-monitoring/data/behaviours-risk-factors/social-factors-suicide/regression-risk-models-selected-census-variables&lt;/url&gt;&lt;/related-urls&gt;&lt;/urls&gt;&lt;custom1&gt;2023&lt;/custom1&gt;&lt;custom2&gt;October 30&lt;/custom2&gt;&lt;/record&gt;&lt;/Cite&gt;&lt;/EndNote&gt;</w:instrText>
        </w:r>
        <w:r w:rsidR="002D6F18" w:rsidRPr="00996BA1">
          <w:rPr>
            <w:vertAlign w:val="superscript"/>
          </w:rPr>
          <w:fldChar w:fldCharType="separate"/>
        </w:r>
        <w:r w:rsidR="002D6F18">
          <w:rPr>
            <w:noProof/>
            <w:vertAlign w:val="superscript"/>
          </w:rPr>
          <w:t>50</w:t>
        </w:r>
        <w:r w:rsidR="002D6F18" w:rsidRPr="00996BA1">
          <w:rPr>
            <w:vertAlign w:val="superscript"/>
          </w:rPr>
          <w:fldChar w:fldCharType="end"/>
        </w:r>
      </w:hyperlink>
      <w:r w:rsidR="00996BA1" w:rsidRPr="00996BA1">
        <w:rPr>
          <w:vertAlign w:val="superscript"/>
        </w:rPr>
        <w:t>,</w:t>
      </w:r>
      <w:hyperlink w:anchor="_ENREF_51" w:tooltip="Welfare, 2023 #376" w:history="1">
        <w:r w:rsidR="002D6F18" w:rsidRPr="00996BA1">
          <w:rPr>
            <w:vertAlign w:val="superscript"/>
          </w:rPr>
          <w:fldChar w:fldCharType="begin"/>
        </w:r>
        <w:r w:rsidR="002D6F18">
          <w:rPr>
            <w:vertAlign w:val="superscript"/>
          </w:rPr>
          <w:instrText xml:space="preserve"> ADDIN EN.CITE &lt;EndNote&gt;&lt;Cite&gt;&lt;Author&gt;Welfare&lt;/Author&gt;&lt;Year&gt;2023&lt;/Year&gt;&lt;RecNum&gt;376&lt;/RecNum&gt;&lt;DisplayText&gt;&lt;style face="superscript"&gt;51&lt;/style&gt;&lt;/DisplayText&gt;&lt;record&gt;&lt;rec-number&gt;376&lt;/rec-number&gt;&lt;foreign-keys&gt;&lt;key app="EN" db-id="rsettzd2isasdweewww55s9lffasxav0d0ft" timestamp="1700699472" guid="be131cce-10d2-495f-a0e0-13e703880020"&gt;376&lt;/key&gt;&lt;/foreign-keys&gt;&lt;ref-type name="Web Page"&gt;12&lt;/ref-type&gt;&lt;contributors&gt;&lt;authors&gt;&lt;author&gt;Australian Institute of Health and Welfare&lt;/author&gt;&lt;/authors&gt;&lt;/contributors&gt;&lt;titles&gt;&lt;title&gt;Social and Economic Factors Associated with Suicide in Australia: A Focus on Individual Income&lt;/title&gt;&lt;/titles&gt;&lt;dates&gt;&lt;year&gt;2023&lt;/year&gt;&lt;/dates&gt;&lt;publisher&gt;AIHW, Australian Government&lt;/publisher&gt;&lt;work-type&gt;Internet&lt;/work-type&gt;&lt;urls&gt;&lt;related-urls&gt;&lt;url&gt;https://www.aihw.gov.au/suicide-self-harm-monitoring/data/behaviours-risk-factors/social-factors-suicide/longitudinal-analysis-of-income-uncertainty&lt;/url&gt;&lt;/related-urls&gt;&lt;/urls&gt;&lt;custom1&gt;2023&lt;/custom1&gt;&lt;custom2&gt;October 24&lt;/custom2&gt;&lt;/record&gt;&lt;/Cite&gt;&lt;/EndNote&gt;</w:instrText>
        </w:r>
        <w:r w:rsidR="002D6F18" w:rsidRPr="00996BA1">
          <w:rPr>
            <w:vertAlign w:val="superscript"/>
          </w:rPr>
          <w:fldChar w:fldCharType="separate"/>
        </w:r>
        <w:r w:rsidR="002D6F18">
          <w:rPr>
            <w:noProof/>
            <w:vertAlign w:val="superscript"/>
          </w:rPr>
          <w:t>51</w:t>
        </w:r>
        <w:r w:rsidR="002D6F18" w:rsidRPr="00996BA1">
          <w:rPr>
            <w:vertAlign w:val="superscript"/>
          </w:rPr>
          <w:fldChar w:fldCharType="end"/>
        </w:r>
      </w:hyperlink>
      <w:r w:rsidR="00996BA1" w:rsidRPr="00996BA1">
        <w:rPr>
          <w:vertAlign w:val="superscript"/>
        </w:rPr>
        <w:t>,</w:t>
      </w:r>
      <w:hyperlink w:anchor="_ENREF_2" w:tooltip="Statistics, 2023 #481" w:history="1">
        <w:r w:rsidR="002D6F18" w:rsidRPr="00996BA1">
          <w:rPr>
            <w:vertAlign w:val="superscript"/>
          </w:rPr>
          <w:fldChar w:fldCharType="begin"/>
        </w:r>
        <w:r w:rsidR="002D6F18">
          <w:rPr>
            <w:vertAlign w:val="superscript"/>
          </w:rPr>
          <w:instrText xml:space="preserve"> ADDIN EN.CITE &lt;EndNote&gt;&lt;Cite&gt;&lt;Author&gt;Statistics&lt;/Author&gt;&lt;Year&gt;2023&lt;/Year&gt;&lt;RecNum&gt;507&lt;/RecNum&gt;&lt;DisplayText&gt;&lt;style face="superscript"&gt;2&lt;/style&gt;&lt;/DisplayText&gt;&lt;record&gt;&lt;rec-number&gt;507&lt;/rec-number&gt;&lt;foreign-keys&gt;&lt;key app="EN" db-id="rsettzd2isasdweewww55s9lffasxav0d0ft" timestamp="1707862913" guid="8270e507-7922-40a2-bad7-1c4046fd0551"&gt;507&lt;/key&gt;&lt;/foreign-keys&gt;&lt;ref-type name="Web Page"&gt;12&lt;/ref-type&gt;&lt;contributors&gt;&lt;authors&gt;&lt;author&gt;Australian Bureau of Statistics&lt;/author&gt;&lt;/authors&gt;&lt;/contributors&gt;&lt;titles&gt;&lt;title&gt;Causes of Death, Australia, 2022&lt;/title&gt;&lt;/titles&gt;&lt;dates&gt;&lt;year&gt;2023&lt;/year&gt;&lt;/dates&gt;&lt;publisher&gt;ABS&lt;/publisher&gt;&lt;work-type&gt;Internet&lt;/work-type&gt;&lt;urls&gt;&lt;related-urls&gt;&lt;url&gt;https://www.abs.gov.au/statistics/health/causes-death/causes-death-australia/2022&lt;/url&gt;&lt;/related-urls&gt;&lt;/urls&gt;&lt;custom1&gt;2023&lt;/custom1&gt;&lt;custom2&gt;October 02&lt;/custom2&gt;&lt;/record&gt;&lt;/Cite&gt;&lt;/EndNote&gt;</w:instrText>
        </w:r>
        <w:r w:rsidR="002D6F18" w:rsidRPr="00996BA1">
          <w:rPr>
            <w:vertAlign w:val="superscript"/>
          </w:rPr>
          <w:fldChar w:fldCharType="separate"/>
        </w:r>
        <w:r w:rsidR="002D6F18">
          <w:rPr>
            <w:noProof/>
            <w:vertAlign w:val="superscript"/>
          </w:rPr>
          <w:t>2</w:t>
        </w:r>
        <w:r w:rsidR="002D6F18" w:rsidRPr="00996BA1">
          <w:rPr>
            <w:vertAlign w:val="superscript"/>
          </w:rPr>
          <w:fldChar w:fldCharType="end"/>
        </w:r>
      </w:hyperlink>
      <w:r w:rsidR="251AC772">
        <w:t xml:space="preserve"> social exclusion and loneliness,</w:t>
      </w:r>
      <w:hyperlink w:anchor="_ENREF_52" w:tooltip="BM, 2022 #158" w:history="1">
        <w:r w:rsidR="002D6F18" w:rsidRPr="0093511F">
          <w:rPr>
            <w:vertAlign w:val="superscript"/>
          </w:rPr>
          <w:fldChar w:fldCharType="begin"/>
        </w:r>
        <w:r w:rsidR="002D6F18">
          <w:rPr>
            <w:vertAlign w:val="superscript"/>
          </w:rPr>
          <w:instrText xml:space="preserve"> ADDIN EN.CITE &lt;EndNote&gt;&lt;Cite&gt;&lt;Author&gt;BM&lt;/Author&gt;&lt;Year&gt;2022&lt;/Year&gt;&lt;RecNum&gt;158&lt;/RecNum&gt;&lt;DisplayText&gt;&lt;style face="superscript"&gt;52&lt;/style&gt;&lt;/DisplayText&gt;&lt;record&gt;&lt;rec-number&gt;158&lt;/rec-number&gt;&lt;foreign-keys&gt;&lt;key app="EN" db-id="rsettzd2isasdweewww55s9lffasxav0d0ft" timestamp="1700699468" guid="94e907f7-d454-4f3c-8400-7d0f46ed7a8d"&gt;158&lt;/key&gt;&lt;/foreign-keys&gt;&lt;ref-type name="Journal Article"&gt;17&lt;/ref-type&gt;&lt;contributors&gt;&lt;authors&gt;&lt;author&gt;Coimbra BM&lt;/author&gt;&lt;author&gt;Hoeboer CM&lt;/author&gt;&lt;author&gt;Yik J&lt;/author&gt;&lt;author&gt;Mello AF&lt;/author&gt;&lt;author&gt;Mello MF&lt;/author&gt;&lt;author&gt;Olff M&lt;/author&gt;&lt;/authors&gt;&lt;/contributors&gt;&lt;titles&gt;&lt;title&gt;Meta-Analysis of the Effect of Racial Discrimination on Suicidality&lt;/title&gt;&lt;secondary-title&gt;SSM - Population Health&lt;/secondary-title&gt;&lt;/titles&gt;&lt;periodical&gt;&lt;full-title&gt;SSM - Population Health&lt;/full-title&gt;&lt;/periodical&gt;&lt;dates&gt;&lt;year&gt;2022&lt;/year&gt;&lt;/dates&gt;&lt;urls&gt;&lt;/urls&gt;&lt;electronic-resource-num&gt;DOI: 10.1016/j.ssmph.2022.101283&lt;/electronic-resource-num&gt;&lt;/record&gt;&lt;/Cite&gt;&lt;/EndNote&gt;</w:instrText>
        </w:r>
        <w:r w:rsidR="002D6F18" w:rsidRPr="0093511F">
          <w:rPr>
            <w:vertAlign w:val="superscript"/>
          </w:rPr>
          <w:fldChar w:fldCharType="separate"/>
        </w:r>
        <w:r w:rsidR="002D6F18">
          <w:rPr>
            <w:noProof/>
            <w:vertAlign w:val="superscript"/>
          </w:rPr>
          <w:t>52</w:t>
        </w:r>
        <w:r w:rsidR="002D6F18" w:rsidRPr="0093511F">
          <w:rPr>
            <w:vertAlign w:val="superscript"/>
          </w:rPr>
          <w:fldChar w:fldCharType="end"/>
        </w:r>
      </w:hyperlink>
      <w:r w:rsidR="0093511F" w:rsidRPr="0093511F">
        <w:rPr>
          <w:vertAlign w:val="superscript"/>
        </w:rPr>
        <w:t>,</w:t>
      </w:r>
      <w:hyperlink w:anchor="_ENREF_53" w:tooltip="A, 2016 #151" w:history="1">
        <w:r w:rsidR="002D6F18" w:rsidRPr="0093511F">
          <w:rPr>
            <w:vertAlign w:val="superscript"/>
          </w:rPr>
          <w:fldChar w:fldCharType="begin"/>
        </w:r>
        <w:r w:rsidR="002D6F18">
          <w:rPr>
            <w:vertAlign w:val="superscript"/>
          </w:rPr>
          <w:instrText xml:space="preserve"> ADDIN EN.CITE &lt;EndNote&gt;&lt;Cite&gt;&lt;Author&gt;A&lt;/Author&gt;&lt;Year&gt;2016&lt;/Year&gt;&lt;RecNum&gt;151&lt;/RecNum&gt;&lt;DisplayText&gt;&lt;style face="superscript"&gt;53&lt;/style&gt;&lt;/DisplayText&gt;&lt;record&gt;&lt;rec-number&gt;151&lt;/rec-number&gt;&lt;foreign-keys&gt;&lt;key app="EN" db-id="rsettzd2isasdweewww55s9lffasxav0d0ft" timestamp="1700699468" guid="d0d15044-2faa-457d-8435-5b3eca3e7868"&gt;151&lt;/key&gt;&lt;/foreign-keys&gt;&lt;ref-type name="Journal Article"&gt;17&lt;/ref-type&gt;&lt;contributors&gt;&lt;authors&gt;&lt;author&gt;Stickley A&lt;/author&gt;&lt;author&gt;Koyanagi A&lt;/author&gt;&lt;/authors&gt;&lt;/contributors&gt;&lt;titles&gt;&lt;title&gt;Loneliness, Common Mental Disorders and Suicidal Behavior: Findings from a General Population Survey&lt;/title&gt;&lt;secondary-title&gt;Journal of Affective Disorders&lt;/secondary-title&gt;&lt;/titles&gt;&lt;periodical&gt;&lt;full-title&gt;Journal of Affective Disorders&lt;/full-title&gt;&lt;/periodical&gt;&lt;dates&gt;&lt;year&gt;2016&lt;/year&gt;&lt;/dates&gt;&lt;urls&gt;&lt;/urls&gt;&lt;electronic-resource-num&gt;DOI: 10.1016/j.jad.2016.02.054&lt;/electronic-resource-num&gt;&lt;/record&gt;&lt;/Cite&gt;&lt;/EndNote&gt;</w:instrText>
        </w:r>
        <w:r w:rsidR="002D6F18" w:rsidRPr="0093511F">
          <w:rPr>
            <w:vertAlign w:val="superscript"/>
          </w:rPr>
          <w:fldChar w:fldCharType="separate"/>
        </w:r>
        <w:r w:rsidR="002D6F18">
          <w:rPr>
            <w:noProof/>
            <w:vertAlign w:val="superscript"/>
          </w:rPr>
          <w:t>53</w:t>
        </w:r>
        <w:r w:rsidR="002D6F18" w:rsidRPr="0093511F">
          <w:rPr>
            <w:vertAlign w:val="superscript"/>
          </w:rPr>
          <w:fldChar w:fldCharType="end"/>
        </w:r>
      </w:hyperlink>
      <w:r w:rsidR="251AC772">
        <w:t xml:space="preserve"> chronic pain,</w:t>
      </w:r>
      <w:hyperlink w:anchor="_ENREF_54" w:tooltip="DT, 2022 #152" w:history="1">
        <w:r w:rsidR="002D6F18">
          <w:fldChar w:fldCharType="begin"/>
        </w:r>
        <w:r w:rsidR="002D6F18">
          <w:instrText xml:space="preserve"> ADDIN EN.CITE &lt;EndNote&gt;&lt;Cite&gt;&lt;Author&gt;DT&lt;/Author&gt;&lt;Year&gt;2022&lt;/Year&gt;&lt;RecNum&gt;152&lt;/RecNum&gt;&lt;DisplayText&gt;&lt;style face="superscript"&gt;54&lt;/style&gt;&lt;/DisplayText&gt;&lt;record&gt;&lt;rec-number&gt;152&lt;/rec-number&gt;&lt;foreign-keys&gt;&lt;key app="EN" db-id="rsettzd2isasdweewww55s9lffasxav0d0ft" timestamp="1700699468" guid="7bd34ad5-7fc0-4484-bc2e-91b664800143"&gt;152&lt;/key&gt;&lt;/foreign-keys&gt;&lt;ref-type name="Journal Article"&gt;17&lt;/ref-type&gt;&lt;contributors&gt;&lt;authors&gt;&lt;author&gt;Fernando DT&lt;/author&gt;&lt;author&gt;Clapperton A&lt;/author&gt;&lt;author&gt;Berecki-Gisolf J&lt;/author&gt;&lt;/authors&gt;&lt;/contributors&gt;&lt;titles&gt;&lt;title&gt;Suicide Following Hospital Admission for Mental Health Conditions, Physical Illness, Injury and Intentional Self-Harm in Victoria, Australia&lt;/title&gt;&lt;secondary-title&gt;PLoS ONE&lt;/secondary-title&gt;&lt;/titles&gt;&lt;periodical&gt;&lt;full-title&gt;PLoS ONE&lt;/full-title&gt;&lt;/periodical&gt;&lt;dates&gt;&lt;year&gt;2022&lt;/year&gt;&lt;/dates&gt;&lt;urls&gt;&lt;/urls&gt;&lt;electronic-resource-num&gt;DOI: 10.1371/journal.pone.0271341&lt;/electronic-resource-num&gt;&lt;/record&gt;&lt;/Cite&gt;&lt;/EndNote&gt;</w:instrText>
        </w:r>
        <w:r w:rsidR="002D6F18">
          <w:fldChar w:fldCharType="separate"/>
        </w:r>
        <w:r w:rsidR="002D6F18" w:rsidRPr="0082082D">
          <w:rPr>
            <w:noProof/>
            <w:vertAlign w:val="superscript"/>
          </w:rPr>
          <w:t>54</w:t>
        </w:r>
        <w:r w:rsidR="002D6F18">
          <w:fldChar w:fldCharType="end"/>
        </w:r>
      </w:hyperlink>
      <w:r w:rsidR="251AC772">
        <w:t xml:space="preserve"> and family separation or bereavement</w:t>
      </w:r>
      <w:hyperlink w:anchor="_ENREF_50" w:tooltip="Welfare, 2023 #388" w:history="1">
        <w:r w:rsidR="002D6F18" w:rsidRPr="0093511F">
          <w:rPr>
            <w:vertAlign w:val="superscript"/>
          </w:rPr>
          <w:fldChar w:fldCharType="begin"/>
        </w:r>
        <w:r w:rsidR="002D6F18">
          <w:rPr>
            <w:vertAlign w:val="superscript"/>
          </w:rPr>
          <w:instrText xml:space="preserve"> ADDIN EN.CITE &lt;EndNote&gt;&lt;Cite&gt;&lt;Author&gt;Welfare&lt;/Author&gt;&lt;Year&gt;2023&lt;/Year&gt;&lt;RecNum&gt;388&lt;/RecNum&gt;&lt;DisplayText&gt;&lt;style face="superscript"&gt;50&lt;/style&gt;&lt;/DisplayText&gt;&lt;record&gt;&lt;rec-number&gt;388&lt;/rec-number&gt;&lt;foreign-keys&gt;&lt;key app="EN" db-id="rsettzd2isasdweewww55s9lffasxav0d0ft" timestamp="1700699472" guid="2a834723-85f6-4339-94ed-42f50a10e7fa"&gt;388&lt;/key&gt;&lt;/foreign-keys&gt;&lt;ref-type name="Web Page"&gt;12&lt;/ref-type&gt;&lt;contributors&gt;&lt;authors&gt;&lt;author&gt;Australian Institute of Health and Welfare&lt;/author&gt;&lt;/authors&gt;&lt;/contributors&gt;&lt;titles&gt;&lt;title&gt;Regression Risk Models for Selected Census Variables&lt;/title&gt;&lt;/titles&gt;&lt;dates&gt;&lt;year&gt;2023&lt;/year&gt;&lt;/dates&gt;&lt;publisher&gt;AIHW, Australian Government&lt;/publisher&gt;&lt;work-type&gt;Internet&lt;/work-type&gt;&lt;urls&gt;&lt;related-urls&gt;&lt;url&gt;https://www.aihw.gov.au/suicide-self-harm-monitoring/data/behaviours-risk-factors/social-factors-suicide/regression-risk-models-selected-census-variables&lt;/url&gt;&lt;/related-urls&gt;&lt;/urls&gt;&lt;custom1&gt;2023&lt;/custom1&gt;&lt;custom2&gt;October 30&lt;/custom2&gt;&lt;/record&gt;&lt;/Cite&gt;&lt;/EndNote&gt;</w:instrText>
        </w:r>
        <w:r w:rsidR="002D6F18" w:rsidRPr="0093511F">
          <w:rPr>
            <w:vertAlign w:val="superscript"/>
          </w:rPr>
          <w:fldChar w:fldCharType="separate"/>
        </w:r>
        <w:r w:rsidR="002D6F18">
          <w:rPr>
            <w:noProof/>
            <w:vertAlign w:val="superscript"/>
          </w:rPr>
          <w:t>50</w:t>
        </w:r>
        <w:r w:rsidR="002D6F18" w:rsidRPr="0093511F">
          <w:rPr>
            <w:vertAlign w:val="superscript"/>
          </w:rPr>
          <w:fldChar w:fldCharType="end"/>
        </w:r>
      </w:hyperlink>
      <w:r w:rsidR="0093511F" w:rsidRPr="0093511F">
        <w:rPr>
          <w:vertAlign w:val="superscript"/>
        </w:rPr>
        <w:t>,</w:t>
      </w:r>
      <w:hyperlink w:anchor="_ENREF_55" w:tooltip="V, 2005 #576" w:history="1">
        <w:r w:rsidR="002D6F18" w:rsidRPr="0093511F">
          <w:rPr>
            <w:vertAlign w:val="superscript"/>
          </w:rPr>
          <w:fldChar w:fldCharType="begin"/>
        </w:r>
        <w:r w:rsidR="002D6F18">
          <w:rPr>
            <w:vertAlign w:val="superscript"/>
          </w:rPr>
          <w:instrText xml:space="preserve"> ADDIN EN.CITE &lt;EndNote&gt;&lt;Cite&gt;&lt;Author&gt;V&lt;/Author&gt;&lt;Year&gt;2005&lt;/Year&gt;&lt;RecNum&gt;576&lt;/RecNum&gt;&lt;DisplayText&gt;&lt;style face="superscript"&gt;55&lt;/style&gt;&lt;/DisplayText&gt;&lt;record&gt;&lt;rec-number&gt;576&lt;/rec-number&gt;&lt;foreign-keys&gt;&lt;key app="EN" db-id="rsettzd2isasdweewww55s9lffasxav0d0ft" timestamp="1707862922" guid="6e2f4f9f-3157-41d8-80b6-baabe12d0c25"&gt;576&lt;/key&gt;&lt;/foreign-keys&gt;&lt;ref-type name="Journal Article"&gt;17&lt;/ref-type&gt;&lt;contributors&gt;&lt;authors&gt;&lt;author&gt;Lindahl V&lt;/author&gt;&lt;author&gt;Pearson JL&lt;/author&gt;&lt;author&gt;Colpe L&lt;/author&gt;&lt;/authors&gt;&lt;/contributors&gt;&lt;titles&gt;&lt;title&gt;Prevalence of Suicidality During Pregnancy and the Postpartum&lt;/title&gt;&lt;secondary-title&gt;Archives of Women’s Mental Health&lt;/secondary-title&gt;&lt;/titles&gt;&lt;periodical&gt;&lt;full-title&gt;Archives of Women’s Mental Health&lt;/full-title&gt;&lt;/periodical&gt;&lt;dates&gt;&lt;year&gt;2005&lt;/year&gt;&lt;/dates&gt;&lt;urls&gt;&lt;/urls&gt;&lt;electronic-resource-num&gt;https://doi.org/10.1007/s00737-005-0080-1&lt;/electronic-resource-num&gt;&lt;/record&gt;&lt;/Cite&gt;&lt;/EndNote&gt;</w:instrText>
        </w:r>
        <w:r w:rsidR="002D6F18" w:rsidRPr="0093511F">
          <w:rPr>
            <w:vertAlign w:val="superscript"/>
          </w:rPr>
          <w:fldChar w:fldCharType="separate"/>
        </w:r>
        <w:r w:rsidR="002D6F18">
          <w:rPr>
            <w:noProof/>
            <w:vertAlign w:val="superscript"/>
          </w:rPr>
          <w:t>55</w:t>
        </w:r>
        <w:r w:rsidR="002D6F18" w:rsidRPr="0093511F">
          <w:rPr>
            <w:vertAlign w:val="superscript"/>
          </w:rPr>
          <w:fldChar w:fldCharType="end"/>
        </w:r>
      </w:hyperlink>
      <w:r w:rsidR="0093511F" w:rsidRPr="0093511F">
        <w:rPr>
          <w:vertAlign w:val="superscript"/>
        </w:rPr>
        <w:t>,</w:t>
      </w:r>
      <w:hyperlink w:anchor="_ENREF_56" w:tooltip="Welfare, 2023 #377" w:history="1">
        <w:r w:rsidR="002D6F18" w:rsidRPr="0093511F">
          <w:rPr>
            <w:vertAlign w:val="superscript"/>
          </w:rPr>
          <w:fldChar w:fldCharType="begin"/>
        </w:r>
        <w:r w:rsidR="002D6F18">
          <w:rPr>
            <w:vertAlign w:val="superscript"/>
          </w:rPr>
          <w:instrText xml:space="preserve"> ADDIN EN.CITE &lt;EndNote&gt;&lt;Cite&gt;&lt;Author&gt;Welfare&lt;/Author&gt;&lt;Year&gt;2023&lt;/Year&gt;&lt;RecNum&gt;377&lt;/RecNum&gt;&lt;DisplayText&gt;&lt;style face="superscript"&gt;56&lt;/style&gt;&lt;/DisplayText&gt;&lt;record&gt;&lt;rec-number&gt;377&lt;/rec-number&gt;&lt;foreign-keys&gt;&lt;key app="EN" db-id="rsettzd2isasdweewww55s9lffasxav0d0ft" timestamp="1700699472" guid="0af7090b-51d8-4ff0-bcbd-8d33ebad3d0b"&gt;377&lt;/key&gt;&lt;/foreign-keys&gt;&lt;ref-type name="Web Page"&gt;12&lt;/ref-type&gt;&lt;contributors&gt;&lt;authors&gt;&lt;author&gt;Australian Institute of Health and Welfare&lt;/author&gt;&lt;/authors&gt;&lt;/contributors&gt;&lt;titles&gt;&lt;title&gt;Data Tables: 2021 National Mortality Database - Suicide (ICD-10 X60-X84, Y87.0)&lt;/title&gt;&lt;/titles&gt;&lt;dates&gt;&lt;year&gt;2023&lt;/year&gt;&lt;/dates&gt;&lt;publisher&gt;AIHW, Australian Government&lt;/publisher&gt;&lt;work-type&gt;Internet&lt;/work-type&gt;&lt;urls&gt;&lt;related-urls&gt;&lt;url&gt;https://www.aihw.gov.au/suicide-self-harm-monitoring/data/data-downloads&lt;/url&gt;&lt;/related-urls&gt;&lt;/urls&gt;&lt;custom1&gt;2023&lt;/custom1&gt;&lt;custom2&gt;October 24&lt;/custom2&gt;&lt;/record&gt;&lt;/Cite&gt;&lt;/EndNote&gt;</w:instrText>
        </w:r>
        <w:r w:rsidR="002D6F18" w:rsidRPr="0093511F">
          <w:rPr>
            <w:vertAlign w:val="superscript"/>
          </w:rPr>
          <w:fldChar w:fldCharType="separate"/>
        </w:r>
        <w:r w:rsidR="002D6F18">
          <w:rPr>
            <w:noProof/>
            <w:vertAlign w:val="superscript"/>
          </w:rPr>
          <w:t>56</w:t>
        </w:r>
        <w:r w:rsidR="002D6F18" w:rsidRPr="0093511F">
          <w:rPr>
            <w:vertAlign w:val="superscript"/>
          </w:rPr>
          <w:fldChar w:fldCharType="end"/>
        </w:r>
      </w:hyperlink>
      <w:r w:rsidR="0093511F" w:rsidRPr="0093511F">
        <w:rPr>
          <w:vertAlign w:val="superscript"/>
        </w:rPr>
        <w:t>,</w:t>
      </w:r>
      <w:hyperlink w:anchor="_ENREF_27" w:tooltip="AL, 2016 #155" w:history="1">
        <w:r w:rsidR="002D6F18" w:rsidRPr="0093511F">
          <w:rPr>
            <w:vertAlign w:val="superscript"/>
          </w:rPr>
          <w:fldChar w:fldCharType="begin"/>
        </w:r>
        <w:r w:rsidR="002D6F18">
          <w:rPr>
            <w:vertAlign w:val="superscript"/>
          </w:rPr>
          <w:instrText xml:space="preserve"> ADDIN EN.CITE &lt;EndNote&gt;&lt;Cite&gt;&lt;Author&gt;AL&lt;/Author&gt;&lt;Year&gt;2016&lt;/Year&gt;&lt;RecNum&gt;155&lt;/RecNum&gt;&lt;DisplayText&gt;&lt;style face="superscript"&gt;27&lt;/style&gt;&lt;/DisplayText&gt;&lt;record&gt;&lt;rec-number&gt;155&lt;/rec-number&gt;&lt;foreign-keys&gt;&lt;key app="EN" db-id="rsettzd2isasdweewww55s9lffasxav0d0ft" timestamp="1700699468" guid="e4280e81-36d8-4480-81e0-68e206a844a7"&gt;155&lt;/key&gt;&lt;/foreign-keys&gt;&lt;ref-type name="Journal Article"&gt;17&lt;/ref-type&gt;&lt;contributors&gt;&lt;authors&gt;&lt;author&gt;Pitman AL&lt;/author&gt;&lt;author&gt;Osborn DPJ&lt;/author&gt;&lt;author&gt;Rantell K&lt;/author&gt;&lt;author&gt;King MB&lt;/author&gt;&lt;/authors&gt;&lt;/contributors&gt;&lt;titles&gt;&lt;title&gt;Bereavement by Suicide as a Risk Factor for Suicide Attempt: A Cross-Sectional National UK-Wide Study of 3432 Young Bereaved Adults&lt;/title&gt;&lt;secondary-title&gt;BMJ Open&lt;/secondary-title&gt;&lt;/titles&gt;&lt;periodical&gt;&lt;full-title&gt;BMJ Open&lt;/full-title&gt;&lt;/periodical&gt;&lt;dates&gt;&lt;year&gt;2016&lt;/year&gt;&lt;/dates&gt;&lt;urls&gt;&lt;/urls&gt;&lt;electronic-resource-num&gt;DOI: 10.1136/bmjopen-2015-009948&lt;/electronic-resource-num&gt;&lt;/record&gt;&lt;/Cite&gt;&lt;/EndNote&gt;</w:instrText>
        </w:r>
        <w:r w:rsidR="002D6F18" w:rsidRPr="0093511F">
          <w:rPr>
            <w:vertAlign w:val="superscript"/>
          </w:rPr>
          <w:fldChar w:fldCharType="separate"/>
        </w:r>
        <w:r w:rsidR="002D6F18">
          <w:rPr>
            <w:noProof/>
            <w:vertAlign w:val="superscript"/>
          </w:rPr>
          <w:t>27</w:t>
        </w:r>
        <w:r w:rsidR="002D6F18" w:rsidRPr="0093511F">
          <w:rPr>
            <w:vertAlign w:val="superscript"/>
          </w:rPr>
          <w:fldChar w:fldCharType="end"/>
        </w:r>
      </w:hyperlink>
      <w:r w:rsidR="0093511F">
        <w:t xml:space="preserve"> </w:t>
      </w:r>
      <w:r w:rsidR="251AC772">
        <w:t>were associated with increased suicide risk</w:t>
      </w:r>
      <w:r w:rsidR="7B7455EB">
        <w:t xml:space="preserve">. </w:t>
      </w:r>
      <w:r w:rsidR="61D8B5F3">
        <w:t xml:space="preserve">Reducing </w:t>
      </w:r>
      <w:r w:rsidR="1FABADF9">
        <w:t>the impact of</w:t>
      </w:r>
      <w:r w:rsidR="61D8B5F3">
        <w:t xml:space="preserve"> </w:t>
      </w:r>
      <w:r w:rsidR="7AD20B1A">
        <w:t>such</w:t>
      </w:r>
      <w:r w:rsidR="61D8B5F3">
        <w:t xml:space="preserve"> </w:t>
      </w:r>
      <w:r w:rsidR="2AA22787">
        <w:t>stressors</w:t>
      </w:r>
      <w:r w:rsidR="61D8B5F3">
        <w:t xml:space="preserve"> can prevent people from experiencing suicidal distress by reducing their sense of being trapped by circumstances and by promoting a sense of agency and hope for the future.</w:t>
      </w:r>
      <w:r w:rsidR="72BEE260">
        <w:t xml:space="preserve"> </w:t>
      </w:r>
    </w:p>
    <w:p w14:paraId="5574D28C" w14:textId="15C17D31" w:rsidR="005362AA" w:rsidRDefault="00047D06" w:rsidP="00634A83">
      <w:r>
        <w:t>S</w:t>
      </w:r>
      <w:r w:rsidR="006C2061">
        <w:t>uicide prevent</w:t>
      </w:r>
      <w:r w:rsidR="0E3F7A8E">
        <w:t>ion</w:t>
      </w:r>
      <w:r w:rsidR="006C2061">
        <w:t xml:space="preserve"> efforts</w:t>
      </w:r>
      <w:r w:rsidR="00A21E89">
        <w:t xml:space="preserve"> must</w:t>
      </w:r>
      <w:r>
        <w:t xml:space="preserve"> therefore</w:t>
      </w:r>
      <w:r w:rsidR="00A21E89">
        <w:t xml:space="preserve"> also entail </w:t>
      </w:r>
      <w:r w:rsidR="006C2061">
        <w:t xml:space="preserve">addressing </w:t>
      </w:r>
      <w:r w:rsidR="00D71D82">
        <w:t>the</w:t>
      </w:r>
      <w:r w:rsidR="00427DF1">
        <w:t xml:space="preserve"> </w:t>
      </w:r>
      <w:r w:rsidR="00621F82">
        <w:t xml:space="preserve">negative </w:t>
      </w:r>
      <w:r w:rsidR="0074099B">
        <w:t>impact</w:t>
      </w:r>
      <w:r w:rsidR="00A26464">
        <w:t xml:space="preserve"> </w:t>
      </w:r>
      <w:r w:rsidR="00D71D82">
        <w:t>of socio-economic stressors</w:t>
      </w:r>
      <w:r w:rsidR="00621F82">
        <w:t xml:space="preserve"> – either </w:t>
      </w:r>
      <w:r w:rsidR="00472458">
        <w:t xml:space="preserve">by </w:t>
      </w:r>
      <w:r w:rsidR="00B82E31">
        <w:t xml:space="preserve">directly </w:t>
      </w:r>
      <w:r w:rsidR="00472458">
        <w:t xml:space="preserve">addressing the socio-economic factor itself or by providing proactive </w:t>
      </w:r>
      <w:r w:rsidR="006D61DE">
        <w:t>support for people negatively impacte</w:t>
      </w:r>
      <w:r w:rsidR="00F739B4">
        <w:t>d</w:t>
      </w:r>
      <w:r w:rsidR="007D1E0A">
        <w:t>.</w:t>
      </w:r>
      <w:r w:rsidR="169C2DD0">
        <w:t xml:space="preserve"> </w:t>
      </w:r>
    </w:p>
    <w:p w14:paraId="00279D5A" w14:textId="00009FC7" w:rsidR="008D2458" w:rsidRDefault="00871219" w:rsidP="00634A83">
      <w:pPr>
        <w:rPr>
          <w:rFonts w:eastAsiaTheme="majorEastAsia" w:cstheme="majorBidi"/>
          <w:sz w:val="40"/>
          <w:szCs w:val="26"/>
        </w:rPr>
      </w:pPr>
      <w:r w:rsidRPr="00B768A1">
        <w:t xml:space="preserve">This </w:t>
      </w:r>
      <w:r w:rsidR="005362AA">
        <w:t xml:space="preserve">combined </w:t>
      </w:r>
      <w:r w:rsidRPr="00B768A1">
        <w:t>approach</w:t>
      </w:r>
      <w:r w:rsidR="00712A37">
        <w:t xml:space="preserve"> to prevention of suicidal distress</w:t>
      </w:r>
      <w:r w:rsidRPr="00B768A1">
        <w:t xml:space="preserve"> </w:t>
      </w:r>
      <w:r w:rsidR="00195E4D" w:rsidRPr="00B768A1">
        <w:t xml:space="preserve">draws on </w:t>
      </w:r>
      <w:r w:rsidR="00126F54" w:rsidRPr="00B768A1">
        <w:t>a maturing understanding of suicide prevention internationally,</w:t>
      </w:r>
      <w:hyperlink w:anchor="_ENREF_57" w:tooltip="Authorities, 2022 #455" w:history="1">
        <w:r w:rsidR="002D6F18" w:rsidRPr="00CF4B88">
          <w:rPr>
            <w:vertAlign w:val="superscript"/>
          </w:rPr>
          <w:fldChar w:fldCharType="begin"/>
        </w:r>
        <w:r w:rsidR="002D6F18">
          <w:rPr>
            <w:vertAlign w:val="superscript"/>
          </w:rPr>
          <w:instrText xml:space="preserve"> ADDIN EN.CITE &lt;EndNote&gt;&lt;Cite&gt;&lt;Author&gt;Authorities&lt;/Author&gt;&lt;Year&gt;2022&lt;/Year&gt;&lt;RecNum&gt;455&lt;/RecNum&gt;&lt;DisplayText&gt;&lt;style face="superscript"&gt;57&lt;/style&gt;&lt;/DisplayText&gt;&lt;record&gt;&lt;rec-number&gt;455&lt;/rec-number&gt;&lt;foreign-keys&gt;&lt;key app="EN" db-id="rsettzd2isasdweewww55s9lffasxav0d0ft" timestamp="1700699474" guid="e2144bcd-1d73-49e6-b4b7-94d0a1e781ff"&gt;455&lt;/key&gt;&lt;/foreign-keys&gt;&lt;ref-type name="Web Page"&gt;12&lt;/ref-type&gt;&lt;contributors&gt;&lt;authors&gt;&lt;author&gt;The Scottish Government and the Convention of Scottish Local Authorities&lt;/author&gt;&lt;/authors&gt;&lt;/contributors&gt;&lt;titles&gt;&lt;title&gt;Creating Hope Together: Scotland&amp;apos;s Suicide Prevention Plan 2022-2025&lt;/title&gt;&lt;/titles&gt;&lt;dates&gt;&lt;year&gt;2022&lt;/year&gt;&lt;/dates&gt;&lt;pub-location&gt;Edinburgh, Scotland&lt;/pub-location&gt;&lt;publisher&gt;The Scottish Government&lt;/publisher&gt;&lt;isbn&gt;978-1-80435-977-8&lt;/isbn&gt;&lt;work-type&gt;Internet&lt;/work-type&gt;&lt;urls&gt;&lt;related-urls&gt;&lt;url&gt;https://www.gov.scot/publications/creating-hope-together-scotlands-suicide-prevention-action-plan-2022-2025/documents/&lt;/url&gt;&lt;/related-urls&gt;&lt;/urls&gt;&lt;custom1&gt;2023&lt;/custom1&gt;&lt;custom2&gt;November 06&lt;/custom2&gt;&lt;/record&gt;&lt;/Cite&gt;&lt;/EndNote&gt;</w:instrText>
        </w:r>
        <w:r w:rsidR="002D6F18" w:rsidRPr="00CF4B88">
          <w:rPr>
            <w:vertAlign w:val="superscript"/>
          </w:rPr>
          <w:fldChar w:fldCharType="separate"/>
        </w:r>
        <w:r w:rsidR="002D6F18">
          <w:rPr>
            <w:noProof/>
            <w:vertAlign w:val="superscript"/>
          </w:rPr>
          <w:t>57</w:t>
        </w:r>
        <w:r w:rsidR="002D6F18" w:rsidRPr="00CF4B88">
          <w:rPr>
            <w:vertAlign w:val="superscript"/>
          </w:rPr>
          <w:fldChar w:fldCharType="end"/>
        </w:r>
      </w:hyperlink>
      <w:r w:rsidR="0093511F" w:rsidRPr="00CF4B88">
        <w:rPr>
          <w:vertAlign w:val="superscript"/>
        </w:rPr>
        <w:t>,</w:t>
      </w:r>
      <w:hyperlink w:anchor="_ENREF_58" w:tooltip="Health, 2019 #991" w:history="1">
        <w:r w:rsidR="002D6F18" w:rsidRPr="00CF4B88">
          <w:rPr>
            <w:vertAlign w:val="superscript"/>
          </w:rPr>
          <w:fldChar w:fldCharType="begin"/>
        </w:r>
        <w:r w:rsidR="002D6F18">
          <w:rPr>
            <w:vertAlign w:val="superscript"/>
          </w:rPr>
          <w:instrText xml:space="preserve"> ADDIN EN.CITE &lt;EndNote&gt;&lt;Cite&gt;&lt;Author&gt;Health&lt;/Author&gt;&lt;Year&gt;2019&lt;/Year&gt;&lt;RecNum&gt;991&lt;/RecNum&gt;&lt;DisplayText&gt;&lt;style face="superscript"&gt;58&lt;/style&gt;&lt;/DisplayText&gt;&lt;record&gt;&lt;rec-number&gt;991&lt;/rec-number&gt;&lt;foreign-keys&gt;&lt;key app="EN" db-id="rsettzd2isasdweewww55s9lffasxav0d0ft" timestamp="1720400765" guid="80cba4a3-a5dd-4f55-ba05-1de1c37a7af8"&gt;991&lt;/key&gt;&lt;/foreign-keys&gt;&lt;ref-type name="Web Page"&gt;12&lt;/ref-type&gt;&lt;contributors&gt;&lt;authors&gt;&lt;author&gt;Ministry of Health&lt;/author&gt;&lt;/authors&gt;&lt;/contributors&gt;&lt;titles&gt;&lt;title&gt;Every life matters  - He Tapu te Oranga o ia Tangata: Suicide Prevention Strategy 2019–2029 and Suicide Prevention Action Plan 2019–2024 for Aotearoa New Zealand&lt;/title&gt;&lt;/titles&gt;&lt;dates&gt;&lt;year&gt;2019&lt;/year&gt;&lt;/dates&gt;&lt;publisher&gt;New Zealand Government &lt;/publisher&gt;&lt;isbn&gt;978-1-98-859712-6 &lt;/isbn&gt;&lt;work-type&gt;Internet &lt;/work-type&gt;&lt;urls&gt;&lt;related-urls&gt;&lt;url&gt;https://www.health.govt.nz/our-work/mental-health-and-addiction/suicide-prevention-new-zealand/suicide-prevention-strategy-and-action-plan&lt;/url&gt;&lt;/related-urls&gt;&lt;/urls&gt;&lt;custom1&gt;2024&lt;/custom1&gt;&lt;custom2&gt;February 8&lt;/custom2&gt;&lt;/record&gt;&lt;/Cite&gt;&lt;/EndNote&gt;</w:instrText>
        </w:r>
        <w:r w:rsidR="002D6F18" w:rsidRPr="00CF4B88">
          <w:rPr>
            <w:vertAlign w:val="superscript"/>
          </w:rPr>
          <w:fldChar w:fldCharType="separate"/>
        </w:r>
        <w:r w:rsidR="002D6F18">
          <w:rPr>
            <w:noProof/>
            <w:vertAlign w:val="superscript"/>
          </w:rPr>
          <w:t>58</w:t>
        </w:r>
        <w:r w:rsidR="002D6F18" w:rsidRPr="00CF4B88">
          <w:rPr>
            <w:vertAlign w:val="superscript"/>
          </w:rPr>
          <w:fldChar w:fldCharType="end"/>
        </w:r>
      </w:hyperlink>
      <w:r w:rsidR="0093511F">
        <w:t xml:space="preserve"> </w:t>
      </w:r>
      <w:r w:rsidR="00126F54" w:rsidRPr="00B768A1">
        <w:t xml:space="preserve">and </w:t>
      </w:r>
      <w:r w:rsidR="00F8226E" w:rsidRPr="00B768A1">
        <w:t xml:space="preserve">aligns </w:t>
      </w:r>
      <w:r w:rsidR="001F26BE" w:rsidRPr="00B768A1">
        <w:t xml:space="preserve">with the </w:t>
      </w:r>
      <w:r w:rsidR="00195E4D" w:rsidRPr="00B768A1">
        <w:t xml:space="preserve">socio-economic </w:t>
      </w:r>
      <w:r w:rsidR="001F26BE" w:rsidRPr="00B768A1">
        <w:t xml:space="preserve">targets outlined in </w:t>
      </w:r>
      <w:r w:rsidR="00BE4AFA" w:rsidRPr="00B768A1">
        <w:t xml:space="preserve">the </w:t>
      </w:r>
      <w:r w:rsidR="00BE4AFA" w:rsidRPr="352D6B08">
        <w:rPr>
          <w:i/>
          <w:iCs/>
        </w:rPr>
        <w:t xml:space="preserve">National Agreement on </w:t>
      </w:r>
      <w:r w:rsidR="001F26BE" w:rsidRPr="352D6B08">
        <w:rPr>
          <w:i/>
          <w:iCs/>
        </w:rPr>
        <w:t>Closing the Gap</w:t>
      </w:r>
      <w:r w:rsidR="00F8226E" w:rsidRPr="00B768A1">
        <w:t>.</w:t>
      </w:r>
      <w:hyperlink w:anchor="_ENREF_59" w:tooltip="Commission, 2024 #992" w:history="1">
        <w:r w:rsidR="002D6F18">
          <w:fldChar w:fldCharType="begin"/>
        </w:r>
        <w:r w:rsidR="002D6F18">
          <w:instrText xml:space="preserve"> ADDIN EN.CITE &lt;EndNote&gt;&lt;Cite&gt;&lt;Author&gt;Commission&lt;/Author&gt;&lt;Year&gt;2024&lt;/Year&gt;&lt;RecNum&gt;992&lt;/RecNum&gt;&lt;DisplayText&gt;&lt;style face="superscript"&gt;59&lt;/style&gt;&lt;/DisplayText&gt;&lt;record&gt;&lt;rec-number&gt;992&lt;/rec-number&gt;&lt;foreign-keys&gt;&lt;key app="EN" db-id="rsettzd2isasdweewww55s9lffasxav0d0ft" timestamp="1720401389" guid="8b98a557-47a0-469c-ba4c-977f493391be"&gt;992&lt;/key&gt;&lt;/foreign-keys&gt;&lt;ref-type name="Web Page"&gt;12&lt;/ref-type&gt;&lt;contributors&gt;&lt;authors&gt;&lt;author&gt;Productivity Commission &lt;/author&gt;&lt;/authors&gt;&lt;/contributors&gt;&lt;titles&gt;&lt;title&gt;Closing the Gap targets and outcomes&lt;/title&gt;&lt;/titles&gt;&lt;dates&gt;&lt;year&gt;2024&lt;/year&gt;&lt;/dates&gt;&lt;publisher&gt;PC, Australian Government&lt;/publisher&gt;&lt;work-type&gt;Internet&lt;/work-type&gt;&lt;urls&gt;&lt;related-urls&gt;&lt;url&gt;https://www.closingthegap.gov.au/national-agreement/targets&lt;/url&gt;&lt;/related-urls&gt;&lt;/urls&gt;&lt;custom1&gt;2024&lt;/custom1&gt;&lt;custom2&gt;February 8&lt;/custom2&gt;&lt;/record&gt;&lt;/Cite&gt;&lt;/EndNote&gt;</w:instrText>
        </w:r>
        <w:r w:rsidR="002D6F18">
          <w:fldChar w:fldCharType="separate"/>
        </w:r>
        <w:r w:rsidR="002D6F18" w:rsidRPr="0082082D">
          <w:rPr>
            <w:noProof/>
            <w:vertAlign w:val="superscript"/>
          </w:rPr>
          <w:t>59</w:t>
        </w:r>
        <w:r w:rsidR="002D6F18">
          <w:fldChar w:fldCharType="end"/>
        </w:r>
      </w:hyperlink>
      <w:r w:rsidR="0048029D">
        <w:t xml:space="preserve"> </w:t>
      </w:r>
      <w:r w:rsidR="00FB4964">
        <w:t>Being proactive,</w:t>
      </w:r>
      <w:r w:rsidR="007C2D7F">
        <w:t xml:space="preserve"> it is</w:t>
      </w:r>
      <w:r w:rsidR="0048029D">
        <w:t xml:space="preserve"> more efficient and offers more sustained protection from suicidal distress than a reactive approach that focuses on treating people when they are experiencing a suicidal crisis.</w:t>
      </w:r>
      <w:hyperlink w:anchor="_ENREF_60" w:tooltip="J, 2023 #127" w:history="1">
        <w:r w:rsidR="002D6F18">
          <w:fldChar w:fldCharType="begin"/>
        </w:r>
        <w:r w:rsidR="002D6F18">
          <w:instrText xml:space="preserve"> ADDIN EN.CITE &lt;EndNote&gt;&lt;Cite&gt;&lt;Author&gt;J&lt;/Author&gt;&lt;Year&gt;2023&lt;/Year&gt;&lt;RecNum&gt;127&lt;/RecNum&gt;&lt;DisplayText&gt;&lt;style face="superscript"&gt;60&lt;/style&gt;&lt;/DisplayText&gt;&lt;record&gt;&lt;rec-number&gt;127&lt;/rec-number&gt;&lt;foreign-keys&gt;&lt;key app="EN" db-id="rsettzd2isasdweewww55s9lffasxav0d0ft" timestamp="1700699468" guid="ad055c94-1ea1-48f9-9a07-5dd88bac4804"&gt;127&lt;/key&gt;&lt;/foreign-keys&gt;&lt;ref-type name="Journal Article"&gt;17&lt;/ref-type&gt;&lt;contributors&gt;&lt;authors&gt;&lt;author&gt;Pirkis J&lt;/author&gt;&lt;author&gt;Gunnell D&lt;/author&gt;&lt;author&gt;Hawton K&lt;/author&gt;&lt;author&gt;Hetrick S&lt;/author&gt;&lt;author&gt;Niederkrotenthaler T&lt;/author&gt;&lt;author&gt;Sinyor M&lt;/author&gt;&lt;author&gt;Yip PSF&lt;/author&gt;&lt;author&gt;Robinson J&lt;/author&gt;&lt;/authors&gt;&lt;/contributors&gt;&lt;titles&gt;&lt;title&gt;A Public Health, Whole-of-Government Approach to National Suicide Prevention Strategies&lt;/title&gt;&lt;/titles&gt;&lt;dates&gt;&lt;year&gt;2023&lt;/year&gt;&lt;/dates&gt;&lt;publisher&gt;Crisis: The Journal of Crisis Intervention and Suicide Prevention&lt;/publisher&gt;&lt;urls&gt;&lt;/urls&gt;&lt;electronic-resource-num&gt;DOI: 10.1027/0227-5910/a000902&lt;/electronic-resource-num&gt;&lt;/record&gt;&lt;/Cite&gt;&lt;/EndNote&gt;</w:instrText>
        </w:r>
        <w:r w:rsidR="002D6F18">
          <w:fldChar w:fldCharType="separate"/>
        </w:r>
        <w:r w:rsidR="002D6F18" w:rsidRPr="0082082D">
          <w:rPr>
            <w:noProof/>
            <w:vertAlign w:val="superscript"/>
          </w:rPr>
          <w:t>60</w:t>
        </w:r>
        <w:r w:rsidR="002D6F18">
          <w:fldChar w:fldCharType="end"/>
        </w:r>
      </w:hyperlink>
      <w:r w:rsidR="008D2458">
        <w:br w:type="page"/>
      </w:r>
      <w:bookmarkStart w:id="32" w:name="_Toc152082302"/>
      <w:bookmarkStart w:id="33" w:name="_Ref152166206"/>
      <w:bookmarkStart w:id="34" w:name="_Ref152166356"/>
    </w:p>
    <w:p w14:paraId="70A1E91D" w14:textId="06271692" w:rsidR="00E864FA" w:rsidRPr="00B95BD4" w:rsidRDefault="004F5B0E" w:rsidP="00996915">
      <w:pPr>
        <w:pStyle w:val="HeadingKOprevention"/>
      </w:pPr>
      <w:bookmarkStart w:id="35" w:name="_Toc1617325314"/>
      <w:bookmarkStart w:id="36" w:name="_Toc26977949"/>
      <w:bookmarkStart w:id="37" w:name="_Toc171459026"/>
      <w:r w:rsidRPr="00B95BD4">
        <w:drawing>
          <wp:anchor distT="0" distB="0" distL="114300" distR="114300" simplePos="0" relativeHeight="251658262" behindDoc="0" locked="0" layoutInCell="1" allowOverlap="1" wp14:anchorId="449D1FD5" wp14:editId="0E4C5F5E">
            <wp:simplePos x="0" y="0"/>
            <wp:positionH relativeFrom="margin">
              <wp:align>right</wp:align>
            </wp:positionH>
            <wp:positionV relativeFrom="margin">
              <wp:posOffset>-66675</wp:posOffset>
            </wp:positionV>
            <wp:extent cx="1377950" cy="899795"/>
            <wp:effectExtent l="0" t="0" r="0" b="0"/>
            <wp:wrapSquare wrapText="bothSides"/>
            <wp:docPr id="14" name="Picture 14" descr="Safety and security is Key objective 1 of the Strategy, within the domain of Prevention of suicidal di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afety and security is Key objective 1 of the Strategy, within the domain of Prevention of suicidal distres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77950" cy="899795"/>
                    </a:xfrm>
                    <a:prstGeom prst="rect">
                      <a:avLst/>
                    </a:prstGeom>
                  </pic:spPr>
                </pic:pic>
              </a:graphicData>
            </a:graphic>
          </wp:anchor>
        </w:drawing>
      </w:r>
      <w:r w:rsidR="00E864FA" w:rsidRPr="00B95BD4">
        <w:t xml:space="preserve">Key </w:t>
      </w:r>
      <w:r w:rsidR="00FF4D8E" w:rsidRPr="00B95BD4">
        <w:t>o</w:t>
      </w:r>
      <w:r w:rsidR="00E864FA" w:rsidRPr="00B95BD4">
        <w:t xml:space="preserve">bjective 1: </w:t>
      </w:r>
      <w:bookmarkEnd w:id="32"/>
      <w:bookmarkEnd w:id="33"/>
      <w:bookmarkEnd w:id="34"/>
      <w:r w:rsidR="00C321DE" w:rsidRPr="00B95BD4">
        <w:t>Safety and security</w:t>
      </w:r>
      <w:bookmarkEnd w:id="35"/>
      <w:bookmarkEnd w:id="36"/>
      <w:bookmarkEnd w:id="37"/>
    </w:p>
    <w:p w14:paraId="2CBFAA6A" w14:textId="0E3FB18F" w:rsidR="00FE131F" w:rsidRPr="00B768A1" w:rsidRDefault="00855242" w:rsidP="00634A83">
      <w:pPr>
        <w:pStyle w:val="BodyText"/>
      </w:pPr>
      <w:r>
        <w:t>A</w:t>
      </w:r>
      <w:r w:rsidR="2C02DD47">
        <w:t xml:space="preserve"> sense of s</w:t>
      </w:r>
      <w:r w:rsidR="34FCD511">
        <w:t xml:space="preserve">afety and security, and </w:t>
      </w:r>
      <w:r w:rsidR="29992587">
        <w:t xml:space="preserve">the </w:t>
      </w:r>
      <w:r w:rsidR="34FCD511">
        <w:t xml:space="preserve">factors that enhance </w:t>
      </w:r>
      <w:r w:rsidR="74954D95">
        <w:t xml:space="preserve">or diminish </w:t>
      </w:r>
      <w:r w:rsidR="00C537EE">
        <w:t>it</w:t>
      </w:r>
      <w:r w:rsidR="76115A48">
        <w:t>,</w:t>
      </w:r>
      <w:r w:rsidR="74954D95">
        <w:t xml:space="preserve"> </w:t>
      </w:r>
      <w:r w:rsidR="00C537EE">
        <w:t>is</w:t>
      </w:r>
      <w:r w:rsidR="74954D95">
        <w:t xml:space="preserve"> closely linked to individual wellbeing and suicide risk. Addressing safety </w:t>
      </w:r>
      <w:r w:rsidR="3B41BACC">
        <w:t>and security is therefore a foundational requirement in suicide prevention</w:t>
      </w:r>
      <w:r w:rsidR="0690B519">
        <w:t xml:space="preserve">. </w:t>
      </w:r>
    </w:p>
    <w:p w14:paraId="14D1DEAC" w14:textId="6295769A" w:rsidR="000723B0" w:rsidRPr="00B768A1" w:rsidRDefault="000723B0" w:rsidP="00634A83">
      <w:pPr>
        <w:pStyle w:val="BT-Livedexperience-Orange-Heading"/>
      </w:pPr>
      <w:r>
        <w:t xml:space="preserve">What </w:t>
      </w:r>
      <w:r w:rsidR="00DE0928">
        <w:t xml:space="preserve">do </w:t>
      </w:r>
      <w:r>
        <w:t xml:space="preserve">we </w:t>
      </w:r>
      <w:r w:rsidR="00DE0928">
        <w:t xml:space="preserve">need </w:t>
      </w:r>
      <w:r>
        <w:t>to achieve?</w:t>
      </w:r>
    </w:p>
    <w:p w14:paraId="19C3728F" w14:textId="6ED8E623" w:rsidR="000723B0" w:rsidRPr="00B768A1" w:rsidRDefault="55FE450A" w:rsidP="00634A83">
      <w:pPr>
        <w:pStyle w:val="BT-Livedexperience-Orange"/>
      </w:pPr>
      <w:r w:rsidRPr="08EF0EA3">
        <w:rPr>
          <w:rStyle w:val="normaltextrun"/>
          <w:rFonts w:eastAsia="Roboto" w:cstheme="minorBidi"/>
        </w:rPr>
        <w:t xml:space="preserve">People experience enhanced wellbeing </w:t>
      </w:r>
      <w:r w:rsidR="56B6CD8B" w:rsidRPr="08EF0EA3">
        <w:rPr>
          <w:rStyle w:val="normaltextrun"/>
          <w:rFonts w:eastAsia="Roboto" w:cstheme="minorBidi"/>
        </w:rPr>
        <w:t xml:space="preserve">through </w:t>
      </w:r>
      <w:r w:rsidR="02954C24" w:rsidRPr="08EF0EA3">
        <w:rPr>
          <w:rStyle w:val="normaltextrun"/>
          <w:rFonts w:eastAsia="Roboto" w:cstheme="minorBidi"/>
        </w:rPr>
        <w:t>increased sense of safety</w:t>
      </w:r>
      <w:r w:rsidR="2C5D16FE" w:rsidRPr="08EF0EA3">
        <w:rPr>
          <w:rStyle w:val="normaltextrun"/>
          <w:rFonts w:eastAsia="Roboto" w:cstheme="minorBidi"/>
        </w:rPr>
        <w:t xml:space="preserve"> and security</w:t>
      </w:r>
      <w:r w:rsidR="4FC0D00B" w:rsidRPr="08EF0EA3">
        <w:rPr>
          <w:rStyle w:val="normaltextrun"/>
          <w:rFonts w:eastAsia="Roboto" w:cstheme="minorBidi"/>
        </w:rPr>
        <w:t xml:space="preserve">. The </w:t>
      </w:r>
      <w:r w:rsidR="02954C24" w:rsidRPr="08EF0EA3">
        <w:rPr>
          <w:rStyle w:val="normaltextrun"/>
          <w:rFonts w:eastAsia="Roboto" w:cstheme="minorBidi"/>
        </w:rPr>
        <w:t xml:space="preserve">prevalence and impacts of risks </w:t>
      </w:r>
      <w:r w:rsidR="3BED3AB1" w:rsidRPr="08EF0EA3">
        <w:rPr>
          <w:rStyle w:val="normaltextrun"/>
          <w:rFonts w:eastAsia="Roboto" w:cstheme="minorBidi"/>
        </w:rPr>
        <w:t xml:space="preserve">to personal safety and security are diminished. </w:t>
      </w:r>
    </w:p>
    <w:p w14:paraId="397A334F" w14:textId="4ACD3E58" w:rsidR="00E864FA" w:rsidRPr="00A60CE2" w:rsidRDefault="00E864FA" w:rsidP="00A771EF">
      <w:pPr>
        <w:pStyle w:val="heading3prevention"/>
      </w:pPr>
      <w:r w:rsidRPr="756626F3">
        <w:t>1.1 Improv</w:t>
      </w:r>
      <w:r w:rsidR="00E929B6" w:rsidRPr="756626F3">
        <w:t>e</w:t>
      </w:r>
      <w:r w:rsidRPr="756626F3">
        <w:t xml:space="preserve"> safety and security</w:t>
      </w:r>
    </w:p>
    <w:p w14:paraId="50BE7749" w14:textId="33F712AF" w:rsidR="1F9A777B" w:rsidRDefault="5EDBFB66" w:rsidP="00381701">
      <w:r w:rsidRPr="00B768A1">
        <w:t>Enhancing wellbeing from a safety and security perspective seeks to foster a safe, stable and equitable society to prevent exposure to risk, discrimination and abuse.</w:t>
      </w:r>
      <w:hyperlink w:anchor="_ENREF_61" w:tooltip="S, 2012 #657" w:history="1">
        <w:r w:rsidR="002D6F18">
          <w:fldChar w:fldCharType="begin"/>
        </w:r>
        <w:r w:rsidR="002D6F18">
          <w:instrText xml:space="preserve"> ADDIN EN.CITE &lt;EndNote&gt;&lt;Cite&gt;&lt;Author&gt;S&lt;/Author&gt;&lt;Year&gt;2012&lt;/Year&gt;&lt;RecNum&gt;657&lt;/RecNum&gt;&lt;DisplayText&gt;&lt;style face="superscript"&gt;61&lt;/style&gt;&lt;/DisplayText&gt;&lt;record&gt;&lt;rec-number&gt;657&lt;/rec-number&gt;&lt;foreign-keys&gt;&lt;key app="EN" db-id="rsettzd2isasdweewww55s9lffasxav0d0ft" timestamp="1707862923" guid="92e154fb-b06a-4b6b-b78c-3c3ed48b0265"&gt;657&lt;/key&gt;&lt;/foreign-keys&gt;&lt;ref-type name="Web Page"&gt;12&lt;/ref-type&gt;&lt;contributors&gt;&lt;authors&gt;&lt;author&gt;Rowley S&lt;/author&gt;&lt;/authors&gt;&lt;/contributors&gt;&lt;titles&gt;&lt;title&gt;Housing Affordability, Housing Stress and Household Wellbeing in Australia&lt;/title&gt;&lt;/titles&gt;&lt;dates&gt;&lt;year&gt;2012&lt;/year&gt;&lt;/dates&gt;&lt;pub-location&gt;Melbourne&lt;/pub-location&gt;&lt;publisher&gt;Australian Housing and Urban Research Institute&lt;/publisher&gt;&lt;urls&gt;&lt;related-urls&gt;&lt;url&gt;https://apo.org.au/node/31055&lt;/url&gt;&lt;/related-urls&gt;&lt;/urls&gt;&lt;custom1&gt;2023&lt;/custom1&gt;&lt;custom2&gt;October 05&lt;/custom2&gt;&lt;/record&gt;&lt;/Cite&gt;&lt;/EndNote&gt;</w:instrText>
        </w:r>
        <w:r w:rsidR="002D6F18">
          <w:fldChar w:fldCharType="separate"/>
        </w:r>
        <w:r w:rsidR="002D6F18" w:rsidRPr="0082082D">
          <w:rPr>
            <w:noProof/>
            <w:vertAlign w:val="superscript"/>
          </w:rPr>
          <w:t>61</w:t>
        </w:r>
        <w:r w:rsidR="002D6F18">
          <w:fldChar w:fldCharType="end"/>
        </w:r>
      </w:hyperlink>
      <w:r w:rsidR="00A931DC">
        <w:t xml:space="preserve"> </w:t>
      </w:r>
      <w:r w:rsidR="00AF34FD">
        <w:t>From a suicide pr</w:t>
      </w:r>
      <w:r w:rsidR="00F15672">
        <w:t>evention perspective, t</w:t>
      </w:r>
      <w:r w:rsidR="7895D55D" w:rsidRPr="20F56C59">
        <w:t>his</w:t>
      </w:r>
      <w:r w:rsidR="00F15672">
        <w:t xml:space="preserve"> should particularly</w:t>
      </w:r>
      <w:r w:rsidR="7895D55D" w:rsidRPr="20F56C59">
        <w:t xml:space="preserve"> involve strengthening struc</w:t>
      </w:r>
      <w:r w:rsidR="6CD225D9" w:rsidRPr="20F56C59">
        <w:t>tures and initiatives that ensure that people</w:t>
      </w:r>
      <w:r w:rsidR="389D83CA" w:rsidRPr="20F56C59">
        <w:t xml:space="preserve"> are</w:t>
      </w:r>
      <w:r w:rsidRPr="00B768A1">
        <w:t xml:space="preserve"> afforded</w:t>
      </w:r>
      <w:r w:rsidR="00F15672">
        <w:t xml:space="preserve"> </w:t>
      </w:r>
      <w:r w:rsidR="118B7EC3">
        <w:t xml:space="preserve"> </w:t>
      </w:r>
      <w:r w:rsidR="00E864FA" w:rsidRPr="1CA550E0">
        <w:t>human rights in all aspects of life</w:t>
      </w:r>
      <w:r w:rsidR="007C1C58" w:rsidRPr="1CA550E0">
        <w:t xml:space="preserve"> (</w:t>
      </w:r>
      <w:r w:rsidR="00752C00" w:rsidRPr="1CA550E0">
        <w:t xml:space="preserve">action </w:t>
      </w:r>
      <w:r w:rsidR="1AA8C0AC" w:rsidRPr="5F0642ED">
        <w:t>k</w:t>
      </w:r>
      <w:r w:rsidR="75D0D08B" w:rsidRPr="5F0642ED">
        <w:t xml:space="preserve">ey </w:t>
      </w:r>
      <w:r w:rsidR="1AA8C0AC" w:rsidRPr="5F0642ED">
        <w:t>o</w:t>
      </w:r>
      <w:r w:rsidR="5275F980" w:rsidRPr="5F0642ED">
        <w:t>bjective (ko)</w:t>
      </w:r>
      <w:r w:rsidR="007C1C58" w:rsidRPr="5F0642ED">
        <w:t>1</w:t>
      </w:r>
      <w:r w:rsidR="007C1C58" w:rsidRPr="1CA550E0">
        <w:t>.1a)</w:t>
      </w:r>
      <w:r w:rsidR="00F15672">
        <w:t xml:space="preserve">, and experience </w:t>
      </w:r>
      <w:r w:rsidR="493B2F5C">
        <w:t xml:space="preserve">positive and </w:t>
      </w:r>
      <w:r w:rsidR="493B2F5C" w:rsidRPr="7E232F61">
        <w:rPr>
          <w:rStyle w:val="ref-iss"/>
        </w:rPr>
        <w:t>respectful</w:t>
      </w:r>
      <w:r w:rsidR="493B2F5C">
        <w:t xml:space="preserve"> interpersonal and intimate partner relationships</w:t>
      </w:r>
      <w:r w:rsidR="116B0DE0">
        <w:t xml:space="preserve"> (</w:t>
      </w:r>
      <w:r w:rsidR="4665652C">
        <w:t>action ko</w:t>
      </w:r>
      <w:r w:rsidR="116B0DE0">
        <w:t>1.1</w:t>
      </w:r>
      <w:r w:rsidR="499DCF8D">
        <w:t>b</w:t>
      </w:r>
      <w:r w:rsidR="116B0DE0">
        <w:t>)</w:t>
      </w:r>
      <w:r w:rsidR="493B2F5C">
        <w:t>.</w:t>
      </w:r>
    </w:p>
    <w:p w14:paraId="48C34F5D" w14:textId="1B4F0361" w:rsidR="00B24A2A" w:rsidRPr="00B768A1" w:rsidRDefault="00B24A2A" w:rsidP="00634A83">
      <w:r w:rsidRPr="756626F3">
        <w:t xml:space="preserve">The recommended actions to </w:t>
      </w:r>
      <w:r w:rsidR="5B0EFA77">
        <w:t xml:space="preserve">improve safety and security </w:t>
      </w:r>
      <w:r w:rsidRPr="756626F3">
        <w:t>are described in</w:t>
      </w:r>
      <w:r w:rsidR="00231B9C">
        <w:t xml:space="preserve"> </w:t>
      </w:r>
      <w:r w:rsidR="00231B9C" w:rsidRPr="00083CBE">
        <w:fldChar w:fldCharType="begin"/>
      </w:r>
      <w:r w:rsidR="00231B9C" w:rsidRPr="00083CBE">
        <w:instrText xml:space="preserve"> REF _Ref164869692 \h </w:instrText>
      </w:r>
      <w:r w:rsidR="00083CBE">
        <w:instrText xml:space="preserve"> \* MERGEFORMAT </w:instrText>
      </w:r>
      <w:r w:rsidR="00231B9C" w:rsidRPr="00083CBE">
        <w:fldChar w:fldCharType="separate"/>
      </w:r>
      <w:r w:rsidR="009F12B4" w:rsidRPr="00381701">
        <w:t xml:space="preserve">Table </w:t>
      </w:r>
      <w:r w:rsidR="009F12B4">
        <w:rPr>
          <w:noProof/>
        </w:rPr>
        <w:t>2</w:t>
      </w:r>
      <w:r w:rsidR="00231B9C" w:rsidRPr="00083CBE">
        <w:fldChar w:fldCharType="end"/>
      </w:r>
      <w:r w:rsidRPr="00083CBE">
        <w:t>.</w:t>
      </w:r>
    </w:p>
    <w:p w14:paraId="7D165B8B" w14:textId="7B269FC0" w:rsidR="0002408F" w:rsidRPr="00B768A1" w:rsidRDefault="00B31620" w:rsidP="00745B34">
      <w:pPr>
        <w:pStyle w:val="Caption"/>
      </w:pPr>
      <w:bookmarkStart w:id="38" w:name="_Ref162223085"/>
      <w:bookmarkStart w:id="39" w:name="_Ref164869692"/>
      <w:bookmarkStart w:id="40" w:name="_Ref162223082"/>
      <w:r w:rsidRPr="00381701">
        <w:t xml:space="preserve">Table </w:t>
      </w:r>
      <w:bookmarkEnd w:id="38"/>
      <w:r w:rsidR="002423CF">
        <w:fldChar w:fldCharType="begin"/>
      </w:r>
      <w:r w:rsidR="002423CF">
        <w:instrText xml:space="preserve"> SEQ Table \* ARABIC  \* MERGEFORMAT  \* MERGEFORMAT </w:instrText>
      </w:r>
      <w:r w:rsidR="002423CF">
        <w:fldChar w:fldCharType="separate"/>
      </w:r>
      <w:r w:rsidR="009F12B4">
        <w:rPr>
          <w:noProof/>
        </w:rPr>
        <w:t>2</w:t>
      </w:r>
      <w:r w:rsidR="002423CF">
        <w:fldChar w:fldCharType="end"/>
      </w:r>
      <w:bookmarkEnd w:id="39"/>
      <w:r w:rsidRPr="00381701">
        <w:t xml:space="preserve">: </w:t>
      </w:r>
      <w:r w:rsidR="003D2484" w:rsidRPr="00381701">
        <w:t>Recommended</w:t>
      </w:r>
      <w:r w:rsidR="003D2484" w:rsidRPr="00083CBE">
        <w:t xml:space="preserve"> a</w:t>
      </w:r>
      <w:r w:rsidR="003D2484">
        <w:t xml:space="preserve">ctions for </w:t>
      </w:r>
      <w:r w:rsidR="00D51EDB">
        <w:t>Prevention objective 1.1: Improve safety and security</w:t>
      </w:r>
      <w:bookmarkEnd w:id="40"/>
    </w:p>
    <w:tbl>
      <w:tblPr>
        <w:tblStyle w:val="TableGrid"/>
        <w:tblW w:w="5000" w:type="pct"/>
        <w:tblLook w:val="0420" w:firstRow="1" w:lastRow="0" w:firstColumn="0" w:lastColumn="0" w:noHBand="0" w:noVBand="1"/>
        <w:tblCaption w:val="Recommended actions for Prevention objective 1.1: Improve safety and security"/>
        <w:tblDescription w:val="Describes actions ko1.1a, ko1.1b and ko1.1c"/>
      </w:tblPr>
      <w:tblGrid>
        <w:gridCol w:w="988"/>
        <w:gridCol w:w="8073"/>
      </w:tblGrid>
      <w:tr w:rsidR="004F5B0E" w:rsidRPr="00224194" w14:paraId="035A84D0" w14:textId="77777777" w:rsidTr="7E232F61">
        <w:trPr>
          <w:cnfStyle w:val="100000000000" w:firstRow="1" w:lastRow="0" w:firstColumn="0" w:lastColumn="0" w:oddVBand="0" w:evenVBand="0" w:oddHBand="0" w:evenHBand="0" w:firstRowFirstColumn="0" w:firstRowLastColumn="0" w:lastRowFirstColumn="0" w:lastRowLastColumn="0"/>
          <w:tblHeader/>
        </w:trPr>
        <w:tc>
          <w:tcPr>
            <w:tcW w:w="54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48002"/>
          </w:tcPr>
          <w:p w14:paraId="34156CD6" w14:textId="74D3FB8E" w:rsidR="004F5B0E" w:rsidRPr="004F5B0E" w:rsidRDefault="004F5B0E" w:rsidP="004F5B0E">
            <w:pPr>
              <w:pStyle w:val="NMHCTableHeaderRow"/>
            </w:pPr>
            <w:r w:rsidRPr="004F5B0E">
              <w:t>Action</w:t>
            </w:r>
          </w:p>
        </w:tc>
        <w:tc>
          <w:tcPr>
            <w:tcW w:w="445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48002"/>
            <w:tcMar>
              <w:top w:w="28" w:type="dxa"/>
              <w:bottom w:w="28" w:type="dxa"/>
            </w:tcMar>
          </w:tcPr>
          <w:p w14:paraId="34FD1BF8" w14:textId="6B52F052" w:rsidR="004F5B0E" w:rsidRPr="004F5B0E" w:rsidRDefault="004F5B0E" w:rsidP="004F5B0E">
            <w:pPr>
              <w:pStyle w:val="NMHCTableHeaderRow"/>
            </w:pPr>
            <w:r w:rsidRPr="004F5B0E">
              <w:t>Description</w:t>
            </w:r>
          </w:p>
        </w:tc>
      </w:tr>
      <w:tr w:rsidR="004F5B0E" w:rsidRPr="00B768A1" w14:paraId="04CD6164" w14:textId="77777777" w:rsidTr="7E232F61">
        <w:tc>
          <w:tcPr>
            <w:tcW w:w="545" w:type="pct"/>
            <w:tcBorders>
              <w:top w:val="single" w:sz="4" w:space="0" w:color="FFFFFF" w:themeColor="background1"/>
            </w:tcBorders>
          </w:tcPr>
          <w:p w14:paraId="03A91D96" w14:textId="345CCAC2" w:rsidR="004F5B0E" w:rsidRPr="00B768A1" w:rsidRDefault="004F5B0E" w:rsidP="00634A83">
            <w:pPr>
              <w:rPr>
                <w:b/>
                <w:bCs/>
              </w:rPr>
            </w:pPr>
            <w:r w:rsidRPr="4623DBCA">
              <w:t>ko1.1a</w:t>
            </w:r>
          </w:p>
        </w:tc>
        <w:tc>
          <w:tcPr>
            <w:tcW w:w="4455" w:type="pct"/>
            <w:tcBorders>
              <w:top w:val="single" w:sz="4" w:space="0" w:color="FFFFFF" w:themeColor="background1"/>
            </w:tcBorders>
            <w:tcMar>
              <w:top w:w="28" w:type="dxa"/>
              <w:bottom w:w="28" w:type="dxa"/>
            </w:tcMar>
          </w:tcPr>
          <w:p w14:paraId="09E0B300" w14:textId="2B0BB61E" w:rsidR="004F5B0E" w:rsidRPr="00B768A1" w:rsidRDefault="004F5B0E" w:rsidP="00634A83">
            <w:pPr>
              <w:rPr>
                <w:b/>
                <w:bCs/>
              </w:rPr>
            </w:pPr>
            <w:r w:rsidRPr="00B768A1">
              <w:t>Ensure a human rights approach to suicide prevention policy and programs by strengthening the role of the Australian Human Rights Commission in reviewing and advising on suicide prevention.</w:t>
            </w:r>
          </w:p>
        </w:tc>
      </w:tr>
      <w:tr w:rsidR="004F5B0E" w:rsidRPr="00B768A1" w14:paraId="60F76795" w14:textId="77777777" w:rsidTr="7E232F61">
        <w:tc>
          <w:tcPr>
            <w:tcW w:w="545" w:type="pct"/>
          </w:tcPr>
          <w:p w14:paraId="2B96EAD4" w14:textId="575F5424" w:rsidR="004F5B0E" w:rsidRPr="00A70339" w:rsidRDefault="40C1E347" w:rsidP="00634A83">
            <w:r>
              <w:t>ko1.1</w:t>
            </w:r>
            <w:r w:rsidR="332919D3">
              <w:t>b</w:t>
            </w:r>
          </w:p>
        </w:tc>
        <w:tc>
          <w:tcPr>
            <w:tcW w:w="4455" w:type="pct"/>
            <w:tcMar>
              <w:top w:w="28" w:type="dxa"/>
              <w:bottom w:w="28" w:type="dxa"/>
            </w:tcMar>
          </w:tcPr>
          <w:p w14:paraId="57BB832F" w14:textId="721A818F" w:rsidR="004F5B0E" w:rsidRPr="00A70339" w:rsidRDefault="004F5B0E" w:rsidP="00634A83">
            <w:r w:rsidRPr="00A70339">
              <w:t>Implement Action 1 of the First Action Plan under the National Plan to End Violence against Women and Children 2022–2032 to:</w:t>
            </w:r>
          </w:p>
          <w:p w14:paraId="4FA47671" w14:textId="4DB92B70" w:rsidR="004F5B0E" w:rsidRPr="00A70339" w:rsidRDefault="004F5B0E" w:rsidP="00634A83">
            <w:pPr>
              <w:pStyle w:val="ListContinue"/>
            </w:pPr>
            <w:r w:rsidRPr="00A70339">
              <w:t>“Advance gender equality and address the drivers of all forms of gender-based violence, including through initiatives aimed to improve community attitudes and norms toward family, domestic, and sexual violence.”</w:t>
            </w:r>
          </w:p>
        </w:tc>
      </w:tr>
    </w:tbl>
    <w:p w14:paraId="79394B50" w14:textId="190804A8" w:rsidR="00C321DE" w:rsidRPr="00A60CE2" w:rsidRDefault="00A70339" w:rsidP="00A771EF">
      <w:pPr>
        <w:pStyle w:val="heading3prevention"/>
      </w:pPr>
      <w:r>
        <w:t>1</w:t>
      </w:r>
      <w:r w:rsidR="00C321DE" w:rsidRPr="00A60CE2">
        <w:t>.</w:t>
      </w:r>
      <w:r w:rsidR="00647AEC">
        <w:t>2</w:t>
      </w:r>
      <w:r w:rsidR="00C321DE" w:rsidRPr="00A60CE2">
        <w:t xml:space="preserve"> Address risks to personal safety</w:t>
      </w:r>
    </w:p>
    <w:p w14:paraId="260B3599" w14:textId="60F7E622" w:rsidR="00C321DE" w:rsidRDefault="23431EAC" w:rsidP="00634A83">
      <w:r>
        <w:t xml:space="preserve">A significant proportion of Australians encounter risks to personal safety that can lead to suicidal distress. Some of the </w:t>
      </w:r>
      <w:r w:rsidR="485AACF3">
        <w:t xml:space="preserve">risks and the </w:t>
      </w:r>
      <w:r>
        <w:t xml:space="preserve">impacts of these experiences are described in </w:t>
      </w:r>
      <w:r w:rsidR="00231B9C">
        <w:fldChar w:fldCharType="begin"/>
      </w:r>
      <w:r w:rsidR="00231B9C">
        <w:instrText xml:space="preserve"> REF _Ref164869308 \h </w:instrText>
      </w:r>
      <w:r w:rsidR="00231B9C">
        <w:fldChar w:fldCharType="separate"/>
      </w:r>
      <w:r w:rsidR="009F12B4">
        <w:t xml:space="preserve">Table </w:t>
      </w:r>
      <w:r w:rsidR="009F12B4">
        <w:rPr>
          <w:noProof/>
        </w:rPr>
        <w:t>3</w:t>
      </w:r>
      <w:r w:rsidR="00231B9C">
        <w:fldChar w:fldCharType="end"/>
      </w:r>
      <w:r>
        <w:t>.</w:t>
      </w:r>
    </w:p>
    <w:p w14:paraId="1713FA0A" w14:textId="22011A53" w:rsidR="00C321DE" w:rsidRDefault="00C321DE" w:rsidP="00745B34">
      <w:pPr>
        <w:pStyle w:val="Caption"/>
      </w:pPr>
      <w:bookmarkStart w:id="41" w:name="_Ref164869308"/>
      <w:r>
        <w:t xml:space="preserve">Table </w:t>
      </w:r>
      <w:bookmarkStart w:id="42" w:name="_Hlt164865626"/>
      <w:r w:rsidR="00414124">
        <w:fldChar w:fldCharType="begin"/>
      </w:r>
      <w:r w:rsidR="00414124">
        <w:instrText xml:space="preserve"> SEQ Table \* ARABIC  \* MERGEFORMAT </w:instrText>
      </w:r>
      <w:r w:rsidR="00414124">
        <w:fldChar w:fldCharType="separate"/>
      </w:r>
      <w:r w:rsidR="009F12B4">
        <w:rPr>
          <w:noProof/>
        </w:rPr>
        <w:t>3</w:t>
      </w:r>
      <w:r w:rsidR="00414124">
        <w:fldChar w:fldCharType="end"/>
      </w:r>
      <w:bookmarkEnd w:id="41"/>
      <w:bookmarkEnd w:id="42"/>
      <w:r>
        <w:t>: Risks to personal safety</w:t>
      </w:r>
    </w:p>
    <w:tbl>
      <w:tblPr>
        <w:tblStyle w:val="TableGrid"/>
        <w:tblW w:w="0" w:type="auto"/>
        <w:tblLook w:val="0420" w:firstRow="1" w:lastRow="0" w:firstColumn="0" w:lastColumn="0" w:noHBand="0" w:noVBand="1"/>
        <w:tblCaption w:val="Risks to personal safety"/>
        <w:tblDescription w:val="Lists risks to personal safety that can lead to suicidal distress, along with a description."/>
      </w:tblPr>
      <w:tblGrid>
        <w:gridCol w:w="1634"/>
        <w:gridCol w:w="7427"/>
      </w:tblGrid>
      <w:tr w:rsidR="00C321DE" w:rsidRPr="00E95561" w14:paraId="77ED9EDA" w14:textId="77777777" w:rsidTr="007C627A">
        <w:trPr>
          <w:cnfStyle w:val="100000000000" w:firstRow="1" w:lastRow="0" w:firstColumn="0" w:lastColumn="0" w:oddVBand="0" w:evenVBand="0" w:oddHBand="0" w:evenHBand="0" w:firstRowFirstColumn="0" w:firstRowLastColumn="0" w:lastRowFirstColumn="0" w:lastRowLastColumn="0"/>
          <w:trHeight w:val="300"/>
          <w:tblHeader/>
        </w:trPr>
        <w:tc>
          <w:tcPr>
            <w:tcW w:w="141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1C698" w:themeFill="background2" w:themeFillShade="BF"/>
          </w:tcPr>
          <w:p w14:paraId="746C01BC" w14:textId="77777777" w:rsidR="00C321DE" w:rsidRPr="00E95561" w:rsidRDefault="00C321DE" w:rsidP="004F5B0E">
            <w:pPr>
              <w:pStyle w:val="NMHCTableHeaderRow"/>
            </w:pPr>
            <w:r w:rsidRPr="00E95561">
              <w:t>Risk</w:t>
            </w:r>
          </w:p>
        </w:tc>
        <w:tc>
          <w:tcPr>
            <w:tcW w:w="764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1C698" w:themeFill="background2" w:themeFillShade="BF"/>
            <w:tcMar>
              <w:top w:w="28" w:type="dxa"/>
              <w:bottom w:w="28" w:type="dxa"/>
            </w:tcMar>
          </w:tcPr>
          <w:p w14:paraId="6E8B7AA9" w14:textId="77777777" w:rsidR="00C321DE" w:rsidRPr="00E95561" w:rsidRDefault="00C321DE" w:rsidP="004F5B0E">
            <w:pPr>
              <w:pStyle w:val="NMHCTableHeaderRow"/>
            </w:pPr>
            <w:r w:rsidRPr="00E95561">
              <w:t>Impact</w:t>
            </w:r>
          </w:p>
        </w:tc>
      </w:tr>
      <w:tr w:rsidR="00C321DE" w14:paraId="45C1172D" w14:textId="77777777" w:rsidTr="007C627A">
        <w:tc>
          <w:tcPr>
            <w:tcW w:w="1413" w:type="dxa"/>
            <w:tcBorders>
              <w:top w:val="single" w:sz="4" w:space="0" w:color="FFFFFF" w:themeColor="background1"/>
            </w:tcBorders>
          </w:tcPr>
          <w:p w14:paraId="71F3FBF7" w14:textId="77777777" w:rsidR="00C321DE" w:rsidRDefault="00C321DE" w:rsidP="00634A83">
            <w:r w:rsidRPr="00B768A1">
              <w:t>Child abuse and neglect</w:t>
            </w:r>
          </w:p>
        </w:tc>
        <w:tc>
          <w:tcPr>
            <w:tcW w:w="7648" w:type="dxa"/>
            <w:tcBorders>
              <w:top w:val="single" w:sz="4" w:space="0" w:color="FFFFFF" w:themeColor="background1"/>
            </w:tcBorders>
            <w:tcMar>
              <w:top w:w="28" w:type="dxa"/>
              <w:bottom w:w="28" w:type="dxa"/>
            </w:tcMar>
          </w:tcPr>
          <w:p w14:paraId="38162CCA" w14:textId="60C6B468" w:rsidR="00C321DE" w:rsidRDefault="7442539B" w:rsidP="48215A0F">
            <w:r w:rsidRPr="00B768A1">
              <w:t xml:space="preserve">Child abuse and neglect is the leading risk factor contributing to the number of years of life lost to suicide and self-inflicted injuries. </w:t>
            </w:r>
            <w:r w:rsidR="66623D38">
              <w:t>Childhood maltreatment has been found to account for 41% of suicide attempts.</w:t>
            </w:r>
            <w:hyperlink w:anchor="_ENREF_62" w:tooltip="L, 2024 #993" w:history="1">
              <w:r w:rsidR="002D6F18">
                <w:fldChar w:fldCharType="begin"/>
              </w:r>
              <w:r w:rsidR="002D6F18">
                <w:instrText xml:space="preserve"> ADDIN EN.CITE &lt;EndNote&gt;&lt;Cite&gt;&lt;Author&gt;L&lt;/Author&gt;&lt;Year&gt;2024&lt;/Year&gt;&lt;RecNum&gt;993&lt;/RecNum&gt;&lt;DisplayText&gt;&lt;style face="superscript"&gt;62&lt;/style&gt;&lt;/DisplayText&gt;&lt;record&gt;&lt;rec-number&gt;993&lt;/rec-number&gt;&lt;foreign-keys&gt;&lt;key app="EN" db-id="rsettzd2isasdweewww55s9lffasxav0d0ft" timestamp="1720401783" guid="907283fe-1935-4fb4-bc46-1303279f8ea5"&gt;993&lt;/key&gt;&lt;/foreign-keys&gt;&lt;ref-type name="Journal Article"&gt;17&lt;/ref-type&gt;&lt;contributors&gt;&lt;authors&gt;&lt;author&gt;Grummitt L&lt;/author&gt;&lt;author&gt;Baldwin JR&lt;/author&gt;&lt;author&gt;Lafoa’i J&lt;/author&gt;&lt;author&gt;Keyes KM&lt;/author&gt;&lt;author&gt;Barrett EL&lt;/author&gt;&lt;/authors&gt;&lt;/contributors&gt;&lt;titles&gt;&lt;title&gt;Burden of Mental Disorders and Suicide Attributable to Childhood Maltreatment&lt;/title&gt;&lt;secondary-title&gt;JAMA Psychiatry&lt;/secondary-title&gt;&lt;/titles&gt;&lt;periodical&gt;&lt;full-title&gt;JAMA Psychiatry&lt;/full-title&gt;&lt;/periodical&gt;&lt;dates&gt;&lt;year&gt;2024&lt;/year&gt;&lt;/dates&gt;&lt;isbn&gt;2168-622X&lt;/isbn&gt;&lt;urls&gt;&lt;related-urls&gt;&lt;url&gt;https://doi.org/10.1001/jamapsychiatry.2024.0804&lt;/url&gt;&lt;/related-urls&gt;&lt;/urls&gt;&lt;electronic-resource-num&gt;10.1001/jamapsychiatry.2024.0804&lt;/electronic-resource-num&gt;&lt;access-date&gt;7/8/2024&lt;/access-date&gt;&lt;/record&gt;&lt;/Cite&gt;&lt;/EndNote&gt;</w:instrText>
              </w:r>
              <w:r w:rsidR="002D6F18">
                <w:fldChar w:fldCharType="separate"/>
              </w:r>
              <w:r w:rsidR="002D6F18" w:rsidRPr="0082082D">
                <w:rPr>
                  <w:noProof/>
                  <w:vertAlign w:val="superscript"/>
                </w:rPr>
                <w:t>62</w:t>
              </w:r>
              <w:r w:rsidR="002D6F18">
                <w:fldChar w:fldCharType="end"/>
              </w:r>
            </w:hyperlink>
            <w:r w:rsidR="00A931DC">
              <w:t xml:space="preserve"> </w:t>
            </w:r>
            <w:r w:rsidRPr="00B768A1">
              <w:t>It is associated with 24% of years lost in males and 33% of years lost in females.</w:t>
            </w:r>
            <w:hyperlink w:anchor="_ENREF_49" w:tooltip="Welfare, 2021 #372" w:history="1">
              <w:r w:rsidR="002D6F18">
                <w:fldChar w:fldCharType="begin"/>
              </w:r>
              <w:r w:rsidR="002D6F18">
                <w:instrText xml:space="preserve"> ADDIN EN.CITE &lt;EndNote&gt;&lt;Cite&gt;&lt;Author&gt;Welfare&lt;/Author&gt;&lt;Year&gt;2021&lt;/Year&gt;&lt;RecNum&gt;372&lt;/RecNum&gt;&lt;DisplayText&gt;&lt;style face="superscript"&gt;49&lt;/style&gt;&lt;/DisplayText&gt;&lt;record&gt;&lt;rec-number&gt;372&lt;/rec-number&gt;&lt;foreign-keys&gt;&lt;key app="EN" db-id="rsettzd2isasdweewww55s9lffasxav0d0ft" timestamp="1700699472" guid="97bd2e66-e49d-4bc8-a339-74fea0864afd"&gt;372&lt;/key&gt;&lt;/foreign-keys&gt;&lt;ref-type name="Web Page"&gt;12&lt;/ref-type&gt;&lt;contributors&gt;&lt;authors&gt;&lt;author&gt;Australian Institute of Health and Welfare&lt;/author&gt;&lt;/authors&gt;&lt;/contributors&gt;&lt;titles&gt;&lt;title&gt;The Health Impact of Suicide and Self-Inflicted Injuries in Australia, 2019&lt;/title&gt;&lt;/titles&gt;&lt;dates&gt;&lt;year&gt;2021&lt;/year&gt;&lt;/dates&gt;&lt;publisher&gt;AIHW, Australian Government&lt;/publisher&gt;&lt;work-type&gt;Internet&lt;/work-type&gt;&lt;urls&gt;&lt;related-urls&gt;&lt;url&gt;https://www.aihw.gov.au/reports/burden-of-disease/health-impact-suicide-self-inflicted-injuries-2019/contents/about&lt;/url&gt;&lt;/related-urls&gt;&lt;/urls&gt;&lt;custom1&gt;2023&lt;/custom1&gt;&lt;custom2&gt;October 24&lt;/custom2&gt;&lt;/record&gt;&lt;/Cite&gt;&lt;/EndNote&gt;</w:instrText>
              </w:r>
              <w:r w:rsidR="002D6F18">
                <w:fldChar w:fldCharType="separate"/>
              </w:r>
              <w:r w:rsidR="002D6F18" w:rsidRPr="0082082D">
                <w:rPr>
                  <w:noProof/>
                  <w:vertAlign w:val="superscript"/>
                </w:rPr>
                <w:t>49</w:t>
              </w:r>
              <w:r w:rsidR="002D6F18">
                <w:fldChar w:fldCharType="end"/>
              </w:r>
            </w:hyperlink>
            <w:r w:rsidR="00021EA8">
              <w:t xml:space="preserve"> </w:t>
            </w:r>
            <w:r w:rsidRPr="00B768A1">
              <w:t>People who have experienced a form of childhood maltreatment are 4.6</w:t>
            </w:r>
            <w:r>
              <w:t> </w:t>
            </w:r>
            <w:r w:rsidRPr="00B768A1">
              <w:t>times more likely to have attempted suicide in the past 12</w:t>
            </w:r>
            <w:r>
              <w:t> </w:t>
            </w:r>
            <w:r w:rsidRPr="00B768A1">
              <w:t>months.</w:t>
            </w:r>
            <w:hyperlink w:anchor="_ENREF_63" w:tooltip="D, 2023 #580" w:history="1">
              <w:r w:rsidR="002D6F18">
                <w:fldChar w:fldCharType="begin"/>
              </w:r>
              <w:r w:rsidR="002D6F18">
                <w:instrText xml:space="preserve"> ADDIN EN.CITE &lt;EndNote&gt;&lt;Cite&gt;&lt;Author&gt;D&lt;/Author&gt;&lt;Year&gt;2023&lt;/Year&gt;&lt;RecNum&gt;580&lt;/RecNum&gt;&lt;DisplayText&gt;&lt;style face="superscript"&gt;63&lt;/style&gt;&lt;/DisplayText&gt;&lt;record&gt;&lt;rec-number&gt;580&lt;/rec-number&gt;&lt;foreign-keys&gt;&lt;key app="EN" db-id="rsettzd2isasdweewww55s9lffasxav0d0ft" timestamp="1707862922" guid="876cda44-c3d0-4720-81d8-058dcd36192f"&gt;580&lt;/key&gt;&lt;/foreign-keys&gt;&lt;ref-type name="Web Page"&gt;12&lt;/ref-type&gt;&lt;contributors&gt;&lt;authors&gt;&lt;author&gt;Haslam D&lt;/author&gt;&lt;author&gt;Mathews B&lt;/author&gt;&lt;author&gt;Pacella R&lt;/author&gt;&lt;author&gt;Scott JG&lt;/author&gt;&lt;author&gt;Finkelhor D&lt;/author&gt;&lt;author&gt;Higgins DJ&lt;/author&gt;&lt;author&gt;Meinck F&lt;/author&gt;&lt;author&gt;Erskine HE&lt;/author&gt;&lt;author&gt;Thomas HJ&lt;/author&gt;&lt;author&gt;Lawrence D&lt;/author&gt;&lt;author&gt;Malacova E&lt;/author&gt;&lt;/authors&gt;&lt;/contributors&gt;&lt;titles&gt;&lt;title&gt;Australian Child Maltreatment Study: The Prevalence and Impact of Child Maltreatment in Australia - Findings from the Australian Child Maltreatment Study - 2023 - Brief Report&lt;/title&gt;&lt;/titles&gt;&lt;dates&gt;&lt;year&gt;2023&lt;/year&gt;&lt;/dates&gt;&lt;publisher&gt;Queensland University of Technology&lt;/publisher&gt;&lt;work-type&gt;Internet&lt;/work-type&gt;&lt;urls&gt;&lt;related-urls&gt;&lt;url&gt;http://www.acms.au/wp-content/uploads/2023/04/3846.1_ACMS_A4Report_C1_Digital-Near-final.pdf&lt;/url&gt;&lt;/related-urls&gt;&lt;/urls&gt;&lt;custom1&gt;2023&lt;/custom1&gt;&lt;custom2&gt;October 26&lt;/custom2&gt;&lt;/record&gt;&lt;/Cite&gt;&lt;/EndNote&gt;</w:instrText>
              </w:r>
              <w:r w:rsidR="002D6F18">
                <w:fldChar w:fldCharType="separate"/>
              </w:r>
              <w:r w:rsidR="002D6F18" w:rsidRPr="0082082D">
                <w:rPr>
                  <w:noProof/>
                  <w:vertAlign w:val="superscript"/>
                </w:rPr>
                <w:t>63</w:t>
              </w:r>
              <w:r w:rsidR="002D6F18">
                <w:fldChar w:fldCharType="end"/>
              </w:r>
            </w:hyperlink>
            <w:r w:rsidRPr="00B768A1">
              <w:t xml:space="preserve"> More than 6</w:t>
            </w:r>
            <w:r>
              <w:t> </w:t>
            </w:r>
            <w:r w:rsidRPr="00B768A1">
              <w:t>in 10</w:t>
            </w:r>
            <w:r>
              <w:t> </w:t>
            </w:r>
            <w:r w:rsidRPr="00B768A1">
              <w:t>Australians have experienced childhood maltreatment, such as physical, sexual or emotional abuse, exposure to family violence, or neglect.</w:t>
            </w:r>
            <w:hyperlink w:anchor="_ENREF_63" w:tooltip="D, 2023 #580" w:history="1">
              <w:r w:rsidR="002D6F18">
                <w:fldChar w:fldCharType="begin"/>
              </w:r>
              <w:r w:rsidR="002D6F18">
                <w:instrText xml:space="preserve"> ADDIN EN.CITE &lt;EndNote&gt;&lt;Cite&gt;&lt;Author&gt;D&lt;/Author&gt;&lt;Year&gt;2023&lt;/Year&gt;&lt;RecNum&gt;580&lt;/RecNum&gt;&lt;DisplayText&gt;&lt;style face="superscript"&gt;63&lt;/style&gt;&lt;/DisplayText&gt;&lt;record&gt;&lt;rec-number&gt;580&lt;/rec-number&gt;&lt;foreign-keys&gt;&lt;key app="EN" db-id="rsettzd2isasdweewww55s9lffasxav0d0ft" timestamp="1707862922" guid="876cda44-c3d0-4720-81d8-058dcd36192f"&gt;580&lt;/key&gt;&lt;/foreign-keys&gt;&lt;ref-type name="Web Page"&gt;12&lt;/ref-type&gt;&lt;contributors&gt;&lt;authors&gt;&lt;author&gt;Haslam D&lt;/author&gt;&lt;author&gt;Mathews B&lt;/author&gt;&lt;author&gt;Pacella R&lt;/author&gt;&lt;author&gt;Scott JG&lt;/author&gt;&lt;author&gt;Finkelhor D&lt;/author&gt;&lt;author&gt;Higgins DJ&lt;/author&gt;&lt;author&gt;Meinck F&lt;/author&gt;&lt;author&gt;Erskine HE&lt;/author&gt;&lt;author&gt;Thomas HJ&lt;/author&gt;&lt;author&gt;Lawrence D&lt;/author&gt;&lt;author&gt;Malacova E&lt;/author&gt;&lt;/authors&gt;&lt;/contributors&gt;&lt;titles&gt;&lt;title&gt;Australian Child Maltreatment Study: The Prevalence and Impact of Child Maltreatment in Australia - Findings from the Australian Child Maltreatment Study - 2023 - Brief Report&lt;/title&gt;&lt;/titles&gt;&lt;dates&gt;&lt;year&gt;2023&lt;/year&gt;&lt;/dates&gt;&lt;publisher&gt;Queensland University of Technology&lt;/publisher&gt;&lt;work-type&gt;Internet&lt;/work-type&gt;&lt;urls&gt;&lt;related-urls&gt;&lt;url&gt;http://www.acms.au/wp-content/uploads/2023/04/3846.1_ACMS_A4Report_C1_Digital-Near-final.pdf&lt;/url&gt;&lt;/related-urls&gt;&lt;/urls&gt;&lt;custom1&gt;2023&lt;/custom1&gt;&lt;custom2&gt;October 26&lt;/custom2&gt;&lt;/record&gt;&lt;/Cite&gt;&lt;/EndNote&gt;</w:instrText>
              </w:r>
              <w:r w:rsidR="002D6F18">
                <w:fldChar w:fldCharType="separate"/>
              </w:r>
              <w:r w:rsidR="002D6F18" w:rsidRPr="0082082D">
                <w:rPr>
                  <w:noProof/>
                  <w:vertAlign w:val="superscript"/>
                </w:rPr>
                <w:t>63</w:t>
              </w:r>
              <w:r w:rsidR="002D6F18">
                <w:fldChar w:fldCharType="end"/>
              </w:r>
            </w:hyperlink>
          </w:p>
        </w:tc>
      </w:tr>
      <w:tr w:rsidR="00C321DE" w14:paraId="7A1960C3" w14:textId="77777777" w:rsidTr="007C627A">
        <w:tc>
          <w:tcPr>
            <w:tcW w:w="1413" w:type="dxa"/>
          </w:tcPr>
          <w:p w14:paraId="1BA2F25D" w14:textId="77777777" w:rsidR="00C321DE" w:rsidRPr="00B768A1" w:rsidRDefault="00C321DE" w:rsidP="00634A83">
            <w:r w:rsidRPr="00B768A1">
              <w:t>Out-of-home care</w:t>
            </w:r>
          </w:p>
        </w:tc>
        <w:tc>
          <w:tcPr>
            <w:tcW w:w="7648" w:type="dxa"/>
            <w:tcMar>
              <w:top w:w="28" w:type="dxa"/>
              <w:bottom w:w="28" w:type="dxa"/>
            </w:tcMar>
          </w:tcPr>
          <w:p w14:paraId="5538AB88" w14:textId="30CB75D3" w:rsidR="00C321DE" w:rsidRPr="00B768A1" w:rsidRDefault="7442539B" w:rsidP="00634A83">
            <w:r w:rsidRPr="00B768A1">
              <w:t>Children and young people in out-of-home care (foster and residential care) are more likely to be exposed to risk factors for suicidal thoughts and behaviours. These children and young people typically experience complex trauma associated with their experiences of abuse and neglect prior to entering care and may be at risk of further harm while in care.</w:t>
            </w:r>
            <w:hyperlink w:anchor="_ENREF_64" w:tooltip="S, 2023 #581" w:history="1">
              <w:r w:rsidR="002D6F18" w:rsidRPr="00021EA8">
                <w:rPr>
                  <w:vertAlign w:val="superscript"/>
                </w:rPr>
                <w:fldChar w:fldCharType="begin"/>
              </w:r>
              <w:r w:rsidR="002D6F18">
                <w:rPr>
                  <w:vertAlign w:val="superscript"/>
                </w:rPr>
                <w:instrText xml:space="preserve"> ADDIN EN.CITE &lt;EndNote&gt;&lt;Cite&gt;&lt;Author&gt;S&lt;/Author&gt;&lt;Year&gt;2023&lt;/Year&gt;&lt;RecNum&gt;581&lt;/RecNum&gt;&lt;DisplayText&gt;&lt;style face="superscript"&gt;64&lt;/style&gt;&lt;/DisplayText&gt;&lt;record&gt;&lt;rec-number&gt;581&lt;/rec-number&gt;&lt;foreign-keys&gt;&lt;key app="EN" db-id="rsettzd2isasdweewww55s9lffasxav0d0ft" timestamp="1707862922" guid="f691bb91-2e1d-4d9f-bd5b-1afd72588245"&gt;581&lt;/key&gt;&lt;/foreign-keys&gt;&lt;ref-type name="Web Page"&gt;12&lt;/ref-type&gt;&lt;contributors&gt;&lt;authors&gt;&lt;author&gt;Trew S&lt;/author&gt;&lt;author&gt;Russell D&lt;/author&gt;&lt;author&gt;Higgins D&lt;/author&gt;&lt;/authors&gt;&lt;/contributors&gt;&lt;titles&gt;&lt;title&gt;Supportive Practices for Young People in Out-of-Home Care who are at Risk of Suicidality&lt;/title&gt;&lt;/titles&gt;&lt;dates&gt;&lt;year&gt;2023&lt;/year&gt;&lt;/dates&gt;&lt;publisher&gt;Australian Institute of Family Studies&lt;/publisher&gt;&lt;work-type&gt;Internet&lt;/work-type&gt;&lt;urls&gt;&lt;related-urls&gt;&lt;url&gt;https://aifs.gov.au/resources/short-articles/supportive-practices-young-people-out-home-care-who-are-risk-suicidality&lt;/url&gt;&lt;/related-urls&gt;&lt;/urls&gt;&lt;custom1&gt;2023&lt;/custom1&gt;&lt;custom2&gt;October 26&lt;/custom2&gt;&lt;/record&gt;&lt;/Cite&gt;&lt;/EndNote&gt;</w:instrText>
              </w:r>
              <w:r w:rsidR="002D6F18" w:rsidRPr="00021EA8">
                <w:rPr>
                  <w:vertAlign w:val="superscript"/>
                </w:rPr>
                <w:fldChar w:fldCharType="separate"/>
              </w:r>
              <w:r w:rsidR="002D6F18">
                <w:rPr>
                  <w:noProof/>
                  <w:vertAlign w:val="superscript"/>
                </w:rPr>
                <w:t>64</w:t>
              </w:r>
              <w:r w:rsidR="002D6F18" w:rsidRPr="00021EA8">
                <w:rPr>
                  <w:vertAlign w:val="superscript"/>
                </w:rPr>
                <w:fldChar w:fldCharType="end"/>
              </w:r>
            </w:hyperlink>
            <w:r w:rsidR="00021EA8" w:rsidRPr="00021EA8">
              <w:rPr>
                <w:vertAlign w:val="superscript"/>
              </w:rPr>
              <w:t>,</w:t>
            </w:r>
            <w:hyperlink w:anchor="_ENREF_65" w:tooltip="R, 2017 #157" w:history="1">
              <w:r w:rsidR="002D6F18" w:rsidRPr="00021EA8">
                <w:rPr>
                  <w:vertAlign w:val="superscript"/>
                </w:rPr>
                <w:fldChar w:fldCharType="begin"/>
              </w:r>
              <w:r w:rsidR="002D6F18">
                <w:rPr>
                  <w:vertAlign w:val="superscript"/>
                </w:rPr>
                <w:instrText xml:space="preserve"> ADDIN EN.CITE &lt;EndNote&gt;&lt;Cite&gt;&lt;Author&gt;R&lt;/Author&gt;&lt;Year&gt;2017&lt;/Year&gt;&lt;RecNum&gt;157&lt;/RecNum&gt;&lt;DisplayText&gt;&lt;style face="superscript"&gt;65&lt;/style&gt;&lt;/DisplayText&gt;&lt;record&gt;&lt;rec-number&gt;157&lt;/rec-number&gt;&lt;foreign-keys&gt;&lt;key app="EN" db-id="rsettzd2isasdweewww55s9lffasxav0d0ft" timestamp="1700699468" guid="5b49abde-e9c3-4fc5-a7d0-15fb484a96bb"&gt;157&lt;/key&gt;&lt;/foreign-keys&gt;&lt;ref-type name="Journal Article"&gt;17&lt;/ref-type&gt;&lt;contributors&gt;&lt;authors&gt;&lt;author&gt;Evans R&lt;/author&gt;&lt;author&gt;White J&lt;/author&gt;&lt;author&gt;Turley R&lt;/author&gt;&lt;author&gt;Slater T&lt;/author&gt;&lt;author&gt;Morgan H&lt;/author&gt;&lt;author&gt;Strange H&lt;/author&gt;&lt;author&gt;Scourfield J&lt;/author&gt;&lt;/authors&gt;&lt;/contributors&gt;&lt;titles&gt;&lt;title&gt;Comparison of Suicidal Ideation, Suicide Attempt and Suicide in Children and Young People in Care and Non-Care Populations: Systematic Review and Meta-Analysis of Prevalence&lt;/title&gt;&lt;secondary-title&gt;Children and Youth Services Review&lt;/secondary-title&gt;&lt;/titles&gt;&lt;periodical&gt;&lt;full-title&gt;Children and Youth Services Review&lt;/full-title&gt;&lt;/periodical&gt;&lt;dates&gt;&lt;year&gt;2017&lt;/year&gt;&lt;/dates&gt;&lt;urls&gt;&lt;/urls&gt;&lt;electronic-resource-num&gt;DOI: 10.1016/j.childyouth.2017.09.020&lt;/electronic-resource-num&gt;&lt;/record&gt;&lt;/Cite&gt;&lt;/EndNote&gt;</w:instrText>
              </w:r>
              <w:r w:rsidR="002D6F18" w:rsidRPr="00021EA8">
                <w:rPr>
                  <w:vertAlign w:val="superscript"/>
                </w:rPr>
                <w:fldChar w:fldCharType="separate"/>
              </w:r>
              <w:r w:rsidR="002D6F18">
                <w:rPr>
                  <w:noProof/>
                  <w:vertAlign w:val="superscript"/>
                </w:rPr>
                <w:t>65</w:t>
              </w:r>
              <w:r w:rsidR="002D6F18" w:rsidRPr="00021EA8">
                <w:rPr>
                  <w:vertAlign w:val="superscript"/>
                </w:rPr>
                <w:fldChar w:fldCharType="end"/>
              </w:r>
            </w:hyperlink>
            <w:r w:rsidRPr="00B768A1">
              <w:t xml:space="preserve"> </w:t>
            </w:r>
          </w:p>
        </w:tc>
      </w:tr>
      <w:tr w:rsidR="00C321DE" w14:paraId="7C0C5857" w14:textId="77777777" w:rsidTr="007C627A">
        <w:tc>
          <w:tcPr>
            <w:tcW w:w="1413" w:type="dxa"/>
          </w:tcPr>
          <w:p w14:paraId="3AA2094F" w14:textId="77777777" w:rsidR="00C321DE" w:rsidRPr="00B768A1" w:rsidRDefault="00C321DE" w:rsidP="00634A83">
            <w:r w:rsidRPr="00B768A1">
              <w:t>Family, domestic and sexual violence</w:t>
            </w:r>
          </w:p>
        </w:tc>
        <w:tc>
          <w:tcPr>
            <w:tcW w:w="7648" w:type="dxa"/>
            <w:tcMar>
              <w:top w:w="28" w:type="dxa"/>
              <w:bottom w:w="28" w:type="dxa"/>
            </w:tcMar>
          </w:tcPr>
          <w:p w14:paraId="754BE7E6" w14:textId="73AC3C0E" w:rsidR="00C321DE" w:rsidRPr="00B768A1" w:rsidRDefault="7442539B" w:rsidP="00634A83">
            <w:r w:rsidRPr="00B768A1">
              <w:t>People hospitalised due to family and domestic violence are twice as likely to die by suicide compared with people hospitalised for other reasons.</w:t>
            </w:r>
            <w:hyperlink w:anchor="_ENREF_66" w:tooltip="Welfare, 2021 #587" w:history="1">
              <w:r w:rsidR="002D6F18">
                <w:fldChar w:fldCharType="begin"/>
              </w:r>
              <w:r w:rsidR="002D6F18">
                <w:instrText xml:space="preserve"> ADDIN EN.CITE &lt;EndNote&gt;&lt;Cite&gt;&lt;Author&gt;Welfare&lt;/Author&gt;&lt;Year&gt;2021&lt;/Year&gt;&lt;RecNum&gt;587&lt;/RecNum&gt;&lt;DisplayText&gt;&lt;style face="superscript"&gt;66&lt;/style&gt;&lt;/DisplayText&gt;&lt;record&gt;&lt;rec-number&gt;587&lt;/rec-number&gt;&lt;foreign-keys&gt;&lt;key app="EN" db-id="rsettzd2isasdweewww55s9lffasxav0d0ft" timestamp="1707862922" guid="91e934d8-622c-4cb0-906b-3a5b573eef21"&gt;587&lt;/key&gt;&lt;/foreign-keys&gt;&lt;ref-type name="Web Page"&gt;12&lt;/ref-type&gt;&lt;contributors&gt;&lt;authors&gt;&lt;author&gt;Australian Institute of Health and Welfare&lt;/author&gt;&lt;/authors&gt;&lt;/contributors&gt;&lt;titles&gt;&lt;title&gt;Examination of Hospital Stays due to Family and Domestic Violence 2010-11 to 2018-19&lt;/title&gt;&lt;/titles&gt;&lt;dates&gt;&lt;year&gt;2021&lt;/year&gt;&lt;/dates&gt;&lt;publisher&gt;AIHW&lt;/publisher&gt;&lt;work-type&gt;Internet&lt;/work-type&gt;&lt;urls&gt;&lt;related-urls&gt;&lt;url&gt;https://www.aihw.gov.au/getmedia/ce7f01c2-1979-4be5-b373-f65f1c9e4134/aihw-fdv-9.pdf.aspx&lt;/url&gt;&lt;/related-urls&gt;&lt;/urls&gt;&lt;custom1&gt;2023&lt;/custom1&gt;&lt;custom2&gt;October 30&lt;/custom2&gt;&lt;/record&gt;&lt;/Cite&gt;&lt;/EndNote&gt;</w:instrText>
              </w:r>
              <w:r w:rsidR="002D6F18">
                <w:fldChar w:fldCharType="separate"/>
              </w:r>
              <w:r w:rsidR="002D6F18" w:rsidRPr="0082082D">
                <w:rPr>
                  <w:noProof/>
                  <w:vertAlign w:val="superscript"/>
                </w:rPr>
                <w:t>66</w:t>
              </w:r>
              <w:r w:rsidR="002D6F18">
                <w:fldChar w:fldCharType="end"/>
              </w:r>
            </w:hyperlink>
            <w:r w:rsidRPr="00B768A1">
              <w:t xml:space="preserve"> One in four women has experienced violence, emotional abuse or economic abuse by a cohabiting partner since the age of 15, and 1</w:t>
            </w:r>
            <w:r>
              <w:t> </w:t>
            </w:r>
            <w:r w:rsidRPr="00B768A1">
              <w:t>in 5</w:t>
            </w:r>
            <w:r>
              <w:t> </w:t>
            </w:r>
            <w:r w:rsidRPr="00B768A1">
              <w:t>women has experienced sexual violence since the age of 15.</w:t>
            </w:r>
            <w:hyperlink w:anchor="_ENREF_67" w:tooltip="Statistics, 2023 #562" w:history="1">
              <w:r w:rsidR="002D6F18">
                <w:fldChar w:fldCharType="begin"/>
              </w:r>
              <w:r w:rsidR="002D6F18">
                <w:instrText xml:space="preserve"> ADDIN EN.CITE &lt;EndNote&gt;&lt;Cite&gt;&lt;Author&gt;Statistics&lt;/Author&gt;&lt;Year&gt;2023&lt;/Year&gt;&lt;RecNum&gt;562&lt;/RecNum&gt;&lt;DisplayText&gt;&lt;style face="superscript"&gt;67&lt;/style&gt;&lt;/DisplayText&gt;&lt;record&gt;&lt;rec-number&gt;562&lt;/rec-number&gt;&lt;foreign-keys&gt;&lt;key app="EN" db-id="rsettzd2isasdweewww55s9lffasxav0d0ft" timestamp="1707862922" guid="3e3eab78-c1be-4aa2-a0da-54e930a32b90"&gt;562&lt;/key&gt;&lt;/foreign-keys&gt;&lt;ref-type name="Web Page"&gt;12&lt;/ref-type&gt;&lt;contributors&gt;&lt;authors&gt;&lt;author&gt;Australian Bureau of Statistics&lt;/author&gt;&lt;/authors&gt;&lt;/contributors&gt;&lt;titles&gt;&lt;title&gt;Personal Safety, Australia&lt;/title&gt;&lt;/titles&gt;&lt;dates&gt;&lt;year&gt;2023&lt;/year&gt;&lt;/dates&gt;&lt;publisher&gt;ABS&lt;/publisher&gt;&lt;work-type&gt;Internet&lt;/work-type&gt;&lt;urls&gt;&lt;related-urls&gt;&lt;url&gt;https://www.abs.gov.au/statistics/people/crime-and-justice/personal-safety-australia/latest-release&lt;/url&gt;&lt;/related-urls&gt;&lt;/urls&gt;&lt;custom1&gt;2023&lt;/custom1&gt;&lt;custom2&gt;October 24&lt;/custom2&gt;&lt;/record&gt;&lt;/Cite&gt;&lt;/EndNote&gt;</w:instrText>
              </w:r>
              <w:r w:rsidR="002D6F18">
                <w:fldChar w:fldCharType="separate"/>
              </w:r>
              <w:r w:rsidR="002D6F18" w:rsidRPr="0082082D">
                <w:rPr>
                  <w:noProof/>
                  <w:vertAlign w:val="superscript"/>
                </w:rPr>
                <w:t>67</w:t>
              </w:r>
              <w:r w:rsidR="002D6F18">
                <w:fldChar w:fldCharType="end"/>
              </w:r>
            </w:hyperlink>
          </w:p>
        </w:tc>
      </w:tr>
      <w:tr w:rsidR="00C321DE" w14:paraId="48C88241" w14:textId="77777777" w:rsidTr="007C627A">
        <w:tc>
          <w:tcPr>
            <w:tcW w:w="1413" w:type="dxa"/>
          </w:tcPr>
          <w:p w14:paraId="00A5F021" w14:textId="77777777" w:rsidR="00C321DE" w:rsidRPr="00B768A1" w:rsidRDefault="00C321DE" w:rsidP="00634A83">
            <w:r w:rsidRPr="00B768A1">
              <w:t>Discrimination, racism and abuse</w:t>
            </w:r>
          </w:p>
        </w:tc>
        <w:tc>
          <w:tcPr>
            <w:tcW w:w="7648" w:type="dxa"/>
            <w:tcMar>
              <w:top w:w="28" w:type="dxa"/>
              <w:bottom w:w="28" w:type="dxa"/>
            </w:tcMar>
          </w:tcPr>
          <w:p w14:paraId="78F9D277" w14:textId="1E9A96F8" w:rsidR="00C321DE" w:rsidRPr="00B768A1" w:rsidRDefault="7442539B" w:rsidP="00634A83">
            <w:r w:rsidRPr="00B768A1">
              <w:t>More than 1</w:t>
            </w:r>
            <w:r>
              <w:t> </w:t>
            </w:r>
            <w:r w:rsidRPr="00B768A1">
              <w:t>in 10</w:t>
            </w:r>
            <w:r>
              <w:t> </w:t>
            </w:r>
            <w:r w:rsidRPr="00B768A1">
              <w:t>Australians (13%) have experienced a form of discrimination in the past 12</w:t>
            </w:r>
            <w:r>
              <w:t> </w:t>
            </w:r>
            <w:r w:rsidRPr="00B768A1">
              <w:t>months.</w:t>
            </w:r>
            <w:hyperlink w:anchor="_ENREF_68" w:tooltip="Statistics, 2021 #532" w:history="1">
              <w:r w:rsidR="002D6F18">
                <w:fldChar w:fldCharType="begin"/>
              </w:r>
              <w:r w:rsidR="002D6F18">
                <w:instrText xml:space="preserve"> ADDIN EN.CITE &lt;EndNote&gt;&lt;Cite&gt;&lt;Author&gt;Statistics&lt;/Author&gt;&lt;Year&gt;2021&lt;/Year&gt;&lt;RecNum&gt;532&lt;/RecNum&gt;&lt;DisplayText&gt;&lt;style face="superscript"&gt;68&lt;/style&gt;&lt;/DisplayText&gt;&lt;record&gt;&lt;rec-number&gt;532&lt;/rec-number&gt;&lt;foreign-keys&gt;&lt;key app="EN" db-id="rsettzd2isasdweewww55s9lffasxav0d0ft" timestamp="1707862921" guid="521d763e-0348-45a6-9565-39795316327c"&gt;532&lt;/key&gt;&lt;/foreign-keys&gt;&lt;ref-type name="Web Page"&gt;12&lt;/ref-type&gt;&lt;contributors&gt;&lt;authors&gt;&lt;author&gt;Australian Bureau of Statistics&lt;/author&gt;&lt;/authors&gt;&lt;/contributors&gt;&lt;titles&gt;&lt;title&gt;General Social Survey: Summary Results, Australia&lt;/title&gt;&lt;/titles&gt;&lt;dates&gt;&lt;year&gt;2021&lt;/year&gt;&lt;/dates&gt;&lt;publisher&gt;Commonwealth of Australia&lt;/publisher&gt;&lt;work-type&gt;Internet&lt;/work-type&gt;&lt;urls&gt;&lt;related-urls&gt;&lt;url&gt;https://www.abs.gov.au/statistics/people/people-and-communities/general-social-survey-summary-results-australia/latest-release&lt;/url&gt;&lt;/related-urls&gt;&lt;/urls&gt;&lt;custom1&gt;2023&lt;/custom1&gt;&lt;custom2&gt;October 06&lt;/custom2&gt;&lt;/record&gt;&lt;/Cite&gt;&lt;/EndNote&gt;</w:instrText>
              </w:r>
              <w:r w:rsidR="002D6F18">
                <w:fldChar w:fldCharType="separate"/>
              </w:r>
              <w:r w:rsidR="002D6F18" w:rsidRPr="0082082D">
                <w:rPr>
                  <w:noProof/>
                  <w:vertAlign w:val="superscript"/>
                </w:rPr>
                <w:t>68</w:t>
              </w:r>
              <w:r w:rsidR="002D6F18">
                <w:fldChar w:fldCharType="end"/>
              </w:r>
            </w:hyperlink>
          </w:p>
          <w:p w14:paraId="205E8239" w14:textId="47B07D85" w:rsidR="00C321DE" w:rsidRPr="00B768A1" w:rsidRDefault="7442539B" w:rsidP="00634A83">
            <w:r w:rsidRPr="00B768A1">
              <w:t>People who described themselves as gay, lesbian or bisexual were more likely to report experiencing discrimination than people who described themselves as heterosexual (30%</w:t>
            </w:r>
            <w:r>
              <w:t> </w:t>
            </w:r>
            <w:r w:rsidRPr="00B768A1">
              <w:t>compared with 13%).</w:t>
            </w:r>
            <w:hyperlink w:anchor="_ENREF_68" w:tooltip="Statistics, 2021 #532" w:history="1">
              <w:r w:rsidR="002D6F18">
                <w:fldChar w:fldCharType="begin"/>
              </w:r>
              <w:r w:rsidR="002D6F18">
                <w:instrText xml:space="preserve"> ADDIN EN.CITE &lt;EndNote&gt;&lt;Cite&gt;&lt;Author&gt;Statistics&lt;/Author&gt;&lt;Year&gt;2021&lt;/Year&gt;&lt;RecNum&gt;532&lt;/RecNum&gt;&lt;DisplayText&gt;&lt;style face="superscript"&gt;68&lt;/style&gt;&lt;/DisplayText&gt;&lt;record&gt;&lt;rec-number&gt;532&lt;/rec-number&gt;&lt;foreign-keys&gt;&lt;key app="EN" db-id="rsettzd2isasdweewww55s9lffasxav0d0ft" timestamp="1707862921" guid="521d763e-0348-45a6-9565-39795316327c"&gt;532&lt;/key&gt;&lt;/foreign-keys&gt;&lt;ref-type name="Web Page"&gt;12&lt;/ref-type&gt;&lt;contributors&gt;&lt;authors&gt;&lt;author&gt;Australian Bureau of Statistics&lt;/author&gt;&lt;/authors&gt;&lt;/contributors&gt;&lt;titles&gt;&lt;title&gt;General Social Survey: Summary Results, Australia&lt;/title&gt;&lt;/titles&gt;&lt;dates&gt;&lt;year&gt;2021&lt;/year&gt;&lt;/dates&gt;&lt;publisher&gt;Commonwealth of Australia&lt;/publisher&gt;&lt;work-type&gt;Internet&lt;/work-type&gt;&lt;urls&gt;&lt;related-urls&gt;&lt;url&gt;https://www.abs.gov.au/statistics/people/people-and-communities/general-social-survey-summary-results-australia/latest-release&lt;/url&gt;&lt;/related-urls&gt;&lt;/urls&gt;&lt;custom1&gt;2023&lt;/custom1&gt;&lt;custom2&gt;October 06&lt;/custom2&gt;&lt;/record&gt;&lt;/Cite&gt;&lt;/EndNote&gt;</w:instrText>
              </w:r>
              <w:r w:rsidR="002D6F18">
                <w:fldChar w:fldCharType="separate"/>
              </w:r>
              <w:r w:rsidR="002D6F18" w:rsidRPr="0082082D">
                <w:rPr>
                  <w:noProof/>
                  <w:vertAlign w:val="superscript"/>
                </w:rPr>
                <w:t>68</w:t>
              </w:r>
              <w:r w:rsidR="002D6F18">
                <w:fldChar w:fldCharType="end"/>
              </w:r>
            </w:hyperlink>
            <w:r w:rsidR="0048258C">
              <w:t xml:space="preserve"> </w:t>
            </w:r>
            <w:r w:rsidRPr="00B768A1">
              <w:t>Transgender, including gender diverse and non-binary (trans), people report higher levels of discrimination and abuse than cisgender people and experience higher rates of self-harm and suicide attempts.</w:t>
            </w:r>
            <w:hyperlink w:anchor="_ENREF_69" w:tooltip="I, 2020 #994" w:history="1">
              <w:r w:rsidR="002D6F18">
                <w:fldChar w:fldCharType="begin"/>
              </w:r>
              <w:r w:rsidR="002D6F18">
                <w:instrText xml:space="preserve"> ADDIN EN.CITE &lt;EndNote&gt;&lt;Cite&gt;&lt;Author&gt;I&lt;/Author&gt;&lt;Year&gt;2020&lt;/Year&gt;&lt;RecNum&gt;994&lt;/RecNum&gt;&lt;DisplayText&gt;&lt;style face="superscript"&gt;69&lt;/style&gt;&lt;/DisplayText&gt;&lt;record&gt;&lt;rec-number&gt;994&lt;/rec-number&gt;&lt;foreign-keys&gt;&lt;key app="EN" db-id="rsettzd2isasdweewww55s9lffasxav0d0ft" timestamp="1720402281" guid="63033ea0-1161-4365-a314-ae77776f76fb"&gt;994&lt;/key&gt;&lt;/foreign-keys&gt;&lt;ref-type name="Journal Article"&gt;17&lt;/ref-type&gt;&lt;contributors&gt;&lt;authors&gt;&lt;author&gt;Bretherton I&lt;/author&gt;&lt;author&gt;Thrower E&lt;/author&gt;&lt;author&gt;Zwickl S&lt;/author&gt;&lt;author&gt;Wong A&lt;/author&gt;&lt;author&gt;Chetcuti D&lt;/author&gt;&lt;author&gt;Grossmann M&lt;/author&gt;&lt;author&gt;Zajac JD&lt;/author&gt;&lt;author&gt;Cheung AS&lt;/author&gt;&lt;/authors&gt;&lt;/contributors&gt;&lt;titles&gt;&lt;title&gt;The Health and Well-Being of Transgender Australians: A National Community Survey&lt;/title&gt;&lt;secondary-title&gt;LGBT Health&lt;/secondary-title&gt;&lt;/titles&gt;&lt;periodical&gt;&lt;full-title&gt;LGBT Health&lt;/full-title&gt;&lt;/periodical&gt;&lt;pages&gt;42-49&lt;/pages&gt;&lt;volume&gt;8&lt;/volume&gt;&lt;number&gt;1&lt;/number&gt;&lt;dates&gt;&lt;year&gt;2020&lt;/year&gt;&lt;pub-dates&gt;&lt;date&gt;2021/01/01&lt;/date&gt;&lt;/pub-dates&gt;&lt;/dates&gt;&lt;publisher&gt;Mary Ann Liebert, Inc., publishers&lt;/publisher&gt;&lt;isbn&gt;2325-8292&lt;/isbn&gt;&lt;urls&gt;&lt;related-urls&gt;&lt;url&gt;https://doi.org/10.1089/lgbt.2020.0178&lt;/url&gt;&lt;/related-urls&gt;&lt;/urls&gt;&lt;electronic-resource-num&gt;10.1089/lgbt.2020.0178&lt;/electronic-resource-num&gt;&lt;access-date&gt;2024/07/07&lt;/access-date&gt;&lt;/record&gt;&lt;/Cite&gt;&lt;/EndNote&gt;</w:instrText>
              </w:r>
              <w:r w:rsidR="002D6F18">
                <w:fldChar w:fldCharType="separate"/>
              </w:r>
              <w:r w:rsidR="002D6F18" w:rsidRPr="0082082D">
                <w:rPr>
                  <w:noProof/>
                  <w:vertAlign w:val="superscript"/>
                </w:rPr>
                <w:t>69</w:t>
              </w:r>
              <w:r w:rsidR="002D6F18">
                <w:fldChar w:fldCharType="end"/>
              </w:r>
            </w:hyperlink>
          </w:p>
          <w:p w14:paraId="64B682E5" w14:textId="6CA4560A" w:rsidR="00C321DE" w:rsidRPr="00B768A1" w:rsidRDefault="7442539B" w:rsidP="00634A83">
            <w:r w:rsidRPr="00B768A1">
              <w:t>Racial discrimination has a significant association with suicidal thoughts and suicide attempts and people who experience racial discrimination experience increased risk of suicide.</w:t>
            </w:r>
            <w:hyperlink w:anchor="_ENREF_52" w:tooltip="BM, 2022 #158" w:history="1">
              <w:r w:rsidR="002D6F18">
                <w:fldChar w:fldCharType="begin"/>
              </w:r>
              <w:r w:rsidR="002D6F18">
                <w:instrText xml:space="preserve"> ADDIN EN.CITE &lt;EndNote&gt;&lt;Cite&gt;&lt;Author&gt;BM&lt;/Author&gt;&lt;Year&gt;2022&lt;/Year&gt;&lt;RecNum&gt;158&lt;/RecNum&gt;&lt;DisplayText&gt;&lt;style face="superscript"&gt;52&lt;/style&gt;&lt;/DisplayText&gt;&lt;record&gt;&lt;rec-number&gt;158&lt;/rec-number&gt;&lt;foreign-keys&gt;&lt;key app="EN" db-id="rsettzd2isasdweewww55s9lffasxav0d0ft" timestamp="1700699468" guid="94e907f7-d454-4f3c-8400-7d0f46ed7a8d"&gt;158&lt;/key&gt;&lt;/foreign-keys&gt;&lt;ref-type name="Journal Article"&gt;17&lt;/ref-type&gt;&lt;contributors&gt;&lt;authors&gt;&lt;author&gt;Coimbra BM&lt;/author&gt;&lt;author&gt;Hoeboer CM&lt;/author&gt;&lt;author&gt;Yik J&lt;/author&gt;&lt;author&gt;Mello AF&lt;/author&gt;&lt;author&gt;Mello MF&lt;/author&gt;&lt;author&gt;Olff M&lt;/author&gt;&lt;/authors&gt;&lt;/contributors&gt;&lt;titles&gt;&lt;title&gt;Meta-Analysis of the Effect of Racial Discrimination on Suicidality&lt;/title&gt;&lt;secondary-title&gt;SSM - Population Health&lt;/secondary-title&gt;&lt;/titles&gt;&lt;periodical&gt;&lt;full-title&gt;SSM - Population Health&lt;/full-title&gt;&lt;/periodical&gt;&lt;dates&gt;&lt;year&gt;2022&lt;/year&gt;&lt;/dates&gt;&lt;urls&gt;&lt;/urls&gt;&lt;electronic-resource-num&gt;DOI: 10.1016/j.ssmph.2022.101283&lt;/electronic-resource-num&gt;&lt;/record&gt;&lt;/Cite&gt;&lt;/EndNote&gt;</w:instrText>
              </w:r>
              <w:r w:rsidR="002D6F18">
                <w:fldChar w:fldCharType="separate"/>
              </w:r>
              <w:r w:rsidR="002D6F18" w:rsidRPr="0082082D">
                <w:rPr>
                  <w:noProof/>
                  <w:vertAlign w:val="superscript"/>
                </w:rPr>
                <w:t>52</w:t>
              </w:r>
              <w:r w:rsidR="002D6F18">
                <w:fldChar w:fldCharType="end"/>
              </w:r>
            </w:hyperlink>
          </w:p>
        </w:tc>
      </w:tr>
      <w:tr w:rsidR="00C321DE" w14:paraId="7CDFA3D5" w14:textId="77777777" w:rsidTr="007C627A">
        <w:tc>
          <w:tcPr>
            <w:tcW w:w="1413" w:type="dxa"/>
          </w:tcPr>
          <w:p w14:paraId="4F39C324" w14:textId="77777777" w:rsidR="00C321DE" w:rsidRPr="00B768A1" w:rsidRDefault="00C321DE" w:rsidP="00634A83">
            <w:r w:rsidRPr="00B768A1">
              <w:t>School-age bullying</w:t>
            </w:r>
          </w:p>
        </w:tc>
        <w:tc>
          <w:tcPr>
            <w:tcW w:w="7648" w:type="dxa"/>
            <w:tcMar>
              <w:top w:w="28" w:type="dxa"/>
              <w:bottom w:w="28" w:type="dxa"/>
            </w:tcMar>
          </w:tcPr>
          <w:p w14:paraId="76001983" w14:textId="36516BC1" w:rsidR="00C321DE" w:rsidRPr="00B768A1" w:rsidRDefault="7442539B" w:rsidP="00634A83">
            <w:r w:rsidRPr="00B768A1">
              <w:t xml:space="preserve">Bullying behaviour and cyberbullying at school and among school-age children is associated </w:t>
            </w:r>
            <w:r w:rsidRPr="352D6B08">
              <w:rPr>
                <w:rFonts w:eastAsiaTheme="minorEastAsia"/>
              </w:rPr>
              <w:t xml:space="preserve">with an </w:t>
            </w:r>
            <w:r w:rsidRPr="00B768A1">
              <w:t>increased risk of suicidal ideation and/or suicide attempts.</w:t>
            </w:r>
            <w:hyperlink w:anchor="_ENREF_70" w:tooltip="MF, 2013 #161" w:history="1">
              <w:r w:rsidR="002D6F18" w:rsidRPr="00E93793">
                <w:rPr>
                  <w:vertAlign w:val="superscript"/>
                </w:rPr>
                <w:fldChar w:fldCharType="begin"/>
              </w:r>
              <w:r w:rsidR="002D6F18">
                <w:rPr>
                  <w:vertAlign w:val="superscript"/>
                </w:rPr>
                <w:instrText xml:space="preserve"> ADDIN EN.CITE &lt;EndNote&gt;&lt;Cite&gt;&lt;Author&gt;MF&lt;/Author&gt;&lt;Year&gt;2013&lt;/Year&gt;&lt;RecNum&gt;161&lt;/RecNum&gt;&lt;DisplayText&gt;&lt;style face="superscript"&gt;70&lt;/style&gt;&lt;/DisplayText&gt;&lt;record&gt;&lt;rec-number&gt;161&lt;/rec-number&gt;&lt;foreign-keys&gt;&lt;key app="EN" db-id="rsettzd2isasdweewww55s9lffasxav0d0ft" timestamp="1700699468" guid="0650e7b9-f10b-40dc-9353-579e1e95579f"&gt;161&lt;/key&gt;&lt;/foreign-keys&gt;&lt;ref-type name="Journal Article"&gt;17&lt;/ref-type&gt;&lt;contributors&gt;&lt;authors&gt;&lt;author&gt;Hertz MF&lt;/author&gt;&lt;author&gt;Donato I&lt;/author&gt;&lt;author&gt;Wright J&lt;/author&gt;&lt;/authors&gt;&lt;/contributors&gt;&lt;titles&gt;&lt;title&gt;Bullying and Suicide: A Public Health Approach&lt;/title&gt;&lt;secondary-title&gt;Journal of Adolescent Health&lt;/secondary-title&gt;&lt;/titles&gt;&lt;periodical&gt;&lt;full-title&gt;Journal of Adolescent Health&lt;/full-title&gt;&lt;/periodical&gt;&lt;dates&gt;&lt;year&gt;2013&lt;/year&gt;&lt;/dates&gt;&lt;urls&gt;&lt;/urls&gt;&lt;electronic-resource-num&gt;DOI: 10.1016/j.jadohealth.2013.05.002&lt;/electronic-resource-num&gt;&lt;/record&gt;&lt;/Cite&gt;&lt;/EndNote&gt;</w:instrText>
              </w:r>
              <w:r w:rsidR="002D6F18" w:rsidRPr="00E93793">
                <w:rPr>
                  <w:vertAlign w:val="superscript"/>
                </w:rPr>
                <w:fldChar w:fldCharType="separate"/>
              </w:r>
              <w:r w:rsidR="002D6F18">
                <w:rPr>
                  <w:noProof/>
                  <w:vertAlign w:val="superscript"/>
                </w:rPr>
                <w:t>70</w:t>
              </w:r>
              <w:r w:rsidR="002D6F18" w:rsidRPr="00E93793">
                <w:rPr>
                  <w:vertAlign w:val="superscript"/>
                </w:rPr>
                <w:fldChar w:fldCharType="end"/>
              </w:r>
            </w:hyperlink>
            <w:r w:rsidR="00E93793" w:rsidRPr="00E93793">
              <w:rPr>
                <w:vertAlign w:val="superscript"/>
              </w:rPr>
              <w:t>,</w:t>
            </w:r>
            <w:hyperlink w:anchor="_ENREF_71" w:tooltip="AB, 2010 #585" w:history="1">
              <w:r w:rsidR="002D6F18" w:rsidRPr="00E93793">
                <w:rPr>
                  <w:vertAlign w:val="superscript"/>
                </w:rPr>
                <w:fldChar w:fldCharType="begin"/>
              </w:r>
              <w:r w:rsidR="002D6F18">
                <w:rPr>
                  <w:vertAlign w:val="superscript"/>
                </w:rPr>
                <w:instrText xml:space="preserve"> ADDIN EN.CITE &lt;EndNote&gt;&lt;Cite&gt;&lt;Author&gt;AB&lt;/Author&gt;&lt;Year&gt;2010&lt;/Year&gt;&lt;RecNum&gt;585&lt;/RecNum&gt;&lt;DisplayText&gt;&lt;style face="superscript"&gt;71&lt;/style&gt;&lt;/DisplayText&gt;&lt;record&gt;&lt;rec-number&gt;585&lt;/rec-number&gt;&lt;foreign-keys&gt;&lt;key app="EN" db-id="rsettzd2isasdweewww55s9lffasxav0d0ft" timestamp="1707862922" guid="e42a89b5-1c2a-45f9-97e4-49f10764737e"&gt;585&lt;/key&gt;&lt;/foreign-keys&gt;&lt;ref-type name="Journal Article"&gt;17&lt;/ref-type&gt;&lt;contributors&gt;&lt;authors&gt;&lt;author&gt;Klomek AB&lt;/author&gt;&lt;author&gt;Sourander A&lt;/author&gt;&lt;author&gt;Gould M&lt;/author&gt;&lt;/authors&gt;&lt;/contributors&gt;&lt;titles&gt;&lt;title&gt;The Association of Suicide and Bullying in Childhood to Young Adulthood: A Review of Cross-Sectional and Longitudinal Research Findings&lt;/title&gt;&lt;secondary-title&gt;The Canadian Journal of Psychiatry&lt;/secondary-title&gt;&lt;/titles&gt;&lt;periodical&gt;&lt;full-title&gt;The Canadian Journal of Psychiatry&lt;/full-title&gt;&lt;/periodical&gt;&lt;dates&gt;&lt;year&gt;2010&lt;/year&gt;&lt;/dates&gt;&lt;urls&gt;&lt;/urls&gt;&lt;electronic-resource-num&gt;https://doi.org/10.1177/070674371005500503&lt;/electronic-resource-num&gt;&lt;/record&gt;&lt;/Cite&gt;&lt;/EndNote&gt;</w:instrText>
              </w:r>
              <w:r w:rsidR="002D6F18" w:rsidRPr="00E93793">
                <w:rPr>
                  <w:vertAlign w:val="superscript"/>
                </w:rPr>
                <w:fldChar w:fldCharType="separate"/>
              </w:r>
              <w:r w:rsidR="002D6F18">
                <w:rPr>
                  <w:noProof/>
                  <w:vertAlign w:val="superscript"/>
                </w:rPr>
                <w:t>71</w:t>
              </w:r>
              <w:r w:rsidR="002D6F18" w:rsidRPr="00E93793">
                <w:rPr>
                  <w:vertAlign w:val="superscript"/>
                </w:rPr>
                <w:fldChar w:fldCharType="end"/>
              </w:r>
            </w:hyperlink>
          </w:p>
        </w:tc>
      </w:tr>
      <w:tr w:rsidR="00C321DE" w14:paraId="444E695E" w14:textId="77777777" w:rsidTr="007C627A">
        <w:tc>
          <w:tcPr>
            <w:tcW w:w="1413" w:type="dxa"/>
          </w:tcPr>
          <w:p w14:paraId="2A9D1C4A" w14:textId="77777777" w:rsidR="00C321DE" w:rsidRPr="00B768A1" w:rsidRDefault="00C321DE" w:rsidP="00634A83">
            <w:r w:rsidRPr="00B768A1">
              <w:t>Workplace bullying</w:t>
            </w:r>
          </w:p>
          <w:p w14:paraId="68530ABD" w14:textId="77777777" w:rsidR="00C321DE" w:rsidRPr="00B768A1" w:rsidRDefault="00C321DE" w:rsidP="00634A83"/>
        </w:tc>
        <w:tc>
          <w:tcPr>
            <w:tcW w:w="7648" w:type="dxa"/>
            <w:tcMar>
              <w:top w:w="28" w:type="dxa"/>
              <w:bottom w:w="28" w:type="dxa"/>
            </w:tcMar>
          </w:tcPr>
          <w:p w14:paraId="54CFD5EB" w14:textId="01174C86" w:rsidR="00C321DE" w:rsidRPr="00B768A1" w:rsidRDefault="7442539B" w:rsidP="00634A83">
            <w:r w:rsidRPr="5B74CE65">
              <w:t>Bullying and harassment at work has been associated with an increased risk of suicidal thoughts—some research suggesting</w:t>
            </w:r>
            <w:r w:rsidRPr="00B768A1">
              <w:t xml:space="preserve"> 1.54</w:t>
            </w:r>
            <w:r>
              <w:t> </w:t>
            </w:r>
            <w:r w:rsidRPr="00B768A1">
              <w:t xml:space="preserve">times the risk, </w:t>
            </w:r>
            <w:r w:rsidRPr="5B74CE65">
              <w:t>usually within the context of other psychologically stressful employment conditions.</w:t>
            </w:r>
            <w:hyperlink w:anchor="_ENREF_72" w:tooltip="LS, 2020 #586" w:history="1">
              <w:r w:rsidR="002D6F18">
                <w:fldChar w:fldCharType="begin"/>
              </w:r>
              <w:r w:rsidR="002D6F18">
                <w:instrText xml:space="preserve"> ADDIN EN.CITE &lt;EndNote&gt;&lt;Cite&gt;&lt;Author&gt;LS&lt;/Author&gt;&lt;Year&gt;2020&lt;/Year&gt;&lt;RecNum&gt;586&lt;/RecNum&gt;&lt;DisplayText&gt;&lt;style face="superscript"&gt;72&lt;/style&gt;&lt;/DisplayText&gt;&lt;record&gt;&lt;rec-number&gt;586&lt;/rec-number&gt;&lt;foreign-keys&gt;&lt;key app="EN" db-id="rsettzd2isasdweewww55s9lffasxav0d0ft" timestamp="1707862922" guid="dc5c8b42-fef1-4cc6-9620-a44c19baf827"&gt;586&lt;/key&gt;&lt;/foreign-keys&gt;&lt;ref-type name="Journal Article"&gt;17&lt;/ref-type&gt;&lt;contributors&gt;&lt;authors&gt;&lt;author&gt;Leach LS&lt;/author&gt;&lt;author&gt;Too LS&lt;/author&gt;&lt;author&gt;Batterham PJ&lt;/author&gt;&lt;author&gt;Kiely KM&lt;/author&gt;&lt;author&gt;Christensen H&lt;/author&gt;&lt;author&gt;Butterworth P&lt;/author&gt;&lt;/authors&gt;&lt;/contributors&gt;&lt;titles&gt;&lt;title&gt;Workplace Bullying and Suicidal Ideation: Findings from an Australian Longitudinal Cohort Study of Mid-Aged Workers&lt;/title&gt;&lt;secondary-title&gt;International Journal of Environmental Research and Public Health&lt;/secondary-title&gt;&lt;/titles&gt;&lt;periodical&gt;&lt;full-title&gt;International Journal of Environmental Research and Public Health&lt;/full-title&gt;&lt;/periodical&gt;&lt;dates&gt;&lt;year&gt;2020&lt;/year&gt;&lt;/dates&gt;&lt;urls&gt;&lt;/urls&gt;&lt;electronic-resource-num&gt;https://doi.org/10.3390/ijerph17041448&lt;/electronic-resource-num&gt;&lt;/record&gt;&lt;/Cite&gt;&lt;/EndNote&gt;</w:instrText>
              </w:r>
              <w:r w:rsidR="002D6F18">
                <w:fldChar w:fldCharType="separate"/>
              </w:r>
              <w:r w:rsidR="002D6F18" w:rsidRPr="0082082D">
                <w:rPr>
                  <w:noProof/>
                  <w:vertAlign w:val="superscript"/>
                </w:rPr>
                <w:t>72</w:t>
              </w:r>
              <w:r w:rsidR="002D6F18">
                <w:fldChar w:fldCharType="end"/>
              </w:r>
            </w:hyperlink>
            <w:r w:rsidRPr="5B74CE65">
              <w:t xml:space="preserve"> One-third of mental stress workers compensation claims are related to bullying and harassment.</w:t>
            </w:r>
            <w:hyperlink w:anchor="_ENREF_73" w:tooltip="Comcare, 2023 #378" w:history="1">
              <w:r w:rsidR="002D6F18">
                <w:fldChar w:fldCharType="begin"/>
              </w:r>
              <w:r w:rsidR="002D6F18">
                <w:instrText xml:space="preserve"> ADDIN EN.CITE &lt;EndNote&gt;&lt;Cite&gt;&lt;Author&gt;Comcare&lt;/Author&gt;&lt;Year&gt;2023&lt;/Year&gt;&lt;RecNum&gt;378&lt;/RecNum&gt;&lt;DisplayText&gt;&lt;style face="superscript"&gt;73&lt;/style&gt;&lt;/DisplayText&gt;&lt;record&gt;&lt;rec-number&gt;378&lt;/rec-number&gt;&lt;foreign-keys&gt;&lt;key app="EN" db-id="rsettzd2isasdweewww55s9lffasxav0d0ft" timestamp="1700699472" guid="9894bf98-e480-4d04-b675-8a4dacdef0a7"&gt;378&lt;/key&gt;&lt;/foreign-keys&gt;&lt;ref-type name="Web Page"&gt;12&lt;/ref-type&gt;&lt;contributors&gt;&lt;authors&gt;&lt;author&gt;Comcare&lt;/author&gt;&lt;/authors&gt;&lt;/contributors&gt;&lt;titles&gt;&lt;title&gt;WHS Laws Are Changing&lt;/title&gt;&lt;/titles&gt;&lt;dates&gt;&lt;year&gt;2023&lt;/year&gt;&lt;/dates&gt;&lt;publisher&gt;Comcare&lt;/publisher&gt;&lt;work-type&gt;Internet&lt;/work-type&gt;&lt;urls&gt;&lt;related-urls&gt;&lt;url&gt;https://www.comcare.gov.au/safe-healthy-work/prevent-harm/changes-to-whs-laws&lt;/url&gt;&lt;/related-urls&gt;&lt;/urls&gt;&lt;custom1&gt;2023&lt;/custom1&gt;&lt;custom2&gt;October 17&lt;/custom2&gt;&lt;/record&gt;&lt;/Cite&gt;&lt;/EndNote&gt;</w:instrText>
              </w:r>
              <w:r w:rsidR="002D6F18">
                <w:fldChar w:fldCharType="separate"/>
              </w:r>
              <w:r w:rsidR="002D6F18" w:rsidRPr="0082082D">
                <w:rPr>
                  <w:noProof/>
                  <w:vertAlign w:val="superscript"/>
                </w:rPr>
                <w:t>73</w:t>
              </w:r>
              <w:r w:rsidR="002D6F18">
                <w:fldChar w:fldCharType="end"/>
              </w:r>
            </w:hyperlink>
          </w:p>
        </w:tc>
      </w:tr>
      <w:tr w:rsidR="00C321DE" w14:paraId="1A44AEBB" w14:textId="77777777" w:rsidTr="007C627A">
        <w:tc>
          <w:tcPr>
            <w:tcW w:w="1413" w:type="dxa"/>
          </w:tcPr>
          <w:p w14:paraId="0F2D228E" w14:textId="77777777" w:rsidR="00C321DE" w:rsidRPr="00B768A1" w:rsidRDefault="00C321DE" w:rsidP="00634A83">
            <w:r w:rsidRPr="00B768A1">
              <w:t>Natural disasters and climate change</w:t>
            </w:r>
          </w:p>
        </w:tc>
        <w:tc>
          <w:tcPr>
            <w:tcW w:w="7648" w:type="dxa"/>
            <w:tcMar>
              <w:top w:w="28" w:type="dxa"/>
              <w:bottom w:w="28" w:type="dxa"/>
            </w:tcMar>
          </w:tcPr>
          <w:p w14:paraId="5193482C" w14:textId="2221CC3B" w:rsidR="00C321DE" w:rsidRPr="00B768A1" w:rsidRDefault="7442539B" w:rsidP="00634A83">
            <w:pPr>
              <w:rPr>
                <w:rFonts w:eastAsiaTheme="minorEastAsia"/>
              </w:rPr>
            </w:pPr>
            <w:r w:rsidRPr="00B768A1">
              <w:t>People exposed to multiple natural and other disasters are at a significantly higher risk of attempting suicide.</w:t>
            </w:r>
            <w:hyperlink w:anchor="_ENREF_74" w:tooltip="L, 2018 #203" w:history="1">
              <w:r w:rsidR="002D6F18">
                <w:fldChar w:fldCharType="begin"/>
              </w:r>
              <w:r w:rsidR="002D6F18">
                <w:instrText xml:space="preserve"> ADDIN EN.CITE &lt;EndNote&gt;&lt;Cite&gt;&lt;Author&gt;L&lt;/Author&gt;&lt;Year&gt;2018&lt;/Year&gt;&lt;RecNum&gt;203&lt;/RecNum&gt;&lt;DisplayText&gt;&lt;style face="superscript"&gt;74&lt;/style&gt;&lt;/DisplayText&gt;&lt;record&gt;&lt;rec-number&gt;203&lt;/rec-number&gt;&lt;foreign-keys&gt;&lt;key app="EN" db-id="rsettzd2isasdweewww55s9lffasxav0d0ft" timestamp="1700699469" guid="c473c6f2-1072-4bbb-b41f-b95e06231239"&gt;203&lt;/key&gt;&lt;/foreign-keys&gt;&lt;ref-type name="Journal Article"&gt;17&lt;/ref-type&gt;&lt;contributors&gt;&lt;authors&gt;&lt;author&gt;Reifels L&lt;/author&gt;&lt;author&gt;Spittal MJ&lt;/author&gt;&lt;author&gt;Dückers MLA&lt;/author&gt;&lt;author&gt;Mills K&lt;/author&gt;&lt;author&gt;Pirkis J&lt;/author&gt;&lt;/authors&gt;&lt;/contributors&gt;&lt;titles&gt;&lt;title&gt;Suicidality Risk and (Repeat) Disaster Exposure: Findings From a Nationally Representative Population Survey&lt;/title&gt;&lt;secondary-title&gt;Psychiatry: Interpersonal and Biological Processes&lt;/secondary-title&gt;&lt;/titles&gt;&lt;periodical&gt;&lt;full-title&gt;Psychiatry: Interpersonal and Biological Processes&lt;/full-title&gt;&lt;/periodical&gt;&lt;dates&gt;&lt;year&gt;2018&lt;/year&gt;&lt;/dates&gt;&lt;urls&gt;&lt;/urls&gt;&lt;electronic-resource-num&gt;DOI: 10.1080/00332747.2017.1385049&lt;/electronic-resource-num&gt;&lt;/record&gt;&lt;/Cite&gt;&lt;/EndNote&gt;</w:instrText>
              </w:r>
              <w:r w:rsidR="002D6F18">
                <w:fldChar w:fldCharType="separate"/>
              </w:r>
              <w:r w:rsidR="002D6F18" w:rsidRPr="0082082D">
                <w:rPr>
                  <w:noProof/>
                  <w:vertAlign w:val="superscript"/>
                </w:rPr>
                <w:t>74</w:t>
              </w:r>
              <w:r w:rsidR="002D6F18">
                <w:fldChar w:fldCharType="end"/>
              </w:r>
            </w:hyperlink>
            <w:r w:rsidR="00E93793">
              <w:t xml:space="preserve"> </w:t>
            </w:r>
            <w:r w:rsidRPr="00B768A1">
              <w:t>Exposure to natural disasters can have long-term impacts, including on physical and mental health, financial circumstances and disruptions to housing.</w:t>
            </w:r>
            <w:hyperlink w:anchor="_ENREF_75" w:tooltip="Commission, 2021 #995" w:history="1">
              <w:r w:rsidR="002D6F18" w:rsidRPr="000A7F50">
                <w:rPr>
                  <w:vertAlign w:val="superscript"/>
                </w:rPr>
                <w:fldChar w:fldCharType="begin"/>
              </w:r>
              <w:r w:rsidR="002D6F18">
                <w:rPr>
                  <w:vertAlign w:val="superscript"/>
                </w:rPr>
                <w:instrText xml:space="preserve"> ADDIN EN.CITE &lt;EndNote&gt;&lt;Cite&gt;&lt;Author&gt;Commission&lt;/Author&gt;&lt;Year&gt;2021&lt;/Year&gt;&lt;RecNum&gt;995&lt;/RecNum&gt;&lt;DisplayText&gt;&lt;style face="superscript"&gt;75&lt;/style&gt;&lt;/DisplayText&gt;&lt;record&gt;&lt;rec-number&gt;995&lt;/rec-number&gt;&lt;foreign-keys&gt;&lt;key app="EN" db-id="rsettzd2isasdweewww55s9lffasxav0d0ft" timestamp="1720403748" guid="cc2ab084-d81b-41d2-be00-00969ec6a33b"&gt;995&lt;/key&gt;&lt;/foreign-keys&gt;&lt;ref-type name="Web Page"&gt;12&lt;/ref-type&gt;&lt;contributors&gt;&lt;authors&gt;&lt;author&gt;National Mental Health Commission&lt;/author&gt;&lt;/authors&gt;&lt;/contributors&gt;&lt;titles&gt;&lt;title&gt;Our stories: beyond the disaster&lt;/title&gt;&lt;/titles&gt;&lt;dates&gt;&lt;year&gt;2021&lt;/year&gt;&lt;/dates&gt;&lt;pub-location&gt;Sydney&lt;/pub-location&gt;&lt;isbn&gt;978-0-646-83581-5&lt;/isbn&gt;&lt;work-type&gt;Internet&lt;/work-type&gt;&lt;urls&gt;&lt;related-urls&gt;&lt;url&gt;https://www.mentalhealthcommission.gov.au/projects/national-disaster-response/disaster-framework&lt;/url&gt;&lt;/related-urls&gt;&lt;/urls&gt;&lt;custom1&gt;2024&lt;/custom1&gt;&lt;custom2&gt;February 8&lt;/custom2&gt;&lt;/record&gt;&lt;/Cite&gt;&lt;/EndNote&gt;</w:instrText>
              </w:r>
              <w:r w:rsidR="002D6F18" w:rsidRPr="000A7F50">
                <w:rPr>
                  <w:vertAlign w:val="superscript"/>
                </w:rPr>
                <w:fldChar w:fldCharType="separate"/>
              </w:r>
              <w:r w:rsidR="002D6F18">
                <w:rPr>
                  <w:noProof/>
                  <w:vertAlign w:val="superscript"/>
                </w:rPr>
                <w:t>75</w:t>
              </w:r>
              <w:r w:rsidR="002D6F18" w:rsidRPr="000A7F50">
                <w:rPr>
                  <w:vertAlign w:val="superscript"/>
                </w:rPr>
                <w:fldChar w:fldCharType="end"/>
              </w:r>
            </w:hyperlink>
            <w:r w:rsidR="00E93793" w:rsidRPr="000A7F50">
              <w:rPr>
                <w:vertAlign w:val="superscript"/>
              </w:rPr>
              <w:t>,</w:t>
            </w:r>
            <w:hyperlink w:anchor="_ENREF_76" w:tooltip="Anttila, 2013 #996" w:history="1">
              <w:r w:rsidR="002D6F18" w:rsidRPr="000A7F50">
                <w:rPr>
                  <w:vertAlign w:val="superscript"/>
                </w:rPr>
                <w:fldChar w:fldCharType="begin"/>
              </w:r>
              <w:r w:rsidR="002D6F18">
                <w:rPr>
                  <w:vertAlign w:val="superscript"/>
                </w:rPr>
                <w:instrText xml:space="preserve"> ADDIN EN.CITE &lt;EndNote&gt;&lt;Cite&gt;&lt;Author&gt;Anttila&lt;/Author&gt;&lt;Year&gt;2013&lt;/Year&gt;&lt;RecNum&gt;996&lt;/RecNum&gt;&lt;DisplayText&gt;&lt;style face="superscript"&gt;76&lt;/style&gt;&lt;/DisplayText&gt;&lt;record&gt;&lt;rec-number&gt;996&lt;/rec-number&gt;&lt;foreign-keys&gt;&lt;key app="EN" db-id="rsettzd2isasdweewww55s9lffasxav0d0ft" timestamp="1720403946" guid="a673cba8-b638-4b72-a24c-a7bba0c36f83"&gt;996&lt;/key&gt;&lt;/foreign-keys&gt;&lt;ref-type name="Journal Article"&gt;17&lt;/ref-type&gt;&lt;contributors&gt;&lt;authors&gt;&lt;author&gt;Anttila, Jari&lt;/author&gt;&lt;author&gt;Hsiang, Solomon&lt;/author&gt;&lt;/authors&gt;&lt;/contributors&gt;&lt;titles&gt;&lt;title&gt;Destruction, Disinvestment, and Death: Economic and Human Losses Following Environmental Disaster&lt;/title&gt;&lt;secondary-title&gt;SSRN Electronic Journal&lt;/secondary-title&gt;&lt;/titles&gt;&lt;periodical&gt;&lt;full-title&gt;SSRN Electronic Journal&lt;/full-title&gt;&lt;/periodical&gt;&lt;dates&gt;&lt;year&gt;2013&lt;/year&gt;&lt;pub-dates&gt;&lt;date&gt;02/18&lt;/date&gt;&lt;/pub-dates&gt;&lt;/dates&gt;&lt;urls&gt;&lt;/urls&gt;&lt;electronic-resource-num&gt;10.2139/ssrn.2220501&lt;/electronic-resource-num&gt;&lt;/record&gt;&lt;/Cite&gt;&lt;/EndNote&gt;</w:instrText>
              </w:r>
              <w:r w:rsidR="002D6F18" w:rsidRPr="000A7F50">
                <w:rPr>
                  <w:vertAlign w:val="superscript"/>
                </w:rPr>
                <w:fldChar w:fldCharType="separate"/>
              </w:r>
              <w:r w:rsidR="002D6F18">
                <w:rPr>
                  <w:noProof/>
                  <w:vertAlign w:val="superscript"/>
                </w:rPr>
                <w:t>76</w:t>
              </w:r>
              <w:r w:rsidR="002D6F18" w:rsidRPr="000A7F50">
                <w:rPr>
                  <w:vertAlign w:val="superscript"/>
                </w:rPr>
                <w:fldChar w:fldCharType="end"/>
              </w:r>
            </w:hyperlink>
            <w:r w:rsidR="007B141D" w:rsidRPr="000A7F50">
              <w:rPr>
                <w:vertAlign w:val="superscript"/>
              </w:rPr>
              <w:t>,</w:t>
            </w:r>
            <w:hyperlink w:anchor="_ENREF_77" w:tooltip="Cissé, 2022 #997" w:history="1">
              <w:r w:rsidR="002D6F18" w:rsidRPr="000A7F50">
                <w:rPr>
                  <w:vertAlign w:val="superscript"/>
                </w:rPr>
                <w:fldChar w:fldCharType="begin"/>
              </w:r>
              <w:r w:rsidR="002D6F18">
                <w:rPr>
                  <w:vertAlign w:val="superscript"/>
                </w:rPr>
                <w:instrText xml:space="preserve"> ADDIN EN.CITE &lt;EndNote&gt;&lt;Cite&gt;&lt;Author&gt;Cissé&lt;/Author&gt;&lt;Year&gt;2022&lt;/Year&gt;&lt;RecNum&gt;997&lt;/RecNum&gt;&lt;DisplayText&gt;&lt;style face="superscript"&gt;77&lt;/style&gt;&lt;/DisplayText&gt;&lt;record&gt;&lt;rec-number&gt;997&lt;/rec-number&gt;&lt;foreign-keys&gt;&lt;key app="EN" db-id="rsettzd2isasdweewww55s9lffasxav0d0ft" timestamp="1720404735" guid="2ab14ff0-736f-463e-8131-3ce702161aea"&gt;997&lt;/key&gt;&lt;/foreign-keys&gt;&lt;ref-type name="Book Section"&gt;5&lt;/ref-type&gt;&lt;contributors&gt;&lt;authors&gt;&lt;author&gt;Cissé, G., &lt;/author&gt;&lt;author&gt;R. McLeman, &lt;/author&gt;&lt;author&gt;H. Adams, &lt;/author&gt;&lt;author&gt;P. Aldunce, &lt;/author&gt;&lt;author&gt;K. Bowen,&lt;/author&gt;&lt;author&gt;D. Campbell-Lendrum, &lt;/author&gt;&lt;author&gt;S. Clayton, &lt;/author&gt;&lt;author&gt;K.L. Ebi, &lt;/author&gt;&lt;author&gt;J. Hess,&lt;/author&gt;&lt;author&gt;C. Huang, &lt;/author&gt;&lt;author&gt;Q. Liu,&lt;/author&gt;&lt;author&gt;G. McGregor, &lt;/author&gt;&lt;author&gt;J. Semenza, &lt;/author&gt;&lt;author&gt;M.C. Tirado &lt;/author&gt;&lt;/authors&gt;&lt;secondary-authors&gt;&lt;author&gt; [H.-O. Pörtner, D.C. Roberts, M. Tignor, E.S. Poloczanska, K. Mintenbeck, A. Alegría, M. Craig, S. Langsdorf, S. Löschke, V. Möller, A. Okem, B. Rama (eds.)].&lt;/author&gt;&lt;/secondary-authors&gt;&lt;/contributors&gt;&lt;titles&gt;&lt;title&gt;Climate Change 2022: Impacts, Adaptation and Vulnerability. Contribution of Working Group II to the Sixth Assessment Report of the Intergovernmental Panel on Climate Change&lt;/title&gt;&lt;/titles&gt;&lt;pages&gt;1041–1170&lt;/pages&gt;&lt;section&gt;Health, Wellbeing, and the Changing Structure of Communities&lt;/section&gt;&lt;dates&gt;&lt;year&gt;2022&lt;/year&gt;&lt;/dates&gt;&lt;pub-location&gt;Cambridge, UK and New York, NY, USA&lt;/pub-location&gt;&lt;publisher&gt;Cambridge University Press&lt;/publisher&gt;&lt;urls&gt;&lt;/urls&gt;&lt;electronic-resource-num&gt;10.1017/9781009325844.009&lt;/electronic-resource-num&gt;&lt;/record&gt;&lt;/Cite&gt;&lt;/EndNote&gt;</w:instrText>
              </w:r>
              <w:r w:rsidR="002D6F18" w:rsidRPr="000A7F50">
                <w:rPr>
                  <w:vertAlign w:val="superscript"/>
                </w:rPr>
                <w:fldChar w:fldCharType="separate"/>
              </w:r>
              <w:r w:rsidR="002D6F18">
                <w:rPr>
                  <w:noProof/>
                  <w:vertAlign w:val="superscript"/>
                </w:rPr>
                <w:t>77</w:t>
              </w:r>
              <w:r w:rsidR="002D6F18" w:rsidRPr="000A7F50">
                <w:rPr>
                  <w:vertAlign w:val="superscript"/>
                </w:rPr>
                <w:fldChar w:fldCharType="end"/>
              </w:r>
            </w:hyperlink>
            <w:r w:rsidRPr="0072038E">
              <w:t xml:space="preserve"> </w:t>
            </w:r>
            <w:r w:rsidRPr="00B768A1">
              <w:t>Exposure to multiple natural disasters will become more common due to climate change, and Aboriginal and Torres Strait Islander and regional communities will be disproportionately impacted.</w:t>
            </w:r>
            <w:hyperlink w:anchor="_ENREF_78" w:tooltip="B, 2021 #998" w:history="1">
              <w:r w:rsidR="002D6F18" w:rsidRPr="00B03F65">
                <w:rPr>
                  <w:vertAlign w:val="superscript"/>
                </w:rPr>
                <w:fldChar w:fldCharType="begin"/>
              </w:r>
              <w:r w:rsidR="002D6F18">
                <w:rPr>
                  <w:vertAlign w:val="superscript"/>
                </w:rPr>
                <w:instrText xml:space="preserve"> ADDIN EN.CITE &lt;EndNote&gt;&lt;Cite&gt;&lt;Author&gt;B&lt;/Author&gt;&lt;Year&gt;2021&lt;/Year&gt;&lt;RecNum&gt;998&lt;/RecNum&gt;&lt;DisplayText&gt;&lt;style face="superscript"&gt;78&lt;/style&gt;&lt;/DisplayText&gt;&lt;record&gt;&lt;rec-number&gt;998&lt;/rec-number&gt;&lt;foreign-keys&gt;&lt;key app="EN" db-id="rsettzd2isasdweewww55s9lffasxav0d0ft" timestamp="1720405226" guid="54c3968c-11bf-4c0b-a301-c43d4e719a88"&gt;998&lt;/key&gt;&lt;/foreign-keys&gt;&lt;ref-type name="Journal Article"&gt;17&lt;/ref-type&gt;&lt;contributors&gt;&lt;authors&gt;&lt;author&gt;Edwards B&lt;/author&gt;&lt;author&gt;Gray M&lt;/author&gt;&lt;author&gt;Borja J&lt;/author&gt;&lt;/authors&gt;&lt;/contributors&gt;&lt;titles&gt;&lt;title&gt;Measuring Natural Hazard-Related Disasters through Self-Reports&lt;/title&gt;&lt;secondary-title&gt;International Journal of Disaster Risk Science&lt;/secondary-title&gt;&lt;/titles&gt;&lt;periodical&gt;&lt;full-title&gt;International Journal of Disaster Risk Science&lt;/full-title&gt;&lt;/periodical&gt;&lt;volume&gt;12&lt;/volume&gt;&lt;dates&gt;&lt;year&gt;2021&lt;/year&gt;&lt;pub-dates&gt;&lt;date&gt;06/09&lt;/date&gt;&lt;/pub-dates&gt;&lt;/dates&gt;&lt;urls&gt;&lt;/urls&gt;&lt;electronic-resource-num&gt;10.1007/s13753-021-00359-1&lt;/electronic-resource-num&gt;&lt;/record&gt;&lt;/Cite&gt;&lt;/EndNote&gt;</w:instrText>
              </w:r>
              <w:r w:rsidR="002D6F18" w:rsidRPr="00B03F65">
                <w:rPr>
                  <w:vertAlign w:val="superscript"/>
                </w:rPr>
                <w:fldChar w:fldCharType="separate"/>
              </w:r>
              <w:r w:rsidR="002D6F18">
                <w:rPr>
                  <w:noProof/>
                  <w:vertAlign w:val="superscript"/>
                </w:rPr>
                <w:t>78</w:t>
              </w:r>
              <w:r w:rsidR="002D6F18" w:rsidRPr="00B03F65">
                <w:rPr>
                  <w:vertAlign w:val="superscript"/>
                </w:rPr>
                <w:fldChar w:fldCharType="end"/>
              </w:r>
            </w:hyperlink>
            <w:r w:rsidR="00B03F65" w:rsidRPr="00B03F65">
              <w:rPr>
                <w:vertAlign w:val="superscript"/>
              </w:rPr>
              <w:t>,</w:t>
            </w:r>
            <w:hyperlink w:anchor="_ENREF_79" w:tooltip="Wright M, 2023 #999" w:history="1">
              <w:r w:rsidR="002D6F18" w:rsidRPr="00B03F65">
                <w:rPr>
                  <w:vertAlign w:val="superscript"/>
                </w:rPr>
                <w:fldChar w:fldCharType="begin"/>
              </w:r>
              <w:r w:rsidR="002D6F18">
                <w:rPr>
                  <w:vertAlign w:val="superscript"/>
                </w:rPr>
                <w:instrText xml:space="preserve"> ADDIN EN.CITE &lt;EndNote&gt;&lt;Cite&gt;&lt;Author&gt;Wright M&lt;/Author&gt;&lt;Year&gt;2023&lt;/Year&gt;&lt;RecNum&gt;999&lt;/RecNum&gt;&lt;DisplayText&gt;&lt;style face="superscript"&gt;79&lt;/style&gt;&lt;/DisplayText&gt;&lt;record&gt;&lt;rec-number&gt;999&lt;/rec-number&gt;&lt;foreign-keys&gt;&lt;key app="EN" db-id="rsettzd2isasdweewww55s9lffasxav0d0ft" timestamp="1720405372" guid="14eeaea6-5fd1-42a8-bbab-fb31f06a858a"&gt;999&lt;/key&gt;&lt;/foreign-keys&gt;&lt;ref-type name="Web Page"&gt;12&lt;/ref-type&gt;&lt;contributors&gt;&lt;authors&gt;&lt;author&gt;Wright M, &lt;/author&gt;&lt;author&gt;Ansloos J, &lt;/author&gt;&lt;author&gt;Sutherland S, &lt;/author&gt;&lt;author&gt;Walker R, &lt;/author&gt;&lt;author&gt;Bray A.  &lt;/author&gt;&lt;/authors&gt;&lt;/contributors&gt;&lt;titles&gt;&lt;title&gt;Climate change, social and emotional wellbeing, and suicide prevention&lt;/title&gt;&lt;/titles&gt;&lt;dates&gt;&lt;year&gt;2023&lt;/year&gt;&lt;/dates&gt;&lt;publisher&gt;Australian Institute of Health and Welfare &lt;/publisher&gt;&lt;work-type&gt;Internet&lt;/work-type&gt;&lt;urls&gt;&lt;/urls&gt;&lt;custom1&gt;2024&lt;/custom1&gt;&lt;custom2&gt;February 8&lt;/custom2&gt;&lt;electronic-resource-num&gt;10.25816/jhs5-0y59&lt;/electronic-resource-num&gt;&lt;/record&gt;&lt;/Cite&gt;&lt;/EndNote&gt;</w:instrText>
              </w:r>
              <w:r w:rsidR="002D6F18" w:rsidRPr="00B03F65">
                <w:rPr>
                  <w:vertAlign w:val="superscript"/>
                </w:rPr>
                <w:fldChar w:fldCharType="separate"/>
              </w:r>
              <w:r w:rsidR="002D6F18">
                <w:rPr>
                  <w:noProof/>
                  <w:vertAlign w:val="superscript"/>
                </w:rPr>
                <w:t>79</w:t>
              </w:r>
              <w:r w:rsidR="002D6F18" w:rsidRPr="00B03F65">
                <w:rPr>
                  <w:vertAlign w:val="superscript"/>
                </w:rPr>
                <w:fldChar w:fldCharType="end"/>
              </w:r>
            </w:hyperlink>
          </w:p>
        </w:tc>
      </w:tr>
      <w:tr w:rsidR="00C321DE" w14:paraId="36C57D4B" w14:textId="77777777" w:rsidTr="007C627A">
        <w:tc>
          <w:tcPr>
            <w:tcW w:w="1413" w:type="dxa"/>
          </w:tcPr>
          <w:p w14:paraId="57F0013E" w14:textId="77777777" w:rsidR="00C321DE" w:rsidRPr="00B768A1" w:rsidRDefault="00C321DE" w:rsidP="00634A83">
            <w:r w:rsidRPr="00B768A1">
              <w:t>Impacts of disability</w:t>
            </w:r>
          </w:p>
        </w:tc>
        <w:tc>
          <w:tcPr>
            <w:tcW w:w="7648" w:type="dxa"/>
            <w:tcMar>
              <w:top w:w="28" w:type="dxa"/>
              <w:bottom w:w="28" w:type="dxa"/>
            </w:tcMar>
          </w:tcPr>
          <w:p w14:paraId="2D6C820A" w14:textId="2AE527AA" w:rsidR="00C321DE" w:rsidRPr="00B768A1" w:rsidRDefault="7442539B" w:rsidP="00634A83">
            <w:r w:rsidRPr="5B74CE65">
              <w:t>People with disability are three times more likely to die by suicide than people without a disability. Experiencing limitations in activities due to disability is frequently identified as a psychosocial risk factor for people who have died by suicide.</w:t>
            </w:r>
            <w:hyperlink w:anchor="_ENREF_2" w:tooltip="Statistics, 2023 #481" w:history="1">
              <w:r w:rsidR="002D6F18">
                <w:fldChar w:fldCharType="begin"/>
              </w:r>
              <w:r w:rsidR="002D6F18">
                <w:instrText xml:space="preserve"> ADDIN EN.CITE &lt;EndNote&gt;&lt;Cite&gt;&lt;Author&gt;Statistics&lt;/Author&gt;&lt;Year&gt;2023&lt;/Year&gt;&lt;RecNum&gt;507&lt;/RecNum&gt;&lt;DisplayText&gt;&lt;style face="superscript"&gt;2&lt;/style&gt;&lt;/DisplayText&gt;&lt;record&gt;&lt;rec-number&gt;507&lt;/rec-number&gt;&lt;foreign-keys&gt;&lt;key app="EN" db-id="rsettzd2isasdweewww55s9lffasxav0d0ft" timestamp="1707862913" guid="8270e507-7922-40a2-bad7-1c4046fd0551"&gt;507&lt;/key&gt;&lt;/foreign-keys&gt;&lt;ref-type name="Web Page"&gt;12&lt;/ref-type&gt;&lt;contributors&gt;&lt;authors&gt;&lt;author&gt;Australian Bureau of Statistics&lt;/author&gt;&lt;/authors&gt;&lt;/contributors&gt;&lt;titles&gt;&lt;title&gt;Causes of Death, Australia, 2022&lt;/title&gt;&lt;/titles&gt;&lt;dates&gt;&lt;year&gt;2023&lt;/year&gt;&lt;/dates&gt;&lt;publisher&gt;ABS&lt;/publisher&gt;&lt;work-type&gt;Internet&lt;/work-type&gt;&lt;urls&gt;&lt;related-urls&gt;&lt;url&gt;https://www.abs.gov.au/statistics/health/causes-death/causes-death-australia/2022&lt;/url&gt;&lt;/related-urls&gt;&lt;/urls&gt;&lt;custom1&gt;2023&lt;/custom1&gt;&lt;custom2&gt;October 02&lt;/custom2&gt;&lt;/record&gt;&lt;/Cite&gt;&lt;/EndNote&gt;</w:instrText>
              </w:r>
              <w:r w:rsidR="002D6F18">
                <w:fldChar w:fldCharType="separate"/>
              </w:r>
              <w:r w:rsidR="002D6F18" w:rsidRPr="00E25362">
                <w:rPr>
                  <w:noProof/>
                  <w:vertAlign w:val="superscript"/>
                </w:rPr>
                <w:t>2</w:t>
              </w:r>
              <w:r w:rsidR="002D6F18">
                <w:fldChar w:fldCharType="end"/>
              </w:r>
            </w:hyperlink>
            <w:r w:rsidR="00B03F65">
              <w:t xml:space="preserve"> </w:t>
            </w:r>
            <w:r w:rsidRPr="00381701">
              <w:rPr>
                <w:rFonts w:cs="Poppins"/>
              </w:rPr>
              <w:t>P</w:t>
            </w:r>
            <w:r w:rsidRPr="5B74CE65">
              <w:t>eople with disability are more likely to experience violence, abuse, neglect and exploitation.</w:t>
            </w:r>
            <w:hyperlink w:anchor="_ENREF_80" w:tooltip="Services, 2021 [updated 2022 February 3] #1000" w:history="1">
              <w:r w:rsidR="002D6F18">
                <w:fldChar w:fldCharType="begin"/>
              </w:r>
              <w:r w:rsidR="002D6F18">
                <w:instrText xml:space="preserve"> ADDIN EN.CITE &lt;EndNote&gt;&lt;Cite&gt;&lt;Author&gt;Services&lt;/Author&gt;&lt;Year&gt;2021 [updated 2022 February 3]&lt;/Year&gt;&lt;RecNum&gt;1000&lt;/RecNum&gt;&lt;DisplayText&gt;&lt;style face="superscript"&gt;80&lt;/style&gt;&lt;/DisplayText&gt;&lt;record&gt;&lt;rec-number&gt;1000&lt;/rec-number&gt;&lt;foreign-keys&gt;&lt;key app="EN" db-id="rsettzd2isasdweewww55s9lffasxav0d0ft" timestamp="1720405836" guid="dfd5833c-fecf-4b92-9048-5fcc063fd4bc"&gt;1000&lt;/key&gt;&lt;/foreign-keys&gt;&lt;ref-type name="Web Page"&gt;12&lt;/ref-type&gt;&lt;contributors&gt;&lt;authors&gt;&lt;author&gt;Department of Social Services&lt;/author&gt;&lt;/authors&gt;&lt;/contributors&gt;&lt;titles&gt;&lt;title&gt;Australia’s Disability Strategy 2021–2031&lt;/title&gt;&lt;/titles&gt;&lt;dates&gt;&lt;year&gt;2021 [updated 2022 February 3]&lt;/year&gt;&lt;/dates&gt;&lt;pub-location&gt;Canberra&lt;/pub-location&gt;&lt;publisher&gt;DSS, Australian Government&lt;/publisher&gt;&lt;urls&gt;&lt;related-urls&gt;&lt;url&gt;https://www.disabilitygateway.gov.au/document/3106&lt;/url&gt;&lt;/related-urls&gt;&lt;/urls&gt;&lt;custom1&gt;2024&lt;/custom1&gt;&lt;custom2&gt;February 8&lt;/custom2&gt;&lt;/record&gt;&lt;/Cite&gt;&lt;/EndNote&gt;</w:instrText>
              </w:r>
              <w:r w:rsidR="002D6F18">
                <w:fldChar w:fldCharType="separate"/>
              </w:r>
              <w:r w:rsidR="002D6F18" w:rsidRPr="0082082D">
                <w:rPr>
                  <w:noProof/>
                  <w:vertAlign w:val="superscript"/>
                </w:rPr>
                <w:t>80</w:t>
              </w:r>
              <w:r w:rsidR="002D6F18">
                <w:fldChar w:fldCharType="end"/>
              </w:r>
            </w:hyperlink>
            <w:r w:rsidRPr="00B768A1">
              <w:t xml:space="preserve"> </w:t>
            </w:r>
          </w:p>
        </w:tc>
      </w:tr>
    </w:tbl>
    <w:p w14:paraId="65D9A43F" w14:textId="77777777" w:rsidR="000D4EFB" w:rsidRDefault="000D4EFB" w:rsidP="00634A83"/>
    <w:p w14:paraId="516480E9" w14:textId="02591413" w:rsidR="00C321DE" w:rsidRPr="00B768A1" w:rsidRDefault="11CBB945" w:rsidP="00634A83">
      <w:r w:rsidRPr="00B768A1" w:rsidDel="00037204">
        <w:t xml:space="preserve">While the trauma </w:t>
      </w:r>
      <w:r w:rsidRPr="00B768A1">
        <w:t>associated with</w:t>
      </w:r>
      <w:r w:rsidRPr="00B768A1" w:rsidDel="00037204">
        <w:t xml:space="preserve"> these </w:t>
      </w:r>
      <w:r w:rsidRPr="00B768A1">
        <w:t>experiences</w:t>
      </w:r>
      <w:r w:rsidRPr="00B768A1" w:rsidDel="00037204">
        <w:t xml:space="preserve"> </w:t>
      </w:r>
      <w:r w:rsidR="08566D2F">
        <w:t>is</w:t>
      </w:r>
      <w:r>
        <w:t xml:space="preserve"> </w:t>
      </w:r>
      <w:r w:rsidRPr="00B768A1">
        <w:t>unique for each person</w:t>
      </w:r>
      <w:r w:rsidRPr="00B768A1" w:rsidDel="00037204">
        <w:t xml:space="preserve">, there is clear evidence that </w:t>
      </w:r>
      <w:r w:rsidRPr="00B768A1">
        <w:t>the</w:t>
      </w:r>
      <w:r w:rsidR="6567BDC9" w:rsidRPr="00B768A1">
        <w:t>se risks</w:t>
      </w:r>
      <w:r w:rsidR="1C891567" w:rsidRPr="00B768A1">
        <w:t xml:space="preserve"> can</w:t>
      </w:r>
      <w:r w:rsidRPr="00B768A1" w:rsidDel="00037204">
        <w:t xml:space="preserve"> </w:t>
      </w:r>
      <w:r w:rsidRPr="00B768A1" w:rsidDel="00357BCC">
        <w:t>significantly increase suicid</w:t>
      </w:r>
      <w:r w:rsidR="05BB9ED7" w:rsidRPr="00B768A1" w:rsidDel="00357BCC">
        <w:t>al distress</w:t>
      </w:r>
      <w:r w:rsidRPr="00B768A1" w:rsidDel="00357BCC">
        <w:t xml:space="preserve">. </w:t>
      </w:r>
      <w:r w:rsidRPr="00B768A1">
        <w:t xml:space="preserve">Many of these </w:t>
      </w:r>
      <w:r w:rsidR="08B1A15C" w:rsidRPr="00B768A1">
        <w:t>risks</w:t>
      </w:r>
      <w:r w:rsidRPr="00B768A1">
        <w:t xml:space="preserve"> intersect with other socio-economic factors, adding to the </w:t>
      </w:r>
      <w:r w:rsidR="0FD9B75F" w:rsidRPr="00B768A1">
        <w:t xml:space="preserve">severity of </w:t>
      </w:r>
      <w:r w:rsidRPr="00B768A1">
        <w:t>suicid</w:t>
      </w:r>
      <w:r w:rsidR="246C4558" w:rsidRPr="00B768A1">
        <w:t>al distress and increasing the likelihood of suicidal behaviour</w:t>
      </w:r>
      <w:r w:rsidRPr="00B768A1">
        <w:t xml:space="preserve">. For example, factors that can increase the risk of </w:t>
      </w:r>
      <w:r w:rsidR="40BFB898">
        <w:t xml:space="preserve">experiencing </w:t>
      </w:r>
      <w:r w:rsidRPr="00B768A1">
        <w:t>violence include remoteness and socio-economic area of residence, disability, sexual orientation, gender identity and cultural influences</w:t>
      </w:r>
      <w:r w:rsidR="4DC7C34C" w:rsidRPr="00B768A1">
        <w:t>, which themselves are individually associated with suicidal distress</w:t>
      </w:r>
      <w:r w:rsidRPr="00B768A1">
        <w:t>.</w:t>
      </w:r>
      <w:hyperlink w:anchor="_ENREF_81" w:tooltip="Welfare, 2024 #1001" w:history="1">
        <w:r w:rsidR="002D6F18">
          <w:fldChar w:fldCharType="begin"/>
        </w:r>
        <w:r w:rsidR="002D6F18">
          <w:instrText xml:space="preserve"> ADDIN EN.CITE &lt;EndNote&gt;&lt;Cite&gt;&lt;Author&gt;Welfare&lt;/Author&gt;&lt;Year&gt;2024&lt;/Year&gt;&lt;RecNum&gt;1001&lt;/RecNum&gt;&lt;DisplayText&gt;&lt;style face="superscript"&gt;81&lt;/style&gt;&lt;/DisplayText&gt;&lt;record&gt;&lt;rec-number&gt;1001&lt;/rec-number&gt;&lt;foreign-keys&gt;&lt;key app="EN" db-id="rsettzd2isasdweewww55s9lffasxav0d0ft" timestamp="1720406145" guid="405aaa44-52d1-419b-a761-5bae4944f0af"&gt;1001&lt;/key&gt;&lt;/foreign-keys&gt;&lt;ref-type name="Web Page"&gt;12&lt;/ref-type&gt;&lt;contributors&gt;&lt;authors&gt;&lt;author&gt;Australian Institute of Health and Welfare&lt;/author&gt;&lt;/authors&gt;&lt;/contributors&gt;&lt;titles&gt;&lt;title&gt;Family, domestic and sexual violence: FDSV summary &lt;/title&gt;&lt;/titles&gt;&lt;dates&gt;&lt;year&gt;2024&lt;/year&gt;&lt;pub-dates&gt;&lt;date&gt;12 April 2024 &lt;/date&gt;&lt;/pub-dates&gt;&lt;/dates&gt;&lt;publisher&gt;AIHW, Australian Government&lt;/publisher&gt;&lt;work-type&gt;Internet &lt;/work-type&gt;&lt;urls&gt;&lt;related-urls&gt;&lt;url&gt;https://www.aihw.gov.au/reports/domestic-violence/family-domestic-and-sexual-violence&lt;/url&gt;&lt;/related-urls&gt;&lt;/urls&gt;&lt;custom1&gt;2024&lt;/custom1&gt;&lt;custom2&gt;May 1&lt;/custom2&gt;&lt;/record&gt;&lt;/Cite&gt;&lt;/EndNote&gt;</w:instrText>
        </w:r>
        <w:r w:rsidR="002D6F18">
          <w:fldChar w:fldCharType="separate"/>
        </w:r>
        <w:r w:rsidR="002D6F18" w:rsidRPr="0082082D">
          <w:rPr>
            <w:noProof/>
            <w:vertAlign w:val="superscript"/>
          </w:rPr>
          <w:t>81</w:t>
        </w:r>
        <w:r w:rsidR="002D6F18">
          <w:fldChar w:fldCharType="end"/>
        </w:r>
      </w:hyperlink>
    </w:p>
    <w:p w14:paraId="17B23C3F" w14:textId="5019B69A" w:rsidR="00C321DE" w:rsidRPr="00B768A1" w:rsidRDefault="11CBB945" w:rsidP="00634A83">
      <w:r w:rsidRPr="00B768A1">
        <w:t>Appropriate assistance for people w</w:t>
      </w:r>
      <w:r w:rsidR="455A907B" w:rsidRPr="00B768A1">
        <w:t xml:space="preserve">ho are </w:t>
      </w:r>
      <w:r w:rsidRPr="00B768A1">
        <w:t>experienc</w:t>
      </w:r>
      <w:r w:rsidR="73664040" w:rsidRPr="00B768A1">
        <w:t>ing these risks</w:t>
      </w:r>
      <w:r w:rsidRPr="00B768A1">
        <w:t xml:space="preserve"> requires trauma-informed and culturally sensitive practices. These practices involve an understanding of the consequences of a history of trauma, prioritise trust and safety, facilitate choice and agency, highlight the person’s strengths, and are informed by a person’s culture, ethnicity and social identity.</w:t>
      </w:r>
      <w:hyperlink w:anchor="_ENREF_82" w:tooltip="E, 2018 #1002" w:history="1">
        <w:r w:rsidR="002D6F18">
          <w:fldChar w:fldCharType="begin"/>
        </w:r>
        <w:r w:rsidR="002D6F18">
          <w:instrText xml:space="preserve"> ADDIN EN.CITE &lt;EndNote&gt;&lt;Cite&gt;&lt;Author&gt;E&lt;/Author&gt;&lt;Year&gt;2018&lt;/Year&gt;&lt;RecNum&gt;1002&lt;/RecNum&gt;&lt;DisplayText&gt;&lt;style face="superscript"&gt;82&lt;/style&gt;&lt;/DisplayText&gt;&lt;record&gt;&lt;rec-number&gt;1002&lt;/rec-number&gt;&lt;foreign-keys&gt;&lt;key app="EN" db-id="rsettzd2isasdweewww55s9lffasxav0d0ft" timestamp="1720406337" guid="c4b0ed74-73a8-42de-9879-4512b52c2c2f"&gt;1002&lt;/key&gt;&lt;/foreign-keys&gt;&lt;ref-type name="Journal Article"&gt;17&lt;/ref-type&gt;&lt;contributors&gt;&lt;authors&gt;&lt;author&gt;Purkey E&lt;/author&gt;&lt;author&gt;Patel R&lt;/author&gt;&lt;author&gt;Phillips S&lt;/author&gt;&lt;/authors&gt;&lt;/contributors&gt;&lt;titles&gt;&lt;title&gt;Trauma-Informed Care: Better care for everyone&lt;/title&gt;&lt;secondary-title&gt;Canadian family physician Medecin de famille canadien&lt;/secondary-title&gt;&lt;/titles&gt;&lt;periodical&gt;&lt;full-title&gt;Canadian family physician Medecin de famille canadien&lt;/full-title&gt;&lt;/periodical&gt;&lt;pages&gt;170-172&lt;/pages&gt;&lt;volume&gt;64&lt;/volume&gt;&lt;dates&gt;&lt;year&gt;2018&lt;/year&gt;&lt;pub-dates&gt;&lt;date&gt;03/01&lt;/date&gt;&lt;/pub-dates&gt;&lt;/dates&gt;&lt;isbn&gt;1715-5258&lt;/isbn&gt;&lt;urls&gt;&lt;/urls&gt;&lt;/record&gt;&lt;/Cite&gt;&lt;/EndNote&gt;</w:instrText>
        </w:r>
        <w:r w:rsidR="002D6F18">
          <w:fldChar w:fldCharType="separate"/>
        </w:r>
        <w:r w:rsidR="002D6F18" w:rsidRPr="0082082D">
          <w:rPr>
            <w:noProof/>
            <w:vertAlign w:val="superscript"/>
          </w:rPr>
          <w:t>82</w:t>
        </w:r>
        <w:r w:rsidR="002D6F18">
          <w:fldChar w:fldCharType="end"/>
        </w:r>
      </w:hyperlink>
    </w:p>
    <w:p w14:paraId="09567FCF" w14:textId="00DC8922" w:rsidR="003D3CA6" w:rsidRDefault="631F7AEC" w:rsidP="00634A83">
      <w:r>
        <w:t>I</w:t>
      </w:r>
      <w:r w:rsidR="23431EAC">
        <w:t>t is important that any action is tailored to suit the unique needs of specific cohorts and led by the experts in those particular social policy areas (action ko</w:t>
      </w:r>
      <w:r w:rsidR="7A1AE9A6">
        <w:t>1</w:t>
      </w:r>
      <w:r w:rsidR="09F4720A">
        <w:t>.2</w:t>
      </w:r>
      <w:r w:rsidR="23431EAC">
        <w:t xml:space="preserve">a to </w:t>
      </w:r>
      <w:r w:rsidR="52C6C401">
        <w:t>h</w:t>
      </w:r>
      <w:r w:rsidR="23431EAC">
        <w:t xml:space="preserve">). </w:t>
      </w:r>
    </w:p>
    <w:p w14:paraId="2BBDE8F2" w14:textId="75D38E9C" w:rsidR="00C321DE" w:rsidRDefault="23431EAC" w:rsidP="00634A83">
      <w:r>
        <w:t xml:space="preserve">The recommended actions to </w:t>
      </w:r>
      <w:r w:rsidR="00E13450">
        <w:t>address risks to personal safety</w:t>
      </w:r>
      <w:r>
        <w:t xml:space="preserve"> are described in</w:t>
      </w:r>
      <w:r w:rsidR="002C525A">
        <w:t xml:space="preserve"> </w:t>
      </w:r>
      <w:r w:rsidR="00231B9C">
        <w:fldChar w:fldCharType="begin"/>
      </w:r>
      <w:r w:rsidR="00231B9C">
        <w:instrText xml:space="preserve"> REF _Ref164869325 \h </w:instrText>
      </w:r>
      <w:r w:rsidR="00231B9C">
        <w:fldChar w:fldCharType="separate"/>
      </w:r>
      <w:r w:rsidR="009F12B4">
        <w:t xml:space="preserve">Table </w:t>
      </w:r>
      <w:r w:rsidR="009F12B4">
        <w:rPr>
          <w:noProof/>
        </w:rPr>
        <w:t>4</w:t>
      </w:r>
      <w:r w:rsidR="00231B9C">
        <w:fldChar w:fldCharType="end"/>
      </w:r>
      <w:r w:rsidR="002C525A">
        <w:t>.</w:t>
      </w:r>
    </w:p>
    <w:p w14:paraId="2F9E5E43" w14:textId="4659FE95" w:rsidR="00C321DE" w:rsidRPr="00641D27" w:rsidRDefault="00100EBC" w:rsidP="00100EBC">
      <w:pPr>
        <w:pStyle w:val="BT-Livedexperience-Orange-Heading"/>
        <w:ind w:firstLine="465"/>
      </w:pPr>
      <w:r>
        <w:rPr>
          <w:noProof/>
        </w:rPr>
        <w:drawing>
          <wp:anchor distT="0" distB="0" distL="114300" distR="114300" simplePos="0" relativeHeight="251658267" behindDoc="0" locked="0" layoutInCell="1" allowOverlap="1" wp14:anchorId="71B49966" wp14:editId="320BD488">
            <wp:simplePos x="0" y="0"/>
            <wp:positionH relativeFrom="column">
              <wp:posOffset>61595</wp:posOffset>
            </wp:positionH>
            <wp:positionV relativeFrom="paragraph">
              <wp:posOffset>145415</wp:posOffset>
            </wp:positionV>
            <wp:extent cx="320400" cy="320400"/>
            <wp:effectExtent l="0" t="0" r="3810" b="3810"/>
            <wp:wrapNone/>
            <wp:docPr id="4" name="Picture 4" descr="Start of quotation from Lived Experience Partnership Group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420201"/>
                    <pic:cNvPicPr/>
                  </pic:nvPicPr>
                  <pic:blipFill>
                    <a:blip r:embed="rId38" cstate="print">
                      <a:alphaModFix/>
                      <a:extLst>
                        <a:ext uri="{28A0092B-C50C-407E-A947-70E740481C1C}">
                          <a14:useLocalDpi xmlns:a14="http://schemas.microsoft.com/office/drawing/2010/main" val="0"/>
                        </a:ext>
                        <a:ext uri="{C183D7F6-B498-43B3-948B-1728B52AA6E4}">
                          <adec:decorative xmlns:arto="http://schemas.microsoft.com/office/word/2006/arto" xmlns:adec="http://schemas.microsoft.com/office/drawing/2017/decorative"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rot="16200000">
                      <a:off x="0" y="0"/>
                      <a:ext cx="320400" cy="320400"/>
                    </a:xfrm>
                    <a:prstGeom prst="rect">
                      <a:avLst/>
                    </a:prstGeom>
                  </pic:spPr>
                </pic:pic>
              </a:graphicData>
            </a:graphic>
            <wp14:sizeRelH relativeFrom="page">
              <wp14:pctWidth>0</wp14:pctWidth>
            </wp14:sizeRelH>
            <wp14:sizeRelV relativeFrom="page">
              <wp14:pctHeight>0</wp14:pctHeight>
            </wp14:sizeRelV>
          </wp:anchor>
        </w:drawing>
      </w:r>
      <w:r w:rsidR="00C321DE" w:rsidRPr="04A3B251">
        <w:t>Reflections from people with lived experience</w:t>
      </w:r>
    </w:p>
    <w:p w14:paraId="6992FBB7" w14:textId="12427D2D" w:rsidR="00C321DE" w:rsidRPr="00A70339" w:rsidRDefault="00C321DE" w:rsidP="00634A83">
      <w:pPr>
        <w:pStyle w:val="BT-Livedexperience-Orange"/>
      </w:pPr>
      <w:r w:rsidRPr="00A70339">
        <w:t xml:space="preserve">“As a child who had experienced several adversities and traumas, there was a push in the 1990s and early 2000s to </w:t>
      </w:r>
      <w:r w:rsidRPr="00A70339">
        <w:rPr>
          <w:rStyle w:val="Strong"/>
          <w:b w:val="0"/>
          <w:bCs w:val="0"/>
        </w:rPr>
        <w:t>overcome</w:t>
      </w:r>
      <w:r w:rsidRPr="00A70339">
        <w:t xml:space="preserve">, ignore and hide the </w:t>
      </w:r>
      <w:r w:rsidRPr="00A70339">
        <w:rPr>
          <w:rStyle w:val="Strong"/>
          <w:b w:val="0"/>
          <w:bCs w:val="0"/>
        </w:rPr>
        <w:t>truth</w:t>
      </w:r>
      <w:r w:rsidRPr="00A70339">
        <w:t xml:space="preserve">. Admitting I was in foster care was not only ostracising from my peers, but teachers as well. I am now a foster carer, using my lived experience to inform, progress and influence not only the children in my care, but the </w:t>
      </w:r>
      <w:r w:rsidRPr="00A70339">
        <w:rPr>
          <w:rStyle w:val="Strong"/>
          <w:b w:val="0"/>
          <w:bCs w:val="0"/>
        </w:rPr>
        <w:t>systems</w:t>
      </w:r>
      <w:r w:rsidRPr="00A70339">
        <w:rPr>
          <w:color w:val="8E5603" w:themeColor="accent5" w:themeShade="80"/>
        </w:rPr>
        <w:t xml:space="preserve"> </w:t>
      </w:r>
      <w:r w:rsidRPr="00A70339">
        <w:t xml:space="preserve">created to support them. We need to move away from the idea that adversities only </w:t>
      </w:r>
      <w:r w:rsidRPr="00A70339">
        <w:rPr>
          <w:rStyle w:val="Strong"/>
          <w:b w:val="0"/>
          <w:bCs w:val="0"/>
        </w:rPr>
        <w:t>affect</w:t>
      </w:r>
      <w:r w:rsidRPr="00A70339">
        <w:rPr>
          <w:color w:val="8E5603" w:themeColor="accent5" w:themeShade="80"/>
        </w:rPr>
        <w:t xml:space="preserve"> </w:t>
      </w:r>
      <w:r w:rsidRPr="00A70339">
        <w:t xml:space="preserve">the child while they are a child—the trauma will always be there, but with </w:t>
      </w:r>
      <w:r w:rsidRPr="00A70339">
        <w:rPr>
          <w:rStyle w:val="Strong"/>
          <w:b w:val="0"/>
          <w:bCs w:val="0"/>
        </w:rPr>
        <w:t>support</w:t>
      </w:r>
      <w:r w:rsidRPr="00A70339">
        <w:t xml:space="preserve">, the trauma may </w:t>
      </w:r>
      <w:r w:rsidRPr="00A70339">
        <w:rPr>
          <w:rStyle w:val="Strong"/>
          <w:b w:val="0"/>
          <w:bCs w:val="0"/>
        </w:rPr>
        <w:t>‘inform’</w:t>
      </w:r>
      <w:r w:rsidRPr="00A70339">
        <w:rPr>
          <w:color w:val="8E5603" w:themeColor="accent5" w:themeShade="80"/>
        </w:rPr>
        <w:t xml:space="preserve"> </w:t>
      </w:r>
      <w:r w:rsidRPr="00A70339">
        <w:t xml:space="preserve">areas in their </w:t>
      </w:r>
      <w:r w:rsidRPr="00A70339">
        <w:rPr>
          <w:rStyle w:val="Strong"/>
          <w:b w:val="0"/>
          <w:bCs w:val="0"/>
        </w:rPr>
        <w:t>life</w:t>
      </w:r>
      <w:r w:rsidRPr="00A70339">
        <w:t>, rather than ‘dictate’.”</w:t>
      </w:r>
    </w:p>
    <w:p w14:paraId="46CF9158" w14:textId="1783D954" w:rsidR="00C321DE" w:rsidRPr="00B768A1" w:rsidRDefault="00C321DE" w:rsidP="00F737BA">
      <w:pPr>
        <w:pStyle w:val="BT-Livedexperience-Orange"/>
        <w:jc w:val="right"/>
        <w:rPr>
          <w:rStyle w:val="Strong"/>
        </w:rPr>
      </w:pPr>
      <w:r w:rsidRPr="00B768A1">
        <w:rPr>
          <w:rStyle w:val="Strong"/>
        </w:rPr>
        <w:t>Chaya Rainbird</w:t>
      </w:r>
      <w:r w:rsidRPr="001B41FA">
        <w:rPr>
          <w:rStyle w:val="Strong"/>
          <w:b w:val="0"/>
          <w:bCs w:val="0"/>
        </w:rPr>
        <w:t>, Lived Experience Partnership Group member</w:t>
      </w:r>
    </w:p>
    <w:p w14:paraId="2407AC18" w14:textId="5232172B" w:rsidR="00C321DE" w:rsidRPr="00B768A1" w:rsidRDefault="00C321DE" w:rsidP="00634A83">
      <w:pPr>
        <w:pStyle w:val="BT-Beigebox-Heading"/>
      </w:pPr>
      <w:r w:rsidRPr="00B768A1">
        <w:t>Activity to build on</w:t>
      </w:r>
    </w:p>
    <w:p w14:paraId="5561E75D" w14:textId="47AF83F2" w:rsidR="00C321DE" w:rsidRDefault="7442539B" w:rsidP="00634A83">
      <w:pPr>
        <w:pStyle w:val="BT-Beigebox"/>
      </w:pPr>
      <w:r w:rsidRPr="00B768A1">
        <w:t xml:space="preserve">The New South Wales Department of Communities and Justice funds the Staying Home Leaving </w:t>
      </w:r>
      <w:r w:rsidRPr="00B768A1" w:rsidDel="00071136">
        <w:t xml:space="preserve">Violence </w:t>
      </w:r>
      <w:r w:rsidRPr="00B768A1">
        <w:t xml:space="preserve">program, which aims to keep survivors of family, domestic and sexual violence connected to their existing support systems (such as friends and community). It provides help with safety planning, home security, managing finances, </w:t>
      </w:r>
      <w:r>
        <w:t xml:space="preserve">and caring for </w:t>
      </w:r>
      <w:r w:rsidRPr="00B768A1">
        <w:t>children</w:t>
      </w:r>
      <w:r>
        <w:t>,</w:t>
      </w:r>
      <w:r w:rsidRPr="00B768A1">
        <w:t xml:space="preserve"> </w:t>
      </w:r>
      <w:r>
        <w:t xml:space="preserve">as well as </w:t>
      </w:r>
      <w:r w:rsidRPr="00B768A1">
        <w:t>legal assistance to ensure the long-term safety and housing stability of women and children who have left a violent and abusive relationship.</w:t>
      </w:r>
      <w:hyperlink w:anchor="_ENREF_83" w:tooltip="Justice, 2023 #386" w:history="1">
        <w:r w:rsidR="002D6F18">
          <w:fldChar w:fldCharType="begin"/>
        </w:r>
        <w:r w:rsidR="002D6F18">
          <w:instrText xml:space="preserve"> ADDIN EN.CITE &lt;EndNote&gt;&lt;Cite&gt;&lt;Author&gt;Justice&lt;/Author&gt;&lt;Year&gt;2023&lt;/Year&gt;&lt;RecNum&gt;386&lt;/RecNum&gt;&lt;DisplayText&gt;&lt;style face="superscript"&gt;83&lt;/style&gt;&lt;/DisplayText&gt;&lt;record&gt;&lt;rec-number&gt;386&lt;/rec-number&gt;&lt;foreign-keys&gt;&lt;key app="EN" db-id="rsettzd2isasdweewww55s9lffasxav0d0ft" timestamp="1700699472" guid="d682f1f7-5a2c-4f91-9436-7941d3eefbdd"&gt;386&lt;/key&gt;&lt;/foreign-keys&gt;&lt;ref-type name="Web Page"&gt;12&lt;/ref-type&gt;&lt;contributors&gt;&lt;authors&gt;&lt;author&gt;Department of Communities and Justice&lt;/author&gt;&lt;/authors&gt;&lt;/contributors&gt;&lt;titles&gt;&lt;title&gt;Staying Home Leaving Violence&lt;/title&gt;&lt;/titles&gt;&lt;dates&gt;&lt;year&gt;2023&lt;/year&gt;&lt;/dates&gt;&lt;publisher&gt;DCJ&lt;/publisher&gt;&lt;work-type&gt;Internet&lt;/work-type&gt;&lt;urls&gt;&lt;related-urls&gt;&lt;url&gt;https://www.facs.nsw.gov.au/domestic-violence-1/services-and-support0/programs/staying-home-leaving-violence&lt;/url&gt;&lt;/related-urls&gt;&lt;/urls&gt;&lt;custom1&gt;2023&lt;/custom1&gt;&lt;custom2&gt;October 30&lt;/custom2&gt;&lt;/record&gt;&lt;/Cite&gt;&lt;/EndNote&gt;</w:instrText>
        </w:r>
        <w:r w:rsidR="002D6F18">
          <w:fldChar w:fldCharType="separate"/>
        </w:r>
        <w:r w:rsidR="002D6F18" w:rsidRPr="0082082D">
          <w:rPr>
            <w:noProof/>
            <w:vertAlign w:val="superscript"/>
          </w:rPr>
          <w:t>83</w:t>
        </w:r>
        <w:r w:rsidR="002D6F18">
          <w:fldChar w:fldCharType="end"/>
        </w:r>
      </w:hyperlink>
    </w:p>
    <w:p w14:paraId="27F5C20A" w14:textId="7BA8A521" w:rsidR="00C321DE" w:rsidRPr="00B768A1" w:rsidRDefault="00C321DE" w:rsidP="00745B34">
      <w:pPr>
        <w:pStyle w:val="Caption"/>
      </w:pPr>
      <w:bookmarkStart w:id="43" w:name="_Ref164869325"/>
      <w:r>
        <w:t xml:space="preserve">Table </w:t>
      </w:r>
      <w:r w:rsidR="00F93B6D">
        <w:fldChar w:fldCharType="begin"/>
      </w:r>
      <w:r w:rsidR="00F93B6D">
        <w:instrText>SEQ Table \* ARABIC  \* MERGEFORMAT</w:instrText>
      </w:r>
      <w:r w:rsidR="00F93B6D">
        <w:fldChar w:fldCharType="separate"/>
      </w:r>
      <w:r w:rsidR="009F12B4">
        <w:rPr>
          <w:noProof/>
        </w:rPr>
        <w:t>4</w:t>
      </w:r>
      <w:r w:rsidR="00F93B6D">
        <w:rPr>
          <w:noProof/>
        </w:rPr>
        <w:fldChar w:fldCharType="end"/>
      </w:r>
      <w:bookmarkEnd w:id="43"/>
      <w:r>
        <w:t xml:space="preserve">: Recommended actions for Prevention objective </w:t>
      </w:r>
      <w:r w:rsidR="00A920A6">
        <w:t>1.2</w:t>
      </w:r>
      <w:r>
        <w:t>: Address risks to personal safety</w:t>
      </w:r>
    </w:p>
    <w:tbl>
      <w:tblPr>
        <w:tblStyle w:val="TableGrid"/>
        <w:tblW w:w="5000" w:type="pct"/>
        <w:tblLayout w:type="fixed"/>
        <w:tblLook w:val="0420" w:firstRow="1" w:lastRow="0" w:firstColumn="0" w:lastColumn="0" w:noHBand="0" w:noVBand="1"/>
        <w:tblCaption w:val="Recommended actions for Prevention objective 2.1: Address risks to personal safety"/>
        <w:tblDescription w:val="Describes actions ko2.1a to ko2.1i.&#10;"/>
      </w:tblPr>
      <w:tblGrid>
        <w:gridCol w:w="1269"/>
        <w:gridCol w:w="7792"/>
      </w:tblGrid>
      <w:tr w:rsidR="004F5B0E" w:rsidRPr="00554135" w14:paraId="220FBC60" w14:textId="77777777" w:rsidTr="48215A0F">
        <w:trPr>
          <w:cnfStyle w:val="100000000000" w:firstRow="1" w:lastRow="0" w:firstColumn="0" w:lastColumn="0" w:oddVBand="0" w:evenVBand="0" w:oddHBand="0" w:evenHBand="0" w:firstRowFirstColumn="0" w:firstRowLastColumn="0" w:lastRowFirstColumn="0" w:lastRowLastColumn="0"/>
          <w:tblHeader/>
        </w:trPr>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48002"/>
          </w:tcPr>
          <w:p w14:paraId="1A21B8A6" w14:textId="77777777" w:rsidR="004F5B0E" w:rsidRPr="00554135" w:rsidRDefault="004F5B0E" w:rsidP="004F5B0E">
            <w:pPr>
              <w:pStyle w:val="NMHCTableHeaderRow"/>
            </w:pPr>
            <w:r w:rsidRPr="00554135">
              <w:t>Action</w:t>
            </w:r>
          </w:p>
        </w:tc>
        <w:tc>
          <w:tcPr>
            <w:tcW w:w="77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48002"/>
            <w:tcMar>
              <w:top w:w="28" w:type="dxa"/>
              <w:bottom w:w="28" w:type="dxa"/>
            </w:tcMar>
          </w:tcPr>
          <w:p w14:paraId="1AB588EE" w14:textId="77777777" w:rsidR="004F5B0E" w:rsidRPr="00554135" w:rsidRDefault="004F5B0E" w:rsidP="004F5B0E">
            <w:pPr>
              <w:pStyle w:val="NMHCTableHeaderRow"/>
            </w:pPr>
            <w:r>
              <w:t>Description</w:t>
            </w:r>
          </w:p>
        </w:tc>
      </w:tr>
      <w:tr w:rsidR="004F5B0E" w:rsidRPr="00B768A1" w14:paraId="02C57C91" w14:textId="77777777" w:rsidTr="48215A0F">
        <w:tc>
          <w:tcPr>
            <w:tcW w:w="1270" w:type="dxa"/>
            <w:tcBorders>
              <w:top w:val="single" w:sz="4" w:space="0" w:color="FFFFFF" w:themeColor="background1"/>
            </w:tcBorders>
          </w:tcPr>
          <w:p w14:paraId="50BA7562" w14:textId="493E640B" w:rsidR="004F5B0E" w:rsidRPr="00A70339" w:rsidRDefault="004F5B0E" w:rsidP="00634A83">
            <w:r>
              <w:t>k</w:t>
            </w:r>
            <w:r w:rsidRPr="00A70339">
              <w:t>o</w:t>
            </w:r>
            <w:r>
              <w:t>1</w:t>
            </w:r>
            <w:r w:rsidRPr="00A70339">
              <w:t>.</w:t>
            </w:r>
            <w:r>
              <w:t>2</w:t>
            </w:r>
            <w:r w:rsidRPr="00A70339">
              <w:t>a</w:t>
            </w:r>
          </w:p>
        </w:tc>
        <w:tc>
          <w:tcPr>
            <w:tcW w:w="7797" w:type="dxa"/>
            <w:tcBorders>
              <w:top w:val="single" w:sz="4" w:space="0" w:color="FFFFFF" w:themeColor="background1"/>
            </w:tcBorders>
            <w:tcMar>
              <w:top w:w="28" w:type="dxa"/>
              <w:bottom w:w="28" w:type="dxa"/>
            </w:tcMar>
          </w:tcPr>
          <w:p w14:paraId="1C360785" w14:textId="77777777" w:rsidR="004F5B0E" w:rsidRPr="00A70339" w:rsidRDefault="004F5B0E" w:rsidP="00634A83">
            <w:r w:rsidRPr="00A70339">
              <w:t>Reduce the prevalence and impact of child abuse and neglect and family, domestic and sexual violence:</w:t>
            </w:r>
          </w:p>
          <w:p w14:paraId="5FCB47C4" w14:textId="28513F43" w:rsidR="004F5B0E" w:rsidRPr="00A70339" w:rsidRDefault="35247946" w:rsidP="00634A83">
            <w:pPr>
              <w:pStyle w:val="ListParagraph"/>
              <w:numPr>
                <w:ilvl w:val="0"/>
                <w:numId w:val="12"/>
              </w:numPr>
            </w:pPr>
            <w:r w:rsidRPr="00A70339">
              <w:t>Implement the National Strategy to Prevent and Respond to Child Sexual Abuse 2021–2030</w:t>
            </w:r>
            <w:hyperlink w:anchor="_ENREF_84" w:tooltip="Safety, 2021 #1003" w:history="1">
              <w:r w:rsidR="002D6F18">
                <w:fldChar w:fldCharType="begin"/>
              </w:r>
              <w:r w:rsidR="002D6F18">
                <w:instrText xml:space="preserve"> ADDIN EN.CITE &lt;EndNote&gt;&lt;Cite&gt;&lt;Author&gt;Safety&lt;/Author&gt;&lt;Year&gt;2021&lt;/Year&gt;&lt;RecNum&gt;1003&lt;/RecNum&gt;&lt;DisplayText&gt;&lt;style face="superscript"&gt;84&lt;/style&gt;&lt;/DisplayText&gt;&lt;record&gt;&lt;rec-number&gt;1003&lt;/rec-number&gt;&lt;foreign-keys&gt;&lt;key app="EN" db-id="rsettzd2isasdweewww55s9lffasxav0d0ft" timestamp="1720406828" guid="1fbd3235-fd2f-4f13-b68a-93ffb48252e3"&gt;1003&lt;/key&gt;&lt;/foreign-keys&gt;&lt;ref-type name="Web Page"&gt;12&lt;/ref-type&gt;&lt;contributors&gt;&lt;authors&gt;&lt;author&gt;National Office for Child Safety &lt;/author&gt;&lt;/authors&gt;&lt;/contributors&gt;&lt;titles&gt;&lt;title&gt;National Strategy to Prevent and Respond to Child Sexual Abuse 2021-2030&lt;/title&gt;&lt;/titles&gt;&lt;dates&gt;&lt;year&gt;2021&lt;/year&gt;&lt;/dates&gt;&lt;publisher&gt;NOCS, Australian Government&lt;/publisher&gt;&lt;isbn&gt;978-1-925364-66-8 &lt;/isbn&gt;&lt;urls&gt;&lt;related-urls&gt;&lt;url&gt;https://www.childsafety.gov.au/resources/national-strategy-prevent-and-respond-child-sexual-abuse-2021-2030&lt;/url&gt;&lt;/related-urls&gt;&lt;/urls&gt;&lt;/record&gt;&lt;/Cite&gt;&lt;/EndNote&gt;</w:instrText>
              </w:r>
              <w:r w:rsidR="002D6F18">
                <w:fldChar w:fldCharType="separate"/>
              </w:r>
              <w:r w:rsidR="002D6F18" w:rsidRPr="0082082D">
                <w:rPr>
                  <w:noProof/>
                  <w:vertAlign w:val="superscript"/>
                </w:rPr>
                <w:t>84</w:t>
              </w:r>
              <w:r w:rsidR="002D6F18">
                <w:fldChar w:fldCharType="end"/>
              </w:r>
            </w:hyperlink>
            <w:r w:rsidR="007D1DB1">
              <w:t xml:space="preserve"> </w:t>
            </w:r>
            <w:r w:rsidRPr="00A70339">
              <w:t>and Safe and Supported: the National Framework for Protecting Australia’s Children 2021–2031.</w:t>
            </w:r>
            <w:hyperlink w:anchor="_ENREF_85" w:tooltip="Services, 2021 #1004" w:history="1">
              <w:r w:rsidR="002D6F18">
                <w:fldChar w:fldCharType="begin"/>
              </w:r>
              <w:r w:rsidR="002D6F18">
                <w:instrText xml:space="preserve"> ADDIN EN.CITE &lt;EndNote&gt;&lt;Cite&gt;&lt;Author&gt;Services&lt;/Author&gt;&lt;Year&gt;2021&lt;/Year&gt;&lt;RecNum&gt;1004&lt;/RecNum&gt;&lt;DisplayText&gt;&lt;style face="superscript"&gt;85&lt;/style&gt;&lt;/DisplayText&gt;&lt;record&gt;&lt;rec-number&gt;1004&lt;/rec-number&gt;&lt;foreign-keys&gt;&lt;key app="EN" db-id="rsettzd2isasdweewww55s9lffasxav0d0ft" timestamp="1720407432" guid="dadead12-85c0-4fa5-9d15-2316243fb5fc"&gt;1004&lt;/key&gt;&lt;/foreign-keys&gt;&lt;ref-type name="Web Page"&gt;12&lt;/ref-type&gt;&lt;contributors&gt;&lt;authors&gt;&lt;author&gt;Department of Social Services&lt;/author&gt;&lt;/authors&gt;&lt;/contributors&gt;&lt;titles&gt;&lt;title&gt;Safe and Supported: the National Framework for Protecting Australia’s Children 2021–2031&lt;/title&gt;&lt;/titles&gt;&lt;dates&gt;&lt;year&gt;2021&lt;/year&gt;&lt;/dates&gt;&lt;publisher&gt;DSS, Australian Government&lt;/publisher&gt;&lt;isbn&gt;978-1-921130-13-7&lt;/isbn&gt;&lt;urls&gt;&lt;related-urls&gt;&lt;url&gt;https://www.dss.gov.au/sites/default/files/documents/12_2021/dess5016-national-framework-protecting-childrenaccessible.pdf&lt;/url&gt;&lt;/related-urls&gt;&lt;/urls&gt;&lt;custom1&gt;2024&lt;/custom1&gt;&lt;custom2&gt;March 6&lt;/custom2&gt;&lt;/record&gt;&lt;/Cite&gt;&lt;/EndNote&gt;</w:instrText>
              </w:r>
              <w:r w:rsidR="002D6F18">
                <w:fldChar w:fldCharType="separate"/>
              </w:r>
              <w:r w:rsidR="002D6F18" w:rsidRPr="0082082D">
                <w:rPr>
                  <w:noProof/>
                  <w:vertAlign w:val="superscript"/>
                </w:rPr>
                <w:t>85</w:t>
              </w:r>
              <w:r w:rsidR="002D6F18">
                <w:fldChar w:fldCharType="end"/>
              </w:r>
            </w:hyperlink>
          </w:p>
          <w:p w14:paraId="148D0ADD" w14:textId="3ED32470" w:rsidR="004F5B0E" w:rsidRPr="00A70339" w:rsidRDefault="35247946" w:rsidP="00634A83">
            <w:pPr>
              <w:pStyle w:val="ListParagraph"/>
              <w:numPr>
                <w:ilvl w:val="0"/>
                <w:numId w:val="12"/>
              </w:numPr>
            </w:pPr>
            <w:r w:rsidRPr="00A70339">
              <w:t>Implement the National Plan to End Violence Against Women and Children 2022–2032.</w:t>
            </w:r>
            <w:hyperlink w:anchor="_ENREF_35" w:tooltip="Services,  #988" w:history="1">
              <w:r w:rsidR="002D6F18">
                <w:fldChar w:fldCharType="begin"/>
              </w:r>
              <w:r w:rsidR="002D6F18">
                <w:instrText xml:space="preserve"> ADDIN EN.CITE &lt;EndNote&gt;&lt;Cite&gt;&lt;Author&gt;Services&lt;/Author&gt;&lt;RecNum&gt;988&lt;/RecNum&gt;&lt;DisplayText&gt;&lt;style face="superscript"&gt;35&lt;/style&gt;&lt;/DisplayText&gt;&lt;record&gt;&lt;rec-number&gt;988&lt;/rec-number&gt;&lt;foreign-keys&gt;&lt;key app="EN" db-id="rsettzd2isasdweewww55s9lffasxav0d0ft" timestamp="1720077702" guid="ab2b8f72-c43e-4065-bdf0-57f67489ce10"&gt;988&lt;/key&gt;&lt;/foreign-keys&gt;&lt;ref-type name="Web Page"&gt;12&lt;/ref-type&gt;&lt;contributors&gt;&lt;authors&gt;&lt;author&gt;Department of Social Services&lt;/author&gt;&lt;/authors&gt;&lt;secondary-authors&gt;&lt;author&gt;Department of Social Services&lt;/author&gt;&lt;/secondary-authors&gt;&lt;/contributors&gt;&lt;titles&gt;&lt;title&gt;National Plan to End Violence against Women and Children 2022–2032 &lt;/title&gt;&lt;/titles&gt;&lt;dates&gt;&lt;/dates&gt;&lt;publisher&gt;Department of Social Services&lt;/publisher&gt;&lt;urls&gt;&lt;related-urls&gt;&lt;url&gt;https://www.dss.gov.au/sites/default/files/documents/10_2023/national-plan-end-violence-against-women-and-children-2022-2032.pdf&lt;/url&gt;&lt;/related-urls&gt;&lt;/urls&gt;&lt;custom1&gt;2024&lt;/custom1&gt;&lt;custom2&gt;March 6&lt;/custom2&gt;&lt;/record&gt;&lt;/Cite&gt;&lt;/EndNote&gt;</w:instrText>
              </w:r>
              <w:r w:rsidR="002D6F18">
                <w:fldChar w:fldCharType="separate"/>
              </w:r>
              <w:r w:rsidR="002D6F18" w:rsidRPr="0082082D">
                <w:rPr>
                  <w:noProof/>
                  <w:vertAlign w:val="superscript"/>
                </w:rPr>
                <w:t>35</w:t>
              </w:r>
              <w:r w:rsidR="002D6F18">
                <w:fldChar w:fldCharType="end"/>
              </w:r>
            </w:hyperlink>
            <w:r w:rsidR="00523B40">
              <w:t xml:space="preserve"> </w:t>
            </w:r>
          </w:p>
        </w:tc>
      </w:tr>
      <w:tr w:rsidR="004F5B0E" w:rsidRPr="00B768A1" w14:paraId="16879717" w14:textId="77777777" w:rsidTr="48215A0F">
        <w:tc>
          <w:tcPr>
            <w:tcW w:w="1270" w:type="dxa"/>
          </w:tcPr>
          <w:p w14:paraId="6D486A44" w14:textId="4274FD6D" w:rsidR="004F5B0E" w:rsidRPr="00B768A1" w:rsidRDefault="004F5B0E" w:rsidP="00634A83">
            <w:pPr>
              <w:rPr>
                <w:b/>
              </w:rPr>
            </w:pPr>
            <w:r>
              <w:t>ko1</w:t>
            </w:r>
            <w:r w:rsidRPr="00B768A1">
              <w:t>.</w:t>
            </w:r>
            <w:r>
              <w:t>2</w:t>
            </w:r>
            <w:r w:rsidRPr="00B768A1">
              <w:t>b</w:t>
            </w:r>
          </w:p>
        </w:tc>
        <w:tc>
          <w:tcPr>
            <w:tcW w:w="7797" w:type="dxa"/>
            <w:tcMar>
              <w:top w:w="28" w:type="dxa"/>
              <w:bottom w:w="28" w:type="dxa"/>
            </w:tcMar>
          </w:tcPr>
          <w:p w14:paraId="0E21AE42" w14:textId="77777777" w:rsidR="004F5B0E" w:rsidRPr="00B768A1" w:rsidRDefault="004F5B0E" w:rsidP="00634A83">
            <w:pPr>
              <w:rPr>
                <w:b/>
                <w:bCs/>
              </w:rPr>
            </w:pPr>
            <w:r w:rsidRPr="00B768A1">
              <w:t>Ensure mental health services and other relevant supports, particularly those provided to children and young people, work in a trauma-informed and culturally safe way.</w:t>
            </w:r>
          </w:p>
        </w:tc>
      </w:tr>
      <w:tr w:rsidR="004F5B0E" w:rsidRPr="00B768A1" w14:paraId="151D41AE" w14:textId="77777777" w:rsidTr="48215A0F">
        <w:tc>
          <w:tcPr>
            <w:tcW w:w="1270" w:type="dxa"/>
          </w:tcPr>
          <w:p w14:paraId="6ABBFE95" w14:textId="181360D9" w:rsidR="004F5B0E" w:rsidRPr="00B768A1" w:rsidRDefault="004F5B0E" w:rsidP="00634A83">
            <w:pPr>
              <w:rPr>
                <w:b/>
              </w:rPr>
            </w:pPr>
            <w:r>
              <w:t>ko1</w:t>
            </w:r>
            <w:r w:rsidRPr="00B768A1">
              <w:t>.</w:t>
            </w:r>
            <w:r>
              <w:t>2</w:t>
            </w:r>
            <w:r w:rsidRPr="00B768A1">
              <w:t>c</w:t>
            </w:r>
          </w:p>
        </w:tc>
        <w:tc>
          <w:tcPr>
            <w:tcW w:w="7797" w:type="dxa"/>
            <w:tcMar>
              <w:top w:w="28" w:type="dxa"/>
              <w:bottom w:w="28" w:type="dxa"/>
            </w:tcMar>
          </w:tcPr>
          <w:p w14:paraId="492280EE" w14:textId="77777777" w:rsidR="004F5B0E" w:rsidRPr="00B768A1" w:rsidRDefault="004F5B0E" w:rsidP="00634A83">
            <w:r w:rsidRPr="0B9C4162">
              <w:t>Design and deliver nationally consistent wraparound services to support children and young people impacted by adversity (for example, experiences of trauma, abuse and neglect, residing in out-of-home care, or significant conflict with primary caregivers).</w:t>
            </w:r>
          </w:p>
        </w:tc>
      </w:tr>
      <w:tr w:rsidR="004F5B0E" w:rsidRPr="00B768A1" w14:paraId="5B47B62F" w14:textId="77777777" w:rsidTr="48215A0F">
        <w:tc>
          <w:tcPr>
            <w:tcW w:w="1270" w:type="dxa"/>
          </w:tcPr>
          <w:p w14:paraId="1E6D7286" w14:textId="06091F15" w:rsidR="004F5B0E" w:rsidRPr="00B768A1" w:rsidRDefault="004F5B0E" w:rsidP="00634A83">
            <w:pPr>
              <w:rPr>
                <w:b/>
              </w:rPr>
            </w:pPr>
            <w:r>
              <w:t>ko1</w:t>
            </w:r>
            <w:r w:rsidRPr="00B768A1">
              <w:t>.</w:t>
            </w:r>
            <w:r>
              <w:t>2</w:t>
            </w:r>
            <w:r w:rsidRPr="00B768A1">
              <w:t>d</w:t>
            </w:r>
          </w:p>
        </w:tc>
        <w:tc>
          <w:tcPr>
            <w:tcW w:w="7797" w:type="dxa"/>
            <w:tcMar>
              <w:top w:w="28" w:type="dxa"/>
              <w:bottom w:w="28" w:type="dxa"/>
            </w:tcMar>
          </w:tcPr>
          <w:p w14:paraId="67CF4F00" w14:textId="77777777" w:rsidR="004F5B0E" w:rsidRPr="00B768A1" w:rsidRDefault="004F5B0E" w:rsidP="00634A83">
            <w:r w:rsidRPr="00B768A1">
              <w:t xml:space="preserve">Review anti-discrimination legislation and related anti-discrimination frameworks from a suicide prevention perspective to ensure that groups disproportionately impacted by suicide are adequately protected from discrimination, racism and abuse. </w:t>
            </w:r>
          </w:p>
        </w:tc>
      </w:tr>
      <w:tr w:rsidR="004F5B0E" w:rsidRPr="00B768A1" w14:paraId="30CC699E" w14:textId="77777777" w:rsidTr="48215A0F">
        <w:trPr>
          <w:trHeight w:val="582"/>
        </w:trPr>
        <w:tc>
          <w:tcPr>
            <w:tcW w:w="1270" w:type="dxa"/>
          </w:tcPr>
          <w:p w14:paraId="69251472" w14:textId="63968F2B" w:rsidR="004F5B0E" w:rsidRPr="00B768A1" w:rsidRDefault="004F5B0E" w:rsidP="00634A83">
            <w:pPr>
              <w:rPr>
                <w:b/>
              </w:rPr>
            </w:pPr>
            <w:r>
              <w:t>ko1</w:t>
            </w:r>
            <w:r w:rsidRPr="00B768A1">
              <w:t>.</w:t>
            </w:r>
            <w:r>
              <w:t>2</w:t>
            </w:r>
            <w:r w:rsidRPr="00B768A1">
              <w:t>e</w:t>
            </w:r>
          </w:p>
        </w:tc>
        <w:tc>
          <w:tcPr>
            <w:tcW w:w="7797" w:type="dxa"/>
            <w:tcMar>
              <w:top w:w="28" w:type="dxa"/>
              <w:bottom w:w="28" w:type="dxa"/>
            </w:tcMar>
          </w:tcPr>
          <w:p w14:paraId="4E8E3E6B" w14:textId="77777777" w:rsidR="004F5B0E" w:rsidRPr="00B768A1" w:rsidRDefault="004F5B0E" w:rsidP="00634A83">
            <w:pPr>
              <w:rPr>
                <w:rFonts w:cstheme="minorHAnsi"/>
              </w:rPr>
            </w:pPr>
            <w:r w:rsidRPr="00B768A1">
              <w:t xml:space="preserve">Provide assistance and guidance for primary and secondary schools to implement evidence-based bullying prevention programs. </w:t>
            </w:r>
          </w:p>
        </w:tc>
      </w:tr>
      <w:tr w:rsidR="004F5B0E" w:rsidRPr="00B768A1" w14:paraId="7133B0AE" w14:textId="77777777" w:rsidTr="48215A0F">
        <w:tc>
          <w:tcPr>
            <w:tcW w:w="1270" w:type="dxa"/>
          </w:tcPr>
          <w:p w14:paraId="2CFCB215" w14:textId="5C281734" w:rsidR="004F5B0E" w:rsidRPr="00B768A1" w:rsidRDefault="004F5B0E" w:rsidP="00634A83">
            <w:pPr>
              <w:rPr>
                <w:b/>
              </w:rPr>
            </w:pPr>
            <w:r>
              <w:t>ko1</w:t>
            </w:r>
            <w:r w:rsidRPr="00B768A1">
              <w:t>.</w:t>
            </w:r>
            <w:r>
              <w:t>2</w:t>
            </w:r>
            <w:r w:rsidRPr="00B768A1">
              <w:t>f</w:t>
            </w:r>
          </w:p>
        </w:tc>
        <w:tc>
          <w:tcPr>
            <w:tcW w:w="7797" w:type="dxa"/>
            <w:tcMar>
              <w:top w:w="28" w:type="dxa"/>
              <w:bottom w:w="28" w:type="dxa"/>
            </w:tcMar>
          </w:tcPr>
          <w:p w14:paraId="7548A7BE" w14:textId="584F8F88" w:rsidR="004F5B0E" w:rsidRPr="00B768A1" w:rsidRDefault="35247946" w:rsidP="00634A83">
            <w:r w:rsidRPr="5B74CE65">
              <w:t xml:space="preserve">Consistent with the </w:t>
            </w:r>
            <w:r w:rsidRPr="48215A0F">
              <w:rPr>
                <w:i/>
                <w:iCs/>
              </w:rPr>
              <w:t>Australian Work Health and Safety Strategy 2023–2033</w:t>
            </w:r>
            <w:r w:rsidRPr="5B74CE65">
              <w:t>,</w:t>
            </w:r>
            <w:hyperlink w:anchor="_ENREF_86" w:tooltip="Australia, 2023 #1005" w:history="1">
              <w:r w:rsidR="002D6F18">
                <w:fldChar w:fldCharType="begin"/>
              </w:r>
              <w:r w:rsidR="002D6F18">
                <w:instrText xml:space="preserve"> ADDIN EN.CITE &lt;EndNote&gt;&lt;Cite&gt;&lt;Author&gt;Australia&lt;/Author&gt;&lt;Year&gt;2023&lt;/Year&gt;&lt;RecNum&gt;1005&lt;/RecNum&gt;&lt;DisplayText&gt;&lt;style face="superscript"&gt;86&lt;/style&gt;&lt;/DisplayText&gt;&lt;record&gt;&lt;rec-number&gt;1005&lt;/rec-number&gt;&lt;foreign-keys&gt;&lt;key app="EN" db-id="rsettzd2isasdweewww55s9lffasxav0d0ft" timestamp="1720407696" guid="21e83984-cd3e-4167-a7d8-55a6f406521d"&gt;1005&lt;/key&gt;&lt;/foreign-keys&gt;&lt;ref-type name="Web Page"&gt;12&lt;/ref-type&gt;&lt;contributors&gt;&lt;authors&gt;&lt;author&gt;Safe Work Australia &lt;/author&gt;&lt;/authors&gt;&lt;/contributors&gt;&lt;titles&gt;&lt;title&gt;Australian Work Health and Safety (WHS) Strategy 2023–2033&lt;/title&gt;&lt;/titles&gt;&lt;dates&gt;&lt;year&gt;2023&lt;/year&gt;&lt;/dates&gt;&lt;publisher&gt;Safe Work Australia&lt;/publisher&gt;&lt;work-type&gt;Internet&lt;/work-type&gt;&lt;urls&gt;&lt;related-urls&gt;&lt;url&gt;https://www.safeworkaustralia.gov.au/sites/default/files/2023-10/australian_whs_strategy_2023-33_october2023.pdf&lt;/url&gt;&lt;/related-urls&gt;&lt;/urls&gt;&lt;custom1&gt;2024&lt;/custom1&gt;&lt;custom2&gt;March 6&lt;/custom2&gt;&lt;/record&gt;&lt;/Cite&gt;&lt;/EndNote&gt;</w:instrText>
              </w:r>
              <w:r w:rsidR="002D6F18">
                <w:fldChar w:fldCharType="separate"/>
              </w:r>
              <w:r w:rsidR="002D6F18" w:rsidRPr="0082082D">
                <w:rPr>
                  <w:noProof/>
                  <w:vertAlign w:val="superscript"/>
                </w:rPr>
                <w:t>86</w:t>
              </w:r>
              <w:r w:rsidR="002D6F18">
                <w:fldChar w:fldCharType="end"/>
              </w:r>
            </w:hyperlink>
            <w:r w:rsidRPr="5B74CE65">
              <w:t xml:space="preserve"> build the capability of employers to comply with their duty to manage psychosocial hazards at work, with a particular focus on industries that have higher rates of exposure to distressing and traumatic incidents.</w:t>
            </w:r>
          </w:p>
        </w:tc>
      </w:tr>
      <w:tr w:rsidR="004F5B0E" w:rsidRPr="00B768A1" w14:paraId="3E4B62E0" w14:textId="77777777" w:rsidTr="48215A0F">
        <w:tc>
          <w:tcPr>
            <w:tcW w:w="1270" w:type="dxa"/>
          </w:tcPr>
          <w:p w14:paraId="670DF639" w14:textId="23524E1F" w:rsidR="004F5B0E" w:rsidRPr="00B44782" w:rsidRDefault="004F5B0E" w:rsidP="00634A83">
            <w:r>
              <w:t>k</w:t>
            </w:r>
            <w:r w:rsidRPr="00B44782">
              <w:t>o1.</w:t>
            </w:r>
            <w:r>
              <w:t>2</w:t>
            </w:r>
            <w:r w:rsidRPr="00B44782">
              <w:t>g</w:t>
            </w:r>
          </w:p>
        </w:tc>
        <w:tc>
          <w:tcPr>
            <w:tcW w:w="7797" w:type="dxa"/>
            <w:tcMar>
              <w:top w:w="28" w:type="dxa"/>
              <w:bottom w:w="28" w:type="dxa"/>
            </w:tcMar>
          </w:tcPr>
          <w:p w14:paraId="1DABE205" w14:textId="310E1F1C" w:rsidR="004F5B0E" w:rsidRPr="00B44782" w:rsidRDefault="35247946" w:rsidP="00634A83">
            <w:r>
              <w:t>Continue to</w:t>
            </w:r>
            <w:r w:rsidRPr="00B44782">
              <w:t xml:space="preserve"> implement the </w:t>
            </w:r>
            <w:r w:rsidRPr="48215A0F">
              <w:rPr>
                <w:i/>
                <w:iCs/>
              </w:rPr>
              <w:t>National Disaster Mental Health and Wellbeing Framework</w:t>
            </w:r>
            <w:hyperlink w:anchor="_ENREF_87" w:tooltip="Commission, 2023 #1006" w:history="1">
              <w:r w:rsidR="002D6F18">
                <w:rPr>
                  <w:i/>
                  <w:iCs/>
                </w:rPr>
                <w:fldChar w:fldCharType="begin"/>
              </w:r>
              <w:r w:rsidR="002D6F18">
                <w:rPr>
                  <w:i/>
                  <w:iCs/>
                </w:rPr>
                <w:instrText xml:space="preserve"> ADDIN EN.CITE &lt;EndNote&gt;&lt;Cite&gt;&lt;Author&gt;Commission&lt;/Author&gt;&lt;Year&gt;2023&lt;/Year&gt;&lt;RecNum&gt;1006&lt;/RecNum&gt;&lt;DisplayText&gt;&lt;style face="superscript"&gt;87&lt;/style&gt;&lt;/DisplayText&gt;&lt;record&gt;&lt;rec-number&gt;1006&lt;/rec-number&gt;&lt;foreign-keys&gt;&lt;key app="EN" db-id="rsettzd2isasdweewww55s9lffasxav0d0ft" timestamp="1720407987" guid="03fdbe7e-610f-412b-bc05-11cb70990ea9"&gt;1006&lt;/key&gt;&lt;/foreign-keys&gt;&lt;ref-type name="Web Page"&gt;12&lt;/ref-type&gt;&lt;contributors&gt;&lt;authors&gt;&lt;author&gt;National Mental Health Commission &lt;/author&gt;&lt;/authors&gt;&lt;/contributors&gt;&lt;titles&gt;&lt;title&gt;National Disaster Mental Health and Wellbeing Framework: Supporting Australian&amp;apos;s Mental Health Through Disaster&lt;/title&gt;&lt;/titles&gt;&lt;dates&gt;&lt;year&gt;2023&lt;/year&gt;&lt;/dates&gt;&lt;work-type&gt;Internet&lt;/work-type&gt;&lt;urls&gt;&lt;related-urls&gt;&lt;url&gt;https://nema.gov.au/sites/default/files/inline-files/28108%20NEMA%20National%20Disaster%20Mental%20Health%20and%20Wellbeing%20Framework%20FA%20v4.pdf&lt;/url&gt;&lt;/related-urls&gt;&lt;/urls&gt;&lt;custom1&gt;2024&lt;/custom1&gt;&lt;custom2&gt;March 6&lt;/custom2&gt;&lt;/record&gt;&lt;/Cite&gt;&lt;/EndNote&gt;</w:instrText>
              </w:r>
              <w:r w:rsidR="002D6F18">
                <w:rPr>
                  <w:i/>
                  <w:iCs/>
                </w:rPr>
                <w:fldChar w:fldCharType="separate"/>
              </w:r>
              <w:r w:rsidR="002D6F18" w:rsidRPr="0082082D">
                <w:rPr>
                  <w:i/>
                  <w:iCs/>
                  <w:noProof/>
                  <w:vertAlign w:val="superscript"/>
                </w:rPr>
                <w:t>87</w:t>
              </w:r>
              <w:r w:rsidR="002D6F18">
                <w:rPr>
                  <w:i/>
                  <w:iCs/>
                </w:rPr>
                <w:fldChar w:fldCharType="end"/>
              </w:r>
            </w:hyperlink>
            <w:r w:rsidRPr="00B44782">
              <w:t xml:space="preserve"> and incorporate suicide prevention capacity-building and processes as part of standard recovery responses for natural and other significant disasters spanning both immediate and long-term recovery efforts.</w:t>
            </w:r>
          </w:p>
        </w:tc>
      </w:tr>
      <w:tr w:rsidR="004F5B0E" w:rsidRPr="00B768A1" w14:paraId="6FA5B03A" w14:textId="77777777" w:rsidTr="48215A0F">
        <w:tc>
          <w:tcPr>
            <w:tcW w:w="1270" w:type="dxa"/>
          </w:tcPr>
          <w:p w14:paraId="100E747D" w14:textId="2721ED59" w:rsidR="004F5B0E" w:rsidRPr="00554135" w:rsidRDefault="40C1E347" w:rsidP="00634A83">
            <w:r>
              <w:t>ko1.2</w:t>
            </w:r>
            <w:r w:rsidR="767A31F7">
              <w:t>h</w:t>
            </w:r>
          </w:p>
        </w:tc>
        <w:tc>
          <w:tcPr>
            <w:tcW w:w="7797" w:type="dxa"/>
            <w:tcMar>
              <w:top w:w="28" w:type="dxa"/>
              <w:bottom w:w="28" w:type="dxa"/>
            </w:tcMar>
          </w:tcPr>
          <w:p w14:paraId="159791C4" w14:textId="77777777" w:rsidR="004F5B0E" w:rsidRPr="00B768A1" w:rsidRDefault="004F5B0E" w:rsidP="00634A83">
            <w:r w:rsidRPr="00B768A1">
              <w:t>Improve the safety and security of people with disability:</w:t>
            </w:r>
          </w:p>
          <w:p w14:paraId="72BFC213" w14:textId="28AE6579" w:rsidR="004F5B0E" w:rsidRPr="00B768A1" w:rsidRDefault="35247946" w:rsidP="00634A83">
            <w:pPr>
              <w:pStyle w:val="ListParagraph"/>
              <w:numPr>
                <w:ilvl w:val="0"/>
                <w:numId w:val="11"/>
              </w:numPr>
            </w:pPr>
            <w:r>
              <w:t>I</w:t>
            </w:r>
            <w:r w:rsidRPr="00B768A1">
              <w:t xml:space="preserve">mplement Australia’s </w:t>
            </w:r>
            <w:r w:rsidRPr="009E260C">
              <w:t>Disability Strategy 2021–2031</w:t>
            </w:r>
            <w:r>
              <w:t>.</w:t>
            </w:r>
            <w:hyperlink w:anchor="_ENREF_80" w:tooltip="Services, 2021 [updated 2022 February 3] #1000" w:history="1">
              <w:r w:rsidR="002D6F18">
                <w:fldChar w:fldCharType="begin"/>
              </w:r>
              <w:r w:rsidR="002D6F18">
                <w:instrText xml:space="preserve"> ADDIN EN.CITE &lt;EndNote&gt;&lt;Cite&gt;&lt;Author&gt;Services&lt;/Author&gt;&lt;Year&gt;2021 [updated 2022 February 3]&lt;/Year&gt;&lt;RecNum&gt;1000&lt;/RecNum&gt;&lt;DisplayText&gt;&lt;style face="superscript"&gt;80&lt;/style&gt;&lt;/DisplayText&gt;&lt;record&gt;&lt;rec-number&gt;1000&lt;/rec-number&gt;&lt;foreign-keys&gt;&lt;key app="EN" db-id="rsettzd2isasdweewww55s9lffasxav0d0ft" timestamp="1720405836" guid="dfd5833c-fecf-4b92-9048-5fcc063fd4bc"&gt;1000&lt;/key&gt;&lt;/foreign-keys&gt;&lt;ref-type name="Web Page"&gt;12&lt;/ref-type&gt;&lt;contributors&gt;&lt;authors&gt;&lt;author&gt;Department of Social Services&lt;/author&gt;&lt;/authors&gt;&lt;/contributors&gt;&lt;titles&gt;&lt;title&gt;Australia’s Disability Strategy 2021–2031&lt;/title&gt;&lt;/titles&gt;&lt;dates&gt;&lt;year&gt;2021 [updated 2022 February 3]&lt;/year&gt;&lt;/dates&gt;&lt;pub-location&gt;Canberra&lt;/pub-location&gt;&lt;publisher&gt;DSS, Australian Government&lt;/publisher&gt;&lt;urls&gt;&lt;related-urls&gt;&lt;url&gt;https://www.disabilitygateway.gov.au/document/3106&lt;/url&gt;&lt;/related-urls&gt;&lt;/urls&gt;&lt;custom1&gt;2024&lt;/custom1&gt;&lt;custom2&gt;February 8&lt;/custom2&gt;&lt;/record&gt;&lt;/Cite&gt;&lt;/EndNote&gt;</w:instrText>
              </w:r>
              <w:r w:rsidR="002D6F18">
                <w:fldChar w:fldCharType="separate"/>
              </w:r>
              <w:r w:rsidR="002D6F18" w:rsidRPr="0082082D">
                <w:rPr>
                  <w:noProof/>
                  <w:vertAlign w:val="superscript"/>
                </w:rPr>
                <w:t>80</w:t>
              </w:r>
              <w:r w:rsidR="002D6F18">
                <w:fldChar w:fldCharType="end"/>
              </w:r>
            </w:hyperlink>
          </w:p>
          <w:p w14:paraId="418543BF" w14:textId="238F55BF" w:rsidR="004F5B0E" w:rsidRPr="00B768A1" w:rsidRDefault="00672B42" w:rsidP="00634A83">
            <w:pPr>
              <w:pStyle w:val="ListParagraph"/>
              <w:numPr>
                <w:ilvl w:val="0"/>
                <w:numId w:val="11"/>
              </w:numPr>
              <w:rPr>
                <w:i/>
                <w:iCs/>
              </w:rPr>
            </w:pPr>
            <w:r>
              <w:t xml:space="preserve">Implement actions aligned with the joint Australian, State and Territory Response to </w:t>
            </w:r>
            <w:r w:rsidR="35247946" w:rsidRPr="00B768A1">
              <w:t xml:space="preserve">the </w:t>
            </w:r>
            <w:r w:rsidR="35247946" w:rsidRPr="00554135">
              <w:t>Royal Commission into Violence, Abuse, Neglect and Exploitation of People with Disability</w:t>
            </w:r>
            <w:r w:rsidR="35247946" w:rsidRPr="1CA550E0">
              <w:t>.</w:t>
            </w:r>
            <w:hyperlink w:anchor="_ENREF_88" w:tooltip="Services, 2024 #1142" w:history="1">
              <w:r w:rsidR="002D6F18">
                <w:fldChar w:fldCharType="begin"/>
              </w:r>
              <w:r w:rsidR="002D6F18">
                <w:instrText xml:space="preserve"> ADDIN EN.CITE &lt;EndNote&gt;&lt;Cite&gt;&lt;Author&gt;Services&lt;/Author&gt;&lt;Year&gt;2024&lt;/Year&gt;&lt;RecNum&gt;1142&lt;/RecNum&gt;&lt;DisplayText&gt;&lt;style face="superscript"&gt;88&lt;/style&gt;&lt;/DisplayText&gt;&lt;record&gt;&lt;rec-number&gt;1142&lt;/rec-number&gt;&lt;foreign-keys&gt;&lt;key app="EN" db-id="rsettzd2isasdweewww55s9lffasxav0d0ft" timestamp="1723517699" guid="73012c3f-112a-4640-8dc7-377602da9efe"&gt;1142&lt;/key&gt;&lt;/foreign-keys&gt;&lt;ref-type name="Web Page"&gt;12&lt;/ref-type&gt;&lt;contributors&gt;&lt;authors&gt;&lt;author&gt;Department of Social Services&lt;/author&gt;&lt;/authors&gt;&lt;/contributors&gt;&lt;titles&gt;&lt;title&gt;Joint Australian, State and Territory Response to the Disability Royal Commission&lt;/title&gt;&lt;/titles&gt;&lt;dates&gt;&lt;year&gt;2024&lt;/year&gt;&lt;/dates&gt;&lt;pub-location&gt;Canberra&lt;/pub-location&gt;&lt;publisher&gt;Australian Government&lt;/publisher&gt;&lt;isbn&gt;978-1-921647-04-8 &lt;/isbn&gt;&lt;work-type&gt;Internet&lt;/work-type&gt;&lt;urls&gt;&lt;related-urls&gt;&lt;url&gt;https://www.dss.gov.au/disability-and-carers/australian-government-response-to-the-disability-royal-commission&lt;/url&gt;&lt;/related-urls&gt;&lt;/urls&gt;&lt;custom1&gt;2024&lt;/custom1&gt;&lt;custom2&gt;August 13&lt;/custom2&gt;&lt;/record&gt;&lt;/Cite&gt;&lt;/EndNote&gt;</w:instrText>
              </w:r>
              <w:r w:rsidR="002D6F18">
                <w:fldChar w:fldCharType="separate"/>
              </w:r>
              <w:r w:rsidR="002D6F18" w:rsidRPr="00445D54">
                <w:rPr>
                  <w:noProof/>
                  <w:vertAlign w:val="superscript"/>
                </w:rPr>
                <w:t>88</w:t>
              </w:r>
              <w:r w:rsidR="002D6F18">
                <w:fldChar w:fldCharType="end"/>
              </w:r>
            </w:hyperlink>
            <w:r w:rsidRPr="00980AE0">
              <w:rPr>
                <w:vertAlign w:val="superscript"/>
              </w:rPr>
              <w:t>,</w:t>
            </w:r>
            <w:hyperlink w:anchor="_ENREF_89" w:tooltip="Government, 2023 #1007" w:history="1">
              <w:r w:rsidR="002D6F18">
                <w:fldChar w:fldCharType="begin"/>
              </w:r>
              <w:r w:rsidR="002D6F18">
                <w:instrText xml:space="preserve"> ADDIN EN.CITE &lt;EndNote&gt;&lt;Cite&gt;&lt;Author&gt;Government&lt;/Author&gt;&lt;Year&gt;2023&lt;/Year&gt;&lt;RecNum&gt;1007&lt;/RecNum&gt;&lt;DisplayText&gt;&lt;style face="superscript"&gt;89&lt;/style&gt;&lt;/DisplayText&gt;&lt;record&gt;&lt;rec-number&gt;1007&lt;/rec-number&gt;&lt;foreign-keys&gt;&lt;key app="EN" db-id="rsettzd2isasdweewww55s9lffasxav0d0ft" timestamp="1720408319" guid="de733cd5-908e-461d-850e-8cab9a80ff47"&gt;1007&lt;/key&gt;&lt;/foreign-keys&gt;&lt;ref-type name="Web Page"&gt;12&lt;/ref-type&gt;&lt;contributors&gt;&lt;authors&gt;&lt;author&gt;Australian Government&lt;/author&gt;&lt;/authors&gt;&lt;/contributors&gt;&lt;titles&gt;&lt;title&gt;Royal Commission into Violence, Abuse, Neglect and Exploitation of People with Disability: Final Report&lt;/title&gt;&lt;/titles&gt;&lt;dates&gt;&lt;year&gt;2023&lt;/year&gt;&lt;/dates&gt;&lt;publisher&gt;Australian Government&lt;/publisher&gt;&lt;isbn&gt;978-0-6457941-6-8&lt;/isbn&gt;&lt;work-type&gt;Internet &lt;/work-type&gt;&lt;urls&gt;&lt;related-urls&gt;&lt;url&gt;https://disability.royalcommission.gov.au/publications/final-report&lt;/url&gt;&lt;/related-urls&gt;&lt;/urls&gt;&lt;custom1&gt;2024&lt;/custom1&gt;&lt;custom2&gt;March 6&lt;/custom2&gt;&lt;/record&gt;&lt;/Cite&gt;&lt;/EndNote&gt;</w:instrText>
              </w:r>
              <w:r w:rsidR="002D6F18">
                <w:fldChar w:fldCharType="separate"/>
              </w:r>
              <w:r w:rsidR="002D6F18" w:rsidRPr="00445D54">
                <w:rPr>
                  <w:noProof/>
                  <w:vertAlign w:val="superscript"/>
                </w:rPr>
                <w:t>89</w:t>
              </w:r>
              <w:r w:rsidR="002D6F18">
                <w:fldChar w:fldCharType="end"/>
              </w:r>
            </w:hyperlink>
          </w:p>
        </w:tc>
      </w:tr>
    </w:tbl>
    <w:p w14:paraId="245E3388" w14:textId="77777777" w:rsidR="00820C96" w:rsidRDefault="00820C96" w:rsidP="00634A83">
      <w:pPr>
        <w:pStyle w:val="BodyText"/>
      </w:pPr>
    </w:p>
    <w:p w14:paraId="0976D45C" w14:textId="77777777" w:rsidR="00820C96" w:rsidRDefault="00820C96" w:rsidP="00634A83">
      <w:pPr>
        <w:rPr>
          <w:rFonts w:eastAsiaTheme="majorEastAsia" w:cstheme="majorBidi"/>
          <w:sz w:val="40"/>
          <w:szCs w:val="26"/>
        </w:rPr>
      </w:pPr>
      <w:r>
        <w:br w:type="page"/>
      </w:r>
    </w:p>
    <w:p w14:paraId="6ED01B3E" w14:textId="5F9FE48A" w:rsidR="00C321DE" w:rsidRPr="003B238A" w:rsidRDefault="00100EBC" w:rsidP="00A771EF">
      <w:pPr>
        <w:pStyle w:val="heading2prevention"/>
      </w:pPr>
      <w:bookmarkStart w:id="44" w:name="_Toc870768192"/>
      <w:bookmarkStart w:id="45" w:name="_Toc1686001277"/>
      <w:bookmarkStart w:id="46" w:name="_Toc171459027"/>
      <w:r>
        <w:drawing>
          <wp:anchor distT="0" distB="0" distL="114300" distR="114300" simplePos="0" relativeHeight="251658263" behindDoc="1" locked="0" layoutInCell="1" allowOverlap="1" wp14:anchorId="1FCDD547" wp14:editId="3359C1AD">
            <wp:simplePos x="0" y="0"/>
            <wp:positionH relativeFrom="margin">
              <wp:posOffset>4220210</wp:posOffset>
            </wp:positionH>
            <wp:positionV relativeFrom="paragraph">
              <wp:posOffset>9525</wp:posOffset>
            </wp:positionV>
            <wp:extent cx="1417955" cy="899795"/>
            <wp:effectExtent l="0" t="0" r="0" b="0"/>
            <wp:wrapTight wrapText="bothSides">
              <wp:wrapPolygon edited="0">
                <wp:start x="0" y="0"/>
                <wp:lineTo x="0" y="21036"/>
                <wp:lineTo x="21184" y="21036"/>
                <wp:lineTo x="21184" y="0"/>
                <wp:lineTo x="0" y="0"/>
              </wp:wrapPolygon>
            </wp:wrapTight>
            <wp:docPr id="17" name="Picture 17" descr="Good health is Key objective 2 of the Strategy, within the domain of Prevention of suicidal di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ood health is Key objective 2 of the Strategy, within the domain of Prevention of suicidal distres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17955" cy="899795"/>
                    </a:xfrm>
                    <a:prstGeom prst="rect">
                      <a:avLst/>
                    </a:prstGeom>
                  </pic:spPr>
                </pic:pic>
              </a:graphicData>
            </a:graphic>
          </wp:anchor>
        </w:drawing>
      </w:r>
      <w:r w:rsidR="00C321DE" w:rsidRPr="00A60CE2">
        <w:t xml:space="preserve">Key objective </w:t>
      </w:r>
      <w:r w:rsidR="00C321DE">
        <w:t>2</w:t>
      </w:r>
      <w:r w:rsidR="00C321DE" w:rsidRPr="00A60CE2">
        <w:t xml:space="preserve">: </w:t>
      </w:r>
      <w:r w:rsidR="00C321DE">
        <w:t>Good health</w:t>
      </w:r>
      <w:bookmarkEnd w:id="44"/>
      <w:bookmarkEnd w:id="45"/>
      <w:bookmarkEnd w:id="46"/>
    </w:p>
    <w:p w14:paraId="5D1A2FA6" w14:textId="4F1B8CE2" w:rsidR="00E23C04" w:rsidRDefault="23A47827" w:rsidP="00634A83">
      <w:r>
        <w:t>Good physical and mental health are basic human rights,</w:t>
      </w:r>
      <w:hyperlink w:anchor="_ENREF_90" w:tooltip="United Nations Human Rights, 1966 #546" w:history="1">
        <w:r w:rsidR="002D6F18">
          <w:fldChar w:fldCharType="begin"/>
        </w:r>
        <w:r w:rsidR="002D6F18">
          <w:instrText xml:space="preserve"> ADDIN EN.CITE &lt;EndNote&gt;&lt;Cite&gt;&lt;Author&gt;United Nations Human Rights&lt;/Author&gt;&lt;Year&gt;1966&lt;/Year&gt;&lt;RecNum&gt;546&lt;/RecNum&gt;&lt;DisplayText&gt;&lt;style face="superscript"&gt;90&lt;/style&gt;&lt;/DisplayText&gt;&lt;record&gt;&lt;rec-number&gt;546&lt;/rec-number&gt;&lt;foreign-keys&gt;&lt;key app="EN" db-id="rsettzd2isasdweewww55s9lffasxav0d0ft" timestamp="1707862922" guid="9a4dde84-97fa-4936-9567-9a3fe957453f"&gt;546&lt;/key&gt;&lt;/foreign-keys&gt;&lt;ref-type name="Web Page"&gt;12&lt;/ref-type&gt;&lt;contributors&gt;&lt;authors&gt;&lt;author&gt;United Nations Human Rights, Office of the High Commissioner&lt;/author&gt;&lt;/authors&gt;&lt;/contributors&gt;&lt;titles&gt;&lt;title&gt;International Covenant on Economic, Social and Cultural Rights&lt;/title&gt;&lt;/titles&gt;&lt;dates&gt;&lt;year&gt;1966&lt;/year&gt;&lt;/dates&gt;&lt;work-type&gt;Internet&lt;/work-type&gt;&lt;urls&gt;&lt;related-urls&gt;&lt;url&gt;https://www.ohchr.org/en/instruments-mechanisms/instruments/international-covenant-economic-social-and-cultural-rights&lt;/url&gt;&lt;/related-urls&gt;&lt;/urls&gt;&lt;custom1&gt;2023&lt;/custom1&gt;&lt;custom2&gt;October 05&lt;/custom2&gt;&lt;/record&gt;&lt;/Cite&gt;&lt;/EndNote&gt;</w:instrText>
        </w:r>
        <w:r w:rsidR="002D6F18">
          <w:fldChar w:fldCharType="separate"/>
        </w:r>
        <w:r w:rsidR="002D6F18" w:rsidRPr="00445D54">
          <w:rPr>
            <w:noProof/>
            <w:vertAlign w:val="superscript"/>
          </w:rPr>
          <w:t>90</w:t>
        </w:r>
        <w:r w:rsidR="002D6F18">
          <w:fldChar w:fldCharType="end"/>
        </w:r>
      </w:hyperlink>
      <w:r>
        <w:t xml:space="preserve"> and </w:t>
      </w:r>
      <w:r w:rsidRPr="20F56C59">
        <w:t>people who have good mental and physical health are better able to participate in employment, education, recreation and social activities and are better protected against suicide.</w:t>
      </w:r>
      <w:hyperlink w:anchor="_ENREF_91" w:tooltip="D, 2018 #537" w:history="1">
        <w:r w:rsidR="002D6F18">
          <w:fldChar w:fldCharType="begin"/>
        </w:r>
        <w:r w:rsidR="002D6F18">
          <w:instrText xml:space="preserve"> ADDIN EN.CITE &lt;EndNote&gt;&lt;Cite&gt;&lt;Author&gt;D&lt;/Author&gt;&lt;Year&gt;2018&lt;/Year&gt;&lt;RecNum&gt;537&lt;/RecNum&gt;&lt;DisplayText&gt;&lt;style face="superscript"&gt;91&lt;/style&gt;&lt;/DisplayText&gt;&lt;record&gt;&lt;rec-number&gt;537&lt;/rec-number&gt;&lt;foreign-keys&gt;&lt;key app="EN" db-id="rsettzd2isasdweewww55s9lffasxav0d0ft" timestamp="1707862921" guid="b8dc2a8d-d25c-49a8-a77b-0662669698aa"&gt;537&lt;/key&gt;&lt;/foreign-keys&gt;&lt;ref-type name="Journal Article"&gt;17&lt;/ref-type&gt;&lt;contributors&gt;&lt;authors&gt;&lt;author&gt;Vancampfort D&lt;/author&gt;&lt;author&gt;Hallgren M&lt;/author&gt;&lt;author&gt;Firth J&lt;/author&gt;&lt;author&gt;Rosenbaum S&lt;/author&gt;&lt;author&gt;Schuch FB&lt;/author&gt;&lt;author&gt;Mugisha J&lt;/author&gt;&lt;author&gt;Probst M&lt;/author&gt;&lt;author&gt;Van Damme T&lt;/author&gt;&lt;author&gt;Carvalho AF&lt;/author&gt;&lt;author&gt;Stubbs B&lt;/author&gt;&lt;/authors&gt;&lt;/contributors&gt;&lt;titles&gt;&lt;title&gt;Physical Activity and Suicidal Ideation: A Systematic Review and Meta-Analysis&lt;/title&gt;&lt;secondary-title&gt;Journal of Affective Disorders&lt;/secondary-title&gt;&lt;/titles&gt;&lt;periodical&gt;&lt;full-title&gt;Journal of Affective Disorders&lt;/full-title&gt;&lt;/periodical&gt;&lt;dates&gt;&lt;year&gt;2018&lt;/year&gt;&lt;/dates&gt;&lt;urls&gt;&lt;/urls&gt;&lt;electronic-resource-num&gt;https://doi.org/10.1016/j.jad.2017.08.070&lt;/electronic-resource-num&gt;&lt;/record&gt;&lt;/Cite&gt;&lt;/EndNote&gt;</w:instrText>
        </w:r>
        <w:r w:rsidR="002D6F18">
          <w:fldChar w:fldCharType="separate"/>
        </w:r>
        <w:r w:rsidR="002D6F18" w:rsidRPr="00445D54">
          <w:rPr>
            <w:noProof/>
            <w:vertAlign w:val="superscript"/>
          </w:rPr>
          <w:t>91</w:t>
        </w:r>
        <w:r w:rsidR="002D6F18">
          <w:fldChar w:fldCharType="end"/>
        </w:r>
      </w:hyperlink>
      <w:r w:rsidR="00A407D6" w:rsidRPr="00A407D6">
        <w:rPr>
          <w:vertAlign w:val="superscript"/>
        </w:rPr>
        <w:t>,</w:t>
      </w:r>
      <w:hyperlink w:anchor="_ENREF_60" w:tooltip="J, 2023 #127" w:history="1">
        <w:r w:rsidR="002D6F18">
          <w:fldChar w:fldCharType="begin"/>
        </w:r>
        <w:r w:rsidR="002D6F18">
          <w:instrText xml:space="preserve"> ADDIN EN.CITE &lt;EndNote&gt;&lt;Cite&gt;&lt;Author&gt;J&lt;/Author&gt;&lt;Year&gt;2023&lt;/Year&gt;&lt;RecNum&gt;127&lt;/RecNum&gt;&lt;DisplayText&gt;&lt;style face="superscript"&gt;60&lt;/style&gt;&lt;/DisplayText&gt;&lt;record&gt;&lt;rec-number&gt;127&lt;/rec-number&gt;&lt;foreign-keys&gt;&lt;key app="EN" db-id="rsettzd2isasdweewww55s9lffasxav0d0ft" timestamp="1700699468" guid="ad055c94-1ea1-48f9-9a07-5dd88bac4804"&gt;127&lt;/key&gt;&lt;/foreign-keys&gt;&lt;ref-type name="Journal Article"&gt;17&lt;/ref-type&gt;&lt;contributors&gt;&lt;authors&gt;&lt;author&gt;Pirkis J&lt;/author&gt;&lt;author&gt;Gunnell D&lt;/author&gt;&lt;author&gt;Hawton K&lt;/author&gt;&lt;author&gt;Hetrick S&lt;/author&gt;&lt;author&gt;Niederkrotenthaler T&lt;/author&gt;&lt;author&gt;Sinyor M&lt;/author&gt;&lt;author&gt;Yip PSF&lt;/author&gt;&lt;author&gt;Robinson J&lt;/author&gt;&lt;/authors&gt;&lt;/contributors&gt;&lt;titles&gt;&lt;title&gt;A Public Health, Whole-of-Government Approach to National Suicide Prevention Strategies&lt;/title&gt;&lt;/titles&gt;&lt;dates&gt;&lt;year&gt;2023&lt;/year&gt;&lt;/dates&gt;&lt;publisher&gt;Crisis: The Journal of Crisis Intervention and Suicide Prevention&lt;/publisher&gt;&lt;urls&gt;&lt;/urls&gt;&lt;electronic-resource-num&gt;DOI: 10.1027/0227-5910/a000902&lt;/electronic-resource-num&gt;&lt;/record&gt;&lt;/Cite&gt;&lt;/EndNote&gt;</w:instrText>
        </w:r>
        <w:r w:rsidR="002D6F18">
          <w:fldChar w:fldCharType="separate"/>
        </w:r>
        <w:r w:rsidR="002D6F18" w:rsidRPr="0082082D">
          <w:rPr>
            <w:noProof/>
            <w:vertAlign w:val="superscript"/>
          </w:rPr>
          <w:t>60</w:t>
        </w:r>
        <w:r w:rsidR="002D6F18">
          <w:fldChar w:fldCharType="end"/>
        </w:r>
      </w:hyperlink>
      <w:r w:rsidR="00A407D6">
        <w:t xml:space="preserve"> </w:t>
      </w:r>
      <w:r w:rsidR="01743EC1" w:rsidRPr="20F56C59">
        <w:t xml:space="preserve">Equipping </w:t>
      </w:r>
      <w:r w:rsidRPr="20F56C59">
        <w:t xml:space="preserve">people </w:t>
      </w:r>
      <w:r w:rsidR="6387B4FC" w:rsidRPr="20F56C59">
        <w:t xml:space="preserve">with </w:t>
      </w:r>
      <w:r w:rsidRPr="20F56C59">
        <w:t>the knowledge, skills and resources to maintain their optimal mental and physical health is a powerful way to protect against suicide.</w:t>
      </w:r>
    </w:p>
    <w:p w14:paraId="602AB85F" w14:textId="77777777" w:rsidR="003D6516" w:rsidRPr="00B768A1" w:rsidRDefault="003D6516" w:rsidP="00634A83">
      <w:pPr>
        <w:pStyle w:val="BT-Livedexperience-Orange-Heading"/>
      </w:pPr>
      <w:r>
        <w:t>What do we need to achieve?</w:t>
      </w:r>
    </w:p>
    <w:p w14:paraId="61EFEC40" w14:textId="16452009" w:rsidR="003D6516" w:rsidRPr="00B768A1" w:rsidRDefault="5C215D84" w:rsidP="00634A83">
      <w:pPr>
        <w:pStyle w:val="BT-Livedexperience-Orange"/>
      </w:pPr>
      <w:r w:rsidRPr="20F56C59">
        <w:rPr>
          <w:rStyle w:val="normaltextrun"/>
          <w:rFonts w:eastAsia="Roboto" w:cstheme="minorBidi"/>
        </w:rPr>
        <w:t xml:space="preserve">People experience enhanced wellbeing through improved </w:t>
      </w:r>
      <w:r w:rsidR="0E0F0015" w:rsidRPr="20F56C59">
        <w:rPr>
          <w:rStyle w:val="normaltextrun"/>
          <w:rFonts w:eastAsia="Roboto" w:cstheme="minorBidi"/>
        </w:rPr>
        <w:t>health outcomes</w:t>
      </w:r>
      <w:r w:rsidR="2171A45B" w:rsidRPr="20F56C59">
        <w:rPr>
          <w:rStyle w:val="normaltextrun"/>
          <w:rFonts w:eastAsia="Roboto" w:cstheme="minorBidi"/>
        </w:rPr>
        <w:t>. T</w:t>
      </w:r>
      <w:r w:rsidRPr="20F56C59">
        <w:rPr>
          <w:rStyle w:val="normaltextrun"/>
          <w:rFonts w:eastAsia="Roboto" w:cstheme="minorBidi"/>
        </w:rPr>
        <w:t xml:space="preserve">he prevalence and impact of </w:t>
      </w:r>
      <w:r w:rsidR="2B313DE2" w:rsidRPr="20F56C59">
        <w:rPr>
          <w:rStyle w:val="normaltextrun"/>
          <w:rFonts w:eastAsia="Roboto" w:cstheme="minorBidi"/>
        </w:rPr>
        <w:t xml:space="preserve">major preventable </w:t>
      </w:r>
      <w:r w:rsidR="156EC5E9" w:rsidRPr="20F56C59">
        <w:rPr>
          <w:rStyle w:val="normaltextrun"/>
          <w:rFonts w:eastAsia="Roboto" w:cstheme="minorBidi"/>
        </w:rPr>
        <w:t xml:space="preserve">health </w:t>
      </w:r>
      <w:r w:rsidRPr="20F56C59">
        <w:rPr>
          <w:rStyle w:val="normaltextrun"/>
          <w:rFonts w:eastAsia="Roboto" w:cstheme="minorBidi"/>
        </w:rPr>
        <w:t xml:space="preserve">risks </w:t>
      </w:r>
      <w:r w:rsidR="156EC5E9" w:rsidRPr="20F56C59">
        <w:rPr>
          <w:rStyle w:val="normaltextrun"/>
          <w:rFonts w:eastAsia="Roboto" w:cstheme="minorBidi"/>
        </w:rPr>
        <w:t xml:space="preserve">associated with suicide </w:t>
      </w:r>
      <w:r w:rsidRPr="20F56C59">
        <w:rPr>
          <w:rStyle w:val="normaltextrun"/>
          <w:rFonts w:eastAsia="Roboto" w:cstheme="minorBidi"/>
        </w:rPr>
        <w:t xml:space="preserve">are </w:t>
      </w:r>
      <w:r w:rsidR="17F2B67C" w:rsidRPr="20F56C59">
        <w:rPr>
          <w:rStyle w:val="normaltextrun"/>
          <w:rFonts w:eastAsia="Roboto" w:cstheme="minorBidi"/>
        </w:rPr>
        <w:t>reduced</w:t>
      </w:r>
      <w:r w:rsidRPr="20F56C59">
        <w:rPr>
          <w:rStyle w:val="normaltextrun"/>
          <w:rFonts w:eastAsia="Roboto" w:cstheme="minorBidi"/>
        </w:rPr>
        <w:t xml:space="preserve">. </w:t>
      </w:r>
    </w:p>
    <w:p w14:paraId="51DB34CD" w14:textId="76B8D48A" w:rsidR="00E864FA" w:rsidRPr="00B93DEE" w:rsidRDefault="00B44782" w:rsidP="00A771EF">
      <w:pPr>
        <w:pStyle w:val="Heading3prevention0"/>
      </w:pPr>
      <w:r>
        <w:t>2</w:t>
      </w:r>
      <w:r w:rsidR="00E864FA" w:rsidRPr="00B93DEE">
        <w:t>.</w:t>
      </w:r>
      <w:r>
        <w:t>1</w:t>
      </w:r>
      <w:r w:rsidR="00E864FA" w:rsidRPr="00B93DEE">
        <w:t xml:space="preserve"> Improv</w:t>
      </w:r>
      <w:r w:rsidR="00E929B6" w:rsidRPr="00B93DEE">
        <w:t>e</w:t>
      </w:r>
      <w:r w:rsidR="00E864FA" w:rsidRPr="00B93DEE">
        <w:t xml:space="preserve"> health outcomes</w:t>
      </w:r>
    </w:p>
    <w:p w14:paraId="573876D2" w14:textId="381CA0B3" w:rsidR="00E864FA" w:rsidRPr="00B768A1" w:rsidRDefault="30E5F614" w:rsidP="00634A83">
      <w:r w:rsidRPr="00B768A1">
        <w:t xml:space="preserve">To </w:t>
      </w:r>
      <w:r w:rsidR="6B2244D2" w:rsidRPr="00B768A1">
        <w:t>improve health outcomes</w:t>
      </w:r>
      <w:r w:rsidRPr="00B768A1">
        <w:t>, g</w:t>
      </w:r>
      <w:r w:rsidR="068D681A" w:rsidRPr="00B768A1">
        <w:t>reater emphasis on health promotion</w:t>
      </w:r>
      <w:r w:rsidR="44F10422" w:rsidRPr="00B768A1">
        <w:t>, health literacy</w:t>
      </w:r>
      <w:r w:rsidR="3D2BCCB2" w:rsidRPr="00B768A1">
        <w:t xml:space="preserve"> </w:t>
      </w:r>
      <w:r w:rsidR="068D681A" w:rsidRPr="00B768A1">
        <w:t>and preventi</w:t>
      </w:r>
      <w:r w:rsidR="5F9EEBE4" w:rsidRPr="00B768A1">
        <w:t>ve health</w:t>
      </w:r>
      <w:r w:rsidR="068D681A" w:rsidRPr="00B768A1">
        <w:t xml:space="preserve"> is needed. Equitable access to initiatives that promote good health through sleep hygiene,</w:t>
      </w:r>
      <w:hyperlink w:anchor="_ENREF_92" w:tooltip="RA, 2007 #144" w:history="1">
        <w:r w:rsidR="002D6F18">
          <w:fldChar w:fldCharType="begin"/>
        </w:r>
        <w:r w:rsidR="002D6F18">
          <w:instrText xml:space="preserve"> ADDIN EN.CITE &lt;EndNote&gt;&lt;Cite&gt;&lt;Author&gt;RA&lt;/Author&gt;&lt;Year&gt;2007&lt;/Year&gt;&lt;RecNum&gt;144&lt;/RecNum&gt;&lt;DisplayText&gt;&lt;style face="superscript"&gt;92&lt;/style&gt;&lt;/DisplayText&gt;&lt;record&gt;&lt;rec-number&gt;144&lt;/rec-number&gt;&lt;foreign-keys&gt;&lt;key app="EN" db-id="rsettzd2isasdweewww55s9lffasxav0d0ft" timestamp="1700699468" guid="9cdfe07d-a46a-46e1-b9ff-cfef5b937ded"&gt;144&lt;/key&gt;&lt;/foreign-keys&gt;&lt;ref-type name="Journal Article"&gt;17&lt;/ref-type&gt;&lt;contributors&gt;&lt;authors&gt;&lt;author&gt;Bernert RA&lt;/author&gt;&lt;author&gt;Joiner TE&lt;/author&gt;&lt;/authors&gt;&lt;/contributors&gt;&lt;titles&gt;&lt;title&gt;Sleep Disturbances and Suicide Risk: A Review of the Literature&lt;/title&gt;&lt;secondary-title&gt;Neuropsychiatric Disease and Treatment&lt;/secondary-title&gt;&lt;/titles&gt;&lt;periodical&gt;&lt;full-title&gt;Neuropsychiatric Disease and Treatment&lt;/full-title&gt;&lt;/periodical&gt;&lt;dates&gt;&lt;year&gt;2007&lt;/year&gt;&lt;/dates&gt;&lt;urls&gt;&lt;/urls&gt;&lt;electronic-resource-num&gt;DOI: 10.2147/ndt.s1248&lt;/electronic-resource-num&gt;&lt;/record&gt;&lt;/Cite&gt;&lt;/EndNote&gt;</w:instrText>
        </w:r>
        <w:r w:rsidR="002D6F18">
          <w:fldChar w:fldCharType="separate"/>
        </w:r>
        <w:r w:rsidR="002D6F18" w:rsidRPr="00445D54">
          <w:rPr>
            <w:noProof/>
            <w:vertAlign w:val="superscript"/>
          </w:rPr>
          <w:t>92</w:t>
        </w:r>
        <w:r w:rsidR="002D6F18">
          <w:fldChar w:fldCharType="end"/>
        </w:r>
      </w:hyperlink>
      <w:r w:rsidR="068D681A" w:rsidRPr="00B768A1">
        <w:rPr>
          <w:vertAlign w:val="superscript"/>
        </w:rPr>
        <w:t>,</w:t>
      </w:r>
      <w:hyperlink w:anchor="_ENREF_93" w:tooltip="CM, 2020 #145" w:history="1">
        <w:r w:rsidR="002D6F18">
          <w:rPr>
            <w:vertAlign w:val="superscript"/>
          </w:rPr>
          <w:fldChar w:fldCharType="begin"/>
        </w:r>
        <w:r w:rsidR="002D6F18">
          <w:rPr>
            <w:vertAlign w:val="superscript"/>
          </w:rPr>
          <w:instrText xml:space="preserve"> ADDIN EN.CITE &lt;EndNote&gt;&lt;Cite&gt;&lt;Author&gt;CM&lt;/Author&gt;&lt;Year&gt;2020&lt;/Year&gt;&lt;RecNum&gt;145&lt;/RecNum&gt;&lt;DisplayText&gt;&lt;style face="superscript"&gt;93&lt;/style&gt;&lt;/DisplayText&gt;&lt;record&gt;&lt;rec-number&gt;145&lt;/rec-number&gt;&lt;foreign-keys&gt;&lt;key app="EN" db-id="rsettzd2isasdweewww55s9lffasxav0d0ft" timestamp="1700699468" guid="22a8659e-1da1-4622-aee5-785174520a74"&gt;145&lt;/key&gt;&lt;/foreign-keys&gt;&lt;ref-type name="Journal Article"&gt;17&lt;/ref-type&gt;&lt;contributors&gt;&lt;authors&gt;&lt;author&gt;Chow CM&lt;/author&gt;&lt;/authors&gt;&lt;/contributors&gt;&lt;titles&gt;&lt;title&gt;Sleep and Wellbeing, Now and in the Future&lt;/title&gt;&lt;secondary-title&gt;International Journal of Environmental Research and Public Health&lt;/secondary-title&gt;&lt;/titles&gt;&lt;periodical&gt;&lt;full-title&gt;International Journal of Environmental Research and Public Health&lt;/full-title&gt;&lt;/periodical&gt;&lt;dates&gt;&lt;year&gt;2020&lt;/year&gt;&lt;/dates&gt;&lt;urls&gt;&lt;/urls&gt;&lt;electronic-resource-num&gt;DOI: 10.3390/ijerph17082883&lt;/electronic-resource-num&gt;&lt;/record&gt;&lt;/Cite&gt;&lt;/EndNote&gt;</w:instrText>
        </w:r>
        <w:r w:rsidR="002D6F18">
          <w:rPr>
            <w:vertAlign w:val="superscript"/>
          </w:rPr>
          <w:fldChar w:fldCharType="separate"/>
        </w:r>
        <w:r w:rsidR="002D6F18">
          <w:rPr>
            <w:noProof/>
            <w:vertAlign w:val="superscript"/>
          </w:rPr>
          <w:t>93</w:t>
        </w:r>
        <w:r w:rsidR="002D6F18">
          <w:rPr>
            <w:vertAlign w:val="superscript"/>
          </w:rPr>
          <w:fldChar w:fldCharType="end"/>
        </w:r>
      </w:hyperlink>
      <w:r w:rsidR="00A407D6">
        <w:rPr>
          <w:vertAlign w:val="superscript"/>
        </w:rPr>
        <w:t xml:space="preserve"> </w:t>
      </w:r>
      <w:r w:rsidR="068D681A" w:rsidRPr="00B768A1">
        <w:t xml:space="preserve"> </w:t>
      </w:r>
      <w:r w:rsidR="51E065A9" w:rsidRPr="00B768A1">
        <w:t>healthy eating</w:t>
      </w:r>
      <w:r w:rsidR="068D681A" w:rsidRPr="00B768A1">
        <w:t>,</w:t>
      </w:r>
      <w:hyperlink w:anchor="_ENREF_94" w:tooltip="Welfare, 2023 #352" w:history="1">
        <w:r w:rsidR="002D6F18">
          <w:fldChar w:fldCharType="begin"/>
        </w:r>
        <w:r w:rsidR="002D6F18">
          <w:instrText xml:space="preserve"> ADDIN EN.CITE &lt;EndNote&gt;&lt;Cite&gt;&lt;Author&gt;Welfare&lt;/Author&gt;&lt;Year&gt;2023&lt;/Year&gt;&lt;RecNum&gt;352&lt;/RecNum&gt;&lt;DisplayText&gt;&lt;style face="superscript"&gt;94&lt;/style&gt;&lt;/DisplayText&gt;&lt;record&gt;&lt;rec-number&gt;352&lt;/rec-number&gt;&lt;foreign-keys&gt;&lt;key app="EN" db-id="rsettzd2isasdweewww55s9lffasxav0d0ft" timestamp="1700699472" guid="9fab5f1f-815d-4778-a9f8-395d030a3df4"&gt;352&lt;/key&gt;&lt;/foreign-keys&gt;&lt;ref-type name="Web Page"&gt;12&lt;/ref-type&gt;&lt;contributors&gt;&lt;authors&gt;&lt;author&gt;Australian Institute of Health and Welfare&lt;/author&gt;&lt;/authors&gt;&lt;/contributors&gt;&lt;titles&gt;&lt;title&gt;Diet&lt;/title&gt;&lt;/titles&gt;&lt;dates&gt;&lt;year&gt;2023&lt;/year&gt;&lt;/dates&gt;&lt;publisher&gt;AIHW, Australian Government&lt;/publisher&gt;&lt;work-type&gt;Internet&lt;/work-type&gt;&lt;urls&gt;&lt;related-urls&gt;&lt;url&gt;https://www.aihw.gov.au/reports/food-nutrition/diet&lt;/url&gt;&lt;/related-urls&gt;&lt;/urls&gt;&lt;custom1&gt;2023&lt;/custom1&gt;&lt;custom2&gt;October 06&lt;/custom2&gt;&lt;/record&gt;&lt;/Cite&gt;&lt;/EndNote&gt;</w:instrText>
        </w:r>
        <w:r w:rsidR="002D6F18">
          <w:fldChar w:fldCharType="separate"/>
        </w:r>
        <w:r w:rsidR="002D6F18" w:rsidRPr="00445D54">
          <w:rPr>
            <w:noProof/>
            <w:vertAlign w:val="superscript"/>
          </w:rPr>
          <w:t>94</w:t>
        </w:r>
        <w:r w:rsidR="002D6F18">
          <w:fldChar w:fldCharType="end"/>
        </w:r>
      </w:hyperlink>
      <w:r w:rsidR="068D681A" w:rsidRPr="00B768A1">
        <w:t xml:space="preserve"> </w:t>
      </w:r>
      <w:r w:rsidR="51B0F2FE" w:rsidRPr="00B768A1">
        <w:t>improved mental health</w:t>
      </w:r>
      <w:r w:rsidR="7140CD73" w:rsidRPr="00B768A1">
        <w:t>,</w:t>
      </w:r>
      <w:hyperlink w:anchor="_ENREF_95" w:tooltip="Welfare, 2024 #715" w:history="1">
        <w:r w:rsidR="002D6F18">
          <w:fldChar w:fldCharType="begin"/>
        </w:r>
        <w:r w:rsidR="002D6F18">
          <w:instrText xml:space="preserve"> ADDIN EN.CITE &lt;EndNote&gt;&lt;Cite&gt;&lt;Author&gt;Welfare&lt;/Author&gt;&lt;Year&gt;2024&lt;/Year&gt;&lt;RecNum&gt;715&lt;/RecNum&gt;&lt;DisplayText&gt;&lt;style face="superscript"&gt;95&lt;/style&gt;&lt;/DisplayText&gt;&lt;record&gt;&lt;rec-number&gt;715&lt;/rec-number&gt;&lt;foreign-keys&gt;&lt;key app="EN" db-id="rsettzd2isasdweewww55s9lffasxav0d0ft" timestamp="1707862924" guid="70ae4ce6-f950-45f6-bf6f-affdb7279238"&gt;715&lt;/key&gt;&lt;/foreign-keys&gt;&lt;ref-type name="Web Page"&gt;12&lt;/ref-type&gt;&lt;contributors&gt;&lt;authors&gt;&lt;author&gt;Australian Institute of Health and Welfare&lt;/author&gt;&lt;/authors&gt;&lt;/contributors&gt;&lt;titles&gt;&lt;title&gt;Australia&amp;apos;s Health 2024&lt;/title&gt;&lt;/titles&gt;&lt;dates&gt;&lt;year&gt;2024&lt;/year&gt;&lt;pub-dates&gt;&lt;date&gt;2 July 2024&lt;/date&gt;&lt;/pub-dates&gt;&lt;/dates&gt;&lt;publisher&gt;AIHW, Australian Government&lt;/publisher&gt;&lt;work-type&gt;Internet&lt;/work-type&gt;&lt;urls&gt;&lt;related-urls&gt;&lt;url&gt;https://www.aihw.gov.au/reports-data/australias-health&lt;/url&gt;&lt;/related-urls&gt;&lt;/urls&gt;&lt;custom1&gt;2024&lt;/custom1&gt;&lt;custom2&gt;July 8&lt;/custom2&gt;&lt;/record&gt;&lt;/Cite&gt;&lt;/EndNote&gt;</w:instrText>
        </w:r>
        <w:r w:rsidR="002D6F18">
          <w:fldChar w:fldCharType="separate"/>
        </w:r>
        <w:r w:rsidR="002D6F18" w:rsidRPr="00445D54">
          <w:rPr>
            <w:noProof/>
            <w:vertAlign w:val="superscript"/>
          </w:rPr>
          <w:t>95</w:t>
        </w:r>
        <w:r w:rsidR="002D6F18">
          <w:fldChar w:fldCharType="end"/>
        </w:r>
      </w:hyperlink>
      <w:r w:rsidR="7140CD73" w:rsidRPr="00B768A1">
        <w:t xml:space="preserve"> </w:t>
      </w:r>
      <w:r w:rsidR="13308D30" w:rsidRPr="00B768A1">
        <w:t>and</w:t>
      </w:r>
      <w:r w:rsidR="0128BCE4" w:rsidRPr="00B768A1">
        <w:t xml:space="preserve"> </w:t>
      </w:r>
      <w:r w:rsidR="00505D06" w:rsidRPr="00B768A1">
        <w:t>physical activity</w:t>
      </w:r>
      <w:hyperlink w:anchor="_ENREF_96" w:tooltip="FJ, 2005 #146" w:history="1">
        <w:r w:rsidR="002D6F18">
          <w:fldChar w:fldCharType="begin"/>
        </w:r>
        <w:r w:rsidR="002D6F18">
          <w:instrText xml:space="preserve"> ADDIN EN.CITE &lt;EndNote&gt;&lt;Cite&gt;&lt;Author&gt;FJ&lt;/Author&gt;&lt;Year&gt;2005&lt;/Year&gt;&lt;RecNum&gt;146&lt;/RecNum&gt;&lt;DisplayText&gt;&lt;style face="superscript"&gt;96&lt;/style&gt;&lt;/DisplayText&gt;&lt;record&gt;&lt;rec-number&gt;146&lt;/rec-number&gt;&lt;foreign-keys&gt;&lt;key app="EN" db-id="rsettzd2isasdweewww55s9lffasxav0d0ft" timestamp="1700699468" guid="167fb3c6-af37-4d9f-9a00-1513241af591"&gt;146&lt;/key&gt;&lt;/foreign-keys&gt;&lt;ref-type name="Journal Article"&gt;17&lt;/ref-type&gt;&lt;contributors&gt;&lt;authors&gt;&lt;author&gt;Penedo FJ&lt;/author&gt;&lt;author&gt;Dahn JR&lt;/author&gt;&lt;/authors&gt;&lt;/contributors&gt;&lt;titles&gt;&lt;title&gt;Exercise and Well-Being: A Review of Mental and Physical Health Benefits Associated with Physical Activity&lt;/title&gt;&lt;secondary-title&gt;Current Opinion in Psychiatry&lt;/secondary-title&gt;&lt;/titles&gt;&lt;periodical&gt;&lt;full-title&gt;Current Opinion in Psychiatry&lt;/full-title&gt;&lt;/periodical&gt;&lt;dates&gt;&lt;year&gt;2005&lt;/year&gt;&lt;/dates&gt;&lt;urls&gt;&lt;/urls&gt;&lt;electronic-resource-num&gt;DOI: 10.1097/00001504-200503000-00013&lt;/electronic-resource-num&gt;&lt;/record&gt;&lt;/Cite&gt;&lt;/EndNote&gt;</w:instrText>
        </w:r>
        <w:r w:rsidR="002D6F18">
          <w:fldChar w:fldCharType="separate"/>
        </w:r>
        <w:r w:rsidR="002D6F18" w:rsidRPr="00445D54">
          <w:rPr>
            <w:noProof/>
            <w:vertAlign w:val="superscript"/>
          </w:rPr>
          <w:t>96</w:t>
        </w:r>
        <w:r w:rsidR="002D6F18">
          <w:fldChar w:fldCharType="end"/>
        </w:r>
      </w:hyperlink>
      <w:r w:rsidR="0128BCE4" w:rsidRPr="00B768A1">
        <w:rPr>
          <w:vertAlign w:val="superscript"/>
        </w:rPr>
        <w:t>,</w:t>
      </w:r>
      <w:hyperlink w:anchor="_ENREF_97" w:tooltip="OWA, 2022 #147" w:history="1">
        <w:r w:rsidR="002D6F18">
          <w:rPr>
            <w:vertAlign w:val="superscript"/>
          </w:rPr>
          <w:fldChar w:fldCharType="begin"/>
        </w:r>
        <w:r w:rsidR="002D6F18">
          <w:rPr>
            <w:vertAlign w:val="superscript"/>
          </w:rPr>
          <w:instrText xml:space="preserve"> ADDIN EN.CITE &lt;EndNote&gt;&lt;Cite&gt;&lt;Author&gt;OWA&lt;/Author&gt;&lt;Year&gt;2022&lt;/Year&gt;&lt;RecNum&gt;147&lt;/RecNum&gt;&lt;DisplayText&gt;&lt;style face="superscript"&gt;97&lt;/style&gt;&lt;/DisplayText&gt;&lt;record&gt;&lt;rec-number&gt;147&lt;/rec-number&gt;&lt;foreign-keys&gt;&lt;key app="EN" db-id="rsettzd2isasdweewww55s9lffasxav0d0ft" timestamp="1700699468" guid="7a726baa-7e24-4f24-b7a6-d937811d4fed"&gt;147&lt;/key&gt;&lt;/foreign-keys&gt;&lt;ref-type name="Journal Article"&gt;17&lt;/ref-type&gt;&lt;contributors&gt;&lt;authors&gt;&lt;author&gt;Wilson OWA&lt;/author&gt;&lt;author&gt;Whatman C&lt;/author&gt;&lt;author&gt;Walters S&lt;/author&gt;&lt;author&gt;Keung S&lt;/author&gt;&lt;author&gt;Enari D&lt;/author&gt;&lt;author&gt;Rogers A&lt;/author&gt;&lt;author&gt;Millar SK&lt;/author&gt;&lt;author&gt;Ferkins L&lt;/author&gt;&lt;author&gt;Hinckson E&lt;/author&gt;&lt;author&gt;Hapeta J&lt;/author&gt;&lt;/authors&gt;&lt;/contributors&gt;&lt;titles&gt;&lt;title&gt;The Value of Sport: Wellbeing Benefits of Sport Participation During Adolescence&lt;/title&gt;&lt;secondary-title&gt;International Journal of Environmental Research and Public Health&lt;/secondary-title&gt;&lt;/titles&gt;&lt;periodical&gt;&lt;full-title&gt;International Journal of Environmental Research and Public Health&lt;/full-title&gt;&lt;/periodical&gt;&lt;dates&gt;&lt;year&gt;2022&lt;/year&gt;&lt;/dates&gt;&lt;urls&gt;&lt;/urls&gt;&lt;electronic-resource-num&gt;DOI: 10.3390/ijerph19148579&lt;/electronic-resource-num&gt;&lt;/record&gt;&lt;/Cite&gt;&lt;/EndNote&gt;</w:instrText>
        </w:r>
        <w:r w:rsidR="002D6F18">
          <w:rPr>
            <w:vertAlign w:val="superscript"/>
          </w:rPr>
          <w:fldChar w:fldCharType="separate"/>
        </w:r>
        <w:r w:rsidR="002D6F18">
          <w:rPr>
            <w:noProof/>
            <w:vertAlign w:val="superscript"/>
          </w:rPr>
          <w:t>97</w:t>
        </w:r>
        <w:r w:rsidR="002D6F18">
          <w:rPr>
            <w:vertAlign w:val="superscript"/>
          </w:rPr>
          <w:fldChar w:fldCharType="end"/>
        </w:r>
      </w:hyperlink>
      <w:r w:rsidR="068D681A" w:rsidRPr="00B768A1">
        <w:t xml:space="preserve"> can help enhance wellbeing, while initiatives that take a preventive approach to health problems, such as </w:t>
      </w:r>
      <w:r w:rsidR="2B43F16E" w:rsidRPr="00B768A1">
        <w:t>reducing</w:t>
      </w:r>
      <w:r w:rsidR="4D636599" w:rsidRPr="00B768A1">
        <w:t xml:space="preserve"> </w:t>
      </w:r>
      <w:r w:rsidR="068D681A" w:rsidRPr="00B768A1">
        <w:t>drug use</w:t>
      </w:r>
      <w:r w:rsidR="21B192AA" w:rsidRPr="00B768A1">
        <w:t>,</w:t>
      </w:r>
      <w:r w:rsidR="3AD8B6ED" w:rsidRPr="00B768A1">
        <w:t xml:space="preserve"> </w:t>
      </w:r>
      <w:r w:rsidR="5A39414D" w:rsidRPr="00B768A1">
        <w:t xml:space="preserve">including alcohol </w:t>
      </w:r>
      <w:r w:rsidR="068D681A" w:rsidRPr="00B768A1">
        <w:t xml:space="preserve">and </w:t>
      </w:r>
      <w:r w:rsidR="5A39414D" w:rsidRPr="00B768A1">
        <w:t>tobacco</w:t>
      </w:r>
      <w:r w:rsidR="2F02E77F">
        <w:t xml:space="preserve"> use</w:t>
      </w:r>
      <w:r w:rsidR="068D681A" w:rsidRPr="00B768A1">
        <w:t>,</w:t>
      </w:r>
      <w:hyperlink w:anchor="_ENREF_98" w:tooltip="A, 2020 #606" w:history="1">
        <w:r w:rsidR="002D6F18" w:rsidRPr="00A407D6">
          <w:rPr>
            <w:vertAlign w:val="superscript"/>
          </w:rPr>
          <w:fldChar w:fldCharType="begin"/>
        </w:r>
        <w:r w:rsidR="002D6F18">
          <w:rPr>
            <w:vertAlign w:val="superscript"/>
          </w:rPr>
          <w:instrText xml:space="preserve"> ADDIN EN.CITE &lt;EndNote&gt;&lt;Cite&gt;&lt;Author&gt;A&lt;/Author&gt;&lt;Year&gt;2020&lt;/Year&gt;&lt;RecNum&gt;606&lt;/RecNum&gt;&lt;DisplayText&gt;&lt;style face="superscript"&gt;98&lt;/style&gt;&lt;/DisplayText&gt;&lt;record&gt;&lt;rec-number&gt;606&lt;/rec-number&gt;&lt;foreign-keys&gt;&lt;key app="EN" db-id="rsettzd2isasdweewww55s9lffasxav0d0ft" timestamp="1707862922" guid="fe02fafb-5f8c-4afc-8413-54a46a035ee3"&gt;606&lt;/key&gt;&lt;/foreign-keys&gt;&lt;ref-type name="Web Page"&gt;12&lt;/ref-type&gt;&lt;contributors&gt;&lt;authors&gt;&lt;author&gt;Fisher A&lt;/author&gt;&lt;author&gt;Marel C&lt;/author&gt;&lt;author&gt;Morley K&lt;/author&gt;&lt;author&gt;Teesson M&lt;/author&gt;&lt;author&gt;Mills KL&lt;/author&gt;&lt;/authors&gt;&lt;/contributors&gt;&lt;titles&gt;&lt;title&gt;The Role of Alcohol and Other Drugs in Suicidal Behaviour and Effective Interventions to Reduce Suicidal Thoughts and Behaviours&lt;/title&gt;&lt;/titles&gt;&lt;dates&gt;&lt;year&gt;2020&lt;/year&gt;&lt;/dates&gt;&lt;publisher&gt;University of Sydney&lt;/publisher&gt;&lt;work-type&gt;Internet&lt;/work-type&gt;&lt;urls&gt;&lt;related-urls&gt;&lt;url&gt;https://www.sydney.edu.au/content/dam/corporate/documents/matilda-centre/resources/reports/aod-and-suicidal-behaviour-.pdf&lt;/url&gt;&lt;/related-urls&gt;&lt;/urls&gt;&lt;custom1&gt;2023&lt;/custom1&gt;&lt;custom2&gt;October 30&lt;/custom2&gt;&lt;/record&gt;&lt;/Cite&gt;&lt;/EndNote&gt;</w:instrText>
        </w:r>
        <w:r w:rsidR="002D6F18" w:rsidRPr="00A407D6">
          <w:rPr>
            <w:vertAlign w:val="superscript"/>
          </w:rPr>
          <w:fldChar w:fldCharType="separate"/>
        </w:r>
        <w:r w:rsidR="002D6F18">
          <w:rPr>
            <w:noProof/>
            <w:vertAlign w:val="superscript"/>
          </w:rPr>
          <w:t>98</w:t>
        </w:r>
        <w:r w:rsidR="002D6F18" w:rsidRPr="00A407D6">
          <w:rPr>
            <w:vertAlign w:val="superscript"/>
          </w:rPr>
          <w:fldChar w:fldCharType="end"/>
        </w:r>
      </w:hyperlink>
      <w:r w:rsidR="00A407D6" w:rsidRPr="00A407D6">
        <w:rPr>
          <w:vertAlign w:val="superscript"/>
        </w:rPr>
        <w:t>,</w:t>
      </w:r>
      <w:hyperlink w:anchor="_ENREF_99" w:tooltip="J, 2016 #149" w:history="1">
        <w:r w:rsidR="002D6F18" w:rsidRPr="00A407D6">
          <w:rPr>
            <w:vertAlign w:val="superscript"/>
          </w:rPr>
          <w:fldChar w:fldCharType="begin"/>
        </w:r>
        <w:r w:rsidR="002D6F18">
          <w:rPr>
            <w:vertAlign w:val="superscript"/>
          </w:rPr>
          <w:instrText xml:space="preserve"> ADDIN EN.CITE &lt;EndNote&gt;&lt;Cite&gt;&lt;Author&gt;J&lt;/Author&gt;&lt;Year&gt;2016&lt;/Year&gt;&lt;RecNum&gt;149&lt;/RecNum&gt;&lt;DisplayText&gt;&lt;style face="superscript"&gt;99&lt;/style&gt;&lt;/DisplayText&gt;&lt;record&gt;&lt;rec-number&gt;149&lt;/rec-number&gt;&lt;foreign-keys&gt;&lt;key app="EN" db-id="rsettzd2isasdweewww55s9lffasxav0d0ft" timestamp="1700699468" guid="106a2878-45e3-40e9-b0a9-a0d532a3475e"&gt;149&lt;/key&gt;&lt;/foreign-keys&gt;&lt;ref-type name="Journal Article"&gt;17&lt;/ref-type&gt;&lt;contributors&gt;&lt;authors&gt;&lt;author&gt;Poorolajal J&lt;/author&gt;&lt;author&gt;Darvishi N&lt;/author&gt;&lt;/authors&gt;&lt;/contributors&gt;&lt;titles&gt;&lt;title&gt;Smoking and Suicide: A Meta-Analysis&lt;/title&gt;&lt;secondary-title&gt;PLoS ONE&lt;/secondary-title&gt;&lt;/titles&gt;&lt;periodical&gt;&lt;full-title&gt;PLoS ONE&lt;/full-title&gt;&lt;/periodical&gt;&lt;dates&gt;&lt;year&gt;2016&lt;/year&gt;&lt;/dates&gt;&lt;urls&gt;&lt;/urls&gt;&lt;electronic-resource-num&gt;DOI: 10.1371/journal.pone.0156348&lt;/electronic-resource-num&gt;&lt;/record&gt;&lt;/Cite&gt;&lt;/EndNote&gt;</w:instrText>
        </w:r>
        <w:r w:rsidR="002D6F18" w:rsidRPr="00A407D6">
          <w:rPr>
            <w:vertAlign w:val="superscript"/>
          </w:rPr>
          <w:fldChar w:fldCharType="separate"/>
        </w:r>
        <w:r w:rsidR="002D6F18">
          <w:rPr>
            <w:noProof/>
            <w:vertAlign w:val="superscript"/>
          </w:rPr>
          <w:t>99</w:t>
        </w:r>
        <w:r w:rsidR="002D6F18" w:rsidRPr="00A407D6">
          <w:rPr>
            <w:vertAlign w:val="superscript"/>
          </w:rPr>
          <w:fldChar w:fldCharType="end"/>
        </w:r>
      </w:hyperlink>
      <w:r w:rsidR="00A407D6">
        <w:t xml:space="preserve"> </w:t>
      </w:r>
      <w:r w:rsidR="068D681A" w:rsidRPr="00B768A1">
        <w:t xml:space="preserve">can </w:t>
      </w:r>
      <w:r w:rsidR="4D810864" w:rsidRPr="00B768A1">
        <w:t xml:space="preserve">also </w:t>
      </w:r>
      <w:r w:rsidR="068D681A" w:rsidRPr="00B768A1">
        <w:t>be protective against suicide.</w:t>
      </w:r>
    </w:p>
    <w:p w14:paraId="131EA26B" w14:textId="3150FF46" w:rsidR="00AB1577" w:rsidRDefault="1AB675CB" w:rsidP="00634A83">
      <w:r w:rsidRPr="00B768A1">
        <w:t>There are opportunities to leverage existing work</w:t>
      </w:r>
      <w:r w:rsidR="613C468D" w:rsidRPr="00B768A1">
        <w:t>—</w:t>
      </w:r>
      <w:r w:rsidRPr="00B768A1">
        <w:t xml:space="preserve">such as </w:t>
      </w:r>
      <w:r w:rsidRPr="001C4171">
        <w:t xml:space="preserve">Australia’s </w:t>
      </w:r>
      <w:r w:rsidRPr="48215A0F">
        <w:rPr>
          <w:i/>
          <w:iCs/>
        </w:rPr>
        <w:t>National Preventive Health Strategy</w:t>
      </w:r>
      <w:hyperlink w:anchor="_ENREF_100" w:tooltip="Health, 2021 #1008" w:history="1">
        <w:r w:rsidR="002D6F18">
          <w:rPr>
            <w:i/>
            <w:iCs/>
          </w:rPr>
          <w:fldChar w:fldCharType="begin"/>
        </w:r>
        <w:r w:rsidR="002D6F18">
          <w:rPr>
            <w:i/>
            <w:iCs/>
          </w:rPr>
          <w:instrText xml:space="preserve"> ADDIN EN.CITE &lt;EndNote&gt;&lt;Cite&gt;&lt;Author&gt;Health&lt;/Author&gt;&lt;Year&gt;2021&lt;/Year&gt;&lt;RecNum&gt;1008&lt;/RecNum&gt;&lt;DisplayText&gt;&lt;style face="superscript"&gt;100&lt;/style&gt;&lt;/DisplayText&gt;&lt;record&gt;&lt;rec-number&gt;1008&lt;/rec-number&gt;&lt;foreign-keys&gt;&lt;key app="EN" db-id="rsettzd2isasdweewww55s9lffasxav0d0ft" timestamp="1720409628" guid="eeceeb99-335e-4b22-be85-abcbdca6a424"&gt;1008&lt;/key&gt;&lt;/foreign-keys&gt;&lt;ref-type name="Web Page"&gt;12&lt;/ref-type&gt;&lt;contributors&gt;&lt;authors&gt;&lt;author&gt;Department of Health&lt;/author&gt;&lt;/authors&gt;&lt;/contributors&gt;&lt;titles&gt;&lt;title&gt;National Preventive Health Strategy 2021-2030&lt;/title&gt;&lt;/titles&gt;&lt;dates&gt;&lt;year&gt;2021&lt;/year&gt;&lt;/dates&gt;&lt;pub-location&gt;Canberra&lt;/pub-location&gt;&lt;publisher&gt;DoH, Australian Government&lt;/publisher&gt;&lt;urls&gt;&lt;related-urls&gt;&lt;url&gt;https://www.health.gov.au/sites/default/files/documents/2021/12/national-preventive-health-strategy-2021-2030_1.pdf&lt;/url&gt;&lt;/related-urls&gt;&lt;/urls&gt;&lt;custom1&gt;2024&lt;/custom1&gt;&lt;custom2&gt;March 6&lt;/custom2&gt;&lt;/record&gt;&lt;/Cite&gt;&lt;/EndNote&gt;</w:instrText>
        </w:r>
        <w:r w:rsidR="002D6F18">
          <w:rPr>
            <w:i/>
            <w:iCs/>
          </w:rPr>
          <w:fldChar w:fldCharType="separate"/>
        </w:r>
        <w:r w:rsidR="002D6F18" w:rsidRPr="00445D54">
          <w:rPr>
            <w:i/>
            <w:iCs/>
            <w:noProof/>
            <w:vertAlign w:val="superscript"/>
          </w:rPr>
          <w:t>100</w:t>
        </w:r>
        <w:r w:rsidR="002D6F18">
          <w:rPr>
            <w:i/>
            <w:iCs/>
          </w:rPr>
          <w:fldChar w:fldCharType="end"/>
        </w:r>
      </w:hyperlink>
      <w:r w:rsidR="0DBB2419" w:rsidRPr="00B768A1">
        <w:t xml:space="preserve"> </w:t>
      </w:r>
      <w:r w:rsidR="7EBDC175" w:rsidRPr="00B768A1">
        <w:t>(</w:t>
      </w:r>
      <w:r w:rsidR="711B8EE6">
        <w:t>action ko</w:t>
      </w:r>
      <w:r w:rsidR="1B44CFEA" w:rsidRPr="08EF0EA3">
        <w:t>2.1</w:t>
      </w:r>
      <w:r w:rsidR="7EBDC175" w:rsidRPr="00B768A1">
        <w:t>a)</w:t>
      </w:r>
      <w:r w:rsidRPr="00B768A1">
        <w:t xml:space="preserve">, and the </w:t>
      </w:r>
      <w:r w:rsidRPr="003D1357">
        <w:t>Senate Inquiry into Sleep Health Awareness in Australia</w:t>
      </w:r>
      <w:hyperlink w:anchor="_ENREF_101" w:tooltip="Australia, 2023 #1009" w:history="1">
        <w:r w:rsidR="002D6F18">
          <w:fldChar w:fldCharType="begin"/>
        </w:r>
        <w:r w:rsidR="002D6F18">
          <w:instrText xml:space="preserve"> ADDIN EN.CITE &lt;EndNote&gt;&lt;Cite&gt;&lt;Author&gt;Australia&lt;/Author&gt;&lt;Year&gt;2023&lt;/Year&gt;&lt;RecNum&gt;1009&lt;/RecNum&gt;&lt;DisplayText&gt;&lt;style face="superscript"&gt;101&lt;/style&gt;&lt;/DisplayText&gt;&lt;record&gt;&lt;rec-number&gt;1009&lt;/rec-number&gt;&lt;foreign-keys&gt;&lt;key app="EN" db-id="rsettzd2isasdweewww55s9lffasxav0d0ft" timestamp="1720409951" guid="c5f16238-d811-44a1-bffc-4949a1b75c98"&gt;1009&lt;/key&gt;&lt;/foreign-keys&gt;&lt;ref-type name="Web Page"&gt;12&lt;/ref-type&gt;&lt;contributors&gt;&lt;authors&gt;&lt;author&gt;Parliament of Australia&lt;/author&gt;&lt;/authors&gt;&lt;/contributors&gt;&lt;titles&gt;&lt;title&gt;Government Response - Bedtime Reading: Inquiry into Sleep Health Awareness in Australia&lt;/title&gt;&lt;/titles&gt;&lt;dates&gt;&lt;year&gt;2023&lt;/year&gt;&lt;/dates&gt;&lt;pub-location&gt;Canberra&lt;/pub-location&gt;&lt;publisher&gt;Australian Government&lt;/publisher&gt;&lt;work-type&gt;Internet&lt;/work-type&gt;&lt;urls&gt;&lt;related-urls&gt;&lt;url&gt;https://www.aph.gov.au/Parliamentary_Business/Committees/House/Health_Aged_Care_and_Sport/SleepHealthAwareness/Government_Response&lt;/url&gt;&lt;/related-urls&gt;&lt;/urls&gt;&lt;custom1&gt;2024&lt;/custom1&gt;&lt;custom2&gt;March 6&lt;/custom2&gt;&lt;/record&gt;&lt;/Cite&gt;&lt;/EndNote&gt;</w:instrText>
        </w:r>
        <w:r w:rsidR="002D6F18">
          <w:fldChar w:fldCharType="separate"/>
        </w:r>
        <w:r w:rsidR="002D6F18" w:rsidRPr="00445D54">
          <w:rPr>
            <w:noProof/>
            <w:vertAlign w:val="superscript"/>
          </w:rPr>
          <w:t>101</w:t>
        </w:r>
        <w:r w:rsidR="002D6F18">
          <w:fldChar w:fldCharType="end"/>
        </w:r>
      </w:hyperlink>
      <w:r w:rsidR="613C468D" w:rsidRPr="00B768A1">
        <w:t>—</w:t>
      </w:r>
      <w:r w:rsidRPr="00B768A1">
        <w:t>to advance reform in this area</w:t>
      </w:r>
      <w:r w:rsidR="7EBDC175" w:rsidRPr="00B768A1">
        <w:t xml:space="preserve"> (</w:t>
      </w:r>
      <w:r w:rsidR="711B8EE6">
        <w:t>action ko</w:t>
      </w:r>
      <w:r w:rsidR="1B44CFEA" w:rsidRPr="08EF0EA3">
        <w:t>2.1</w:t>
      </w:r>
      <w:r w:rsidR="7EBDC175" w:rsidRPr="00B768A1">
        <w:t>b)</w:t>
      </w:r>
      <w:r w:rsidRPr="00B768A1">
        <w:t>.</w:t>
      </w:r>
      <w:r w:rsidR="7FCBF31F">
        <w:t xml:space="preserve"> </w:t>
      </w:r>
    </w:p>
    <w:p w14:paraId="5160EFD1" w14:textId="31E93CA8" w:rsidR="001D3BFD" w:rsidRPr="00B768A1" w:rsidRDefault="7FCBF31F" w:rsidP="00634A83">
      <w:r>
        <w:t xml:space="preserve">The recommended actions </w:t>
      </w:r>
      <w:r w:rsidR="00AB1577" w:rsidRPr="00AB1577">
        <w:t xml:space="preserve">to improve health outcomes as they relate to suicide prevention </w:t>
      </w:r>
      <w:r>
        <w:t>are described in</w:t>
      </w:r>
      <w:r w:rsidR="12361557">
        <w:t xml:space="preserve"> </w:t>
      </w:r>
      <w:r w:rsidR="00231B9C">
        <w:fldChar w:fldCharType="begin"/>
      </w:r>
      <w:r w:rsidR="00231B9C">
        <w:instrText xml:space="preserve"> REF _Ref164869733 \h </w:instrText>
      </w:r>
      <w:r w:rsidR="00231B9C">
        <w:fldChar w:fldCharType="separate"/>
      </w:r>
      <w:r w:rsidR="009F12B4">
        <w:t xml:space="preserve">Table </w:t>
      </w:r>
      <w:r w:rsidR="009F12B4">
        <w:rPr>
          <w:noProof/>
        </w:rPr>
        <w:t>5</w:t>
      </w:r>
      <w:r w:rsidR="00231B9C">
        <w:fldChar w:fldCharType="end"/>
      </w:r>
      <w:r>
        <w:t>.</w:t>
      </w:r>
    </w:p>
    <w:p w14:paraId="44456F05" w14:textId="07A398FB" w:rsidR="001D3BFD" w:rsidRPr="00B768A1" w:rsidRDefault="00E0443D" w:rsidP="00745B34">
      <w:pPr>
        <w:pStyle w:val="Caption"/>
      </w:pPr>
      <w:bookmarkStart w:id="47" w:name="_Ref162224516"/>
      <w:bookmarkStart w:id="48" w:name="_Ref164869733"/>
      <w:r>
        <w:t xml:space="preserve">Table </w:t>
      </w:r>
      <w:bookmarkEnd w:id="47"/>
      <w:r w:rsidR="00F823CC">
        <w:fldChar w:fldCharType="begin"/>
      </w:r>
      <w:r w:rsidR="00F823CC">
        <w:instrText xml:space="preserve"> SEQ Table \* ARABIC  \* MERGEFORMAT </w:instrText>
      </w:r>
      <w:r w:rsidR="00F823CC">
        <w:fldChar w:fldCharType="separate"/>
      </w:r>
      <w:r w:rsidR="009F12B4">
        <w:rPr>
          <w:noProof/>
        </w:rPr>
        <w:t>5</w:t>
      </w:r>
      <w:r w:rsidR="00F823CC">
        <w:fldChar w:fldCharType="end"/>
      </w:r>
      <w:bookmarkEnd w:id="48"/>
      <w:r>
        <w:t xml:space="preserve">: Recommended actions for Prevention objective </w:t>
      </w:r>
      <w:r w:rsidR="00060287">
        <w:t>2.1</w:t>
      </w:r>
      <w:r>
        <w:t>: Improve health outcomes</w:t>
      </w:r>
    </w:p>
    <w:tbl>
      <w:tblPr>
        <w:tblStyle w:val="TableGrid"/>
        <w:tblW w:w="5000" w:type="pct"/>
        <w:tblLook w:val="0420" w:firstRow="1" w:lastRow="0" w:firstColumn="0" w:lastColumn="0" w:noHBand="0" w:noVBand="1"/>
        <w:tblCaption w:val="Recommended actions for Prevention objective 1.2: Improve health outcomes"/>
        <w:tblDescription w:val="Describes actions ko1.2a and ko1.2b"/>
      </w:tblPr>
      <w:tblGrid>
        <w:gridCol w:w="1270"/>
        <w:gridCol w:w="7791"/>
      </w:tblGrid>
      <w:tr w:rsidR="00100EBC" w:rsidRPr="00B768A1" w14:paraId="036D2364" w14:textId="77777777" w:rsidTr="00100EBC">
        <w:trPr>
          <w:cnfStyle w:val="100000000000" w:firstRow="1" w:lastRow="0" w:firstColumn="0" w:lastColumn="0" w:oddVBand="0" w:evenVBand="0" w:oddHBand="0" w:evenHBand="0" w:firstRowFirstColumn="0" w:firstRowLastColumn="0" w:lastRowFirstColumn="0" w:lastRowLastColumn="0"/>
          <w:cantSplit/>
          <w:tblHeader/>
        </w:trPr>
        <w:tc>
          <w:tcPr>
            <w:tcW w:w="7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48002"/>
          </w:tcPr>
          <w:p w14:paraId="5F2A7A9D" w14:textId="3B3A8D83" w:rsidR="00100EBC" w:rsidRPr="00E45605" w:rsidRDefault="00100EBC" w:rsidP="004F5B0E">
            <w:pPr>
              <w:pStyle w:val="NMHCTableHeaderRow"/>
            </w:pPr>
            <w:r w:rsidRPr="00E45605">
              <w:t>Action</w:t>
            </w:r>
          </w:p>
        </w:tc>
        <w:tc>
          <w:tcPr>
            <w:tcW w:w="429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48002"/>
            <w:tcMar>
              <w:top w:w="28" w:type="dxa"/>
              <w:bottom w:w="28" w:type="dxa"/>
            </w:tcMar>
          </w:tcPr>
          <w:p w14:paraId="7BAECF45" w14:textId="2530883A" w:rsidR="00100EBC" w:rsidRPr="00B768A1" w:rsidRDefault="00100EBC" w:rsidP="004F5B0E">
            <w:pPr>
              <w:pStyle w:val="NMHCTableHeaderRow"/>
            </w:pPr>
            <w:r>
              <w:t>Description</w:t>
            </w:r>
          </w:p>
        </w:tc>
      </w:tr>
      <w:tr w:rsidR="00100EBC" w:rsidRPr="00B768A1" w14:paraId="444FA882" w14:textId="77777777" w:rsidTr="00100EBC">
        <w:tc>
          <w:tcPr>
            <w:tcW w:w="701" w:type="pct"/>
            <w:tcBorders>
              <w:top w:val="single" w:sz="4" w:space="0" w:color="FFFFFF" w:themeColor="background1"/>
            </w:tcBorders>
          </w:tcPr>
          <w:p w14:paraId="5404DA5D" w14:textId="66A63A4B" w:rsidR="00100EBC" w:rsidRPr="009C58E7" w:rsidRDefault="00100EBC" w:rsidP="00634A83">
            <w:r>
              <w:t>k</w:t>
            </w:r>
            <w:r w:rsidRPr="009C58E7">
              <w:t>o2.1a</w:t>
            </w:r>
          </w:p>
        </w:tc>
        <w:tc>
          <w:tcPr>
            <w:tcW w:w="4299" w:type="pct"/>
            <w:tcBorders>
              <w:top w:val="single" w:sz="4" w:space="0" w:color="FFFFFF" w:themeColor="background1"/>
            </w:tcBorders>
            <w:tcMar>
              <w:top w:w="28" w:type="dxa"/>
              <w:bottom w:w="28" w:type="dxa"/>
            </w:tcMar>
          </w:tcPr>
          <w:p w14:paraId="593A0A02" w14:textId="249A8907" w:rsidR="00100EBC" w:rsidRPr="009C58E7" w:rsidRDefault="00100EBC" w:rsidP="00634A83">
            <w:r w:rsidRPr="009C58E7">
              <w:t xml:space="preserve">Implement the </w:t>
            </w:r>
            <w:r w:rsidRPr="002B2AEC">
              <w:rPr>
                <w:i/>
                <w:iCs/>
              </w:rPr>
              <w:t>National Preventive Health Strategy</w:t>
            </w:r>
            <w:r w:rsidRPr="009C58E7">
              <w:t xml:space="preserve"> to promote a healthy diet, regular physical activity and adequate sleep; reduce tobacco use and alcohol and other drug harm; promote and protect mental health; and create an effective and equitable prevention system.</w:t>
            </w:r>
          </w:p>
        </w:tc>
      </w:tr>
      <w:tr w:rsidR="00100EBC" w:rsidRPr="00B768A1" w14:paraId="4C19E2C5" w14:textId="77777777" w:rsidTr="00100EBC">
        <w:tc>
          <w:tcPr>
            <w:tcW w:w="701" w:type="pct"/>
          </w:tcPr>
          <w:p w14:paraId="3F004CA8" w14:textId="1DEC1588" w:rsidR="00100EBC" w:rsidRPr="00B768A1" w:rsidRDefault="00100EBC" w:rsidP="00634A83">
            <w:pPr>
              <w:rPr>
                <w:b/>
              </w:rPr>
            </w:pPr>
            <w:r>
              <w:t>ko2.1</w:t>
            </w:r>
            <w:r w:rsidRPr="00B768A1">
              <w:t>b</w:t>
            </w:r>
          </w:p>
        </w:tc>
        <w:tc>
          <w:tcPr>
            <w:tcW w:w="4299" w:type="pct"/>
            <w:tcMar>
              <w:top w:w="28" w:type="dxa"/>
              <w:bottom w:w="28" w:type="dxa"/>
            </w:tcMar>
          </w:tcPr>
          <w:p w14:paraId="0F0B1706" w14:textId="7C71F788" w:rsidR="00100EBC" w:rsidRPr="00B768A1" w:rsidRDefault="00100EBC" w:rsidP="00634A83">
            <w:pPr>
              <w:rPr>
                <w:rFonts w:cs="Poppins"/>
                <w:sz w:val="18"/>
                <w:szCs w:val="18"/>
              </w:rPr>
            </w:pPr>
            <w:r>
              <w:t>I</w:t>
            </w:r>
            <w:r w:rsidRPr="00B768A1">
              <w:t xml:space="preserve">mplement the Australian Government response to the </w:t>
            </w:r>
            <w:r w:rsidRPr="00CD2A1D">
              <w:t>Senate Inquiry into Sleep Health Awareness in Australia</w:t>
            </w:r>
            <w:r w:rsidRPr="00B768A1">
              <w:t xml:space="preserve">. </w:t>
            </w:r>
            <w:r w:rsidRPr="00B768A1">
              <w:rPr>
                <w:rFonts w:cs="Poppins"/>
                <w:sz w:val="18"/>
                <w:szCs w:val="18"/>
              </w:rPr>
              <w:t>I</w:t>
            </w:r>
            <w:r w:rsidRPr="00B768A1">
              <w:t>mprove health and wellbeing by:</w:t>
            </w:r>
          </w:p>
          <w:p w14:paraId="377EEAB1" w14:textId="7AFB5DC8" w:rsidR="00100EBC" w:rsidRPr="00B768A1" w:rsidRDefault="00100EBC" w:rsidP="00634A83">
            <w:pPr>
              <w:pStyle w:val="ListParagraph"/>
              <w:numPr>
                <w:ilvl w:val="0"/>
                <w:numId w:val="27"/>
              </w:numPr>
            </w:pPr>
            <w:r w:rsidRPr="00B768A1">
              <w:t>promoting the importance of sleep health, in conjunction with a healthy diet and regular physical activity</w:t>
            </w:r>
          </w:p>
          <w:p w14:paraId="1AFE53E8" w14:textId="0DED782E" w:rsidR="00100EBC" w:rsidRPr="00B768A1" w:rsidRDefault="00100EBC" w:rsidP="00634A83">
            <w:pPr>
              <w:pStyle w:val="ListParagraph"/>
              <w:numPr>
                <w:ilvl w:val="0"/>
                <w:numId w:val="27"/>
              </w:numPr>
            </w:pPr>
            <w:r w:rsidRPr="00B768A1">
              <w:t>educating and facilitating behaviour change to improve sleep health</w:t>
            </w:r>
          </w:p>
          <w:p w14:paraId="0989A32C" w14:textId="7B08EA18" w:rsidR="00100EBC" w:rsidRPr="00B768A1" w:rsidRDefault="00100EBC" w:rsidP="00634A83">
            <w:pPr>
              <w:pStyle w:val="ListParagraph"/>
              <w:numPr>
                <w:ilvl w:val="0"/>
                <w:numId w:val="27"/>
              </w:numPr>
            </w:pPr>
            <w:r w:rsidRPr="00B768A1">
              <w:t>incorporating sleep recommendations for all age groups into national guidelines and policies.</w:t>
            </w:r>
          </w:p>
        </w:tc>
      </w:tr>
    </w:tbl>
    <w:p w14:paraId="5864140F" w14:textId="77777777" w:rsidR="00B5153B" w:rsidRDefault="00B5153B" w:rsidP="00A771EF">
      <w:pPr>
        <w:pStyle w:val="Heading3prevention0"/>
      </w:pPr>
    </w:p>
    <w:p w14:paraId="6384C756" w14:textId="77777777" w:rsidR="00B5153B" w:rsidRDefault="00B5153B">
      <w:pPr>
        <w:spacing w:after="160"/>
        <w:rPr>
          <w:rFonts w:eastAsiaTheme="majorEastAsia"/>
          <w:b/>
          <w:bCs/>
          <w:color w:val="D48005" w:themeColor="accent5" w:themeShade="BF"/>
          <w:sz w:val="28"/>
          <w:szCs w:val="28"/>
        </w:rPr>
      </w:pPr>
      <w:r>
        <w:br w:type="page"/>
      </w:r>
    </w:p>
    <w:p w14:paraId="34610F76" w14:textId="12626336" w:rsidR="00ED2568" w:rsidRPr="00A60CE2" w:rsidRDefault="00ED2568" w:rsidP="00A771EF">
      <w:pPr>
        <w:pStyle w:val="Heading3prevention0"/>
      </w:pPr>
      <w:r w:rsidRPr="00A60CE2">
        <w:t>2.</w:t>
      </w:r>
      <w:r w:rsidR="009C58E7">
        <w:t>2</w:t>
      </w:r>
      <w:r w:rsidRPr="00A60CE2">
        <w:t xml:space="preserve"> Mitigate health risks</w:t>
      </w:r>
    </w:p>
    <w:p w14:paraId="46C0FFAD" w14:textId="78D58A7B" w:rsidR="00FA5FE7" w:rsidRDefault="00FA5FE7" w:rsidP="00634A83">
      <w:r>
        <w:t>In addition to a prevent</w:t>
      </w:r>
      <w:r w:rsidR="00127871">
        <w:t xml:space="preserve">ative approach, action can be taken to </w:t>
      </w:r>
      <w:r w:rsidR="00F12C4F">
        <w:t>mit</w:t>
      </w:r>
      <w:r w:rsidR="00165674">
        <w:t xml:space="preserve">igate the main </w:t>
      </w:r>
      <w:r w:rsidR="00263779">
        <w:t xml:space="preserve">health risks associated </w:t>
      </w:r>
      <w:r w:rsidR="00E25228">
        <w:t>with suicide.</w:t>
      </w:r>
    </w:p>
    <w:p w14:paraId="0A9AFF02" w14:textId="63382D6E" w:rsidR="00ED2568" w:rsidRPr="00B768A1" w:rsidRDefault="57A2B438" w:rsidP="00634A83">
      <w:r>
        <w:t>In Australia, mental</w:t>
      </w:r>
      <w:r w:rsidRPr="00B768A1">
        <w:t xml:space="preserve"> and behavioural disorders </w:t>
      </w:r>
      <w:r>
        <w:t xml:space="preserve">are </w:t>
      </w:r>
      <w:r w:rsidRPr="00B768A1">
        <w:t>reported in 62.8%</w:t>
      </w:r>
      <w:r>
        <w:t> </w:t>
      </w:r>
      <w:r w:rsidRPr="00B768A1">
        <w:t>of suicides.</w:t>
      </w:r>
      <w:hyperlink w:anchor="_ENREF_2" w:tooltip="Statistics, 2023 #481" w:history="1">
        <w:r w:rsidR="002D6F18">
          <w:fldChar w:fldCharType="begin"/>
        </w:r>
        <w:r w:rsidR="002D6F18">
          <w:instrText xml:space="preserve"> ADDIN EN.CITE &lt;EndNote&gt;&lt;Cite&gt;&lt;Author&gt;Statistics&lt;/Author&gt;&lt;Year&gt;2023&lt;/Year&gt;&lt;RecNum&gt;481&lt;/RecNum&gt;&lt;DisplayText&gt;&lt;style face="superscript"&gt;2&lt;/style&gt;&lt;/DisplayText&gt;&lt;record&gt;&lt;rec-number&gt;481&lt;/rec-number&gt;&lt;foreign-keys&gt;&lt;key app="EN" db-id="rsettzd2isasdweewww55s9lffasxav0d0ft" timestamp="1700699474" guid="3ab42a82-f072-4dca-92fd-dc952307213a"&gt;481&lt;/key&gt;&lt;/foreign-keys&gt;&lt;ref-type name="Web Page"&gt;12&lt;/ref-type&gt;&lt;contributors&gt;&lt;authors&gt;&lt;author&gt;Australian Bureau of Statistics&lt;/author&gt;&lt;/authors&gt;&lt;/contributors&gt;&lt;titles&gt;&lt;title&gt;Causes of Death, Australia, 2022&lt;/title&gt;&lt;/titles&gt;&lt;dates&gt;&lt;year&gt;2023&lt;/year&gt;&lt;/dates&gt;&lt;publisher&gt;ABS, Australian Government&lt;/publisher&gt;&lt;work-type&gt;Internet&lt;/work-type&gt;&lt;urls&gt;&lt;related-urls&gt;&lt;url&gt;https://www.abs.gov.au/statistics/health/causes-death/causes-death-australia/2022&lt;/url&gt;&lt;/related-urls&gt;&lt;/urls&gt;&lt;custom1&gt;2023&lt;/custom1&gt;&lt;custom2&gt;October 02&lt;/custom2&gt;&lt;/record&gt;&lt;/Cite&gt;&lt;/EndNote&gt;</w:instrText>
        </w:r>
        <w:r w:rsidR="002D6F18">
          <w:fldChar w:fldCharType="separate"/>
        </w:r>
        <w:r w:rsidR="002D6F18" w:rsidRPr="00E25362">
          <w:rPr>
            <w:noProof/>
            <w:vertAlign w:val="superscript"/>
          </w:rPr>
          <w:t>2</w:t>
        </w:r>
        <w:r w:rsidR="002D6F18">
          <w:fldChar w:fldCharType="end"/>
        </w:r>
      </w:hyperlink>
      <w:r w:rsidR="005A77B6">
        <w:t xml:space="preserve"> </w:t>
      </w:r>
      <w:r w:rsidRPr="00B768A1">
        <w:t>This highlights the importance of a well-functioning mental health system</w:t>
      </w:r>
      <w:r w:rsidR="603D0826">
        <w:t xml:space="preserve">, particularly support for people with </w:t>
      </w:r>
      <w:r w:rsidR="371686E9">
        <w:t xml:space="preserve">severe and </w:t>
      </w:r>
      <w:r w:rsidR="322CCD60">
        <w:t>enduring</w:t>
      </w:r>
      <w:r w:rsidR="371686E9">
        <w:t xml:space="preserve"> mental illness,</w:t>
      </w:r>
      <w:r w:rsidRPr="00B768A1">
        <w:t xml:space="preserve"> as a </w:t>
      </w:r>
      <w:r>
        <w:t xml:space="preserve">fundamental </w:t>
      </w:r>
      <w:r w:rsidRPr="00B768A1">
        <w:t xml:space="preserve">part of effective suicide prevention. The </w:t>
      </w:r>
      <w:r w:rsidRPr="48215A0F">
        <w:rPr>
          <w:i/>
          <w:iCs/>
        </w:rPr>
        <w:t>National Mental Health and Suicide Prevention Agreement</w:t>
      </w:r>
      <w:hyperlink w:anchor="_ENREF_29" w:tooltip="Relations, 2022 #986" w:history="1">
        <w:r w:rsidR="002D6F18">
          <w:rPr>
            <w:i/>
            <w:iCs/>
          </w:rPr>
          <w:fldChar w:fldCharType="begin"/>
        </w:r>
        <w:r w:rsidR="002D6F18">
          <w:rPr>
            <w:i/>
            <w:iCs/>
          </w:rPr>
          <w:instrText xml:space="preserve"> ADDIN EN.CITE &lt;EndNote&gt;&lt;Cite&gt;&lt;Author&gt;Relations&lt;/Author&gt;&lt;Year&gt;2022&lt;/Year&gt;&lt;RecNum&gt;986&lt;/RecNum&gt;&lt;DisplayText&gt;&lt;style face="superscript"&gt;29&lt;/style&gt;&lt;/DisplayText&gt;&lt;record&gt;&lt;rec-number&gt;986&lt;/rec-number&gt;&lt;foreign-keys&gt;&lt;key app="EN" db-id="rsettzd2isasdweewww55s9lffasxav0d0ft" timestamp="1720076948" guid="32964ad8-6066-45d7-88ee-95f279fee5d3"&gt;986&lt;/key&gt;&lt;/foreign-keys&gt;&lt;ref-type name="Government Document"&gt;46&lt;/ref-type&gt;&lt;contributors&gt;&lt;authors&gt;&lt;author&gt;Federal Financial Relations &lt;/author&gt;&lt;/authors&gt;&lt;/contributors&gt;&lt;titles&gt;&lt;title&gt;The National Mental Health and Suicide Prevention Agreement&lt;/title&gt;&lt;/titles&gt;&lt;dates&gt;&lt;year&gt;2022&lt;/year&gt;&lt;/dates&gt;&lt;publisher&gt;Commonwealth of Australia&lt;/publisher&gt;&lt;urls&gt;&lt;related-urls&gt;&lt;url&gt;https://federalfinancialrelations.gov.au/agreements/mental-health-suicide-prevention-agreement&lt;/url&gt;&lt;/related-urls&gt;&lt;/urls&gt;&lt;/record&gt;&lt;/Cite&gt;&lt;/EndNote&gt;</w:instrText>
        </w:r>
        <w:r w:rsidR="002D6F18">
          <w:rPr>
            <w:i/>
            <w:iCs/>
          </w:rPr>
          <w:fldChar w:fldCharType="separate"/>
        </w:r>
        <w:r w:rsidR="002D6F18" w:rsidRPr="0082082D">
          <w:rPr>
            <w:i/>
            <w:iCs/>
            <w:noProof/>
            <w:vertAlign w:val="superscript"/>
          </w:rPr>
          <w:t>29</w:t>
        </w:r>
        <w:r w:rsidR="002D6F18">
          <w:rPr>
            <w:i/>
            <w:iCs/>
          </w:rPr>
          <w:fldChar w:fldCharType="end"/>
        </w:r>
      </w:hyperlink>
      <w:r w:rsidR="001D706B">
        <w:rPr>
          <w:i/>
          <w:iCs/>
        </w:rPr>
        <w:t xml:space="preserve"> </w:t>
      </w:r>
      <w:r w:rsidRPr="00B768A1">
        <w:t>provides a foundation for mental health system reform</w:t>
      </w:r>
      <w:r>
        <w:t>,</w:t>
      </w:r>
      <w:r w:rsidRPr="00B768A1">
        <w:t xml:space="preserve"> including</w:t>
      </w:r>
      <w:r w:rsidR="36760785">
        <w:t xml:space="preserve"> improving accessibility of mental health services (action</w:t>
      </w:r>
      <w:r w:rsidR="1138EC12">
        <w:t xml:space="preserve"> </w:t>
      </w:r>
      <w:r w:rsidR="36760785">
        <w:t>ko2.2a) and</w:t>
      </w:r>
      <w:r w:rsidRPr="00B768A1">
        <w:t xml:space="preserve"> the expansion of suicide prevention specific initiatives (</w:t>
      </w:r>
      <w:r>
        <w:t>action ko</w:t>
      </w:r>
      <w:r w:rsidRPr="00B768A1">
        <w:t>2.</w:t>
      </w:r>
      <w:r w:rsidR="13B6CACB" w:rsidRPr="00B768A1">
        <w:t>2</w:t>
      </w:r>
      <w:r w:rsidR="2B4847F3">
        <w:t>b</w:t>
      </w:r>
      <w:r w:rsidRPr="00B768A1">
        <w:t>).</w:t>
      </w:r>
    </w:p>
    <w:p w14:paraId="77359ABB" w14:textId="2E595EC2" w:rsidR="00ED2568" w:rsidRPr="00B768A1" w:rsidRDefault="20E55F19" w:rsidP="00634A83">
      <w:r w:rsidRPr="00B768A1">
        <w:t>In addition, more than half of all people who die by suicide have a physical health condition or disease separate to any mental health condition.</w:t>
      </w:r>
      <w:hyperlink w:anchor="_ENREF_102" w:tooltip="Statistics, 2023 #592" w:history="1">
        <w:r w:rsidR="002D6F18">
          <w:fldChar w:fldCharType="begin"/>
        </w:r>
        <w:r w:rsidR="002D6F18">
          <w:instrText xml:space="preserve"> ADDIN EN.CITE &lt;EndNote&gt;&lt;Cite&gt;&lt;Author&gt;Statistics&lt;/Author&gt;&lt;Year&gt;2023&lt;/Year&gt;&lt;RecNum&gt;592&lt;/RecNum&gt;&lt;DisplayText&gt;&lt;style face="superscript"&gt;102&lt;/style&gt;&lt;/DisplayText&gt;&lt;record&gt;&lt;rec-number&gt;592&lt;/rec-number&gt;&lt;foreign-keys&gt;&lt;key app="EN" db-id="rsettzd2isasdweewww55s9lffasxav0d0ft" timestamp="1707862922" guid="32b05286-0f80-49a5-85f6-b2fb86fc48d2"&gt;592&lt;/key&gt;&lt;/foreign-keys&gt;&lt;ref-type name="Web Page"&gt;12&lt;/ref-type&gt;&lt;contributors&gt;&lt;authors&gt;&lt;author&gt;Australian Bureau of Statistics&lt;/author&gt;&lt;/authors&gt;&lt;/contributors&gt;&lt;titles&gt;&lt;title&gt;Causes of Death, Australia, 2022: Risk Factors for Intentional Self-Harm Deaths (Suicide) in Australia&lt;/title&gt;&lt;/titles&gt;&lt;dates&gt;&lt;year&gt;2023&lt;/year&gt;&lt;/dates&gt;&lt;publisher&gt;ABS&lt;/publisher&gt;&lt;work-type&gt;Internet&lt;/work-type&gt;&lt;urls&gt;&lt;related-urls&gt;&lt;url&gt;https://www.abs.gov.au/statistics/health/causes-death/causes-death-australia/2021#risk-factors-for-intentional-self-harm-deaths-suicide-in-australia&lt;/url&gt;&lt;/related-urls&gt;&lt;/urls&gt;&lt;custom1&gt;2023&lt;/custom1&gt;&lt;custom2&gt;October 30&lt;/custom2&gt;&lt;/record&gt;&lt;/Cite&gt;&lt;/EndNote&gt;</w:instrText>
        </w:r>
        <w:r w:rsidR="002D6F18">
          <w:fldChar w:fldCharType="separate"/>
        </w:r>
        <w:r w:rsidR="002D6F18" w:rsidRPr="00445D54">
          <w:rPr>
            <w:noProof/>
            <w:vertAlign w:val="superscript"/>
          </w:rPr>
          <w:t>102</w:t>
        </w:r>
        <w:r w:rsidR="002D6F18">
          <w:fldChar w:fldCharType="end"/>
        </w:r>
      </w:hyperlink>
      <w:r w:rsidR="001D706B">
        <w:t xml:space="preserve"> </w:t>
      </w:r>
      <w:r w:rsidRPr="00B768A1">
        <w:t>This strong relationship between physical illness and suicide</w:t>
      </w:r>
      <w:r w:rsidRPr="00B768A1" w:rsidDel="004F69F8">
        <w:t xml:space="preserve"> </w:t>
      </w:r>
      <w:r w:rsidRPr="00B768A1">
        <w:t xml:space="preserve">means it is </w:t>
      </w:r>
      <w:r>
        <w:t xml:space="preserve">imperative </w:t>
      </w:r>
      <w:r w:rsidRPr="00B768A1">
        <w:t>t</w:t>
      </w:r>
      <w:r>
        <w:t xml:space="preserve">o support </w:t>
      </w:r>
      <w:r w:rsidRPr="00B768A1">
        <w:t>people with significant physical illness</w:t>
      </w:r>
      <w:r>
        <w:t>,</w:t>
      </w:r>
      <w:r w:rsidRPr="00B768A1">
        <w:t xml:space="preserve"> including life-changing injuries, chronic diseases, illnesses and pain, as well as their families, carers and kin, in relation to suicide prevention (</w:t>
      </w:r>
      <w:r>
        <w:t>action ko</w:t>
      </w:r>
      <w:r w:rsidRPr="00B768A1">
        <w:t>2.</w:t>
      </w:r>
      <w:r w:rsidR="0739F3B4" w:rsidRPr="00B768A1">
        <w:t>2</w:t>
      </w:r>
      <w:r w:rsidRPr="00B768A1">
        <w:t>b).</w:t>
      </w:r>
      <w:hyperlink w:anchor="_ENREF_103" w:tooltip="I, 2020 #1010" w:history="1">
        <w:r w:rsidR="002D6F18" w:rsidRPr="002C1A33">
          <w:rPr>
            <w:vertAlign w:val="superscript"/>
          </w:rPr>
          <w:fldChar w:fldCharType="begin"/>
        </w:r>
        <w:r w:rsidR="002D6F18">
          <w:rPr>
            <w:vertAlign w:val="superscript"/>
          </w:rPr>
          <w:instrText xml:space="preserve"> ADDIN EN.CITE &lt;EndNote&gt;&lt;Cite&gt;&lt;Author&gt;I&lt;/Author&gt;&lt;Year&gt;2020&lt;/Year&gt;&lt;RecNum&gt;1010&lt;/RecNum&gt;&lt;DisplayText&gt;&lt;style face="superscript"&gt;103&lt;/style&gt;&lt;/DisplayText&gt;&lt;record&gt;&lt;rec-number&gt;1010&lt;/rec-number&gt;&lt;foreign-keys&gt;&lt;key app="EN" db-id="rsettzd2isasdweewww55s9lffasxav0d0ft" timestamp="1720418834" guid="1f3eee37-f405-4a6c-8593-3ef09324d9a7"&gt;1010&lt;/key&gt;&lt;/foreign-keys&gt;&lt;ref-type name="Journal Article"&gt;17&lt;/ref-type&gt;&lt;contributors&gt;&lt;authors&gt;&lt;author&gt;Onyeka I&lt;/author&gt;&lt;author&gt;Maguire A&lt;/author&gt;&lt;author&gt;Ross E&lt;/author&gt;&lt;author&gt;Dermot O&lt;/author&gt;&lt;/authors&gt;&lt;/contributors&gt;&lt;titles&gt;&lt;title&gt;Does physical ill-health increase the risk of suicide? A census-based follow-up study of over 1 million people&lt;/title&gt;&lt;secondary-title&gt;Epidemiology and Psychiatric Sciences&lt;/secondary-title&gt;&lt;/titles&gt;&lt;periodical&gt;&lt;full-title&gt;Epidemiology and Psychiatric Sciences&lt;/full-title&gt;&lt;/periodical&gt;&lt;volume&gt;29&lt;/volume&gt;&lt;dates&gt;&lt;year&gt;2020&lt;/year&gt;&lt;pub-dates&gt;&lt;date&gt;07/08&lt;/date&gt;&lt;/pub-dates&gt;&lt;/dates&gt;&lt;urls&gt;&lt;/urls&gt;&lt;electronic-resource-num&gt;10.1017/S2045796020000529&lt;/electronic-resource-num&gt;&lt;/record&gt;&lt;/Cite&gt;&lt;/EndNote&gt;</w:instrText>
        </w:r>
        <w:r w:rsidR="002D6F18" w:rsidRPr="002C1A33">
          <w:rPr>
            <w:vertAlign w:val="superscript"/>
          </w:rPr>
          <w:fldChar w:fldCharType="separate"/>
        </w:r>
        <w:r w:rsidR="002D6F18">
          <w:rPr>
            <w:noProof/>
            <w:vertAlign w:val="superscript"/>
          </w:rPr>
          <w:t>103</w:t>
        </w:r>
        <w:r w:rsidR="002D6F18" w:rsidRPr="002C1A33">
          <w:rPr>
            <w:vertAlign w:val="superscript"/>
          </w:rPr>
          <w:fldChar w:fldCharType="end"/>
        </w:r>
      </w:hyperlink>
      <w:r w:rsidR="002C1A33" w:rsidRPr="002C1A33">
        <w:rPr>
          <w:vertAlign w:val="superscript"/>
        </w:rPr>
        <w:t>,</w:t>
      </w:r>
      <w:hyperlink w:anchor="_ENREF_104" w:tooltip="V, 2023 #1011" w:history="1">
        <w:r w:rsidR="002D6F18" w:rsidRPr="002C1A33">
          <w:rPr>
            <w:vertAlign w:val="superscript"/>
          </w:rPr>
          <w:fldChar w:fldCharType="begin"/>
        </w:r>
        <w:r w:rsidR="002D6F18">
          <w:rPr>
            <w:vertAlign w:val="superscript"/>
          </w:rPr>
          <w:instrText xml:space="preserve"> ADDIN EN.CITE &lt;EndNote&gt;&lt;Cite&gt;&lt;Author&gt;V&lt;/Author&gt;&lt;Year&gt;2023&lt;/Year&gt;&lt;RecNum&gt;1011&lt;/RecNum&gt;&lt;DisplayText&gt;&lt;style face="superscript"&gt;104&lt;/style&gt;&lt;/DisplayText&gt;&lt;record&gt;&lt;rec-number&gt;1011&lt;/rec-number&gt;&lt;foreign-keys&gt;&lt;key app="EN" db-id="rsettzd2isasdweewww55s9lffasxav0d0ft" timestamp="1720418851" guid="7f578cf3-f94a-49c4-89e1-e58bed6a9155"&gt;1011&lt;/key&gt;&lt;/foreign-keys&gt;&lt;ref-type name="Journal Article"&gt;17&lt;/ref-type&gt;&lt;contributors&gt;&lt;authors&gt;&lt;author&gt;Nafilyan V&lt;/author&gt;&lt;author&gt;Morgan J&lt;/author&gt;&lt;author&gt;Mais D&lt;/author&gt;&lt;author&gt;Sleeman K&lt;/author&gt;&lt;author&gt;Butt A&lt;/author&gt;&lt;author&gt;Ward I&lt;/author&gt;&lt;author&gt;Tucker J&lt;/author&gt;&lt;author&gt;Appleby L&lt;/author&gt;&lt;author&gt;Glickman M&lt;/author&gt;&lt;/authors&gt;&lt;/contributors&gt;&lt;titles&gt;&lt;title&gt;Risk of suicide after diagnosis of severe physical health conditions: A retrospective cohort study of 47 million people&lt;/title&gt;&lt;secondary-title&gt;The Lancet Regional Health - Europe&lt;/secondary-title&gt;&lt;/titles&gt;&lt;periodical&gt;&lt;full-title&gt;The Lancet Regional Health - Europe&lt;/full-title&gt;&lt;/periodical&gt;&lt;pages&gt;100562&lt;/pages&gt;&lt;volume&gt;25&lt;/volume&gt;&lt;dates&gt;&lt;year&gt;2023&lt;/year&gt;&lt;pub-dates&gt;&lt;date&gt;02/01&lt;/date&gt;&lt;/pub-dates&gt;&lt;/dates&gt;&lt;urls&gt;&lt;/urls&gt;&lt;electronic-resource-num&gt;10.1016/j.lanepe.2022.100562&lt;/electronic-resource-num&gt;&lt;/record&gt;&lt;/Cite&gt;&lt;/EndNote&gt;</w:instrText>
        </w:r>
        <w:r w:rsidR="002D6F18" w:rsidRPr="002C1A33">
          <w:rPr>
            <w:vertAlign w:val="superscript"/>
          </w:rPr>
          <w:fldChar w:fldCharType="separate"/>
        </w:r>
        <w:r w:rsidR="002D6F18">
          <w:rPr>
            <w:noProof/>
            <w:vertAlign w:val="superscript"/>
          </w:rPr>
          <w:t>104</w:t>
        </w:r>
        <w:r w:rsidR="002D6F18" w:rsidRPr="002C1A33">
          <w:rPr>
            <w:vertAlign w:val="superscript"/>
          </w:rPr>
          <w:fldChar w:fldCharType="end"/>
        </w:r>
      </w:hyperlink>
    </w:p>
    <w:p w14:paraId="5E7E022D" w14:textId="7B7B0C62" w:rsidR="00ED2568" w:rsidRPr="00B768A1" w:rsidRDefault="20E55F19" w:rsidP="00634A83">
      <w:r w:rsidRPr="00B768A1">
        <w:t>Certain population groups have distinct needs that require dedicated support and, in some cases, specialised care. For example, transgender and gender diverse people in Australia have reported substantial barriers when seeking gender-affirming care,</w:t>
      </w:r>
      <w:hyperlink w:anchor="_ENREF_105" w:tooltip="Wellbeing, 2021 #393" w:history="1">
        <w:r w:rsidR="002D6F18">
          <w:fldChar w:fldCharType="begin"/>
        </w:r>
        <w:r w:rsidR="002D6F18">
          <w:instrText xml:space="preserve"> ADDIN EN.CITE &lt;EndNote&gt;&lt;Cite&gt;&lt;Author&gt;Wellbeing&lt;/Author&gt;&lt;Year&gt;2021&lt;/Year&gt;&lt;RecNum&gt;393&lt;/RecNum&gt;&lt;DisplayText&gt;&lt;style face="superscript"&gt;105&lt;/style&gt;&lt;/DisplayText&gt;&lt;record&gt;&lt;rec-number&gt;393&lt;/rec-number&gt;&lt;foreign-keys&gt;&lt;key app="EN" db-id="rsettzd2isasdweewww55s9lffasxav0d0ft" timestamp="1700699472" guid="fc5be041-9c39-499b-acac-a31b5f6c6d5b"&gt;393&lt;/key&gt;&lt;/foreign-keys&gt;&lt;ref-type name="Web Page"&gt;12&lt;/ref-type&gt;&lt;contributors&gt;&lt;authors&gt;&lt;author&gt;Office for Mental Health and Wellbeing&lt;/author&gt;&lt;/authors&gt;&lt;/contributors&gt;&lt;titles&gt;&lt;title&gt;Guidance to Support Gender Affirming Care for Mental Health&lt;/title&gt;&lt;/titles&gt;&lt;dates&gt;&lt;year&gt;2021&lt;/year&gt;&lt;/dates&gt;&lt;publisher&gt;ACT Health&lt;/publisher&gt;&lt;work-type&gt;Internet&lt;/work-type&gt;&lt;urls&gt;&lt;related-urls&gt;&lt;url&gt;https://www.health.act.gov.au/news/guidance-support-gender-affirming-care-mental-health&lt;/url&gt;&lt;/related-urls&gt;&lt;/urls&gt;&lt;custom1&gt;2023&lt;/custom1&gt;&lt;custom2&gt;October 30&lt;/custom2&gt;&lt;/record&gt;&lt;/Cite&gt;&lt;/EndNote&gt;</w:instrText>
        </w:r>
        <w:r w:rsidR="002D6F18">
          <w:fldChar w:fldCharType="separate"/>
        </w:r>
        <w:r w:rsidR="002D6F18" w:rsidRPr="00445D54">
          <w:rPr>
            <w:noProof/>
            <w:vertAlign w:val="superscript"/>
          </w:rPr>
          <w:t>105</w:t>
        </w:r>
        <w:r w:rsidR="002D6F18">
          <w:fldChar w:fldCharType="end"/>
        </w:r>
      </w:hyperlink>
      <w:r w:rsidRPr="00B768A1">
        <w:t xml:space="preserve"> and a significant proportion of </w:t>
      </w:r>
      <w:r>
        <w:t xml:space="preserve">people with </w:t>
      </w:r>
      <w:r w:rsidRPr="00B768A1">
        <w:t>neurodive</w:t>
      </w:r>
      <w:r>
        <w:t>rgence</w:t>
      </w:r>
      <w:r w:rsidRPr="00B768A1">
        <w:t xml:space="preserve"> face challenges </w:t>
      </w:r>
      <w:r>
        <w:t xml:space="preserve">accessing </w:t>
      </w:r>
      <w:r w:rsidRPr="00B768A1">
        <w:t>diagnosis</w:t>
      </w:r>
      <w:r>
        <w:t xml:space="preserve">, </w:t>
      </w:r>
      <w:r w:rsidRPr="00B768A1">
        <w:t>treatment</w:t>
      </w:r>
      <w:r>
        <w:t xml:space="preserve"> and support</w:t>
      </w:r>
      <w:r w:rsidRPr="00B768A1">
        <w:t>.</w:t>
      </w:r>
      <w:hyperlink w:anchor="_ENREF_106" w:tooltip="Autism, 2022 #1012" w:history="1">
        <w:r w:rsidR="002D6F18">
          <w:fldChar w:fldCharType="begin"/>
        </w:r>
        <w:r w:rsidR="002D6F18">
          <w:instrText xml:space="preserve"> ADDIN EN.CITE &lt;EndNote&gt;&lt;Cite&gt;&lt;Author&gt;Autism&lt;/Author&gt;&lt;Year&gt;2022&lt;/Year&gt;&lt;RecNum&gt;1012&lt;/RecNum&gt;&lt;DisplayText&gt;&lt;style face="superscript"&gt;106&lt;/style&gt;&lt;/DisplayText&gt;&lt;record&gt;&lt;rec-number&gt;1012&lt;/rec-number&gt;&lt;foreign-keys&gt;&lt;key app="EN" db-id="rsettzd2isasdweewww55s9lffasxav0d0ft" timestamp="1720420892" guid="375cd1d5-71b3-46be-82dc-8b6b6c1cfae5"&gt;1012&lt;/key&gt;&lt;/foreign-keys&gt;&lt;ref-type name="Web Page"&gt;12&lt;/ref-type&gt;&lt;contributors&gt;&lt;authors&gt;&lt;author&gt;Australian Senate - Select Committee on Autism&lt;/author&gt;&lt;/authors&gt;&lt;/contributors&gt;&lt;titles&gt;&lt;title&gt;Services, support and life outcomes for autistic Australians&lt;/title&gt;&lt;/titles&gt;&lt;dates&gt;&lt;year&gt;2022&lt;/year&gt;&lt;/dates&gt;&lt;publisher&gt;Australian Government&lt;/publisher&gt;&lt;isbn&gt;978-1-76093-383-8&lt;/isbn&gt;&lt;urls&gt;&lt;related-urls&gt;&lt;url&gt;https://www.aph.gov.au/Parliamentary_Business/Committees/Senate/Autism/autism/Report&lt;/url&gt;&lt;/related-urls&gt;&lt;/urls&gt;&lt;custom1&gt;2024&lt;/custom1&gt;&lt;custom2&gt;April 03&lt;/custom2&gt;&lt;/record&gt;&lt;/Cite&gt;&lt;/EndNote&gt;</w:instrText>
        </w:r>
        <w:r w:rsidR="002D6F18">
          <w:fldChar w:fldCharType="separate"/>
        </w:r>
        <w:r w:rsidR="002D6F18" w:rsidRPr="00445D54">
          <w:rPr>
            <w:noProof/>
            <w:vertAlign w:val="superscript"/>
          </w:rPr>
          <w:t>106</w:t>
        </w:r>
        <w:r w:rsidR="002D6F18">
          <w:fldChar w:fldCharType="end"/>
        </w:r>
      </w:hyperlink>
      <w:r w:rsidR="00030AAB">
        <w:t>,</w:t>
      </w:r>
      <w:hyperlink w:anchor="_ENREF_107" w:tooltip="Services, 2024 #1013" w:history="1">
        <w:r w:rsidR="002D6F18">
          <w:fldChar w:fldCharType="begin"/>
        </w:r>
        <w:r w:rsidR="002D6F18">
          <w:instrText xml:space="preserve"> ADDIN EN.CITE &lt;EndNote&gt;&lt;Cite&gt;&lt;Author&gt;Services&lt;/Author&gt;&lt;Year&gt;2024&lt;/Year&gt;&lt;RecNum&gt;1013&lt;/RecNum&gt;&lt;DisplayText&gt;&lt;style face="superscript"&gt;107&lt;/style&gt;&lt;/DisplayText&gt;&lt;record&gt;&lt;rec-number&gt;1013&lt;/rec-number&gt;&lt;foreign-keys&gt;&lt;key app="EN" db-id="rsettzd2isasdweewww55s9lffasxav0d0ft" timestamp="1720421433" guid="5eb95e4e-1ba9-4a24-81f9-44e335feb3cd"&gt;1013&lt;/key&gt;&lt;/foreign-keys&gt;&lt;ref-type name="Web Page"&gt;12&lt;/ref-type&gt;&lt;contributors&gt;&lt;authors&gt;&lt;author&gt;Department of Social Services&lt;/author&gt;&lt;/authors&gt;&lt;/contributors&gt;&lt;titles&gt;&lt;title&gt;Draft National Autism Strategy&lt;/title&gt;&lt;/titles&gt;&lt;dates&gt;&lt;year&gt;2024&lt;/year&gt;&lt;/dates&gt;&lt;pub-location&gt;Canberra&lt;/pub-location&gt;&lt;publisher&gt;DSS, Australian Government&lt;/publisher&gt;&lt;urls&gt;&lt;related-urls&gt;&lt;url&gt;https://engage.dss.gov.au/developing-the-national-autism-strategy/draft-strategy/&lt;/url&gt;&lt;/related-urls&gt;&lt;/urls&gt;&lt;custom1&gt;2024&lt;/custom1&gt;&lt;custom2&gt;April 03&lt;/custom2&gt;&lt;/record&gt;&lt;/Cite&gt;&lt;/EndNote&gt;</w:instrText>
        </w:r>
        <w:r w:rsidR="002D6F18">
          <w:fldChar w:fldCharType="separate"/>
        </w:r>
        <w:r w:rsidR="002D6F18" w:rsidRPr="00445D54">
          <w:rPr>
            <w:noProof/>
            <w:vertAlign w:val="superscript"/>
          </w:rPr>
          <w:t>107</w:t>
        </w:r>
        <w:r w:rsidR="002D6F18">
          <w:fldChar w:fldCharType="end"/>
        </w:r>
      </w:hyperlink>
      <w:r w:rsidRPr="00B768A1">
        <w:t xml:space="preserve"> These experiences have been found to be extremely distressing and may contribute to the disproportionate suicide risks experienced by these groups</w:t>
      </w:r>
      <w:r>
        <w:t xml:space="preserve"> (</w:t>
      </w:r>
      <w:r w:rsidRPr="00B768A1">
        <w:t>action ko</w:t>
      </w:r>
      <w:r>
        <w:t>2.</w:t>
      </w:r>
      <w:r w:rsidR="7581142B">
        <w:t>2</w:t>
      </w:r>
      <w:r>
        <w:t xml:space="preserve">c </w:t>
      </w:r>
      <w:r w:rsidRPr="00B768A1">
        <w:t>and d)</w:t>
      </w:r>
      <w:r>
        <w:t>.</w:t>
      </w:r>
      <w:hyperlink w:anchor="_ENREF_69" w:tooltip="I, 2020 #994" w:history="1">
        <w:r w:rsidR="002D6F18" w:rsidRPr="00030AAB">
          <w:rPr>
            <w:vertAlign w:val="superscript"/>
          </w:rPr>
          <w:fldChar w:fldCharType="begin"/>
        </w:r>
        <w:r w:rsidR="002D6F18">
          <w:rPr>
            <w:vertAlign w:val="superscript"/>
          </w:rPr>
          <w:instrText xml:space="preserve"> ADDIN EN.CITE &lt;EndNote&gt;&lt;Cite&gt;&lt;Author&gt;I&lt;/Author&gt;&lt;Year&gt;2020&lt;/Year&gt;&lt;RecNum&gt;994&lt;/RecNum&gt;&lt;DisplayText&gt;&lt;style face="superscript"&gt;69&lt;/style&gt;&lt;/DisplayText&gt;&lt;record&gt;&lt;rec-number&gt;994&lt;/rec-number&gt;&lt;foreign-keys&gt;&lt;key app="EN" db-id="rsettzd2isasdweewww55s9lffasxav0d0ft" timestamp="1720402281" guid="63033ea0-1161-4365-a314-ae77776f76fb"&gt;994&lt;/key&gt;&lt;/foreign-keys&gt;&lt;ref-type name="Journal Article"&gt;17&lt;/ref-type&gt;&lt;contributors&gt;&lt;authors&gt;&lt;author&gt;Bretherton I&lt;/author&gt;&lt;author&gt;Thrower E&lt;/author&gt;&lt;author&gt;Zwickl S&lt;/author&gt;&lt;author&gt;Wong A&lt;/author&gt;&lt;author&gt;Chetcuti D&lt;/author&gt;&lt;author&gt;Grossmann M&lt;/author&gt;&lt;author&gt;Zajac JD&lt;/author&gt;&lt;author&gt;Cheung AS&lt;/author&gt;&lt;/authors&gt;&lt;/contributors&gt;&lt;titles&gt;&lt;title&gt;The Health and Well-Being of Transgender Australians: A National Community Survey&lt;/title&gt;&lt;secondary-title&gt;LGBT Health&lt;/secondary-title&gt;&lt;/titles&gt;&lt;periodical&gt;&lt;full-title&gt;LGBT Health&lt;/full-title&gt;&lt;/periodical&gt;&lt;pages&gt;42-49&lt;/pages&gt;&lt;volume&gt;8&lt;/volume&gt;&lt;number&gt;1&lt;/number&gt;&lt;dates&gt;&lt;year&gt;2020&lt;/year&gt;&lt;pub-dates&gt;&lt;date&gt;2021/01/01&lt;/date&gt;&lt;/pub-dates&gt;&lt;/dates&gt;&lt;publisher&gt;Mary Ann Liebert, Inc., publishers&lt;/publisher&gt;&lt;isbn&gt;2325-8292&lt;/isbn&gt;&lt;urls&gt;&lt;related-urls&gt;&lt;url&gt;https://doi.org/10.1089/lgbt.2020.0178&lt;/url&gt;&lt;/related-urls&gt;&lt;/urls&gt;&lt;electronic-resource-num&gt;10.1089/lgbt.2020.0178&lt;/electronic-resource-num&gt;&lt;access-date&gt;2024/07/07&lt;/access-date&gt;&lt;/record&gt;&lt;/Cite&gt;&lt;/EndNote&gt;</w:instrText>
        </w:r>
        <w:r w:rsidR="002D6F18" w:rsidRPr="00030AAB">
          <w:rPr>
            <w:vertAlign w:val="superscript"/>
          </w:rPr>
          <w:fldChar w:fldCharType="separate"/>
        </w:r>
        <w:r w:rsidR="002D6F18">
          <w:rPr>
            <w:noProof/>
            <w:vertAlign w:val="superscript"/>
          </w:rPr>
          <w:t>69</w:t>
        </w:r>
        <w:r w:rsidR="002D6F18" w:rsidRPr="00030AAB">
          <w:rPr>
            <w:vertAlign w:val="superscript"/>
          </w:rPr>
          <w:fldChar w:fldCharType="end"/>
        </w:r>
      </w:hyperlink>
      <w:r w:rsidR="00030AAB" w:rsidRPr="00030AAB">
        <w:rPr>
          <w:vertAlign w:val="superscript"/>
        </w:rPr>
        <w:t>,</w:t>
      </w:r>
      <w:hyperlink w:anchor="_ENREF_108" w:tooltip="Australia, 2023 #600" w:history="1">
        <w:r w:rsidR="002D6F18" w:rsidRPr="00030AAB">
          <w:rPr>
            <w:vertAlign w:val="superscript"/>
          </w:rPr>
          <w:fldChar w:fldCharType="begin"/>
        </w:r>
        <w:r w:rsidR="002D6F18">
          <w:rPr>
            <w:vertAlign w:val="superscript"/>
          </w:rPr>
          <w:instrText xml:space="preserve"> ADDIN EN.CITE &lt;EndNote&gt;&lt;Cite&gt;&lt;Author&gt;Australia&lt;/Author&gt;&lt;Year&gt;2023&lt;/Year&gt;&lt;RecNum&gt;600&lt;/RecNum&gt;&lt;DisplayText&gt;&lt;style face="superscript"&gt;108&lt;/style&gt;&lt;/DisplayText&gt;&lt;record&gt;&lt;rec-number&gt;600&lt;/rec-number&gt;&lt;foreign-keys&gt;&lt;key app="EN" db-id="rsettzd2isasdweewww55s9lffasxav0d0ft" timestamp="1707862922" guid="4e431eb5-4870-46ce-ada4-9489755a8673"&gt;600&lt;/key&gt;&lt;/foreign-keys&gt;&lt;ref-type name="Web Page"&gt;12&lt;/ref-type&gt;&lt;contributors&gt;&lt;authors&gt;&lt;author&gt;Suicide Prevention Australia&lt;/author&gt;&lt;/authors&gt;&lt;/contributors&gt;&lt;titles&gt;&lt;title&gt;Inquiry into Assessment and Support Services for People with ADHD: Submission, June 2023&lt;/title&gt;&lt;/titles&gt;&lt;dates&gt;&lt;year&gt;2023&lt;/year&gt;&lt;/dates&gt;&lt;publisher&gt;SPA&lt;/publisher&gt;&lt;work-type&gt;Internet&lt;/work-type&gt;&lt;urls&gt;&lt;related-urls&gt;&lt;url&gt;https://www.suicidepreventionaust.org/wp-content/uploads/2023/08/Submission-to-Inquiry-into-assessment-and-support-services-for-people-with-ADHD-Suicide-Prevention-Australia.pdf&lt;/url&gt;&lt;/related-urls&gt;&lt;/urls&gt;&lt;custom1&gt;2023&lt;/custom1&gt;&lt;custom2&gt;October 30&lt;/custom2&gt;&lt;/record&gt;&lt;/Cite&gt;&lt;/EndNote&gt;</w:instrText>
        </w:r>
        <w:r w:rsidR="002D6F18" w:rsidRPr="00030AAB">
          <w:rPr>
            <w:vertAlign w:val="superscript"/>
          </w:rPr>
          <w:fldChar w:fldCharType="separate"/>
        </w:r>
        <w:r w:rsidR="002D6F18">
          <w:rPr>
            <w:noProof/>
            <w:vertAlign w:val="superscript"/>
          </w:rPr>
          <w:t>108</w:t>
        </w:r>
        <w:r w:rsidR="002D6F18" w:rsidRPr="00030AAB">
          <w:rPr>
            <w:vertAlign w:val="superscript"/>
          </w:rPr>
          <w:fldChar w:fldCharType="end"/>
        </w:r>
      </w:hyperlink>
      <w:r w:rsidR="00030AAB" w:rsidRPr="00030AAB">
        <w:rPr>
          <w:vertAlign w:val="superscript"/>
        </w:rPr>
        <w:t>,</w:t>
      </w:r>
      <w:hyperlink w:anchor="_ENREF_109" w:tooltip="S, 2022 #1014" w:history="1">
        <w:r w:rsidR="002D6F18" w:rsidRPr="00030AAB">
          <w:rPr>
            <w:vertAlign w:val="superscript"/>
          </w:rPr>
          <w:fldChar w:fldCharType="begin">
            <w:fldData xml:space="preserve">PEVuZE5vdGU+PENpdGU+PEF1dGhvcj5TPC9BdXRob3I+PFllYXI+MjAyMjwvWWVhcj48UmVjTnVt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</w:fldData>
          </w:fldChar>
        </w:r>
        <w:r w:rsidR="002D6F18">
          <w:rPr>
            <w:vertAlign w:val="superscript"/>
          </w:rPr>
          <w:instrText xml:space="preserve"> ADDIN EN.CITE </w:instrText>
        </w:r>
        <w:r w:rsidR="002D6F18">
          <w:rPr>
            <w:vertAlign w:val="superscript"/>
          </w:rPr>
          <w:fldChar w:fldCharType="begin">
            <w:fldData xml:space="preserve">PEVuZE5vdGU+PENpdGU+PEF1dGhvcj5TPC9BdXRob3I+PFllYXI+MjAyMjwvWWVhcj48UmVjTnVt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</w:fldData>
          </w:fldChar>
        </w:r>
        <w:r w:rsidR="002D6F18">
          <w:rPr>
            <w:vertAlign w:val="superscript"/>
          </w:rPr>
          <w:instrText xml:space="preserve"> ADDIN EN.CITE.DATA </w:instrText>
        </w:r>
        <w:r w:rsidR="002D6F18">
          <w:rPr>
            <w:vertAlign w:val="superscript"/>
          </w:rPr>
        </w:r>
        <w:r w:rsidR="002D6F18">
          <w:rPr>
            <w:vertAlign w:val="superscript"/>
          </w:rPr>
          <w:fldChar w:fldCharType="end"/>
        </w:r>
        <w:r w:rsidR="002D6F18" w:rsidRPr="00030AAB">
          <w:rPr>
            <w:vertAlign w:val="superscript"/>
          </w:rPr>
        </w:r>
        <w:r w:rsidR="002D6F18" w:rsidRPr="00030AAB">
          <w:rPr>
            <w:vertAlign w:val="superscript"/>
          </w:rPr>
          <w:fldChar w:fldCharType="separate"/>
        </w:r>
        <w:r w:rsidR="002D6F18">
          <w:rPr>
            <w:noProof/>
            <w:vertAlign w:val="superscript"/>
          </w:rPr>
          <w:t>109</w:t>
        </w:r>
        <w:r w:rsidR="002D6F18" w:rsidRPr="00030AAB">
          <w:rPr>
            <w:vertAlign w:val="superscript"/>
          </w:rPr>
          <w:fldChar w:fldCharType="end"/>
        </w:r>
      </w:hyperlink>
      <w:r w:rsidR="00030AAB">
        <w:t xml:space="preserve"> </w:t>
      </w:r>
    </w:p>
    <w:p w14:paraId="23265722" w14:textId="002E2FA8" w:rsidR="00ED2568" w:rsidRPr="00B768A1" w:rsidRDefault="20E55F19" w:rsidP="00634A83">
      <w:r w:rsidRPr="00B768A1">
        <w:t xml:space="preserve">Alcohol and other drug-related harm is one of the most common risk factors identified in suicide deaths in Australia. </w:t>
      </w:r>
      <w:r w:rsidR="0EB0FA7B">
        <w:t>I</w:t>
      </w:r>
      <w:r w:rsidRPr="00B768A1">
        <w:t xml:space="preserve">n 2022, </w:t>
      </w:r>
      <w:r>
        <w:t>about</w:t>
      </w:r>
      <w:r w:rsidRPr="00B768A1">
        <w:t xml:space="preserve"> 1</w:t>
      </w:r>
      <w:r>
        <w:t> </w:t>
      </w:r>
      <w:r w:rsidRPr="00B768A1">
        <w:t>in 6</w:t>
      </w:r>
      <w:r>
        <w:t> </w:t>
      </w:r>
      <w:r w:rsidRPr="00B768A1">
        <w:t>people who died by suicide were intoxicated from acute alcohol use, and 1</w:t>
      </w:r>
      <w:r>
        <w:t> </w:t>
      </w:r>
      <w:r w:rsidRPr="00B768A1">
        <w:t>in 8</w:t>
      </w:r>
      <w:r>
        <w:t> </w:t>
      </w:r>
      <w:r w:rsidRPr="00B768A1">
        <w:t>people had lived with a chronic alcohol dependence disorder.</w:t>
      </w:r>
      <w:hyperlink w:anchor="_ENREF_102" w:tooltip="Statistics, 2023 #592" w:history="1">
        <w:r w:rsidR="002D6F18">
          <w:fldChar w:fldCharType="begin"/>
        </w:r>
        <w:r w:rsidR="002D6F18">
          <w:instrText xml:space="preserve"> ADDIN EN.CITE &lt;EndNote&gt;&lt;Cite&gt;&lt;Author&gt;Statistics&lt;/Author&gt;&lt;Year&gt;2023&lt;/Year&gt;&lt;RecNum&gt;389&lt;/RecNum&gt;&lt;DisplayText&gt;&lt;style face="superscript"&gt;102&lt;/style&gt;&lt;/DisplayText&gt;&lt;record&gt;&lt;rec-number&gt;389&lt;/rec-number&gt;&lt;foreign-keys&gt;&lt;key app="EN" db-id="rsettzd2isasdweewww55s9lffasxav0d0ft" timestamp="1700699472" guid="4ff895d6-0417-4275-8d01-456704ac4403"&gt;389&lt;/key&gt;&lt;/foreign-keys&gt;&lt;ref-type name="Web Page"&gt;12&lt;/ref-type&gt;&lt;contributors&gt;&lt;authors&gt;&lt;author&gt;Australian Bureau of Statistics&lt;/author&gt;&lt;/authors&gt;&lt;/contributors&gt;&lt;titles&gt;&lt;title&gt;Causes of Death, Australia, 2022: Risk Factors for Intentional Self-Harm Deaths (Suicide) in Australia&lt;/title&gt;&lt;/titles&gt;&lt;dates&gt;&lt;year&gt;2023&lt;/year&gt;&lt;/dates&gt;&lt;publisher&gt;ABS, Australian Government&lt;/publisher&gt;&lt;work-type&gt;Internet&lt;/work-type&gt;&lt;urls&gt;&lt;related-urls&gt;&lt;url&gt;https://www.abs.gov.au/statistics/health/causes-death/causes-death-australia/2021#risk-factors-for-intentional-self-harm-deaths-suicide-in-australia&lt;/url&gt;&lt;/related-urls&gt;&lt;/urls&gt;&lt;custom1&gt;2023&lt;/custom1&gt;&lt;custom2&gt;October 30&lt;/custom2&gt;&lt;/record&gt;&lt;/Cite&gt;&lt;/EndNote&gt;</w:instrText>
        </w:r>
        <w:r w:rsidR="002D6F18">
          <w:fldChar w:fldCharType="separate"/>
        </w:r>
        <w:r w:rsidR="002D6F18" w:rsidRPr="00445D54">
          <w:rPr>
            <w:noProof/>
            <w:vertAlign w:val="superscript"/>
          </w:rPr>
          <w:t>102</w:t>
        </w:r>
        <w:r w:rsidR="002D6F18">
          <w:fldChar w:fldCharType="end"/>
        </w:r>
      </w:hyperlink>
      <w:r w:rsidRPr="00B768A1">
        <w:t xml:space="preserve"> In relation to other drugs, in 2007, </w:t>
      </w:r>
      <w:r>
        <w:t>about</w:t>
      </w:r>
      <w:r w:rsidRPr="00B768A1">
        <w:t xml:space="preserve"> 1</w:t>
      </w:r>
      <w:r>
        <w:t> </w:t>
      </w:r>
      <w:r w:rsidRPr="00B768A1">
        <w:t>in 7</w:t>
      </w:r>
      <w:r>
        <w:t> </w:t>
      </w:r>
      <w:r w:rsidRPr="00B768A1">
        <w:t>people who died by suicide were intoxicated from acute psychoactive substance use, and more than 1</w:t>
      </w:r>
      <w:r>
        <w:t> </w:t>
      </w:r>
      <w:r w:rsidRPr="00B768A1">
        <w:t>in 8</w:t>
      </w:r>
      <w:r>
        <w:t> </w:t>
      </w:r>
      <w:r w:rsidRPr="00B768A1">
        <w:t>had lived with a psychoactive substance use disorder.</w:t>
      </w:r>
      <w:hyperlink w:anchor="_ENREF_102" w:tooltip="Statistics, 2023 #592" w:history="1">
        <w:r w:rsidR="002D6F18">
          <w:fldChar w:fldCharType="begin"/>
        </w:r>
        <w:r w:rsidR="002D6F18">
          <w:instrText xml:space="preserve"> ADDIN EN.CITE &lt;EndNote&gt;&lt;Cite&gt;&lt;Author&gt;Statistics&lt;/Author&gt;&lt;Year&gt;2023&lt;/Year&gt;&lt;RecNum&gt;389&lt;/RecNum&gt;&lt;DisplayText&gt;&lt;style face="superscript"&gt;102&lt;/style&gt;&lt;/DisplayText&gt;&lt;record&gt;&lt;rec-number&gt;389&lt;/rec-number&gt;&lt;foreign-keys&gt;&lt;key app="EN" db-id="rsettzd2isasdweewww55s9lffasxav0d0ft" timestamp="1700699472" guid="4ff895d6-0417-4275-8d01-456704ac4403"&gt;389&lt;/key&gt;&lt;/foreign-keys&gt;&lt;ref-type name="Web Page"&gt;12&lt;/ref-type&gt;&lt;contributors&gt;&lt;authors&gt;&lt;author&gt;Australian Bureau of Statistics&lt;/author&gt;&lt;/authors&gt;&lt;/contributors&gt;&lt;titles&gt;&lt;title&gt;Causes of Death, Australia, 2022: Risk Factors for Intentional Self-Harm Deaths (Suicide) in Australia&lt;/title&gt;&lt;/titles&gt;&lt;dates&gt;&lt;year&gt;2023&lt;/year&gt;&lt;/dates&gt;&lt;publisher&gt;ABS, Australian Government&lt;/publisher&gt;&lt;work-type&gt;Internet&lt;/work-type&gt;&lt;urls&gt;&lt;related-urls&gt;&lt;url&gt;https://www.abs.gov.au/statistics/health/causes-death/causes-death-australia/2021#risk-factors-for-intentional-self-harm-deaths-suicide-in-australia&lt;/url&gt;&lt;/related-urls&gt;&lt;/urls&gt;&lt;custom1&gt;2023&lt;/custom1&gt;&lt;custom2&gt;October 30&lt;/custom2&gt;&lt;/record&gt;&lt;/Cite&gt;&lt;/EndNote&gt;</w:instrText>
        </w:r>
        <w:r w:rsidR="002D6F18">
          <w:fldChar w:fldCharType="separate"/>
        </w:r>
        <w:r w:rsidR="002D6F18" w:rsidRPr="00445D54">
          <w:rPr>
            <w:noProof/>
            <w:vertAlign w:val="superscript"/>
          </w:rPr>
          <w:t>102</w:t>
        </w:r>
        <w:r w:rsidR="002D6F18">
          <w:fldChar w:fldCharType="end"/>
        </w:r>
      </w:hyperlink>
      <w:r w:rsidR="00030AAB">
        <w:t xml:space="preserve"> </w:t>
      </w:r>
      <w:r w:rsidRPr="00B768A1">
        <w:t>Experiencing a substance use disorder alongside a major depressive disorder significantly increases the likelihood of experiencing suicidal thoughts.</w:t>
      </w:r>
      <w:hyperlink w:anchor="_ENREF_110" w:tooltip="VN, 2022 #437" w:history="1">
        <w:r w:rsidR="002D6F18">
          <w:fldChar w:fldCharType="begin"/>
        </w:r>
        <w:r w:rsidR="002D6F18">
          <w:instrText xml:space="preserve"> ADDIN EN.CITE &lt;EndNote&gt;&lt;Cite&gt;&lt;Author&gt;VN&lt;/Author&gt;&lt;Year&gt;2022&lt;/Year&gt;&lt;RecNum&gt;437&lt;/RecNum&gt;&lt;DisplayText&gt;&lt;style face="superscript"&gt;110&lt;/style&gt;&lt;/DisplayText&gt;&lt;record&gt;&lt;rec-number&gt;437&lt;/rec-number&gt;&lt;foreign-keys&gt;&lt;key app="EN" db-id="rsettzd2isasdweewww55s9lffasxav0d0ft" timestamp="1700699473" guid="0b41977f-5c21-4bed-86c4-3d356656681e"&gt;437&lt;/key&gt;&lt;/foreign-keys&gt;&lt;ref-type name="Journal Article"&gt;17&lt;/ref-type&gt;&lt;contributors&gt;&lt;authors&gt;&lt;author&gt;Onaemo VN&lt;/author&gt;&lt;author&gt;Fawehinmi TO&lt;/author&gt;&lt;author&gt;D&amp;apos;Arcy C&lt;/author&gt;&lt;/authors&gt;&lt;/contributors&gt;&lt;titles&gt;&lt;title&gt;Risk of Suicide Ideation in Comorbid Substance Use Disorder and Major Depression&lt;/title&gt;&lt;secondary-title&gt;PLoS ONE&lt;/secondary-title&gt;&lt;/titles&gt;&lt;periodical&gt;&lt;full-title&gt;PLoS ONE&lt;/full-title&gt;&lt;/periodical&gt;&lt;dates&gt;&lt;year&gt;2022&lt;/year&gt;&lt;/dates&gt;&lt;urls&gt;&lt;/urls&gt;&lt;electronic-resource-num&gt;DOI: 10.1371/journal.pone.0265287&lt;/electronic-resource-num&gt;&lt;/record&gt;&lt;/Cite&gt;&lt;/EndNote&gt;</w:instrText>
        </w:r>
        <w:r w:rsidR="002D6F18">
          <w:fldChar w:fldCharType="separate"/>
        </w:r>
        <w:r w:rsidR="002D6F18" w:rsidRPr="00445D54">
          <w:rPr>
            <w:noProof/>
            <w:vertAlign w:val="superscript"/>
          </w:rPr>
          <w:t>110</w:t>
        </w:r>
        <w:r w:rsidR="002D6F18">
          <w:fldChar w:fldCharType="end"/>
        </w:r>
      </w:hyperlink>
      <w:r w:rsidRPr="00B768A1">
        <w:t xml:space="preserve"> People who experience both mental illness and substance use disorders often face additional barriers to accessing care due to mutually exclusive service criteria between some mental health and alcohol and other drug services (</w:t>
      </w:r>
      <w:r>
        <w:t>action ko</w:t>
      </w:r>
      <w:r w:rsidRPr="00B768A1">
        <w:t>2.</w:t>
      </w:r>
      <w:r w:rsidR="241BE852" w:rsidRPr="00B768A1">
        <w:t>2</w:t>
      </w:r>
      <w:r w:rsidRPr="00B768A1">
        <w:t>e to h).</w:t>
      </w:r>
      <w:hyperlink w:anchor="_ENREF_111" w:tooltip="Commission, 2020 #654" w:history="1">
        <w:r w:rsidR="002D6F18">
          <w:fldChar w:fldCharType="begin"/>
        </w:r>
        <w:r w:rsidR="002D6F18">
          <w:instrText xml:space="preserve"> ADDIN EN.CITE &lt;EndNote&gt;&lt;Cite&gt;&lt;Author&gt;Commission&lt;/Author&gt;&lt;Year&gt;2020&lt;/Year&gt;&lt;RecNum&gt;654&lt;/RecNum&gt;&lt;DisplayText&gt;&lt;style face="superscript"&gt;111&lt;/style&gt;&lt;/DisplayText&gt;&lt;record&gt;&lt;rec-number&gt;654&lt;/rec-number&gt;&lt;foreign-keys&gt;&lt;key app="EN" db-id="rsettzd2isasdweewww55s9lffasxav0d0ft" timestamp="1707862923" guid="6b2f94c6-9982-429d-9e86-4590a9556718"&gt;654&lt;/key&gt;&lt;/foreign-keys&gt;&lt;ref-type name="Web Page"&gt;12&lt;/ref-type&gt;&lt;contributors&gt;&lt;authors&gt;&lt;author&gt;Productivity Commission&lt;/author&gt;&lt;/authors&gt;&lt;/contributors&gt;&lt;titles&gt;&lt;title&gt;Mental Health, Inquiry Report, Volume 1, No. 95&lt;/title&gt;&lt;/titles&gt;&lt;dates&gt;&lt;year&gt;2020&lt;/year&gt;&lt;/dates&gt;&lt;pub-location&gt;Canberra&lt;/pub-location&gt;&lt;publisher&gt;PC&lt;/publisher&gt;&lt;work-type&gt;Internet&lt;/work-type&gt;&lt;urls&gt;&lt;related-urls&gt;&lt;url&gt;https://www.pc.gov.au/inquiries/completed/mental-health/report/mental-health-volume1.pdf&lt;/url&gt;&lt;/related-urls&gt;&lt;/urls&gt;&lt;custom1&gt;2023&lt;/custom1&gt;&lt;custom2&gt;October 03&lt;/custom2&gt;&lt;/record&gt;&lt;/Cite&gt;&lt;/EndNote&gt;</w:instrText>
        </w:r>
        <w:r w:rsidR="002D6F18">
          <w:fldChar w:fldCharType="separate"/>
        </w:r>
        <w:r w:rsidR="002D6F18" w:rsidRPr="00445D54">
          <w:rPr>
            <w:noProof/>
            <w:vertAlign w:val="superscript"/>
          </w:rPr>
          <w:t>111</w:t>
        </w:r>
        <w:r w:rsidR="002D6F18">
          <w:fldChar w:fldCharType="end"/>
        </w:r>
      </w:hyperlink>
    </w:p>
    <w:p w14:paraId="10E98494" w14:textId="2763DB5C" w:rsidR="00ED2568" w:rsidRDefault="20E55F19" w:rsidP="00634A83">
      <w:r w:rsidRPr="00B768A1">
        <w:t xml:space="preserve">There is growing evidence that demonstrates </w:t>
      </w:r>
      <w:r>
        <w:t xml:space="preserve">a </w:t>
      </w:r>
      <w:r w:rsidRPr="00B768A1">
        <w:t xml:space="preserve">link between gambling and suicidal distress. </w:t>
      </w:r>
      <w:r w:rsidR="157BC72A">
        <w:t>P</w:t>
      </w:r>
      <w:r w:rsidRPr="00B768A1">
        <w:t>roblem gambling behaviour and gambling harm ha</w:t>
      </w:r>
      <w:r>
        <w:t>ve</w:t>
      </w:r>
      <w:r w:rsidRPr="00B768A1">
        <w:t xml:space="preserve"> strong implications for other suicide risk factors, such as financial distress, the functioning of family and intimate relationships</w:t>
      </w:r>
      <w:r>
        <w:t>,</w:t>
      </w:r>
      <w:r w:rsidRPr="00B768A1">
        <w:t xml:space="preserve"> and intimate partner violence.</w:t>
      </w:r>
      <w:hyperlink w:anchor="_ENREF_112" w:tooltip="Australia, 2022 #397" w:history="1">
        <w:r w:rsidR="002D6F18">
          <w:fldChar w:fldCharType="begin"/>
        </w:r>
        <w:r w:rsidR="002D6F18">
          <w:instrText xml:space="preserve"> ADDIN EN.CITE &lt;EndNote&gt;&lt;Cite&gt;&lt;Author&gt;Australia&lt;/Author&gt;&lt;Year&gt;2022&lt;/Year&gt;&lt;RecNum&gt;397&lt;/RecNum&gt;&lt;DisplayText&gt;&lt;style face="superscript"&gt;112&lt;/style&gt;&lt;/DisplayText&gt;&lt;record&gt;&lt;rec-number&gt;397&lt;/rec-number&gt;&lt;foreign-keys&gt;&lt;key app="EN" db-id="rsettzd2isasdweewww55s9lffasxav0d0ft" timestamp="1700699472" guid="4d52f3d4-a47e-4fc9-a8e5-3e55c59272bb"&gt;397&lt;/key&gt;&lt;/foreign-keys&gt;&lt;ref-type name="Web Page"&gt;12&lt;/ref-type&gt;&lt;contributors&gt;&lt;authors&gt;&lt;author&gt;Suicide Prevention Australia&lt;/author&gt;&lt;/authors&gt;&lt;/contributors&gt;&lt;titles&gt;&lt;title&gt;Gambling and Suicide Prevention: A Roadmap for Change&lt;/title&gt;&lt;/titles&gt;&lt;dates&gt;&lt;year&gt;2022&lt;/year&gt;&lt;/dates&gt;&lt;publisher&gt;SPA&lt;/publisher&gt;&lt;work-type&gt;Internet&lt;/work-type&gt;&lt;urls&gt;&lt;related-urls&gt;&lt;url&gt;https://www.suicidepreventionaust.org/wp-content/uploads/2022/02/Gambling-Report_2022.pdf&lt;/url&gt;&lt;/related-urls&gt;&lt;/urls&gt;&lt;custom1&gt;2023&lt;/custom1&gt;&lt;custom2&gt;October 30&lt;/custom2&gt;&lt;/record&gt;&lt;/Cite&gt;&lt;/EndNote&gt;</w:instrText>
        </w:r>
        <w:r w:rsidR="002D6F18">
          <w:fldChar w:fldCharType="separate"/>
        </w:r>
        <w:r w:rsidR="002D6F18" w:rsidRPr="00445D54">
          <w:rPr>
            <w:noProof/>
            <w:vertAlign w:val="superscript"/>
          </w:rPr>
          <w:t>112</w:t>
        </w:r>
        <w:r w:rsidR="002D6F18">
          <w:fldChar w:fldCharType="end"/>
        </w:r>
      </w:hyperlink>
      <w:r w:rsidRPr="00B768A1">
        <w:t xml:space="preserve"> As access to gambling activities increases rapidly due to the rise in online gambling platforms and the normalisation of gambling culture in Australia, it is important to recognise the significant public health impacts and respond accordingly (</w:t>
      </w:r>
      <w:r>
        <w:t>action ko</w:t>
      </w:r>
      <w:r w:rsidRPr="00B768A1">
        <w:t>2.</w:t>
      </w:r>
      <w:r w:rsidR="00645DB3" w:rsidRPr="00B768A1">
        <w:t>2</w:t>
      </w:r>
      <w:r w:rsidR="00AF51B0">
        <w:t>j</w:t>
      </w:r>
      <w:r w:rsidRPr="00B768A1">
        <w:t>).</w:t>
      </w:r>
    </w:p>
    <w:p w14:paraId="698FD158" w14:textId="1AF6C0F7" w:rsidR="00ED2568" w:rsidRPr="00B768A1" w:rsidRDefault="00ED2568" w:rsidP="00634A83">
      <w:r>
        <w:t xml:space="preserve">The recommended actions </w:t>
      </w:r>
      <w:r w:rsidR="00A041EA">
        <w:t xml:space="preserve">to mitigate these health risks </w:t>
      </w:r>
      <w:r>
        <w:t xml:space="preserve">are described in </w:t>
      </w:r>
      <w:r w:rsidR="00231B9C">
        <w:fldChar w:fldCharType="begin"/>
      </w:r>
      <w:r w:rsidR="00231B9C">
        <w:instrText xml:space="preserve"> REF _Ref164869747 \h </w:instrText>
      </w:r>
      <w:r w:rsidR="00231B9C">
        <w:fldChar w:fldCharType="separate"/>
      </w:r>
      <w:r w:rsidR="009F12B4">
        <w:t xml:space="preserve">Table </w:t>
      </w:r>
      <w:r w:rsidR="009F12B4">
        <w:rPr>
          <w:noProof/>
        </w:rPr>
        <w:t>6</w:t>
      </w:r>
      <w:r w:rsidR="00231B9C">
        <w:fldChar w:fldCharType="end"/>
      </w:r>
      <w:r>
        <w:t>.</w:t>
      </w:r>
      <w:r w:rsidR="00981601">
        <w:t xml:space="preserve"> </w:t>
      </w:r>
    </w:p>
    <w:p w14:paraId="432E8B44" w14:textId="19284F87" w:rsidR="00ED2568" w:rsidRPr="00B768A1" w:rsidRDefault="37144820" w:rsidP="7E232F61">
      <w:pPr>
        <w:pStyle w:val="Caption"/>
        <w:rPr>
          <w:rStyle w:val="Strong"/>
          <w:b/>
        </w:rPr>
      </w:pPr>
      <w:bookmarkStart w:id="49" w:name="_Ref164869747"/>
      <w:r>
        <w:t xml:space="preserve">Table </w:t>
      </w:r>
      <w:r w:rsidR="00363E5A" w:rsidRPr="7E232F61">
        <w:fldChar w:fldCharType="begin"/>
      </w:r>
      <w:r w:rsidR="00363E5A">
        <w:instrText>SEQ Table \* ARABIC  \* MERGEFORMAT</w:instrText>
      </w:r>
      <w:r w:rsidR="00363E5A" w:rsidRPr="7E232F61">
        <w:fldChar w:fldCharType="separate"/>
      </w:r>
      <w:r w:rsidR="009F12B4">
        <w:rPr>
          <w:noProof/>
        </w:rPr>
        <w:t>6</w:t>
      </w:r>
      <w:r w:rsidR="00363E5A" w:rsidRPr="7E232F61">
        <w:rPr>
          <w:noProof/>
        </w:rPr>
        <w:fldChar w:fldCharType="end"/>
      </w:r>
      <w:bookmarkEnd w:id="49"/>
      <w:r>
        <w:t>: Recommended actions for Prevention objective 2.</w:t>
      </w:r>
      <w:r w:rsidR="7E5B60E6">
        <w:t>2</w:t>
      </w:r>
      <w:r>
        <w:t>: Mitigate health risks</w:t>
      </w:r>
    </w:p>
    <w:tbl>
      <w:tblPr>
        <w:tblStyle w:val="TableGrid"/>
        <w:tblW w:w="8926" w:type="dxa"/>
        <w:tblLayout w:type="fixed"/>
        <w:tblLook w:val="0420" w:firstRow="1" w:lastRow="0" w:firstColumn="0" w:lastColumn="0" w:noHBand="0" w:noVBand="1"/>
        <w:tblCaption w:val="Recommended actions for Prevention objective 2.3: Mitigate health risks"/>
        <w:tblDescription w:val="Describes actions ko2.3a to ko2.3i"/>
      </w:tblPr>
      <w:tblGrid>
        <w:gridCol w:w="1129"/>
        <w:gridCol w:w="7797"/>
      </w:tblGrid>
      <w:tr w:rsidR="00100EBC" w:rsidRPr="000134B1" w14:paraId="33616D3C" w14:textId="77777777" w:rsidTr="00163A3B">
        <w:trPr>
          <w:cnfStyle w:val="100000000000" w:firstRow="1" w:lastRow="0" w:firstColumn="0" w:lastColumn="0" w:oddVBand="0" w:evenVBand="0" w:oddHBand="0" w:evenHBand="0" w:firstRowFirstColumn="0" w:firstRowLastColumn="0" w:lastRowFirstColumn="0" w:lastRowLastColumn="0"/>
          <w:tblHeader/>
        </w:trPr>
        <w:tc>
          <w:tcPr>
            <w:tcW w:w="11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48002"/>
          </w:tcPr>
          <w:p w14:paraId="6BA19920" w14:textId="77777777" w:rsidR="00100EBC" w:rsidRPr="00F3096E" w:rsidRDefault="00100EBC" w:rsidP="00A771EF">
            <w:pPr>
              <w:pStyle w:val="NMHCTableHeaderRow"/>
            </w:pPr>
            <w:r w:rsidRPr="105AEE34">
              <w:t>Action</w:t>
            </w:r>
          </w:p>
        </w:tc>
        <w:tc>
          <w:tcPr>
            <w:tcW w:w="77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48002"/>
            <w:tcMar>
              <w:top w:w="28" w:type="dxa"/>
              <w:bottom w:w="28" w:type="dxa"/>
            </w:tcMar>
          </w:tcPr>
          <w:p w14:paraId="317C5045" w14:textId="77777777" w:rsidR="00100EBC" w:rsidRPr="00F3096E" w:rsidRDefault="00100EBC" w:rsidP="00A771EF">
            <w:pPr>
              <w:pStyle w:val="NMHCTableHeaderRow"/>
            </w:pPr>
            <w:r w:rsidRPr="105AEE34">
              <w:t>Description</w:t>
            </w:r>
          </w:p>
        </w:tc>
      </w:tr>
      <w:tr w:rsidR="00100EBC" w:rsidRPr="00B768A1" w14:paraId="52A6C319" w14:textId="77777777" w:rsidTr="00163A3B">
        <w:trPr>
          <w:trHeight w:val="615"/>
        </w:trPr>
        <w:tc>
          <w:tcPr>
            <w:tcW w:w="1129" w:type="dxa"/>
            <w:tcBorders>
              <w:top w:val="single" w:sz="4" w:space="0" w:color="FFFFFF" w:themeColor="background1"/>
            </w:tcBorders>
          </w:tcPr>
          <w:p w14:paraId="3BA856B6" w14:textId="6E53616A" w:rsidR="00100EBC" w:rsidRPr="009C58E7" w:rsidRDefault="278127B6" w:rsidP="7E232F61">
            <w:pPr>
              <w:rPr>
                <w:rFonts w:cstheme="minorBidi"/>
              </w:rPr>
            </w:pPr>
            <w:r>
              <w:t>ko2.2a</w:t>
            </w:r>
          </w:p>
        </w:tc>
        <w:tc>
          <w:tcPr>
            <w:tcW w:w="7797" w:type="dxa"/>
            <w:tcBorders>
              <w:top w:val="single" w:sz="4" w:space="0" w:color="FFFFFF" w:themeColor="background1"/>
            </w:tcBorders>
            <w:tcMar>
              <w:top w:w="28" w:type="dxa"/>
              <w:bottom w:w="28" w:type="dxa"/>
            </w:tcMar>
          </w:tcPr>
          <w:p w14:paraId="35AF35B0" w14:textId="10F906C2" w:rsidR="00100EBC" w:rsidRPr="009C58E7" w:rsidRDefault="45E90E2C" w:rsidP="7E232F61">
            <w:pPr>
              <w:rPr>
                <w:rFonts w:cstheme="minorBidi"/>
              </w:rPr>
            </w:pPr>
            <w:r>
              <w:t xml:space="preserve">Continue to expand and enhance services for people </w:t>
            </w:r>
            <w:r w:rsidR="3E56629C">
              <w:t>experiencing mental ill health,</w:t>
            </w:r>
            <w:r w:rsidR="097985B5">
              <w:t xml:space="preserve"> </w:t>
            </w:r>
            <w:r w:rsidR="46B7C533">
              <w:t xml:space="preserve">particularly severe and </w:t>
            </w:r>
            <w:r w:rsidR="4F9DE7E8">
              <w:t>enduring</w:t>
            </w:r>
            <w:r>
              <w:t xml:space="preserve"> mental </w:t>
            </w:r>
            <w:r w:rsidR="31395B0C">
              <w:t>illness</w:t>
            </w:r>
            <w:r>
              <w:t xml:space="preserve">. </w:t>
            </w:r>
          </w:p>
        </w:tc>
      </w:tr>
      <w:tr w:rsidR="00B57BE8" w14:paraId="49209971" w14:textId="77777777" w:rsidTr="00163A3B">
        <w:trPr>
          <w:trHeight w:val="300"/>
        </w:trPr>
        <w:tc>
          <w:tcPr>
            <w:tcW w:w="1129" w:type="dxa"/>
            <w:tcBorders>
              <w:top w:val="single" w:sz="4" w:space="0" w:color="FFFFFF" w:themeColor="background1"/>
            </w:tcBorders>
          </w:tcPr>
          <w:p w14:paraId="693091E8" w14:textId="17EEE664" w:rsidR="059F65C3" w:rsidRDefault="059F65C3" w:rsidP="7E232F61">
            <w:r>
              <w:t>ko2.2b</w:t>
            </w:r>
          </w:p>
        </w:tc>
        <w:tc>
          <w:tcPr>
            <w:tcW w:w="7797" w:type="dxa"/>
            <w:tcBorders>
              <w:top w:val="single" w:sz="4" w:space="0" w:color="FFFFFF" w:themeColor="background1"/>
            </w:tcBorders>
            <w:tcMar>
              <w:top w:w="28" w:type="dxa"/>
              <w:bottom w:w="28" w:type="dxa"/>
            </w:tcMar>
          </w:tcPr>
          <w:p w14:paraId="7B348258" w14:textId="06406A5E" w:rsidR="55EFFA17" w:rsidRDefault="3944CAB1">
            <w:r>
              <w:t xml:space="preserve">Improve capability of </w:t>
            </w:r>
            <w:r w:rsidR="6ECF9633">
              <w:t xml:space="preserve">all </w:t>
            </w:r>
            <w:r>
              <w:t>healthcare services to identify and respond to suicidal distress.</w:t>
            </w:r>
          </w:p>
        </w:tc>
      </w:tr>
      <w:tr w:rsidR="00100EBC" w:rsidRPr="00B768A1" w14:paraId="0A1F8CE4" w14:textId="77777777" w:rsidTr="00163A3B">
        <w:trPr>
          <w:trHeight w:val="1084"/>
        </w:trPr>
        <w:tc>
          <w:tcPr>
            <w:tcW w:w="1129" w:type="dxa"/>
          </w:tcPr>
          <w:p w14:paraId="62978247" w14:textId="50841ED8" w:rsidR="00100EBC" w:rsidRPr="00B768A1" w:rsidRDefault="278127B6" w:rsidP="7E232F61">
            <w:pPr>
              <w:rPr>
                <w:b/>
                <w:bCs/>
              </w:rPr>
            </w:pPr>
            <w:r>
              <w:t>ko2.2</w:t>
            </w:r>
            <w:r w:rsidR="12AC51FC">
              <w:t>c</w:t>
            </w:r>
          </w:p>
        </w:tc>
        <w:tc>
          <w:tcPr>
            <w:tcW w:w="7797" w:type="dxa"/>
            <w:tcMar>
              <w:top w:w="28" w:type="dxa"/>
              <w:bottom w:w="28" w:type="dxa"/>
            </w:tcMar>
          </w:tcPr>
          <w:p w14:paraId="696DC2B8" w14:textId="19260C2A" w:rsidR="00100EBC" w:rsidRPr="00B768A1" w:rsidRDefault="00100EBC" w:rsidP="00634A83">
            <w:pPr>
              <w:rPr>
                <w:rFonts w:cstheme="minorBidi"/>
              </w:rPr>
            </w:pPr>
            <w:r>
              <w:t>Provide support services for families, carers and kin to better recognise and respond to any suicidal distress being experienced by families, carers and kin whilst acting in a support role.</w:t>
            </w:r>
          </w:p>
        </w:tc>
      </w:tr>
      <w:tr w:rsidR="00100EBC" w:rsidRPr="00B768A1" w14:paraId="43E98DCC" w14:textId="77777777" w:rsidTr="00163A3B">
        <w:trPr>
          <w:trHeight w:val="649"/>
        </w:trPr>
        <w:tc>
          <w:tcPr>
            <w:tcW w:w="1129" w:type="dxa"/>
          </w:tcPr>
          <w:p w14:paraId="776CBFC5" w14:textId="68D827B5" w:rsidR="00100EBC" w:rsidRPr="00B768A1" w:rsidRDefault="278127B6" w:rsidP="7E232F61">
            <w:pPr>
              <w:rPr>
                <w:b/>
                <w:bCs/>
              </w:rPr>
            </w:pPr>
            <w:r>
              <w:t>ko2.2</w:t>
            </w:r>
            <w:r w:rsidR="26541FBA">
              <w:t>d</w:t>
            </w:r>
          </w:p>
        </w:tc>
        <w:tc>
          <w:tcPr>
            <w:tcW w:w="7797" w:type="dxa"/>
            <w:tcMar>
              <w:top w:w="28" w:type="dxa"/>
              <w:bottom w:w="28" w:type="dxa"/>
            </w:tcMar>
          </w:tcPr>
          <w:p w14:paraId="2205EA92" w14:textId="77777777" w:rsidR="00100EBC" w:rsidRPr="00B768A1" w:rsidRDefault="00100EBC" w:rsidP="00634A83">
            <w:r>
              <w:t>Review the experiences of people with neurodivergence in receiving care from key health services, to identify opportunities for improvement.</w:t>
            </w:r>
          </w:p>
        </w:tc>
      </w:tr>
      <w:tr w:rsidR="00100EBC" w:rsidRPr="00B768A1" w14:paraId="08381A1A" w14:textId="77777777" w:rsidTr="00163A3B">
        <w:tc>
          <w:tcPr>
            <w:tcW w:w="1129" w:type="dxa"/>
          </w:tcPr>
          <w:p w14:paraId="71F19E34" w14:textId="63A4233B" w:rsidR="00100EBC" w:rsidRPr="00B768A1" w:rsidRDefault="278127B6" w:rsidP="7E232F61">
            <w:pPr>
              <w:rPr>
                <w:b/>
                <w:bCs/>
              </w:rPr>
            </w:pPr>
            <w:r>
              <w:t>ko2.2</w:t>
            </w:r>
            <w:r w:rsidR="77816C8E">
              <w:t>e</w:t>
            </w:r>
          </w:p>
        </w:tc>
        <w:tc>
          <w:tcPr>
            <w:tcW w:w="7797" w:type="dxa"/>
            <w:tcMar>
              <w:top w:w="28" w:type="dxa"/>
              <w:bottom w:w="28" w:type="dxa"/>
            </w:tcMar>
          </w:tcPr>
          <w:p w14:paraId="5D4F1B96" w14:textId="77777777" w:rsidR="00100EBC" w:rsidRPr="00B768A1" w:rsidRDefault="00100EBC" w:rsidP="00634A83">
            <w:r w:rsidRPr="00B768A1">
              <w:t>Work with people from LGBTIQ+ communities to co-design and implement mechanisms that ensure health services deliver safe and inclusive care that is responsive to individual needs for LGBTIQ+ people. This might include improving staff knowledge, decreasing stigma towards people with variations in innate sex characteristics (intersex) or who are transgender and gender diverse, addressing barriers to access, and building connections with LGBTIQ+ service providers.</w:t>
            </w:r>
          </w:p>
        </w:tc>
      </w:tr>
      <w:tr w:rsidR="00100EBC" w:rsidRPr="00B768A1" w14:paraId="7FCA49C3" w14:textId="77777777" w:rsidTr="00163A3B">
        <w:trPr>
          <w:trHeight w:val="555"/>
        </w:trPr>
        <w:tc>
          <w:tcPr>
            <w:tcW w:w="1129" w:type="dxa"/>
          </w:tcPr>
          <w:p w14:paraId="6B4E06DF" w14:textId="5FA79398" w:rsidR="00100EBC" w:rsidRPr="009C58E7" w:rsidRDefault="278127B6" w:rsidP="00634A83">
            <w:r>
              <w:t>ko2.2</w:t>
            </w:r>
            <w:r w:rsidR="6850D78F">
              <w:t>f</w:t>
            </w:r>
          </w:p>
        </w:tc>
        <w:tc>
          <w:tcPr>
            <w:tcW w:w="7797" w:type="dxa"/>
            <w:tcMar>
              <w:top w:w="28" w:type="dxa"/>
              <w:bottom w:w="28" w:type="dxa"/>
            </w:tcMar>
          </w:tcPr>
          <w:p w14:paraId="2B6A9864" w14:textId="3AD61253" w:rsidR="00100EBC" w:rsidRPr="009C58E7" w:rsidRDefault="278127B6" w:rsidP="7E232F61">
            <w:r>
              <w:t>Prevent and minimise alcohol-related harms among individuals, families and communities</w:t>
            </w:r>
            <w:r w:rsidR="5F4491B3">
              <w:t xml:space="preserve"> through nationally coordinated and evidence-informed action, including:</w:t>
            </w:r>
          </w:p>
          <w:p w14:paraId="6E60DA46" w14:textId="2BFC7C87" w:rsidR="368B16CE" w:rsidRDefault="368B16CE" w:rsidP="24AB9016">
            <w:pPr>
              <w:pStyle w:val="ListParagraph"/>
            </w:pPr>
            <w:r>
              <w:t>Place-based primary prevention approaches to prevent and minimise alcohol-related harms</w:t>
            </w:r>
            <w:r w:rsidR="0FBA4DCB">
              <w:t xml:space="preserve"> and shared risk factors for suicidality</w:t>
            </w:r>
            <w:r>
              <w:t>.</w:t>
            </w:r>
          </w:p>
          <w:p w14:paraId="558D50F3" w14:textId="00A3EE8F" w:rsidR="00100EBC" w:rsidRPr="009C58E7" w:rsidRDefault="3E468940" w:rsidP="00B013CD">
            <w:pPr>
              <w:pStyle w:val="ListParagraph"/>
            </w:pPr>
            <w:r w:rsidRPr="55FFBE13">
              <w:rPr>
                <w:rFonts w:eastAsia="Century Gothic"/>
              </w:rPr>
              <w:t>Improve</w:t>
            </w:r>
            <w:r>
              <w:t xml:space="preserve"> community and individual safety, and reduce injury and violence associated with alcohol consumption.</w:t>
            </w:r>
            <w:r w:rsidR="6C329855">
              <w:t xml:space="preserve"> </w:t>
            </w:r>
            <w:r w:rsidR="64C87553">
              <w:t>Reduce the availability, promotion and pricing of alcohol that contributes to risky consumption.</w:t>
            </w:r>
            <w:r w:rsidR="20E7CC3F">
              <w:t xml:space="preserve">  </w:t>
            </w:r>
            <w:r w:rsidR="75009835">
              <w:t xml:space="preserve">Improve access to </w:t>
            </w:r>
            <w:r w:rsidR="6D9CBE9A">
              <w:t>effective</w:t>
            </w:r>
            <w:r w:rsidR="75009835">
              <w:t xml:space="preserve"> treatment, information and support services.</w:t>
            </w:r>
            <w:r w:rsidR="4DF45D9F">
              <w:t xml:space="preserve"> </w:t>
            </w:r>
          </w:p>
        </w:tc>
      </w:tr>
      <w:tr w:rsidR="00100EBC" w:rsidRPr="00B768A1" w14:paraId="09FE81D3" w14:textId="77777777" w:rsidTr="00163A3B">
        <w:trPr>
          <w:trHeight w:val="2025"/>
        </w:trPr>
        <w:tc>
          <w:tcPr>
            <w:tcW w:w="1129" w:type="dxa"/>
          </w:tcPr>
          <w:p w14:paraId="0E7CA83E" w14:textId="3A7B58A4" w:rsidR="00100EBC" w:rsidRPr="009C58E7" w:rsidRDefault="75009835" w:rsidP="00634A83">
            <w:r>
              <w:t>ko2.2</w:t>
            </w:r>
            <w:r w:rsidR="1348A8BD">
              <w:t>g</w:t>
            </w:r>
          </w:p>
        </w:tc>
        <w:tc>
          <w:tcPr>
            <w:tcW w:w="7797" w:type="dxa"/>
            <w:tcMar>
              <w:top w:w="28" w:type="dxa"/>
              <w:bottom w:w="28" w:type="dxa"/>
            </w:tcMar>
          </w:tcPr>
          <w:p w14:paraId="5F4F034D" w14:textId="29046E8F" w:rsidR="00100EBC" w:rsidRPr="009C58E7" w:rsidRDefault="75009835" w:rsidP="00634A83">
            <w:r>
              <w:t>Prevent and minimise drug-related health, social, cultural and economic harm among individuals, families and communities through nationally coordinated and evidence-informed action, including:</w:t>
            </w:r>
          </w:p>
          <w:p w14:paraId="753E8453" w14:textId="77777777" w:rsidR="00100EBC" w:rsidRPr="009C58E7" w:rsidRDefault="00100EBC" w:rsidP="00634A83">
            <w:pPr>
              <w:pStyle w:val="ListParagraph"/>
              <w:numPr>
                <w:ilvl w:val="0"/>
                <w:numId w:val="72"/>
              </w:numPr>
            </w:pPr>
            <w:r w:rsidRPr="009C58E7">
              <w:rPr>
                <w:rFonts w:eastAsia="Century Gothic"/>
              </w:rPr>
              <w:t>e</w:t>
            </w:r>
            <w:r w:rsidRPr="009C58E7">
              <w:t>nhancing evidence-informed harm reduction approaches</w:t>
            </w:r>
          </w:p>
          <w:p w14:paraId="75D46422" w14:textId="24D5A75A" w:rsidR="00100EBC" w:rsidRPr="009C58E7" w:rsidRDefault="3E468940" w:rsidP="00B013CD">
            <w:pPr>
              <w:pStyle w:val="ListParagraph"/>
              <w:rPr>
                <w:rFonts w:cstheme="minorBidi"/>
              </w:rPr>
            </w:pPr>
            <w:r w:rsidRPr="55FFBE13">
              <w:rPr>
                <w:rFonts w:eastAsia="Century Gothic"/>
              </w:rPr>
              <w:t>e</w:t>
            </w:r>
            <w:r>
              <w:t>nhancing access to evidence-informed, effective and affordable treatment and support services</w:t>
            </w:r>
            <w:r w:rsidR="139E2344">
              <w:t>.</w:t>
            </w:r>
          </w:p>
        </w:tc>
      </w:tr>
      <w:tr w:rsidR="00100EBC" w:rsidRPr="00B768A1" w14:paraId="3D29FC39" w14:textId="77777777" w:rsidTr="00163A3B">
        <w:tc>
          <w:tcPr>
            <w:tcW w:w="1129" w:type="dxa"/>
          </w:tcPr>
          <w:p w14:paraId="03C733ED" w14:textId="4867697E" w:rsidR="00100EBC" w:rsidRPr="009C58E7" w:rsidRDefault="278127B6" w:rsidP="00634A83">
            <w:r>
              <w:t>ko2.2</w:t>
            </w:r>
            <w:r w:rsidR="422EC4F5">
              <w:t>h</w:t>
            </w:r>
          </w:p>
        </w:tc>
        <w:tc>
          <w:tcPr>
            <w:tcW w:w="7797" w:type="dxa"/>
            <w:tcMar>
              <w:top w:w="28" w:type="dxa"/>
              <w:bottom w:w="28" w:type="dxa"/>
            </w:tcMar>
          </w:tcPr>
          <w:p w14:paraId="0C1FCE63" w14:textId="77777777" w:rsidR="00100EBC" w:rsidRPr="009C58E7" w:rsidRDefault="00100EBC" w:rsidP="00634A83">
            <w:r w:rsidRPr="009C58E7">
              <w:t>Improve support for people experiencing both a mental illness and a substance use disorder to ensure a coordinated and seamless approach.</w:t>
            </w:r>
          </w:p>
        </w:tc>
      </w:tr>
      <w:tr w:rsidR="00100EBC" w:rsidRPr="00B768A1" w14:paraId="3E3D7531" w14:textId="77777777" w:rsidTr="00163A3B">
        <w:trPr>
          <w:trHeight w:val="562"/>
        </w:trPr>
        <w:tc>
          <w:tcPr>
            <w:tcW w:w="1129" w:type="dxa"/>
          </w:tcPr>
          <w:p w14:paraId="0EBDE742" w14:textId="4316CDEF" w:rsidR="00100EBC" w:rsidRPr="00B768A1" w:rsidRDefault="278127B6" w:rsidP="7E232F61">
            <w:pPr>
              <w:rPr>
                <w:b/>
                <w:bCs/>
              </w:rPr>
            </w:pPr>
            <w:r>
              <w:t>ko2.2</w:t>
            </w:r>
            <w:r w:rsidR="16335C81">
              <w:t>i</w:t>
            </w:r>
          </w:p>
        </w:tc>
        <w:tc>
          <w:tcPr>
            <w:tcW w:w="7797" w:type="dxa"/>
            <w:tcMar>
              <w:top w:w="28" w:type="dxa"/>
              <w:bottom w:w="28" w:type="dxa"/>
            </w:tcMar>
          </w:tcPr>
          <w:p w14:paraId="265D8C92" w14:textId="77777777" w:rsidR="00100EBC" w:rsidRPr="00B768A1" w:rsidRDefault="00100EBC" w:rsidP="00634A83">
            <w:pPr>
              <w:rPr>
                <w:rFonts w:cstheme="minorHAnsi"/>
              </w:rPr>
            </w:pPr>
            <w:r w:rsidRPr="00B768A1">
              <w:t xml:space="preserve">Increase access to peer and support programs for families, carers and kin of people who are experiencing difficulties due to alcohol and other drug-related harm. </w:t>
            </w:r>
          </w:p>
        </w:tc>
      </w:tr>
      <w:tr w:rsidR="00100EBC" w:rsidRPr="00B768A1" w14:paraId="03285A81" w14:textId="77777777" w:rsidTr="00163A3B">
        <w:tc>
          <w:tcPr>
            <w:tcW w:w="1129" w:type="dxa"/>
          </w:tcPr>
          <w:p w14:paraId="56C5B33D" w14:textId="16F7C4C8" w:rsidR="00100EBC" w:rsidRPr="00B768A1" w:rsidRDefault="278127B6" w:rsidP="7E232F61">
            <w:pPr>
              <w:rPr>
                <w:b/>
                <w:bCs/>
              </w:rPr>
            </w:pPr>
            <w:r>
              <w:t>ko2.2</w:t>
            </w:r>
            <w:r w:rsidR="6EF535CE">
              <w:t>j</w:t>
            </w:r>
          </w:p>
        </w:tc>
        <w:tc>
          <w:tcPr>
            <w:tcW w:w="7797" w:type="dxa"/>
            <w:tcMar>
              <w:top w:w="28" w:type="dxa"/>
              <w:bottom w:w="28" w:type="dxa"/>
            </w:tcMar>
          </w:tcPr>
          <w:p w14:paraId="797A0E36" w14:textId="2B22B8C7" w:rsidR="00100EBC" w:rsidRPr="00B768A1" w:rsidRDefault="70192CDD" w:rsidP="00634A83">
            <w:r w:rsidRPr="00B768A1">
              <w:t>Respond to th</w:t>
            </w:r>
            <w:r w:rsidRPr="00B61438">
              <w:t>e House</w:t>
            </w:r>
            <w:r w:rsidRPr="008B0A8A">
              <w:t xml:space="preserve"> of Representatives Standing Committee on Social Policy and Legal Affairs Inquiry</w:t>
            </w:r>
            <w:r w:rsidRPr="48215A0F">
              <w:rPr>
                <w:i/>
                <w:iCs/>
              </w:rPr>
              <w:t xml:space="preserve"> </w:t>
            </w:r>
            <w:r w:rsidRPr="00B768A1">
              <w:t>into online gambling and its impacts on those experiencing gambling harm</w:t>
            </w:r>
            <w:r>
              <w:t>.</w:t>
            </w:r>
            <w:hyperlink w:anchor="_ENREF_113" w:tooltip="Affairs, 2023 #1015" w:history="1">
              <w:r w:rsidR="002D6F18">
                <w:fldChar w:fldCharType="begin"/>
              </w:r>
              <w:r w:rsidR="002D6F18">
                <w:instrText xml:space="preserve"> ADDIN EN.CITE &lt;EndNote&gt;&lt;Cite&gt;&lt;Author&gt;Affairs&lt;/Author&gt;&lt;Year&gt;2023&lt;/Year&gt;&lt;RecNum&gt;1015&lt;/RecNum&gt;&lt;DisplayText&gt;&lt;style face="superscript"&gt;113&lt;/style&gt;&lt;/DisplayText&gt;&lt;record&gt;&lt;rec-number&gt;1015&lt;/rec-number&gt;&lt;foreign-keys&gt;&lt;key app="EN" db-id="rsettzd2isasdweewww55s9lffasxav0d0ft" timestamp="1720422081" guid="6976c940-14b3-4373-83b9-ea6be24f86a3"&gt;1015&lt;/key&gt;&lt;/foreign-keys&gt;&lt;ref-type name="Web Page"&gt;12&lt;/ref-type&gt;&lt;contributors&gt;&lt;authors&gt;&lt;author&gt;Australian House of Representatives - Standing Committee on Social Policy and Legal Affairs&lt;/author&gt;&lt;/authors&gt;&lt;/contributors&gt;&lt;titles&gt;&lt;title&gt;You win some, you lose more: Online gambling and its impacts on those experiencing gambling harm&lt;/title&gt;&lt;/titles&gt;&lt;dates&gt;&lt;year&gt;2023&lt;/year&gt;&lt;/dates&gt;&lt;pub-location&gt;Canberra&lt;/pub-location&gt;&lt;publisher&gt;Parliament of Australia&lt;/publisher&gt;&lt;work-type&gt;Internet&lt;/work-type&gt;&lt;urls&gt;&lt;related-urls&gt;&lt;url&gt;https://parlinfo.aph.gov.au/parlInfo/download/committees/reportrep/RB000159/toc_pdf/Youwinsome,youlosemore.pdf&lt;/url&gt;&lt;/related-urls&gt;&lt;/urls&gt;&lt;/record&gt;&lt;/Cite&gt;&lt;/EndNote&gt;</w:instrText>
              </w:r>
              <w:r w:rsidR="002D6F18">
                <w:fldChar w:fldCharType="separate"/>
              </w:r>
              <w:r w:rsidR="002D6F18" w:rsidRPr="00445D54">
                <w:rPr>
                  <w:noProof/>
                  <w:vertAlign w:val="superscript"/>
                </w:rPr>
                <w:t>113</w:t>
              </w:r>
              <w:r w:rsidR="002D6F18">
                <w:fldChar w:fldCharType="end"/>
              </w:r>
            </w:hyperlink>
          </w:p>
        </w:tc>
      </w:tr>
    </w:tbl>
    <w:p w14:paraId="62CEFB16" w14:textId="58435F21" w:rsidR="008545AF" w:rsidRDefault="008545AF" w:rsidP="00381701">
      <w:pPr>
        <w:pStyle w:val="NoteHeading"/>
        <w:rPr>
          <w:rFonts w:eastAsiaTheme="majorEastAsia" w:cstheme="majorBidi"/>
          <w:sz w:val="40"/>
          <w:szCs w:val="26"/>
        </w:rPr>
      </w:pPr>
      <w:r>
        <w:br w:type="page"/>
      </w:r>
    </w:p>
    <w:p w14:paraId="09049DDE" w14:textId="59985BE3" w:rsidR="00ED2568" w:rsidRPr="003B238A" w:rsidRDefault="00C77BE2" w:rsidP="00996915">
      <w:pPr>
        <w:pStyle w:val="HeadingKOprevention"/>
      </w:pPr>
      <w:bookmarkStart w:id="50" w:name="_Toc576960746"/>
      <w:bookmarkStart w:id="51" w:name="_Toc1127196726"/>
      <w:bookmarkStart w:id="52" w:name="_Toc171459028"/>
      <w:r>
        <w:drawing>
          <wp:anchor distT="0" distB="0" distL="114300" distR="114300" simplePos="0" relativeHeight="251658264" behindDoc="1" locked="0" layoutInCell="1" allowOverlap="1" wp14:anchorId="3C85DFC1" wp14:editId="1F3B400A">
            <wp:simplePos x="0" y="0"/>
            <wp:positionH relativeFrom="margin">
              <wp:align>right</wp:align>
            </wp:positionH>
            <wp:positionV relativeFrom="paragraph">
              <wp:posOffset>12700</wp:posOffset>
            </wp:positionV>
            <wp:extent cx="1413510" cy="899795"/>
            <wp:effectExtent l="0" t="0" r="0" b="0"/>
            <wp:wrapTight wrapText="bothSides">
              <wp:wrapPolygon edited="0">
                <wp:start x="0" y="0"/>
                <wp:lineTo x="0" y="21036"/>
                <wp:lineTo x="21251" y="21036"/>
                <wp:lineTo x="21251" y="0"/>
                <wp:lineTo x="0" y="0"/>
              </wp:wrapPolygon>
            </wp:wrapTight>
            <wp:docPr id="18" name="Picture 18" descr="Economic security is Key objective 3 of the Strategy, within the domain of Prevention of suicidal distr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Economic security is Key objective 3 of the Strategy, within the domain of Prevention of suicidal distress. "/>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13510" cy="899795"/>
                    </a:xfrm>
                    <a:prstGeom prst="rect">
                      <a:avLst/>
                    </a:prstGeom>
                  </pic:spPr>
                </pic:pic>
              </a:graphicData>
            </a:graphic>
          </wp:anchor>
        </w:drawing>
      </w:r>
      <w:r w:rsidR="00ED2568" w:rsidRPr="00A60CE2">
        <w:t xml:space="preserve">Key objective </w:t>
      </w:r>
      <w:r w:rsidR="00ED2568">
        <w:t>3</w:t>
      </w:r>
      <w:r w:rsidR="00ED2568" w:rsidRPr="00A60CE2">
        <w:t xml:space="preserve">: </w:t>
      </w:r>
      <w:r w:rsidR="00FC4EEC">
        <w:t>Economic s</w:t>
      </w:r>
      <w:r w:rsidR="00ED2568">
        <w:t>ecurity</w:t>
      </w:r>
      <w:bookmarkEnd w:id="50"/>
      <w:bookmarkEnd w:id="51"/>
      <w:bookmarkEnd w:id="52"/>
    </w:p>
    <w:p w14:paraId="059C2B21" w14:textId="104FB527" w:rsidR="004F2B0B" w:rsidRDefault="7F1EF40A" w:rsidP="00634A83">
      <w:r w:rsidRPr="498A3250">
        <w:t>Historically</w:t>
      </w:r>
      <w:r w:rsidR="74A190A7" w:rsidRPr="498A3250">
        <w:t xml:space="preserve">, </w:t>
      </w:r>
      <w:r w:rsidRPr="498A3250">
        <w:t xml:space="preserve">suicide rates in Australia and </w:t>
      </w:r>
      <w:r w:rsidR="38F9E8D5" w:rsidRPr="498A3250">
        <w:t>other usually prosperous countries</w:t>
      </w:r>
      <w:hyperlink w:anchor="_ENREF_114" w:tooltip="Welfare, 2023 #342" w:history="1">
        <w:r w:rsidR="002D6F18">
          <w:fldChar w:fldCharType="begin"/>
        </w:r>
        <w:r w:rsidR="002D6F18">
          <w:instrText xml:space="preserve"> ADDIN EN.CITE &lt;EndNote&gt;&lt;Cite&gt;&lt;Author&gt;Welfare&lt;/Author&gt;&lt;Year&gt;2023&lt;/Year&gt;&lt;RecNum&gt;342&lt;/RecNum&gt;&lt;DisplayText&gt;&lt;style face="superscript"&gt;114&lt;/style&gt;&lt;/DisplayText&gt;&lt;record&gt;&lt;rec-number&gt;342&lt;/rec-number&gt;&lt;foreign-keys&gt;&lt;key app="EN" db-id="rsettzd2isasdweewww55s9lffasxav0d0ft" timestamp="1700699472" guid="ab6b87c9-a8b2-4c88-982c-66f2d16fadb7"&gt;342&lt;/key&gt;&lt;/foreign-keys&gt;&lt;ref-type name="Web Page"&gt;12&lt;/ref-type&gt;&lt;contributors&gt;&lt;authors&gt;&lt;author&gt;Australian Institute of Health and Welfare&lt;/author&gt;&lt;/authors&gt;&lt;/contributors&gt;&lt;titles&gt;&lt;title&gt;Deaths by Suicide Over Time&lt;/title&gt;&lt;/titles&gt;&lt;dates&gt;&lt;year&gt;2023&lt;/year&gt;&lt;/dates&gt;&lt;publisher&gt;AIHW, Australian Government&lt;/publisher&gt;&lt;urls&gt;&lt;related-urls&gt;&lt;url&gt;https://www.aihw.gov.au/suicide-self-harm-monitoring/data/deaths-by-suicide-in-australia/suicide-deaths-over-time&lt;/url&gt;&lt;/related-urls&gt;&lt;/urls&gt;&lt;custom1&gt;2023&lt;/custom1&gt;&lt;custom2&gt;October 05&lt;/custom2&gt;&lt;/record&gt;&lt;/Cite&gt;&lt;/EndNote&gt;</w:instrText>
        </w:r>
        <w:r w:rsidR="002D6F18">
          <w:fldChar w:fldCharType="separate"/>
        </w:r>
        <w:r w:rsidR="002D6F18" w:rsidRPr="00445D54">
          <w:rPr>
            <w:noProof/>
            <w:vertAlign w:val="superscript"/>
          </w:rPr>
          <w:t>114</w:t>
        </w:r>
        <w:r w:rsidR="002D6F18">
          <w:fldChar w:fldCharType="end"/>
        </w:r>
      </w:hyperlink>
      <w:r w:rsidR="00F77909">
        <w:t xml:space="preserve"> </w:t>
      </w:r>
      <w:r w:rsidRPr="498A3250">
        <w:t xml:space="preserve">have </w:t>
      </w:r>
      <w:r w:rsidR="48D13F31" w:rsidRPr="498A3250">
        <w:t>increased</w:t>
      </w:r>
      <w:r w:rsidRPr="498A3250">
        <w:t xml:space="preserve"> following periods of major economic downturn and recession.</w:t>
      </w:r>
      <w:hyperlink w:anchor="_ENREF_115" w:tooltip="Welfare, 2023 #387" w:history="1">
        <w:r w:rsidR="002D6F18">
          <w:fldChar w:fldCharType="begin"/>
        </w:r>
        <w:r w:rsidR="002D6F18">
          <w:instrText xml:space="preserve"> ADDIN EN.CITE &lt;EndNote&gt;&lt;Cite&gt;&lt;Author&gt;Welfare&lt;/Author&gt;&lt;Year&gt;2023&lt;/Year&gt;&lt;RecNum&gt;387&lt;/RecNum&gt;&lt;DisplayText&gt;&lt;style face="superscript"&gt;115&lt;/style&gt;&lt;/DisplayText&gt;&lt;record&gt;&lt;rec-number&gt;387&lt;/rec-number&gt;&lt;foreign-keys&gt;&lt;key app="EN" db-id="rsettzd2isasdweewww55s9lffasxav0d0ft" timestamp="1700699472" guid="ae3a1648-019f-4a0a-8517-3940e369278b"&gt;387&lt;/key&gt;&lt;/foreign-keys&gt;&lt;ref-type name="Web Page"&gt;12&lt;/ref-type&gt;&lt;contributors&gt;&lt;authors&gt;&lt;author&gt;Australian Institute of Health and Welfare&lt;/author&gt;&lt;/authors&gt;&lt;/contributors&gt;&lt;titles&gt;&lt;title&gt;Deaths by Suicide Over Time: Impact of Social and Economic Events&lt;/title&gt;&lt;/titles&gt;&lt;dates&gt;&lt;year&gt;2023&lt;/year&gt;&lt;/dates&gt;&lt;publisher&gt;AIHW, Australian Government&lt;/publisher&gt;&lt;work-type&gt;Internet&lt;/work-type&gt;&lt;urls&gt;&lt;related-urls&gt;&lt;url&gt;https://www.aihw.gov.au/suicide-self-harm-monitoring/data/deaths-by-suicide-in-australia/suicide-deaths-over-time#Impact%20of%20social%20and%20economic%20events&lt;/url&gt;&lt;/related-urls&gt;&lt;/urls&gt;&lt;custom1&gt;2023&lt;/custom1&gt;&lt;custom2&gt;October 30&lt;/custom2&gt;&lt;/record&gt;&lt;/Cite&gt;&lt;/EndNote&gt;</w:instrText>
        </w:r>
        <w:r w:rsidR="002D6F18">
          <w:fldChar w:fldCharType="separate"/>
        </w:r>
        <w:r w:rsidR="002D6F18" w:rsidRPr="00445D54">
          <w:rPr>
            <w:noProof/>
            <w:vertAlign w:val="superscript"/>
          </w:rPr>
          <w:t>115</w:t>
        </w:r>
        <w:r w:rsidR="002D6F18">
          <w:fldChar w:fldCharType="end"/>
        </w:r>
      </w:hyperlink>
      <w:r w:rsidR="6FAE6FEA" w:rsidRPr="498A3250">
        <w:rPr>
          <w:rStyle w:val="EndnoteReference"/>
        </w:rPr>
        <w:t xml:space="preserve"> </w:t>
      </w:r>
      <w:r w:rsidR="3735E009">
        <w:rPr>
          <w:rStyle w:val="EndnoteReference"/>
          <w:vertAlign w:val="baseline"/>
        </w:rPr>
        <w:t>T</w:t>
      </w:r>
      <w:r w:rsidR="3735E009">
        <w:t xml:space="preserve">his </w:t>
      </w:r>
      <w:r w:rsidR="3E6E0B3C" w:rsidRPr="498A3250">
        <w:rPr>
          <w:rStyle w:val="EndnoteReference"/>
          <w:vertAlign w:val="baseline"/>
        </w:rPr>
        <w:t>highlight</w:t>
      </w:r>
      <w:r w:rsidR="3735E009">
        <w:t>s</w:t>
      </w:r>
      <w:r w:rsidR="3E6E0B3C" w:rsidRPr="498A3250">
        <w:rPr>
          <w:rStyle w:val="EndnoteReference"/>
          <w:vertAlign w:val="baseline"/>
        </w:rPr>
        <w:t xml:space="preserve"> the</w:t>
      </w:r>
      <w:r w:rsidR="6E835CFD" w:rsidRPr="498A3250">
        <w:rPr>
          <w:rStyle w:val="EndnoteReference"/>
          <w:vertAlign w:val="baseline"/>
        </w:rPr>
        <w:t xml:space="preserve"> need to include </w:t>
      </w:r>
      <w:r w:rsidR="369B95BF">
        <w:t xml:space="preserve">consideration of </w:t>
      </w:r>
      <w:r w:rsidR="6E835CFD" w:rsidRPr="498A3250">
        <w:rPr>
          <w:rStyle w:val="EndnoteReference"/>
          <w:vertAlign w:val="baseline"/>
        </w:rPr>
        <w:t>economic security in suicide prevention</w:t>
      </w:r>
      <w:r w:rsidR="4914ADB4">
        <w:t xml:space="preserve"> efforts</w:t>
      </w:r>
      <w:r w:rsidR="6E835CFD" w:rsidRPr="498A3250">
        <w:rPr>
          <w:rStyle w:val="EndnoteReference"/>
          <w:vertAlign w:val="baseline"/>
        </w:rPr>
        <w:t>.</w:t>
      </w:r>
      <w:r w:rsidR="3E6E0B3C" w:rsidRPr="498A3250">
        <w:rPr>
          <w:rStyle w:val="EndnoteReference"/>
          <w:vertAlign w:val="baseline"/>
        </w:rPr>
        <w:t xml:space="preserve"> </w:t>
      </w:r>
      <w:r w:rsidR="00100EBC">
        <w:br/>
      </w:r>
      <w:r w:rsidR="7EB5B802" w:rsidRPr="498A3250">
        <w:t>Proactive work can be</w:t>
      </w:r>
      <w:r w:rsidR="6B12384C" w:rsidRPr="498A3250">
        <w:t xml:space="preserve"> undertaken to enhance economic security and buffer communities against the impact of </w:t>
      </w:r>
      <w:r w:rsidR="6EF2A78C" w:rsidRPr="498A3250">
        <w:t xml:space="preserve">economic </w:t>
      </w:r>
      <w:r w:rsidR="6B12384C" w:rsidRPr="498A3250">
        <w:t xml:space="preserve">changes. This can operate in </w:t>
      </w:r>
      <w:r w:rsidR="7B3733AC" w:rsidRPr="498A3250">
        <w:t>tandem</w:t>
      </w:r>
      <w:r w:rsidR="6B12384C" w:rsidRPr="498A3250">
        <w:t xml:space="preserve"> with efforts to reduce suicidal distress among communities most </w:t>
      </w:r>
      <w:r w:rsidR="7B3733AC" w:rsidRPr="498A3250">
        <w:t>severely</w:t>
      </w:r>
      <w:r w:rsidR="6B12384C" w:rsidRPr="498A3250">
        <w:t xml:space="preserve"> impacted</w:t>
      </w:r>
      <w:r w:rsidR="53A13D35" w:rsidRPr="498A3250">
        <w:t xml:space="preserve"> by economic insecurity</w:t>
      </w:r>
      <w:r w:rsidR="4C26A08E" w:rsidRPr="498A3250">
        <w:t>.</w:t>
      </w:r>
    </w:p>
    <w:p w14:paraId="7AECCEC4" w14:textId="115E2D40" w:rsidR="00E61EF8" w:rsidRPr="00B768A1" w:rsidRDefault="00E61EF8" w:rsidP="00634A83">
      <w:pPr>
        <w:pStyle w:val="BT-Livedexperience-Orange-Heading"/>
      </w:pPr>
      <w:r>
        <w:t>What do we need to achieve?</w:t>
      </w:r>
    </w:p>
    <w:p w14:paraId="69C53B8C" w14:textId="0AE1212F" w:rsidR="00E61EF8" w:rsidRPr="00B768A1" w:rsidRDefault="00E61EF8" w:rsidP="00634A83">
      <w:pPr>
        <w:pStyle w:val="BT-Livedexperience-Orange"/>
      </w:pPr>
      <w:r w:rsidRPr="498A3250">
        <w:rPr>
          <w:rStyle w:val="normaltextrun"/>
          <w:rFonts w:eastAsia="Roboto" w:cstheme="minorBidi"/>
        </w:rPr>
        <w:t xml:space="preserve">People experience enhanced wellbeing through increased </w:t>
      </w:r>
      <w:r w:rsidR="00EC7941" w:rsidRPr="498A3250">
        <w:rPr>
          <w:rStyle w:val="normaltextrun"/>
          <w:rFonts w:eastAsia="Roboto" w:cstheme="minorBidi"/>
        </w:rPr>
        <w:t>economic security</w:t>
      </w:r>
      <w:r w:rsidR="784F23D8" w:rsidRPr="498A3250">
        <w:rPr>
          <w:rStyle w:val="normaltextrun"/>
          <w:rFonts w:eastAsia="Roboto" w:cstheme="minorBidi"/>
        </w:rPr>
        <w:t>. T</w:t>
      </w:r>
      <w:r w:rsidRPr="498A3250">
        <w:rPr>
          <w:rStyle w:val="normaltextrun"/>
          <w:rFonts w:eastAsia="Roboto" w:cstheme="minorBidi"/>
        </w:rPr>
        <w:t>he prevalence and impact</w:t>
      </w:r>
      <w:r w:rsidR="00EC7941" w:rsidRPr="498A3250">
        <w:rPr>
          <w:rStyle w:val="normaltextrun"/>
          <w:rFonts w:eastAsia="Roboto" w:cstheme="minorBidi"/>
        </w:rPr>
        <w:t>s</w:t>
      </w:r>
      <w:r w:rsidRPr="498A3250">
        <w:rPr>
          <w:rStyle w:val="normaltextrun"/>
          <w:rFonts w:eastAsia="Roboto" w:cstheme="minorBidi"/>
        </w:rPr>
        <w:t xml:space="preserve"> of </w:t>
      </w:r>
      <w:r w:rsidR="00EC7941" w:rsidRPr="498A3250">
        <w:rPr>
          <w:rStyle w:val="normaltextrun"/>
          <w:rFonts w:eastAsia="Roboto" w:cstheme="minorBidi"/>
        </w:rPr>
        <w:t xml:space="preserve">economic </w:t>
      </w:r>
      <w:r w:rsidR="00686A6E" w:rsidRPr="498A3250">
        <w:rPr>
          <w:rStyle w:val="normaltextrun"/>
          <w:rFonts w:eastAsia="Roboto" w:cstheme="minorBidi"/>
        </w:rPr>
        <w:t xml:space="preserve">insecurity </w:t>
      </w:r>
      <w:r w:rsidRPr="498A3250">
        <w:rPr>
          <w:rStyle w:val="normaltextrun"/>
          <w:rFonts w:eastAsia="Roboto" w:cstheme="minorBidi"/>
        </w:rPr>
        <w:t xml:space="preserve">are </w:t>
      </w:r>
      <w:r w:rsidR="23E4B3AF" w:rsidRPr="498A3250">
        <w:rPr>
          <w:rStyle w:val="normaltextrun"/>
          <w:rFonts w:eastAsia="Roboto" w:cstheme="minorBidi"/>
        </w:rPr>
        <w:t>reduc</w:t>
      </w:r>
      <w:r w:rsidR="00686A6E" w:rsidRPr="498A3250">
        <w:rPr>
          <w:rStyle w:val="normaltextrun"/>
          <w:rFonts w:eastAsia="Roboto" w:cstheme="minorBidi"/>
        </w:rPr>
        <w:t>ed</w:t>
      </w:r>
      <w:r w:rsidRPr="498A3250">
        <w:rPr>
          <w:rStyle w:val="normaltextrun"/>
          <w:rFonts w:eastAsia="Roboto" w:cstheme="minorBidi"/>
        </w:rPr>
        <w:t xml:space="preserve">. </w:t>
      </w:r>
    </w:p>
    <w:p w14:paraId="181D6B9D" w14:textId="74670885" w:rsidR="00E864FA" w:rsidRPr="00A60CE2" w:rsidRDefault="009C58E7" w:rsidP="008F7F7F">
      <w:pPr>
        <w:pStyle w:val="heading3prevention"/>
      </w:pPr>
      <w:r>
        <w:t>3.1</w:t>
      </w:r>
      <w:r w:rsidR="00E864FA" w:rsidRPr="00A60CE2">
        <w:t xml:space="preserve"> Provid</w:t>
      </w:r>
      <w:r w:rsidR="00E929B6" w:rsidRPr="00A60CE2">
        <w:t>e</w:t>
      </w:r>
      <w:r w:rsidR="00E864FA" w:rsidRPr="00A60CE2">
        <w:t xml:space="preserve"> economic security</w:t>
      </w:r>
    </w:p>
    <w:p w14:paraId="3BB6183D" w14:textId="67F74FF9" w:rsidR="00E864FA" w:rsidRPr="00B768A1" w:rsidRDefault="00CC3391" w:rsidP="00634A83">
      <w:r w:rsidRPr="00B768A1">
        <w:t>Economic security provides</w:t>
      </w:r>
      <w:r w:rsidR="5A9BAEC6" w:rsidRPr="00B768A1">
        <w:t xml:space="preserve"> people</w:t>
      </w:r>
      <w:r w:rsidRPr="00B768A1">
        <w:t xml:space="preserve"> the means to purchase necessities, </w:t>
      </w:r>
      <w:r w:rsidR="2322BA64" w:rsidRPr="00B768A1">
        <w:t xml:space="preserve">gives </w:t>
      </w:r>
      <w:r w:rsidRPr="00B768A1">
        <w:t>a sense of purpose</w:t>
      </w:r>
      <w:r w:rsidR="7CD61A1E" w:rsidRPr="00B768A1">
        <w:t>, facilitates</w:t>
      </w:r>
      <w:r w:rsidRPr="00B768A1">
        <w:t xml:space="preserve"> social engagement, </w:t>
      </w:r>
      <w:r w:rsidR="34ACE6E7" w:rsidRPr="00B768A1">
        <w:t xml:space="preserve">and </w:t>
      </w:r>
      <w:r w:rsidR="39CA3D99" w:rsidRPr="00B768A1">
        <w:t xml:space="preserve">affords </w:t>
      </w:r>
      <w:r w:rsidRPr="00B768A1">
        <w:t>choice and control over important aspects of life.</w:t>
      </w:r>
      <w:hyperlink w:anchor="_ENREF_116" w:tooltip="K, 2009 #1019" w:history="1">
        <w:r w:rsidR="002D6F18">
          <w:fldChar w:fldCharType="begin"/>
        </w:r>
        <w:r w:rsidR="002D6F18">
          <w:instrText xml:space="preserve"> ADDIN EN.CITE &lt;EndNote&gt;&lt;Cite&gt;&lt;Author&gt;K&lt;/Author&gt;&lt;Year&gt;2009&lt;/Year&gt;&lt;RecNum&gt;1019&lt;/RecNum&gt;&lt;DisplayText&gt;&lt;style face="superscript"&gt;116&lt;/style&gt;&lt;/DisplayText&gt;&lt;record&gt;&lt;rec-number&gt;1019&lt;/rec-number&gt;&lt;foreign-keys&gt;&lt;key app="EN" db-id="rsettzd2isasdweewww55s9lffasxav0d0ft" timestamp="1720480400" guid="59ff5c8e-860d-4259-bcd5-e906aeb42e01"&gt;1019&lt;/key&gt;&lt;/foreign-keys&gt;&lt;ref-type name="Journal Article"&gt;17&lt;/ref-type&gt;&lt;contributors&gt;&lt;authors&gt;&lt;author&gt;Cole K&lt;/author&gt;&lt;author&gt;Anne D&lt;/author&gt;&lt;author&gt;Mak A&lt;/author&gt;&lt;/authors&gt;&lt;/contributors&gt;&lt;titles&gt;&lt;title&gt;Good for the soul: The relationship between work, wellbeing and psychological capital&lt;/title&gt;&lt;secondary-title&gt;Journal of Socio-Economics&lt;/secondary-title&gt;&lt;/titles&gt;&lt;periodical&gt;&lt;full-title&gt;Journal of Socio-Economics&lt;/full-title&gt;&lt;/periodical&gt;&lt;pages&gt;464-474&lt;/pages&gt;&lt;volume&gt;38&lt;/volume&gt;&lt;dates&gt;&lt;year&gt;2009&lt;/year&gt;&lt;pub-dates&gt;&lt;date&gt;06/01&lt;/date&gt;&lt;/pub-dates&gt;&lt;/dates&gt;&lt;urls&gt;&lt;/urls&gt;&lt;electronic-resource-num&gt;10.1016/j.socec.2008.10.004&lt;/electronic-resource-num&gt;&lt;/record&gt;&lt;/Cite&gt;&lt;/EndNote&gt;</w:instrText>
        </w:r>
        <w:r w:rsidR="002D6F18">
          <w:fldChar w:fldCharType="separate"/>
        </w:r>
        <w:r w:rsidR="002D6F18" w:rsidRPr="00445D54">
          <w:rPr>
            <w:noProof/>
            <w:vertAlign w:val="superscript"/>
          </w:rPr>
          <w:t>116</w:t>
        </w:r>
        <w:r w:rsidR="002D6F18">
          <w:fldChar w:fldCharType="end"/>
        </w:r>
      </w:hyperlink>
      <w:r w:rsidR="00F77909">
        <w:t xml:space="preserve"> </w:t>
      </w:r>
      <w:r w:rsidR="6F6E2DD7" w:rsidRPr="00B768A1">
        <w:t>B</w:t>
      </w:r>
      <w:r w:rsidR="5A0252D9" w:rsidRPr="00B768A1">
        <w:t>etter</w:t>
      </w:r>
      <w:r w:rsidRPr="00B768A1">
        <w:t xml:space="preserve"> economic security is associated with improved mental and physical health.</w:t>
      </w:r>
      <w:hyperlink w:anchor="_ENREF_117" w:tooltip="A, 2016 #1020" w:history="1">
        <w:r w:rsidR="002D6F18" w:rsidRPr="00B710F9">
          <w:rPr>
            <w:vertAlign w:val="superscript"/>
          </w:rPr>
          <w:fldChar w:fldCharType="begin"/>
        </w:r>
        <w:r w:rsidR="002D6F18">
          <w:rPr>
            <w:vertAlign w:val="superscript"/>
          </w:rPr>
          <w:instrText xml:space="preserve"> ADDIN EN.CITE &lt;EndNote&gt;&lt;Cite&gt;&lt;Author&gt;A&lt;/Author&gt;&lt;Year&gt;2016&lt;/Year&gt;&lt;RecNum&gt;1020&lt;/RecNum&gt;&lt;DisplayText&gt;&lt;style face="superscript"&gt;117&lt;/style&gt;&lt;/DisplayText&gt;&lt;record&gt;&lt;rec-number&gt;1020&lt;/rec-number&gt;&lt;foreign-keys&gt;&lt;key app="EN" db-id="rsettzd2isasdweewww55s9lffasxav0d0ft" timestamp="1720480426" guid="49b46913-6129-4f82-82e7-c41496863351"&gt;1020&lt;/key&gt;&lt;/foreign-keys&gt;&lt;ref-type name="Journal Article"&gt;17&lt;/ref-type&gt;&lt;contributors&gt;&lt;authors&gt;&lt;author&gt;Venkataramani A&lt;/author&gt;&lt;author&gt;Kearney R&lt;/author&gt;&lt;author&gt;Brien R&lt;/author&gt;&lt;author&gt;Chatterjee P&lt;/author&gt;&lt;author&gt;Kawachi I&lt;/author&gt;&lt;author&gt;Tsai A&lt;/author&gt;&lt;/authors&gt;&lt;/contributors&gt;&lt;titles&gt;&lt;title&gt;Economic opportunity, health behaviours, and health outcomes in the USA: a population-based cross-sectional study&lt;/title&gt;&lt;secondary-title&gt;The Lancet Public Health&lt;/secondary-title&gt;&lt;/titles&gt;&lt;periodical&gt;&lt;full-title&gt;The Lancet Public Health&lt;/full-title&gt;&lt;/periodical&gt;&lt;pages&gt;e18-25&lt;/pages&gt;&lt;volume&gt;1&lt;/volume&gt;&lt;dates&gt;&lt;year&gt;2016&lt;/year&gt;&lt;pub-dates&gt;&lt;date&gt;11/01&lt;/date&gt;&lt;/pub-dates&gt;&lt;/dates&gt;&lt;urls&gt;&lt;/urls&gt;&lt;electronic-resource-num&gt;10.1016/S2468-2667(16)30005-6&lt;/electronic-resource-num&gt;&lt;/record&gt;&lt;/Cite&gt;&lt;/EndNote&gt;</w:instrText>
        </w:r>
        <w:r w:rsidR="002D6F18" w:rsidRPr="00B710F9">
          <w:rPr>
            <w:vertAlign w:val="superscript"/>
          </w:rPr>
          <w:fldChar w:fldCharType="separate"/>
        </w:r>
        <w:r w:rsidR="002D6F18">
          <w:rPr>
            <w:noProof/>
            <w:vertAlign w:val="superscript"/>
          </w:rPr>
          <w:t>117</w:t>
        </w:r>
        <w:r w:rsidR="002D6F18" w:rsidRPr="00B710F9">
          <w:rPr>
            <w:vertAlign w:val="superscript"/>
          </w:rPr>
          <w:fldChar w:fldCharType="end"/>
        </w:r>
      </w:hyperlink>
      <w:r w:rsidR="00B710F9" w:rsidRPr="00B710F9">
        <w:rPr>
          <w:vertAlign w:val="superscript"/>
        </w:rPr>
        <w:t>,</w:t>
      </w:r>
      <w:hyperlink w:anchor="_ENREF_118" w:tooltip="Welfare, 2022 #1017" w:history="1">
        <w:r w:rsidR="002D6F18" w:rsidRPr="00B710F9">
          <w:rPr>
            <w:vertAlign w:val="superscript"/>
          </w:rPr>
          <w:fldChar w:fldCharType="begin"/>
        </w:r>
        <w:r w:rsidR="002D6F18">
          <w:rPr>
            <w:vertAlign w:val="superscript"/>
          </w:rPr>
          <w:instrText xml:space="preserve"> ADDIN EN.CITE &lt;EndNote&gt;&lt;Cite&gt;&lt;Author&gt;Welfare&lt;/Author&gt;&lt;Year&gt;2022&lt;/Year&gt;&lt;RecNum&gt;1017&lt;/RecNum&gt;&lt;DisplayText&gt;&lt;style face="superscript"&gt;118&lt;/style&gt;&lt;/DisplayText&gt;&lt;record&gt;&lt;rec-number&gt;1017&lt;/rec-number&gt;&lt;foreign-keys&gt;&lt;key app="EN" db-id="rsettzd2isasdweewww55s9lffasxav0d0ft" timestamp="1720423058" guid="32361042-b414-4878-9db5-0b78f6c43f85"&gt;1017&lt;/key&gt;&lt;/foreign-keys&gt;&lt;ref-type name="Web Page"&gt;12&lt;/ref-type&gt;&lt;contributors&gt;&lt;authors&gt;&lt;author&gt;Australian Institute of Health and Welfare&lt;/author&gt;&lt;/authors&gt;&lt;/contributors&gt;&lt;titles&gt;&lt;title&gt;Health across socioeconomic groups&lt;/title&gt;&lt;/titles&gt;&lt;dates&gt;&lt;year&gt;2022&lt;/year&gt;&lt;/dates&gt;&lt;publisher&gt;AIHW, Australian Government&lt;/publisher&gt;&lt;work-type&gt;Internet&lt;/work-type&gt;&lt;urls&gt;&lt;related-urls&gt;&lt;url&gt;https://www.aihw.gov.au/reports/australias-health/health-across-socioeconomic-groups.&lt;/url&gt;&lt;/related-urls&gt;&lt;/urls&gt;&lt;custom1&gt;2023&lt;/custom1&gt;&lt;custom2&gt;November 20&lt;/custom2&gt;&lt;/record&gt;&lt;/Cite&gt;&lt;/EndNote&gt;</w:instrText>
        </w:r>
        <w:r w:rsidR="002D6F18" w:rsidRPr="00B710F9">
          <w:rPr>
            <w:vertAlign w:val="superscript"/>
          </w:rPr>
          <w:fldChar w:fldCharType="separate"/>
        </w:r>
        <w:r w:rsidR="002D6F18">
          <w:rPr>
            <w:noProof/>
            <w:vertAlign w:val="superscript"/>
          </w:rPr>
          <w:t>118</w:t>
        </w:r>
        <w:r w:rsidR="002D6F18" w:rsidRPr="00B710F9">
          <w:rPr>
            <w:vertAlign w:val="superscript"/>
          </w:rPr>
          <w:fldChar w:fldCharType="end"/>
        </w:r>
      </w:hyperlink>
    </w:p>
    <w:p w14:paraId="49D9AD58" w14:textId="5847067B" w:rsidR="004D252B" w:rsidRDefault="7F0A299D" w:rsidP="00634A83">
      <w:r>
        <w:t>E</w:t>
      </w:r>
      <w:r w:rsidR="00CC3391" w:rsidRPr="00B768A1">
        <w:t xml:space="preserve">conomic </w:t>
      </w:r>
      <w:r w:rsidR="5AA1D923" w:rsidRPr="00B768A1">
        <w:t xml:space="preserve">security </w:t>
      </w:r>
      <w:r w:rsidR="5B9FC7BC" w:rsidRPr="00B768A1">
        <w:t xml:space="preserve">requires </w:t>
      </w:r>
      <w:r w:rsidR="00CC3391" w:rsidRPr="00B768A1">
        <w:t>equitable access to meaningful and stable employment</w:t>
      </w:r>
      <w:r w:rsidR="1AE07237" w:rsidRPr="756626F3">
        <w:t xml:space="preserve"> (</w:t>
      </w:r>
      <w:r w:rsidR="64F34778" w:rsidRPr="756626F3">
        <w:t>action</w:t>
      </w:r>
      <w:r w:rsidR="051A34E2" w:rsidRPr="756626F3">
        <w:t xml:space="preserve"> </w:t>
      </w:r>
      <w:r w:rsidR="64F34778" w:rsidRPr="756626F3">
        <w:t>ko</w:t>
      </w:r>
      <w:r w:rsidR="00ACFF15">
        <w:t>3.1</w:t>
      </w:r>
      <w:r w:rsidR="1AE07237" w:rsidRPr="756626F3">
        <w:t>a)</w:t>
      </w:r>
      <w:r w:rsidR="5B9FC7BC" w:rsidRPr="00B768A1">
        <w:t xml:space="preserve"> and </w:t>
      </w:r>
      <w:r w:rsidR="00CC3391" w:rsidRPr="00B768A1">
        <w:t>access</w:t>
      </w:r>
      <w:r w:rsidR="337CC43B" w:rsidRPr="00B768A1">
        <w:t xml:space="preserve"> to </w:t>
      </w:r>
      <w:r w:rsidR="00CC3391" w:rsidRPr="00B768A1">
        <w:t>education</w:t>
      </w:r>
      <w:r w:rsidR="1AE07237" w:rsidRPr="756626F3">
        <w:t xml:space="preserve"> (</w:t>
      </w:r>
      <w:r w:rsidR="64F34778" w:rsidRPr="756626F3">
        <w:t>action ko</w:t>
      </w:r>
      <w:r w:rsidR="00ACFF15">
        <w:t>3.1</w:t>
      </w:r>
      <w:r w:rsidR="1AE07237" w:rsidRPr="756626F3">
        <w:t>b)</w:t>
      </w:r>
      <w:r w:rsidR="00CC3391" w:rsidRPr="00B768A1">
        <w:t>.</w:t>
      </w:r>
      <w:hyperlink w:anchor="_ENREF_119" w:tooltip="Prevention, 2024 #1018" w:history="1">
        <w:r w:rsidR="002D6F18">
          <w:fldChar w:fldCharType="begin"/>
        </w:r>
        <w:r w:rsidR="002D6F18">
          <w:instrText xml:space="preserve"> ADDIN EN.CITE &lt;EndNote&gt;&lt;Cite&gt;&lt;Author&gt;Prevention&lt;/Author&gt;&lt;Year&gt;2024&lt;/Year&gt;&lt;RecNum&gt;1018&lt;/RecNum&gt;&lt;DisplayText&gt;&lt;style face="superscript"&gt;119&lt;/style&gt;&lt;/DisplayText&gt;&lt;record&gt;&lt;rec-number&gt;1018&lt;/rec-number&gt;&lt;foreign-keys&gt;&lt;key app="EN" db-id="rsettzd2isasdweewww55s9lffasxav0d0ft" timestamp="1720423236" guid="7a162898-fa1f-4dd2-9fd5-6bb0db7e6dfd"&gt;1018&lt;/key&gt;&lt;/foreign-keys&gt;&lt;ref-type name="Web Page"&gt;12&lt;/ref-type&gt;&lt;contributors&gt;&lt;authors&gt;&lt;author&gt;Centers for Disease Control and Prevention &lt;/author&gt;&lt;/authors&gt;&lt;/contributors&gt;&lt;titles&gt;&lt;title&gt;Risk and protective factors for Suicide&lt;/title&gt;&lt;/titles&gt;&lt;dates&gt;&lt;year&gt;2024&lt;/year&gt;&lt;pub-dates&gt;&lt;date&gt;25 April 2024&lt;/date&gt;&lt;/pub-dates&gt;&lt;/dates&gt;&lt;work-type&gt;Internet&lt;/work-type&gt;&lt;urls&gt;&lt;related-urls&gt;&lt;url&gt;https://www.cdc.gov/suicide/risk-factors/?CDC_AAref_Val=https://www.cdc.gov/suicide/factors/index.html&lt;/url&gt;&lt;/related-urls&gt;&lt;/urls&gt;&lt;custom1&gt;2024&lt;/custom1&gt;&lt;custom2&gt;May 06&lt;/custom2&gt;&lt;/record&gt;&lt;/Cite&gt;&lt;/EndNote&gt;</w:instrText>
        </w:r>
        <w:r w:rsidR="002D6F18">
          <w:fldChar w:fldCharType="separate"/>
        </w:r>
        <w:r w:rsidR="002D6F18" w:rsidRPr="00445D54">
          <w:rPr>
            <w:noProof/>
            <w:vertAlign w:val="superscript"/>
          </w:rPr>
          <w:t>119</w:t>
        </w:r>
        <w:r w:rsidR="002D6F18">
          <w:fldChar w:fldCharType="end"/>
        </w:r>
      </w:hyperlink>
      <w:r w:rsidR="00CC3391" w:rsidRPr="00B768A1">
        <w:t xml:space="preserve"> </w:t>
      </w:r>
      <w:r w:rsidR="593C2C81" w:rsidRPr="00B768A1">
        <w:t xml:space="preserve">In addition, </w:t>
      </w:r>
      <w:r w:rsidR="5125F2FC" w:rsidRPr="00B768A1">
        <w:t xml:space="preserve">equipping people with </w:t>
      </w:r>
      <w:r w:rsidR="593C2C81" w:rsidRPr="00B768A1">
        <w:t>financial literacy skills</w:t>
      </w:r>
      <w:r w:rsidR="0ED17507" w:rsidRPr="00B768A1">
        <w:t xml:space="preserve"> to better manage the money they do have and understand how to maximise their </w:t>
      </w:r>
      <w:r w:rsidR="31931584" w:rsidRPr="00B768A1">
        <w:t>wealth growing opportunities</w:t>
      </w:r>
      <w:r w:rsidR="3136EF2E" w:rsidRPr="00B768A1">
        <w:t xml:space="preserve"> will enhance their </w:t>
      </w:r>
      <w:r w:rsidR="593C2C81" w:rsidRPr="00B768A1">
        <w:t>economic security and le</w:t>
      </w:r>
      <w:r w:rsidR="2907281D">
        <w:t>a</w:t>
      </w:r>
      <w:r w:rsidR="593C2C81" w:rsidRPr="00B768A1">
        <w:t>d to greater life satisfaction</w:t>
      </w:r>
      <w:r w:rsidR="1AE07237" w:rsidRPr="00B768A1">
        <w:t xml:space="preserve"> </w:t>
      </w:r>
      <w:r w:rsidR="1AE07237" w:rsidRPr="756626F3">
        <w:t>(</w:t>
      </w:r>
      <w:r w:rsidR="64F34778" w:rsidRPr="756626F3">
        <w:t>action ko</w:t>
      </w:r>
      <w:r w:rsidR="00ACFF15">
        <w:t>3.1</w:t>
      </w:r>
      <w:r w:rsidR="1AE07237" w:rsidRPr="756626F3">
        <w:t>c)</w:t>
      </w:r>
      <w:r w:rsidR="593C2C81" w:rsidRPr="00B768A1">
        <w:t>.</w:t>
      </w:r>
      <w:hyperlink w:anchor="_ENREF_120" w:tooltip="G, 2014 #1021" w:history="1">
        <w:r w:rsidR="002D6F18" w:rsidRPr="00B710F9">
          <w:rPr>
            <w:vertAlign w:val="superscript"/>
          </w:rPr>
          <w:fldChar w:fldCharType="begin"/>
        </w:r>
        <w:r w:rsidR="002D6F18">
          <w:rPr>
            <w:vertAlign w:val="superscript"/>
          </w:rPr>
          <w:instrText xml:space="preserve"> ADDIN EN.CITE &lt;EndNote&gt;&lt;Cite&gt;&lt;Author&gt;G&lt;/Author&gt;&lt;Year&gt;2014&lt;/Year&gt;&lt;RecNum&gt;1021&lt;/RecNum&gt;&lt;DisplayText&gt;&lt;style face="superscript"&gt;120&lt;/style&gt;&lt;/DisplayText&gt;&lt;record&gt;&lt;rec-number&gt;1021&lt;/rec-number&gt;&lt;foreign-keys&gt;&lt;key app="EN" db-id="rsettzd2isasdweewww55s9lffasxav0d0ft" timestamp="1720480445" guid="7c3bb15e-11cb-4529-b133-4ca50575d446"&gt;1021&lt;/key&gt;&lt;/foreign-keys&gt;&lt;ref-type name="Journal Article"&gt;17&lt;/ref-type&gt;&lt;contributors&gt;&lt;authors&gt;&lt;author&gt;Ciemleja G&lt;/author&gt;&lt;author&gt;Lace N&lt;/author&gt;&lt;author&gt;Titko J&lt;/author&gt;&lt;/authors&gt;&lt;/contributors&gt;&lt;titles&gt;&lt;title&gt;Financial literacy as a prerequisite for citizens&amp;apos; economic security: Development of a measurement instrument&lt;/title&gt;&lt;secondary-title&gt;Journal of Security and Sustainability Issues&lt;/secondary-title&gt;&lt;/titles&gt;&lt;periodical&gt;&lt;full-title&gt;Journal of Security and Sustainability Issues&lt;/full-title&gt;&lt;/periodical&gt;&lt;pages&gt;29-40&lt;/pages&gt;&lt;volume&gt;Volume 4&lt;/volume&gt;&lt;dates&gt;&lt;year&gt;2014&lt;/year&gt;&lt;pub-dates&gt;&lt;date&gt;09/01&lt;/date&gt;&lt;/pub-dates&gt;&lt;/dates&gt;&lt;urls&gt;&lt;/urls&gt;&lt;electronic-resource-num&gt;10.9770/jssi.2014.4.1(3)&lt;/electronic-resource-num&gt;&lt;/record&gt;&lt;/Cite&gt;&lt;/EndNote&gt;</w:instrText>
        </w:r>
        <w:r w:rsidR="002D6F18" w:rsidRPr="00B710F9">
          <w:rPr>
            <w:vertAlign w:val="superscript"/>
          </w:rPr>
          <w:fldChar w:fldCharType="separate"/>
        </w:r>
        <w:r w:rsidR="002D6F18">
          <w:rPr>
            <w:noProof/>
            <w:vertAlign w:val="superscript"/>
          </w:rPr>
          <w:t>120</w:t>
        </w:r>
        <w:r w:rsidR="002D6F18" w:rsidRPr="00B710F9">
          <w:rPr>
            <w:vertAlign w:val="superscript"/>
          </w:rPr>
          <w:fldChar w:fldCharType="end"/>
        </w:r>
      </w:hyperlink>
      <w:r w:rsidR="00B710F9" w:rsidRPr="00B710F9">
        <w:rPr>
          <w:vertAlign w:val="superscript"/>
        </w:rPr>
        <w:t>,</w:t>
      </w:r>
      <w:hyperlink w:anchor="_ENREF_121" w:tooltip="C, 2022 #1016" w:history="1">
        <w:r w:rsidR="002D6F18" w:rsidRPr="00B710F9">
          <w:rPr>
            <w:vertAlign w:val="superscript"/>
          </w:rPr>
          <w:fldChar w:fldCharType="begin"/>
        </w:r>
        <w:r w:rsidR="002D6F18">
          <w:rPr>
            <w:vertAlign w:val="superscript"/>
          </w:rPr>
          <w:instrText xml:space="preserve"> ADDIN EN.CITE &lt;EndNote&gt;&lt;Cite&gt;&lt;Author&gt;C&lt;/Author&gt;&lt;Year&gt;2022&lt;/Year&gt;&lt;RecNum&gt;1016&lt;/RecNum&gt;&lt;DisplayText&gt;&lt;style face="superscript"&gt;121&lt;/style&gt;&lt;/DisplayText&gt;&lt;record&gt;&lt;rec-number&gt;1016&lt;/rec-number&gt;&lt;foreign-keys&gt;&lt;key app="EN" db-id="rsettzd2isasdweewww55s9lffasxav0d0ft" timestamp="1720422865" guid="67270867-0756-4e4b-9a44-1a9ae4bdca21"&gt;1016&lt;/key&gt;&lt;/foreign-keys&gt;&lt;ref-type name="Web Page"&gt;12&lt;/ref-type&gt;&lt;contributors&gt;&lt;authors&gt;&lt;author&gt;Boedker C&lt;/author&gt;&lt;author&gt;Moy N&lt;/author&gt;&lt;author&gt;Wu C&lt;/author&gt;&lt;/authors&gt;&lt;/contributors&gt;&lt;titles&gt;&lt;title&gt;Financial Wellbeing and General Life Satisfaction in Australia&lt;/title&gt;&lt;/titles&gt;&lt;dates&gt;&lt;year&gt;2022&lt;/year&gt;&lt;/dates&gt;&lt;publisher&gt;University of Newcastle &lt;/publisher&gt;&lt;isbn&gt;978-0-6454495-0-1&lt;/isbn&gt;&lt;work-type&gt;Internet&lt;/work-type&gt;&lt;urls&gt;&lt;related-urls&gt;&lt;url&gt;https://www.newcastle.edu.au/__data/assets/pdf_file/0009/816039/2022-1041-Greater-Bank-report-v241.pdf&lt;/url&gt;&lt;/related-urls&gt;&lt;/urls&gt;&lt;custom1&gt;2024&lt;/custom1&gt;&lt;custom2&gt;March 01&lt;/custom2&gt;&lt;/record&gt;&lt;/Cite&gt;&lt;/EndNote&gt;</w:instrText>
        </w:r>
        <w:r w:rsidR="002D6F18" w:rsidRPr="00B710F9">
          <w:rPr>
            <w:vertAlign w:val="superscript"/>
          </w:rPr>
          <w:fldChar w:fldCharType="separate"/>
        </w:r>
        <w:r w:rsidR="002D6F18">
          <w:rPr>
            <w:noProof/>
            <w:vertAlign w:val="superscript"/>
          </w:rPr>
          <w:t>121</w:t>
        </w:r>
        <w:r w:rsidR="002D6F18" w:rsidRPr="00B710F9">
          <w:rPr>
            <w:vertAlign w:val="superscript"/>
          </w:rPr>
          <w:fldChar w:fldCharType="end"/>
        </w:r>
      </w:hyperlink>
      <w:r w:rsidR="2907281D" w:rsidRPr="756626F3">
        <w:t xml:space="preserve"> </w:t>
      </w:r>
    </w:p>
    <w:p w14:paraId="45A0ECD4" w14:textId="0F031AA4" w:rsidR="00C37034" w:rsidRPr="00B768A1" w:rsidRDefault="2907281D" w:rsidP="00634A83">
      <w:r w:rsidRPr="756626F3">
        <w:t xml:space="preserve">The recommended actions </w:t>
      </w:r>
      <w:r w:rsidR="00DA41D9" w:rsidRPr="756626F3">
        <w:t xml:space="preserve">to </w:t>
      </w:r>
      <w:r w:rsidR="00DA41D9">
        <w:t>prevent suicidal distress by providing economic security</w:t>
      </w:r>
      <w:r w:rsidR="00DA41D9" w:rsidRPr="756626F3">
        <w:t xml:space="preserve"> </w:t>
      </w:r>
      <w:r w:rsidRPr="756626F3">
        <w:t>are described in</w:t>
      </w:r>
      <w:r w:rsidR="7FDA71C5">
        <w:t xml:space="preserve"> </w:t>
      </w:r>
      <w:r w:rsidR="00231B9C">
        <w:fldChar w:fldCharType="begin"/>
      </w:r>
      <w:r w:rsidR="00231B9C">
        <w:instrText xml:space="preserve"> REF _Ref164869769 \h </w:instrText>
      </w:r>
      <w:r w:rsidR="00231B9C">
        <w:fldChar w:fldCharType="separate"/>
      </w:r>
      <w:r w:rsidR="009F12B4">
        <w:t xml:space="preserve">Table </w:t>
      </w:r>
      <w:r w:rsidR="009F12B4">
        <w:rPr>
          <w:noProof/>
        </w:rPr>
        <w:t>7</w:t>
      </w:r>
      <w:r w:rsidR="00231B9C">
        <w:fldChar w:fldCharType="end"/>
      </w:r>
      <w:r w:rsidRPr="756626F3">
        <w:t>.</w:t>
      </w:r>
    </w:p>
    <w:p w14:paraId="1C1D09A7" w14:textId="06E6F797" w:rsidR="00D673BB" w:rsidRPr="00B768A1" w:rsidRDefault="007642FB" w:rsidP="00745B34">
      <w:pPr>
        <w:pStyle w:val="Caption"/>
      </w:pPr>
      <w:bookmarkStart w:id="53" w:name="_Ref164869769"/>
      <w:r>
        <w:t xml:space="preserve">Table </w:t>
      </w:r>
      <w:r w:rsidR="00F93B6D">
        <w:fldChar w:fldCharType="begin"/>
      </w:r>
      <w:r w:rsidR="00F93B6D">
        <w:instrText>SEQ Table \* ARABIC  \* MERGEFORMAT</w:instrText>
      </w:r>
      <w:r w:rsidR="00F93B6D">
        <w:fldChar w:fldCharType="separate"/>
      </w:r>
      <w:r w:rsidR="009F12B4">
        <w:rPr>
          <w:noProof/>
        </w:rPr>
        <w:t>7</w:t>
      </w:r>
      <w:r w:rsidR="00F93B6D">
        <w:rPr>
          <w:noProof/>
        </w:rPr>
        <w:fldChar w:fldCharType="end"/>
      </w:r>
      <w:bookmarkEnd w:id="53"/>
      <w:r>
        <w:t xml:space="preserve">: </w:t>
      </w:r>
      <w:r w:rsidR="00527ADC">
        <w:t xml:space="preserve">Recommended actions for Prevention objective </w:t>
      </w:r>
      <w:r w:rsidR="00700189">
        <w:t>3.1</w:t>
      </w:r>
      <w:r w:rsidR="00527ADC">
        <w:t>: Provide economic security</w:t>
      </w:r>
    </w:p>
    <w:tbl>
      <w:tblPr>
        <w:tblStyle w:val="TableGrid"/>
        <w:tblW w:w="5000" w:type="pct"/>
        <w:tblLook w:val="0420" w:firstRow="1" w:lastRow="0" w:firstColumn="0" w:lastColumn="0" w:noHBand="0" w:noVBand="1"/>
        <w:tblCaption w:val="Recommended actions for Prevention objective 1.3: Provide economic security"/>
        <w:tblDescription w:val="Describes actions ko1.3a, ko1.3b and ko1.3c&#10;"/>
      </w:tblPr>
      <w:tblGrid>
        <w:gridCol w:w="1269"/>
        <w:gridCol w:w="7792"/>
      </w:tblGrid>
      <w:tr w:rsidR="00100EBC" w:rsidRPr="00B768A1" w14:paraId="7A7A11D8" w14:textId="77777777" w:rsidTr="48215A0F">
        <w:trPr>
          <w:cnfStyle w:val="100000000000" w:firstRow="1" w:lastRow="0" w:firstColumn="0" w:lastColumn="0" w:oddVBand="0" w:evenVBand="0" w:oddHBand="0" w:evenHBand="0" w:firstRowFirstColumn="0" w:firstRowLastColumn="0" w:lastRowFirstColumn="0" w:lastRowLastColumn="0"/>
          <w:cantSplit/>
          <w:tblHeader/>
        </w:trPr>
        <w:tc>
          <w:tcPr>
            <w:tcW w:w="7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48002"/>
          </w:tcPr>
          <w:p w14:paraId="7849DA36" w14:textId="6D5197B3" w:rsidR="00100EBC" w:rsidRPr="00B768A1" w:rsidRDefault="00100EBC" w:rsidP="004F5B0E">
            <w:pPr>
              <w:pStyle w:val="NMHCTableHeaderRow"/>
            </w:pPr>
            <w:r>
              <w:t>Action</w:t>
            </w:r>
          </w:p>
        </w:tc>
        <w:tc>
          <w:tcPr>
            <w:tcW w:w="43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48002"/>
            <w:tcMar>
              <w:top w:w="28" w:type="dxa"/>
              <w:bottom w:w="28" w:type="dxa"/>
            </w:tcMar>
          </w:tcPr>
          <w:p w14:paraId="44454E77" w14:textId="63613F8D" w:rsidR="00100EBC" w:rsidRPr="00B768A1" w:rsidRDefault="00100EBC" w:rsidP="004F5B0E">
            <w:pPr>
              <w:pStyle w:val="NMHCTableHeaderRow"/>
            </w:pPr>
            <w:r>
              <w:t>Description</w:t>
            </w:r>
          </w:p>
        </w:tc>
      </w:tr>
      <w:tr w:rsidR="00100EBC" w:rsidRPr="00B768A1" w14:paraId="72784F48" w14:textId="77777777" w:rsidTr="48215A0F">
        <w:tc>
          <w:tcPr>
            <w:tcW w:w="700" w:type="pct"/>
            <w:tcBorders>
              <w:top w:val="single" w:sz="4" w:space="0" w:color="FFFFFF" w:themeColor="background1"/>
            </w:tcBorders>
          </w:tcPr>
          <w:p w14:paraId="7E6402BC" w14:textId="55D73BF3" w:rsidR="00100EBC" w:rsidRPr="009C58E7" w:rsidRDefault="00100EBC" w:rsidP="00634A83">
            <w:r>
              <w:t>k</w:t>
            </w:r>
            <w:r w:rsidRPr="009C58E7">
              <w:t>o3.1a</w:t>
            </w:r>
          </w:p>
        </w:tc>
        <w:tc>
          <w:tcPr>
            <w:tcW w:w="4300" w:type="pct"/>
            <w:tcBorders>
              <w:top w:val="single" w:sz="4" w:space="0" w:color="FFFFFF" w:themeColor="background1"/>
            </w:tcBorders>
            <w:tcMar>
              <w:top w:w="28" w:type="dxa"/>
              <w:bottom w:w="28" w:type="dxa"/>
            </w:tcMar>
          </w:tcPr>
          <w:p w14:paraId="5DC9DF88" w14:textId="589BA649" w:rsidR="00100EBC" w:rsidRPr="009C58E7" w:rsidRDefault="00100EBC" w:rsidP="00634A83">
            <w:r w:rsidRPr="009C58E7">
              <w:t>Building on current approaches, develop programs that strengthen equitable access to safe, meaningful and secure work. These should focus on ensuring workplaces are psychologically safe, inclusive and affirming, in particular for people from LGBTIQ+ communities, people with disability, people from culturally and linguistically diverse communities, and Aboriginal and Torres Strait Islander peoples.</w:t>
            </w:r>
          </w:p>
        </w:tc>
      </w:tr>
      <w:tr w:rsidR="00100EBC" w:rsidRPr="00B768A1" w14:paraId="4E659491" w14:textId="77777777" w:rsidTr="48215A0F">
        <w:tc>
          <w:tcPr>
            <w:tcW w:w="700" w:type="pct"/>
          </w:tcPr>
          <w:p w14:paraId="0C866D07" w14:textId="2197C9A9" w:rsidR="00100EBC" w:rsidRPr="009C58E7" w:rsidRDefault="00100EBC" w:rsidP="00634A83">
            <w:r>
              <w:t>k</w:t>
            </w:r>
            <w:r w:rsidRPr="009C58E7">
              <w:t>o3.1b</w:t>
            </w:r>
          </w:p>
        </w:tc>
        <w:tc>
          <w:tcPr>
            <w:tcW w:w="4300" w:type="pct"/>
            <w:tcMar>
              <w:top w:w="28" w:type="dxa"/>
              <w:bottom w:w="28" w:type="dxa"/>
            </w:tcMar>
          </w:tcPr>
          <w:p w14:paraId="1C11605D" w14:textId="25BA434C" w:rsidR="00100EBC" w:rsidRPr="009C58E7" w:rsidRDefault="70192CDD" w:rsidP="00634A83">
            <w:r w:rsidRPr="009C58E7">
              <w:t xml:space="preserve">Continue to develop programs that strengthen equitable access to vocational and tertiary education. These programs should be informed by the Australian Government’s response to </w:t>
            </w:r>
            <w:r w:rsidRPr="48215A0F">
              <w:rPr>
                <w:i/>
                <w:iCs/>
              </w:rPr>
              <w:t>Improving Outcomes for All: The Report of the Independent Expert Panel’s Review to Inform a Better and Fairer Education System.</w:t>
            </w:r>
            <w:hyperlink w:anchor="_ENREF_122" w:tooltip="Education, 2023 #1022" w:history="1">
              <w:r w:rsidR="002D6F18" w:rsidRPr="00A65381">
                <w:fldChar w:fldCharType="begin"/>
              </w:r>
              <w:r w:rsidR="002D6F18">
                <w:instrText xml:space="preserve"> ADDIN EN.CITE &lt;EndNote&gt;&lt;Cite&gt;&lt;Author&gt;Education&lt;/Author&gt;&lt;Year&gt;2023&lt;/Year&gt;&lt;RecNum&gt;1022&lt;/RecNum&gt;&lt;DisplayText&gt;&lt;style face="superscript"&gt;122&lt;/style&gt;&lt;/DisplayText&gt;&lt;record&gt;&lt;rec-number&gt;1022&lt;/rec-number&gt;&lt;foreign-keys&gt;&lt;key app="EN" db-id="rsettzd2isasdweewww55s9lffasxav0d0ft" timestamp="1720480943" guid="a4eb21d8-a4ec-4a93-8ef1-fd85c0af0375"&gt;1022&lt;/key&gt;&lt;/foreign-keys&gt;&lt;ref-type name="Web Page"&gt;12&lt;/ref-type&gt;&lt;contributors&gt;&lt;authors&gt;&lt;author&gt;Department of Education&lt;/author&gt;&lt;/authors&gt;&lt;/contributors&gt;&lt;titles&gt;&lt;title&gt;Improving Outcomes for All: The Report of the Independent Expert Panel’s Review to Inform a Better and Fairer Education System&lt;/title&gt;&lt;/titles&gt;&lt;dates&gt;&lt;year&gt;2023&lt;/year&gt;&lt;pub-dates&gt;&lt;date&gt;20 December 2023&lt;/date&gt;&lt;/pub-dates&gt;&lt;/dates&gt;&lt;publisher&gt;DoE, Australian Government&lt;/publisher&gt;&lt;work-type&gt;Internet&lt;/work-type&gt;&lt;urls&gt;&lt;related-urls&gt;&lt;url&gt;https://www.education.gov.au/review-inform-better-and-fairer-education-system/resources/expert-panels-report&lt;/url&gt;&lt;/related-urls&gt;&lt;/urls&gt;&lt;custom1&gt;2024&lt;/custom1&gt;&lt;custom2&gt;March 6&lt;/custom2&gt;&lt;/record&gt;&lt;/Cite&gt;&lt;/EndNote&gt;</w:instrText>
              </w:r>
              <w:r w:rsidR="002D6F18" w:rsidRPr="00A65381">
                <w:fldChar w:fldCharType="separate"/>
              </w:r>
              <w:r w:rsidR="002D6F18" w:rsidRPr="00445D54">
                <w:rPr>
                  <w:noProof/>
                  <w:vertAlign w:val="superscript"/>
                </w:rPr>
                <w:t>122</w:t>
              </w:r>
              <w:r w:rsidR="002D6F18" w:rsidRPr="00A65381">
                <w:fldChar w:fldCharType="end"/>
              </w:r>
            </w:hyperlink>
            <w:r w:rsidRPr="009C58E7">
              <w:t xml:space="preserve"> This should include meaningful engagement with education for people at all ages.</w:t>
            </w:r>
          </w:p>
        </w:tc>
      </w:tr>
      <w:tr w:rsidR="00100EBC" w:rsidRPr="00B768A1" w14:paraId="0F5809C1" w14:textId="77777777" w:rsidTr="48215A0F">
        <w:tc>
          <w:tcPr>
            <w:tcW w:w="700" w:type="pct"/>
          </w:tcPr>
          <w:p w14:paraId="79E6F352" w14:textId="085C632C" w:rsidR="00100EBC" w:rsidRPr="00B768A1" w:rsidRDefault="00100EBC" w:rsidP="00634A83">
            <w:pPr>
              <w:rPr>
                <w:b/>
              </w:rPr>
            </w:pPr>
            <w:r>
              <w:t>ko3.1</w:t>
            </w:r>
            <w:r w:rsidRPr="00B768A1">
              <w:t>c</w:t>
            </w:r>
          </w:p>
        </w:tc>
        <w:tc>
          <w:tcPr>
            <w:tcW w:w="4300" w:type="pct"/>
            <w:tcMar>
              <w:top w:w="28" w:type="dxa"/>
              <w:bottom w:w="28" w:type="dxa"/>
            </w:tcMar>
          </w:tcPr>
          <w:p w14:paraId="2C1187C7" w14:textId="064DDE98" w:rsidR="00100EBC" w:rsidRPr="00B768A1" w:rsidRDefault="00100EBC" w:rsidP="00634A83">
            <w:r w:rsidRPr="00B768A1">
              <w:t xml:space="preserve">Develop programs to strengthen population-wide financial literacy skills. </w:t>
            </w:r>
          </w:p>
        </w:tc>
      </w:tr>
    </w:tbl>
    <w:p w14:paraId="43E580A1" w14:textId="6D4CB31D" w:rsidR="00E31B6B" w:rsidRPr="003B238A" w:rsidRDefault="009C58E7" w:rsidP="008F7F7F">
      <w:pPr>
        <w:pStyle w:val="heading3prevention"/>
      </w:pPr>
      <w:r>
        <w:t>3.</w:t>
      </w:r>
      <w:r w:rsidR="00E31B6B" w:rsidRPr="003B238A">
        <w:t>2 Reduce economic insecurity</w:t>
      </w:r>
    </w:p>
    <w:p w14:paraId="5684729C" w14:textId="6820A98A" w:rsidR="00E31B6B" w:rsidRPr="00B768A1" w:rsidDel="002F174A" w:rsidRDefault="08843BB1" w:rsidP="00634A83">
      <w:r w:rsidRPr="00B768A1" w:rsidDel="002F174A">
        <w:t xml:space="preserve">Changes in the economy </w:t>
      </w:r>
      <w:r w:rsidR="0A6EDBDF" w:rsidRPr="00B768A1" w:rsidDel="002F174A">
        <w:t xml:space="preserve">can </w:t>
      </w:r>
      <w:r w:rsidRPr="00B768A1" w:rsidDel="002F174A">
        <w:t>have devastating impacts</w:t>
      </w:r>
      <w:r w:rsidR="1FBE52EE" w:rsidRPr="00B768A1" w:rsidDel="002F174A">
        <w:t xml:space="preserve">. </w:t>
      </w:r>
      <w:r w:rsidR="28E4B4A5" w:rsidRPr="00B768A1" w:rsidDel="002F174A">
        <w:t>T</w:t>
      </w:r>
      <w:r w:rsidR="1FBE52EE" w:rsidRPr="00B768A1" w:rsidDel="002F174A">
        <w:t>his is particularly true</w:t>
      </w:r>
      <w:r w:rsidR="41DA89F4" w:rsidRPr="00B768A1" w:rsidDel="002F174A">
        <w:t xml:space="preserve"> for people </w:t>
      </w:r>
      <w:r w:rsidR="343DBD24" w:rsidRPr="00B768A1" w:rsidDel="002F174A">
        <w:t>who move from economic stability to uncertainty</w:t>
      </w:r>
      <w:r w:rsidR="22DCCA40" w:rsidRPr="00B768A1" w:rsidDel="002F174A">
        <w:t xml:space="preserve">, </w:t>
      </w:r>
      <w:r w:rsidR="5DF1DA8C">
        <w:t>given that</w:t>
      </w:r>
      <w:r w:rsidR="5BFC39A6">
        <w:t xml:space="preserve"> they</w:t>
      </w:r>
      <w:r w:rsidR="22DCCA40" w:rsidRPr="00B768A1" w:rsidDel="002F174A">
        <w:t xml:space="preserve"> can experience an</w:t>
      </w:r>
      <w:r w:rsidR="77CB7688" w:rsidRPr="00B768A1" w:rsidDel="002F174A">
        <w:t xml:space="preserve"> almost</w:t>
      </w:r>
      <w:r w:rsidR="22DCCA40" w:rsidRPr="00B768A1" w:rsidDel="002F174A">
        <w:t xml:space="preserve"> immediate but short-term increase in their suic</w:t>
      </w:r>
      <w:r w:rsidR="044D01EE" w:rsidRPr="00B768A1" w:rsidDel="002F174A">
        <w:t>i</w:t>
      </w:r>
      <w:r w:rsidR="22DCCA40" w:rsidRPr="00B768A1" w:rsidDel="002F174A">
        <w:t>de risk</w:t>
      </w:r>
      <w:r w:rsidR="7A28F8C2">
        <w:t>.</w:t>
      </w:r>
      <w:hyperlink w:anchor="_ENREF_123" w:tooltip="S, 2018 #1023" w:history="1">
        <w:r w:rsidR="002D6F18">
          <w:fldChar w:fldCharType="begin"/>
        </w:r>
        <w:r w:rsidR="002D6F18">
          <w:instrText xml:space="preserve"> ADDIN EN.CITE &lt;EndNote&gt;&lt;Cite&gt;&lt;Author&gt;S&lt;/Author&gt;&lt;Year&gt;2018&lt;/Year&gt;&lt;RecNum&gt;1023&lt;/RecNum&gt;&lt;DisplayText&gt;&lt;style face="superscript"&gt;123&lt;/style&gt;&lt;/DisplayText&gt;&lt;record&gt;&lt;rec-number&gt;1023&lt;/rec-number&gt;&lt;foreign-keys&gt;&lt;key app="EN" db-id="rsettzd2isasdweewww55s9lffasxav0d0ft" timestamp="1720481128" guid="f673a769-cc19-4210-b35c-7cb60caee58b"&gt;1023&lt;/key&gt;&lt;/foreign-keys&gt;&lt;ref-type name="Journal Article"&gt;17&lt;/ref-type&gt;&lt;contributors&gt;&lt;authors&gt;&lt;author&gt;Vandoros S&lt;/author&gt;&lt;author&gt;Avendano M&lt;/author&gt;&lt;author&gt;Kawachi I&lt;/author&gt;&lt;/authors&gt;&lt;/contributors&gt;&lt;titles&gt;&lt;title&gt;The association between economic uncertainty and suicide in the short-run&lt;/title&gt;&lt;secondary-title&gt;Social Science &amp;amp; Medicine&lt;/secondary-title&gt;&lt;/titles&gt;&lt;periodical&gt;&lt;full-title&gt;Social Science &amp;amp; Medicine&lt;/full-title&gt;&lt;/periodical&gt;&lt;volume&gt;220&lt;/volume&gt;&lt;dates&gt;&lt;year&gt;2018&lt;/year&gt;&lt;pub-dates&gt;&lt;date&gt;11/01&lt;/date&gt;&lt;/pub-dates&gt;&lt;/dates&gt;&lt;urls&gt;&lt;/urls&gt;&lt;electronic-resource-num&gt;10.1016/j.socscimed.2018.11.035&lt;/electronic-resource-num&gt;&lt;/record&gt;&lt;/Cite&gt;&lt;/EndNote&gt;</w:instrText>
        </w:r>
        <w:r w:rsidR="002D6F18">
          <w:fldChar w:fldCharType="separate"/>
        </w:r>
        <w:r w:rsidR="002D6F18" w:rsidRPr="00445D54">
          <w:rPr>
            <w:noProof/>
            <w:vertAlign w:val="superscript"/>
          </w:rPr>
          <w:t>123</w:t>
        </w:r>
        <w:r w:rsidR="002D6F18">
          <w:fldChar w:fldCharType="end"/>
        </w:r>
      </w:hyperlink>
      <w:r w:rsidR="00A65381">
        <w:t xml:space="preserve"> </w:t>
      </w:r>
      <w:r w:rsidR="7A28F8C2">
        <w:t xml:space="preserve">It is also </w:t>
      </w:r>
      <w:r w:rsidR="5BFC39A6">
        <w:t>the case</w:t>
      </w:r>
      <w:r w:rsidR="69BBAF2E">
        <w:t xml:space="preserve"> for economically </w:t>
      </w:r>
      <w:r>
        <w:t>disadvantaged populations</w:t>
      </w:r>
      <w:r w:rsidR="382BB66B">
        <w:t xml:space="preserve">, </w:t>
      </w:r>
      <w:r w:rsidR="63CC3218">
        <w:t>as</w:t>
      </w:r>
      <w:r w:rsidRPr="00B768A1" w:rsidDel="002F174A">
        <w:t xml:space="preserve"> </w:t>
      </w:r>
      <w:r w:rsidRPr="00B768A1">
        <w:t>people</w:t>
      </w:r>
      <w:r w:rsidRPr="00B768A1" w:rsidDel="002F174A">
        <w:t xml:space="preserve"> living</w:t>
      </w:r>
      <w:r w:rsidRPr="00B768A1">
        <w:t xml:space="preserve"> in low</w:t>
      </w:r>
      <w:r w:rsidRPr="00B768A1" w:rsidDel="002F174A">
        <w:t>er</w:t>
      </w:r>
      <w:r w:rsidRPr="00B768A1">
        <w:t xml:space="preserve"> socio-economic </w:t>
      </w:r>
      <w:r w:rsidRPr="00B768A1" w:rsidDel="002F174A">
        <w:t>areas</w:t>
      </w:r>
      <w:r w:rsidRPr="00B768A1">
        <w:t xml:space="preserve"> consistently fac</w:t>
      </w:r>
      <w:r w:rsidRPr="00B768A1" w:rsidDel="002F174A">
        <w:t>e</w:t>
      </w:r>
      <w:r w:rsidRPr="00B768A1">
        <w:t xml:space="preserve"> higher rates of suicide</w:t>
      </w:r>
      <w:r w:rsidRPr="00B768A1" w:rsidDel="002F174A">
        <w:t xml:space="preserve"> and adverse changes in the economy further increases this risk</w:t>
      </w:r>
      <w:r w:rsidR="63CC3218">
        <w:t>.</w:t>
      </w:r>
      <w:hyperlink w:anchor="_ENREF_124" w:tooltip="Welfare, 2023 #375" w:history="1">
        <w:r w:rsidR="002D6F18">
          <w:fldChar w:fldCharType="begin"/>
        </w:r>
        <w:r w:rsidR="002D6F18">
          <w:instrText xml:space="preserve"> ADDIN EN.CITE &lt;EndNote&gt;&lt;Cite&gt;&lt;Author&gt;Welfare&lt;/Author&gt;&lt;Year&gt;2023&lt;/Year&gt;&lt;RecNum&gt;375&lt;/RecNum&gt;&lt;DisplayText&gt;&lt;style face="superscript"&gt;124&lt;/style&gt;&lt;/DisplayText&gt;&lt;record&gt;&lt;rec-number&gt;375&lt;/rec-number&gt;&lt;foreign-keys&gt;&lt;key app="EN" db-id="rsettzd2isasdweewww55s9lffasxav0d0ft" timestamp="1700699472" guid="30337141-eb45-4631-a626-99023eb4dd6e"&gt;375&lt;/key&gt;&lt;/foreign-keys&gt;&lt;ref-type name="Web Page"&gt;12&lt;/ref-type&gt;&lt;contributors&gt;&lt;authors&gt;&lt;author&gt;Australian Institute of Health and Welfare&lt;/author&gt;&lt;/authors&gt;&lt;/contributors&gt;&lt;titles&gt;&lt;title&gt;Deaths by Suicide, by Socioeconomic Areas&lt;/title&gt;&lt;/titles&gt;&lt;dates&gt;&lt;year&gt;2023&lt;/year&gt;&lt;/dates&gt;&lt;publisher&gt;AIHW, Australian Government&lt;/publisher&gt;&lt;work-type&gt;Internet&lt;/work-type&gt;&lt;urls&gt;&lt;related-urls&gt;&lt;url&gt;https://www.aihw.gov.au/suicide-self-harm-monitoring/data/behaviours-risk-factors/suicide-by-socioeconomic-areas&lt;/url&gt;&lt;/related-urls&gt;&lt;/urls&gt;&lt;custom1&gt;2023&lt;/custom1&gt;&lt;custom2&gt;October 24&lt;/custom2&gt;&lt;/record&gt;&lt;/Cite&gt;&lt;/EndNote&gt;</w:instrText>
        </w:r>
        <w:r w:rsidR="002D6F18">
          <w:fldChar w:fldCharType="separate"/>
        </w:r>
        <w:r w:rsidR="002D6F18" w:rsidRPr="00445D54">
          <w:rPr>
            <w:noProof/>
            <w:vertAlign w:val="superscript"/>
          </w:rPr>
          <w:t>124</w:t>
        </w:r>
        <w:r w:rsidR="002D6F18">
          <w:fldChar w:fldCharType="end"/>
        </w:r>
      </w:hyperlink>
    </w:p>
    <w:p w14:paraId="322DA782" w14:textId="48FB7C39" w:rsidR="00E31B6B" w:rsidRPr="00B768A1" w:rsidRDefault="00E31B6B" w:rsidP="00634A83">
      <w:r>
        <w:t>Several key social and economic factors have been shown to increase suicide risk in Australia.</w:t>
      </w:r>
      <w:r w:rsidR="0B58DE53">
        <w:t xml:space="preserve"> These are </w:t>
      </w:r>
      <w:r w:rsidR="00906412">
        <w:t>d</w:t>
      </w:r>
      <w:r w:rsidR="00906412" w:rsidRPr="756626F3">
        <w:t>escribed in</w:t>
      </w:r>
      <w:r w:rsidR="00231B9C">
        <w:t xml:space="preserve"> </w:t>
      </w:r>
      <w:r w:rsidR="00231B9C">
        <w:fldChar w:fldCharType="begin"/>
      </w:r>
      <w:r w:rsidR="00231B9C">
        <w:instrText xml:space="preserve"> REF _Ref164869782 \h </w:instrText>
      </w:r>
      <w:r w:rsidR="00231B9C">
        <w:fldChar w:fldCharType="separate"/>
      </w:r>
      <w:r w:rsidR="009F12B4">
        <w:t xml:space="preserve">Table </w:t>
      </w:r>
      <w:r w:rsidR="009F12B4">
        <w:rPr>
          <w:noProof/>
        </w:rPr>
        <w:t>8</w:t>
      </w:r>
      <w:r w:rsidR="00231B9C">
        <w:fldChar w:fldCharType="end"/>
      </w:r>
      <w:r w:rsidR="0B58DE53">
        <w:t>.</w:t>
      </w:r>
      <w:r>
        <w:t xml:space="preserve"> </w:t>
      </w:r>
    </w:p>
    <w:p w14:paraId="0EEF56B8" w14:textId="7A9B16F5" w:rsidR="38C55F68" w:rsidRDefault="38C55F68" w:rsidP="00745B34">
      <w:pPr>
        <w:pStyle w:val="Caption"/>
      </w:pPr>
      <w:bookmarkStart w:id="54" w:name="_Ref162224986"/>
      <w:bookmarkStart w:id="55" w:name="_Ref164869782"/>
      <w:r>
        <w:t xml:space="preserve">Table </w:t>
      </w:r>
      <w:bookmarkEnd w:id="54"/>
      <w:r w:rsidR="00F823CC">
        <w:fldChar w:fldCharType="begin"/>
      </w:r>
      <w:r w:rsidR="00F823CC">
        <w:instrText xml:space="preserve"> SEQ Table \* ARABIC  \* MERGEFORMAT </w:instrText>
      </w:r>
      <w:r w:rsidR="00F823CC">
        <w:fldChar w:fldCharType="separate"/>
      </w:r>
      <w:r w:rsidR="009F12B4">
        <w:rPr>
          <w:noProof/>
        </w:rPr>
        <w:t>8</w:t>
      </w:r>
      <w:r w:rsidR="00F823CC">
        <w:fldChar w:fldCharType="end"/>
      </w:r>
      <w:bookmarkEnd w:id="55"/>
      <w:r>
        <w:t>: Risk to economic security</w:t>
      </w:r>
    </w:p>
    <w:tbl>
      <w:tblPr>
        <w:tblStyle w:val="TableGrid"/>
        <w:tblW w:w="0" w:type="auto"/>
        <w:tblLook w:val="0420" w:firstRow="1" w:lastRow="0" w:firstColumn="0" w:lastColumn="0" w:noHBand="0" w:noVBand="1"/>
        <w:tblCaption w:val="Risks to personal safety"/>
        <w:tblDescription w:val="Lists risks to personal safety that can lead to suicidal distress, along with a description."/>
      </w:tblPr>
      <w:tblGrid>
        <w:gridCol w:w="1785"/>
        <w:gridCol w:w="7276"/>
      </w:tblGrid>
      <w:tr w:rsidR="7098A0DA" w14:paraId="7F7754E5" w14:textId="77777777" w:rsidTr="48215A0F">
        <w:trPr>
          <w:cnfStyle w:val="100000000000" w:firstRow="1" w:lastRow="0" w:firstColumn="0" w:lastColumn="0" w:oddVBand="0" w:evenVBand="0" w:oddHBand="0" w:evenHBand="0" w:firstRowFirstColumn="0" w:firstRowLastColumn="0" w:lastRowFirstColumn="0" w:lastRowLastColumn="0"/>
          <w:trHeight w:val="300"/>
        </w:trPr>
        <w:tc>
          <w:tcPr>
            <w:tcW w:w="17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1C698" w:themeFill="background2" w:themeFillShade="BF"/>
          </w:tcPr>
          <w:p w14:paraId="03AC9E68" w14:textId="77777777" w:rsidR="7098A0DA" w:rsidRDefault="7098A0DA" w:rsidP="004F5B0E">
            <w:pPr>
              <w:pStyle w:val="NMHCTableHeaderRow"/>
            </w:pPr>
            <w:r>
              <w:t>Risk</w:t>
            </w:r>
          </w:p>
        </w:tc>
        <w:tc>
          <w:tcPr>
            <w:tcW w:w="7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1C698" w:themeFill="background2" w:themeFillShade="BF"/>
            <w:tcMar>
              <w:top w:w="28" w:type="dxa"/>
              <w:bottom w:w="28" w:type="dxa"/>
            </w:tcMar>
          </w:tcPr>
          <w:p w14:paraId="35A71FB3" w14:textId="77777777" w:rsidR="7098A0DA" w:rsidRDefault="7098A0DA" w:rsidP="004F5B0E">
            <w:pPr>
              <w:pStyle w:val="NMHCTableHeaderRow"/>
            </w:pPr>
            <w:r>
              <w:t>Impact</w:t>
            </w:r>
          </w:p>
        </w:tc>
      </w:tr>
      <w:tr w:rsidR="7098A0DA" w14:paraId="49FD01EC" w14:textId="77777777" w:rsidTr="48215A0F">
        <w:trPr>
          <w:trHeight w:val="300"/>
        </w:trPr>
        <w:tc>
          <w:tcPr>
            <w:tcW w:w="1785" w:type="dxa"/>
            <w:tcBorders>
              <w:top w:val="single" w:sz="4" w:space="0" w:color="FFFFFF" w:themeColor="background1"/>
            </w:tcBorders>
          </w:tcPr>
          <w:p w14:paraId="5D8EF0C5" w14:textId="5DB8CE5C" w:rsidR="1FBD7114" w:rsidRDefault="1FBD7114" w:rsidP="00634A83">
            <w:r>
              <w:t>Unemployment</w:t>
            </w:r>
          </w:p>
        </w:tc>
        <w:tc>
          <w:tcPr>
            <w:tcW w:w="7276" w:type="dxa"/>
            <w:tcBorders>
              <w:top w:val="single" w:sz="4" w:space="0" w:color="FFFFFF" w:themeColor="background1"/>
            </w:tcBorders>
            <w:tcMar>
              <w:top w:w="28" w:type="dxa"/>
              <w:bottom w:w="28" w:type="dxa"/>
            </w:tcMar>
          </w:tcPr>
          <w:p w14:paraId="0612421B" w14:textId="73B2C066" w:rsidR="1FBD7114" w:rsidRDefault="12E39541" w:rsidP="00100EBC">
            <w:pPr>
              <w:pStyle w:val="ListBullet"/>
              <w:numPr>
                <w:ilvl w:val="0"/>
                <w:numId w:val="0"/>
              </w:numPr>
            </w:pPr>
            <w:r>
              <w:t>People who are unemployed are about twice as likely to die by suicide compared with people who are employed.</w:t>
            </w:r>
            <w:hyperlink w:anchor="_ENREF_50" w:tooltip="Welfare, 2023 #388" w:history="1">
              <w:r w:rsidR="002D6F18">
                <w:fldChar w:fldCharType="begin"/>
              </w:r>
              <w:r w:rsidR="002D6F18">
                <w:instrText xml:space="preserve"> ADDIN EN.CITE &lt;EndNote&gt;&lt;Cite&gt;&lt;Author&gt;Welfare&lt;/Author&gt;&lt;Year&gt;2023&lt;/Year&gt;&lt;RecNum&gt;388&lt;/RecNum&gt;&lt;DisplayText&gt;&lt;style face="superscript"&gt;50&lt;/style&gt;&lt;/DisplayText&gt;&lt;record&gt;&lt;rec-number&gt;388&lt;/rec-number&gt;&lt;foreign-keys&gt;&lt;key app="EN" db-id="rsettzd2isasdweewww55s9lffasxav0d0ft" timestamp="1700699472" guid="2a834723-85f6-4339-94ed-42f50a10e7fa"&gt;388&lt;/key&gt;&lt;/foreign-keys&gt;&lt;ref-type name="Web Page"&gt;12&lt;/ref-type&gt;&lt;contributors&gt;&lt;authors&gt;&lt;author&gt;Australian Institute of Health and Welfare&lt;/author&gt;&lt;/authors&gt;&lt;/contributors&gt;&lt;titles&gt;&lt;title&gt;Regression Risk Models for Selected Census Variables&lt;/title&gt;&lt;/titles&gt;&lt;dates&gt;&lt;year&gt;2023&lt;/year&gt;&lt;/dates&gt;&lt;publisher&gt;AIHW, Australian Government&lt;/publisher&gt;&lt;work-type&gt;Internet&lt;/work-type&gt;&lt;urls&gt;&lt;related-urls&gt;&lt;url&gt;https://www.aihw.gov.au/suicide-self-harm-monitoring/data/behaviours-risk-factors/social-factors-suicide/regression-risk-models-selected-census-variables&lt;/url&gt;&lt;/related-urls&gt;&lt;/urls&gt;&lt;custom1&gt;2023&lt;/custom1&gt;&lt;custom2&gt;October 30&lt;/custom2&gt;&lt;/record&gt;&lt;/Cite&gt;&lt;/EndNote&gt;</w:instrText>
              </w:r>
              <w:r w:rsidR="002D6F18">
                <w:fldChar w:fldCharType="separate"/>
              </w:r>
              <w:r w:rsidR="002D6F18" w:rsidRPr="0082082D">
                <w:rPr>
                  <w:noProof/>
                  <w:vertAlign w:val="superscript"/>
                </w:rPr>
                <w:t>50</w:t>
              </w:r>
              <w:r w:rsidR="002D6F18">
                <w:fldChar w:fldCharType="end"/>
              </w:r>
            </w:hyperlink>
            <w:r w:rsidR="00290774">
              <w:t xml:space="preserve"> </w:t>
            </w:r>
            <w:r>
              <w:t>As the period of unemployment increases, so does the risk of suicide. Research published in 2023 found a causal relationship between unemployment and suicide.</w:t>
            </w:r>
            <w:hyperlink w:anchor="_ENREF_125" w:tooltip="A, 2023 #163" w:history="1">
              <w:r w:rsidR="002D6F18">
                <w:fldChar w:fldCharType="begin"/>
              </w:r>
              <w:r w:rsidR="002D6F18">
                <w:instrText xml:space="preserve"> ADDIN EN.CITE &lt;EndNote&gt;&lt;Cite&gt;&lt;Author&gt;A&lt;/Author&gt;&lt;Year&gt;2023&lt;/Year&gt;&lt;RecNum&gt;163&lt;/RecNum&gt;&lt;DisplayText&gt;&lt;style face="superscript"&gt;125&lt;/style&gt;&lt;/DisplayText&gt;&lt;record&gt;&lt;rec-number&gt;163&lt;/rec-number&gt;&lt;foreign-keys&gt;&lt;key app="EN" db-id="rsettzd2isasdweewww55s9lffasxav0d0ft" timestamp="1700699468" guid="2326ad53-733e-4d91-b001-39f3973228ca"&gt;163&lt;/key&gt;&lt;/foreign-keys&gt;&lt;ref-type name="Journal Article"&gt;17&lt;/ref-type&gt;&lt;contributors&gt;&lt;authors&gt;&lt;author&gt;Skinner A&lt;/author&gt;&lt;author&gt;Osgood ND&lt;/author&gt;&lt;author&gt;Occhipinti JA&lt;/author&gt;&lt;author&gt;Song YJC&lt;/author&gt;&lt;author&gt;Hickie IB&lt;/author&gt;&lt;/authors&gt;&lt;/contributors&gt;&lt;titles&gt;&lt;title&gt;Unemployment and Underemployment are Causes of Suicide&lt;/title&gt;&lt;secondary-title&gt;Science Advances&lt;/secondary-title&gt;&lt;/titles&gt;&lt;periodical&gt;&lt;full-title&gt;Science Advances&lt;/full-title&gt;&lt;/periodical&gt;&lt;dates&gt;&lt;year&gt;2023&lt;/year&gt;&lt;/dates&gt;&lt;urls&gt;&lt;/urls&gt;&lt;electronic-resource-num&gt;https://doi.org/10.1126/sciadv.adg3758&lt;/electronic-resource-num&gt;&lt;/record&gt;&lt;/Cite&gt;&lt;/EndNote&gt;</w:instrText>
              </w:r>
              <w:r w:rsidR="002D6F18">
                <w:fldChar w:fldCharType="separate"/>
              </w:r>
              <w:r w:rsidR="002D6F18" w:rsidRPr="00445D54">
                <w:rPr>
                  <w:noProof/>
                  <w:vertAlign w:val="superscript"/>
                </w:rPr>
                <w:t>125</w:t>
              </w:r>
              <w:r w:rsidR="002D6F18">
                <w:fldChar w:fldCharType="end"/>
              </w:r>
            </w:hyperlink>
            <w:r w:rsidR="00B74A7E">
              <w:t xml:space="preserve"> </w:t>
            </w:r>
            <w:r>
              <w:t>Modelling of Australian suicides over a 13-year period indicates that 10% of suicide deaths resulted directly from unemployment and underemployment.</w:t>
            </w:r>
            <w:hyperlink w:anchor="_ENREF_125" w:tooltip="A, 2023 #163" w:history="1">
              <w:r w:rsidR="002D6F18">
                <w:fldChar w:fldCharType="begin"/>
              </w:r>
              <w:r w:rsidR="002D6F18">
                <w:instrText xml:space="preserve"> ADDIN EN.CITE &lt;EndNote&gt;&lt;Cite&gt;&lt;Author&gt;A&lt;/Author&gt;&lt;Year&gt;2023&lt;/Year&gt;&lt;RecNum&gt;163&lt;/RecNum&gt;&lt;DisplayText&gt;&lt;style face="superscript"&gt;125&lt;/style&gt;&lt;/DisplayText&gt;&lt;record&gt;&lt;rec-number&gt;163&lt;/rec-number&gt;&lt;foreign-keys&gt;&lt;key app="EN" db-id="rsettzd2isasdweewww55s9lffasxav0d0ft" timestamp="1700699468" guid="2326ad53-733e-4d91-b001-39f3973228ca"&gt;163&lt;/key&gt;&lt;/foreign-keys&gt;&lt;ref-type name="Journal Article"&gt;17&lt;/ref-type&gt;&lt;contributors&gt;&lt;authors&gt;&lt;author&gt;Skinner A&lt;/author&gt;&lt;author&gt;Osgood ND&lt;/author&gt;&lt;author&gt;Occhipinti JA&lt;/author&gt;&lt;author&gt;Song YJC&lt;/author&gt;&lt;author&gt;Hickie IB&lt;/author&gt;&lt;/authors&gt;&lt;/contributors&gt;&lt;titles&gt;&lt;title&gt;Unemployment and Underemployment are Causes of Suicide&lt;/title&gt;&lt;secondary-title&gt;Science Advances&lt;/secondary-title&gt;&lt;/titles&gt;&lt;periodical&gt;&lt;full-title&gt;Science Advances&lt;/full-title&gt;&lt;/periodical&gt;&lt;dates&gt;&lt;year&gt;2023&lt;/year&gt;&lt;/dates&gt;&lt;urls&gt;&lt;/urls&gt;&lt;electronic-resource-num&gt;https://doi.org/10.1126/sciadv.adg3758&lt;/electronic-resource-num&gt;&lt;/record&gt;&lt;/Cite&gt;&lt;/EndNote&gt;</w:instrText>
              </w:r>
              <w:r w:rsidR="002D6F18">
                <w:fldChar w:fldCharType="separate"/>
              </w:r>
              <w:r w:rsidR="002D6F18" w:rsidRPr="00445D54">
                <w:rPr>
                  <w:noProof/>
                  <w:vertAlign w:val="superscript"/>
                </w:rPr>
                <w:t>125</w:t>
              </w:r>
              <w:r w:rsidR="002D6F18">
                <w:fldChar w:fldCharType="end"/>
              </w:r>
            </w:hyperlink>
          </w:p>
        </w:tc>
      </w:tr>
      <w:tr w:rsidR="7098A0DA" w14:paraId="20DD20B0" w14:textId="77777777" w:rsidTr="48215A0F">
        <w:trPr>
          <w:trHeight w:val="300"/>
        </w:trPr>
        <w:tc>
          <w:tcPr>
            <w:tcW w:w="1785" w:type="dxa"/>
          </w:tcPr>
          <w:p w14:paraId="2856A421" w14:textId="1AE37932" w:rsidR="4FE027C6" w:rsidRDefault="4FE027C6" w:rsidP="00634A83">
            <w:r>
              <w:t>Economic disadvantage</w:t>
            </w:r>
          </w:p>
        </w:tc>
        <w:tc>
          <w:tcPr>
            <w:tcW w:w="7276" w:type="dxa"/>
            <w:tcMar>
              <w:top w:w="28" w:type="dxa"/>
              <w:bottom w:w="28" w:type="dxa"/>
            </w:tcMar>
          </w:tcPr>
          <w:p w14:paraId="3DC351AD" w14:textId="7449390A" w:rsidR="4FE027C6" w:rsidRDefault="6421663B" w:rsidP="00100EBC">
            <w:pPr>
              <w:pStyle w:val="ListBullet"/>
              <w:numPr>
                <w:ilvl w:val="0"/>
                <w:numId w:val="0"/>
              </w:numPr>
            </w:pPr>
            <w:r>
              <w:t>The indicators of lower socio-economic status, such as low income, lower education and dependence on welfare benefits, increase with remoteness.</w:t>
            </w:r>
            <w:hyperlink w:anchor="_ENREF_126" w:tooltip="(PHIDU), 2023 #1073" w:history="1">
              <w:r w:rsidR="002D6F18">
                <w:fldChar w:fldCharType="begin"/>
              </w:r>
              <w:r w:rsidR="002D6F18">
                <w:instrText xml:space="preserve"> ADDIN EN.CITE &lt;EndNote&gt;&lt;Cite&gt;&lt;Author&gt;(PHIDU)&lt;/Author&gt;&lt;Year&gt;2023&lt;/Year&gt;&lt;RecNum&gt;1073&lt;/RecNum&gt;&lt;DisplayText&gt;&lt;style face="superscript"&gt;126&lt;/style&gt;&lt;/DisplayText&gt;&lt;record&gt;&lt;rec-number&gt;1073&lt;/rec-number&gt;&lt;foreign-keys&gt;&lt;key app="EN" db-id="rsettzd2isasdweewww55s9lffasxav0d0ft" timestamp="1720495012" guid="81a810de-66e8-4fd8-bd6c-bc3452fef60e"&gt;1073&lt;/key&gt;&lt;/foreign-keys&gt;&lt;ref-type name="Web Page"&gt;12&lt;/ref-type&gt;&lt;contributors&gt;&lt;authors&gt;&lt;author&gt;Public Health Information Development Unit (PHIDU)&lt;/author&gt;&lt;/authors&gt;&lt;/contributors&gt;&lt;titles&gt;&lt;title&gt;Social health atlas of Australia: remoteness graphs&lt;/title&gt;&lt;/titles&gt;&lt;dates&gt;&lt;year&gt;2023&lt;/year&gt;&lt;/dates&gt;&lt;publisher&gt;Torrens University Australia &lt;/publisher&gt;&lt;urls&gt;&lt;related-urls&gt;&lt;url&gt;https://phidu.torrens.edu.au/social-health-atlases/graphs/remoteness-whole-population/remoteness-graphs-latest#education&lt;/url&gt;&lt;/related-urls&gt;&lt;/urls&gt;&lt;custom1&gt;2024&lt;/custom1&gt;&lt;custom2&gt;January 04&lt;/custom2&gt;&lt;/record&gt;&lt;/Cite&gt;&lt;/EndNote&gt;</w:instrText>
              </w:r>
              <w:r w:rsidR="002D6F18">
                <w:fldChar w:fldCharType="separate"/>
              </w:r>
              <w:r w:rsidR="002D6F18" w:rsidRPr="00445D54">
                <w:rPr>
                  <w:noProof/>
                  <w:vertAlign w:val="superscript"/>
                </w:rPr>
                <w:t>126</w:t>
              </w:r>
              <w:r w:rsidR="002D6F18">
                <w:fldChar w:fldCharType="end"/>
              </w:r>
            </w:hyperlink>
            <w:r>
              <w:t xml:space="preserve"> Financial hardship due to natural disasters or climate change may also disproportionately affect remote communities.</w:t>
            </w:r>
            <w:hyperlink w:anchor="_ENREF_127" w:tooltip="J, 2023 #1068" w:history="1">
              <w:r w:rsidR="002D6F18">
                <w:fldChar w:fldCharType="begin"/>
              </w:r>
              <w:r w:rsidR="002D6F18">
                <w:instrText xml:space="preserve"> ADDIN EN.CITE &lt;EndNote&gt;&lt;Cite&gt;&lt;Author&gt;J&lt;/Author&gt;&lt;Year&gt;2023&lt;/Year&gt;&lt;RecNum&gt;1068&lt;/RecNum&gt;&lt;DisplayText&gt;&lt;style face="superscript"&gt;127&lt;/style&gt;&lt;/DisplayText&gt;&lt;record&gt;&lt;rec-number&gt;1068&lt;/rec-number&gt;&lt;foreign-keys&gt;&lt;key app="EN" db-id="rsettzd2isasdweewww55s9lffasxav0d0ft" timestamp="1720488619" guid="cc160f0b-0e48-4ed9-b21a-86caff99aabe"&gt;1068&lt;/key&gt;&lt;/foreign-keys&gt;&lt;ref-type name="Journal Article"&gt;17&lt;/ref-type&gt;&lt;contributors&gt;&lt;authors&gt;&lt;author&gt;Longman J&lt;/author&gt;&lt;author&gt;Braddon M&lt;/author&gt;&lt;author&gt;Verlie B&lt;/author&gt;&lt;author&gt;Schlosberg D&lt;/author&gt;&lt;author&gt;Hampshire L&lt;/author&gt;&lt;author&gt;Hawke C&lt;/author&gt;&lt;author&gt;Noonan A&lt;/author&gt;&lt;author&gt;Saurman E&lt;/author&gt;&lt;/authors&gt;&lt;/contributors&gt;&lt;titles&gt;&lt;title&gt;Building resilience to the mental health impacts of climate change in rural Australia&lt;/title&gt;&lt;secondary-title&gt;The Journal of Climate Change and Health&lt;/secondary-title&gt;&lt;/titles&gt;&lt;periodical&gt;&lt;full-title&gt;The Journal of Climate Change and Health&lt;/full-title&gt;&lt;/periodical&gt;&lt;pages&gt;100240&lt;/pages&gt;&lt;volume&gt;12&lt;/volume&gt;&lt;keywords&gt;&lt;keyword&gt;Climate change&lt;/keyword&gt;&lt;keyword&gt;Mental health&lt;/keyword&gt;&lt;keyword&gt;Community resilience&lt;/keyword&gt;&lt;/keywords&gt;&lt;dates&gt;&lt;year&gt;2023&lt;/year&gt;&lt;pub-dates&gt;&lt;date&gt;2023/07/01/&lt;/date&gt;&lt;/pub-dates&gt;&lt;/dates&gt;&lt;isbn&gt;2667-2782&lt;/isbn&gt;&lt;urls&gt;&lt;related-urls&gt;&lt;url&gt;https://www.sciencedirect.com/science/article/pii/S2667278223000408&lt;/url&gt;&lt;/related-urls&gt;&lt;/urls&gt;&lt;electronic-resource-num&gt;https://doi.org/10.1016/j.joclim.2023.100240&lt;/electronic-resource-num&gt;&lt;/record&gt;&lt;/Cite&gt;&lt;/EndNote&gt;</w:instrText>
              </w:r>
              <w:r w:rsidR="002D6F18">
                <w:fldChar w:fldCharType="separate"/>
              </w:r>
              <w:r w:rsidR="002D6F18" w:rsidRPr="00445D54">
                <w:rPr>
                  <w:noProof/>
                  <w:vertAlign w:val="superscript"/>
                </w:rPr>
                <w:t>127</w:t>
              </w:r>
              <w:r w:rsidR="002D6F18">
                <w:fldChar w:fldCharType="end"/>
              </w:r>
            </w:hyperlink>
          </w:p>
        </w:tc>
      </w:tr>
      <w:tr w:rsidR="7098A0DA" w14:paraId="4350BD4D" w14:textId="77777777" w:rsidTr="48215A0F">
        <w:trPr>
          <w:trHeight w:val="300"/>
        </w:trPr>
        <w:tc>
          <w:tcPr>
            <w:tcW w:w="1785" w:type="dxa"/>
          </w:tcPr>
          <w:p w14:paraId="1CEE1FDD" w14:textId="22DD8530" w:rsidR="4FE027C6" w:rsidRDefault="4FE027C6" w:rsidP="00634A83">
            <w:r>
              <w:t>Low income</w:t>
            </w:r>
          </w:p>
        </w:tc>
        <w:tc>
          <w:tcPr>
            <w:tcW w:w="7276" w:type="dxa"/>
            <w:tcMar>
              <w:top w:w="28" w:type="dxa"/>
              <w:bottom w:w="28" w:type="dxa"/>
            </w:tcMar>
          </w:tcPr>
          <w:p w14:paraId="7D039CD5" w14:textId="36C5416E" w:rsidR="4FE027C6" w:rsidRDefault="6421663B" w:rsidP="00100EBC">
            <w:pPr>
              <w:pStyle w:val="ListBullet"/>
              <w:numPr>
                <w:ilvl w:val="0"/>
                <w:numId w:val="0"/>
              </w:numPr>
            </w:pPr>
            <w:r>
              <w:t>People who are ‘low’ and ‘medium-low’ income earners have 8 times and twice the risk of suicide, respectively, compared with people in the highest income bracket.</w:t>
            </w:r>
            <w:hyperlink w:anchor="_ENREF_50" w:tooltip="Welfare, 2023 #388" w:history="1">
              <w:r w:rsidR="002D6F18">
                <w:fldChar w:fldCharType="begin"/>
              </w:r>
              <w:r w:rsidR="002D6F18">
                <w:instrText xml:space="preserve"> ADDIN EN.CITE &lt;EndNote&gt;&lt;Cite&gt;&lt;Author&gt;Welfare&lt;/Author&gt;&lt;Year&gt;2023&lt;/Year&gt;&lt;RecNum&gt;388&lt;/RecNum&gt;&lt;DisplayText&gt;&lt;style face="superscript"&gt;50&lt;/style&gt;&lt;/DisplayText&gt;&lt;record&gt;&lt;rec-number&gt;388&lt;/rec-number&gt;&lt;foreign-keys&gt;&lt;key app="EN" db-id="rsettzd2isasdweewww55s9lffasxav0d0ft" timestamp="1700699472" guid="2a834723-85f6-4339-94ed-42f50a10e7fa"&gt;388&lt;/key&gt;&lt;/foreign-keys&gt;&lt;ref-type name="Web Page"&gt;12&lt;/ref-type&gt;&lt;contributors&gt;&lt;authors&gt;&lt;author&gt;Australian Institute of Health and Welfare&lt;/author&gt;&lt;/authors&gt;&lt;/contributors&gt;&lt;titles&gt;&lt;title&gt;Regression Risk Models for Selected Census Variables&lt;/title&gt;&lt;/titles&gt;&lt;dates&gt;&lt;year&gt;2023&lt;/year&gt;&lt;/dates&gt;&lt;publisher&gt;AIHW, Australian Government&lt;/publisher&gt;&lt;work-type&gt;Internet&lt;/work-type&gt;&lt;urls&gt;&lt;related-urls&gt;&lt;url&gt;https://www.aihw.gov.au/suicide-self-harm-monitoring/data/behaviours-risk-factors/social-factors-suicide/regression-risk-models-selected-census-variables&lt;/url&gt;&lt;/related-urls&gt;&lt;/urls&gt;&lt;custom1&gt;2023&lt;/custom1&gt;&lt;custom2&gt;October 30&lt;/custom2&gt;&lt;/record&gt;&lt;/Cite&gt;&lt;/EndNote&gt;</w:instrText>
              </w:r>
              <w:r w:rsidR="002D6F18">
                <w:fldChar w:fldCharType="separate"/>
              </w:r>
              <w:r w:rsidR="002D6F18" w:rsidRPr="0082082D">
                <w:rPr>
                  <w:noProof/>
                  <w:vertAlign w:val="superscript"/>
                </w:rPr>
                <w:t>50</w:t>
              </w:r>
              <w:r w:rsidR="002D6F18">
                <w:fldChar w:fldCharType="end"/>
              </w:r>
            </w:hyperlink>
          </w:p>
        </w:tc>
      </w:tr>
      <w:tr w:rsidR="7098A0DA" w14:paraId="4E970E16" w14:textId="77777777" w:rsidTr="48215A0F">
        <w:trPr>
          <w:trHeight w:val="300"/>
        </w:trPr>
        <w:tc>
          <w:tcPr>
            <w:tcW w:w="1785" w:type="dxa"/>
          </w:tcPr>
          <w:p w14:paraId="45C5F751" w14:textId="111A08B3" w:rsidR="4FE027C6" w:rsidRDefault="4FE027C6" w:rsidP="00634A83">
            <w:r>
              <w:t>Income uncertainty</w:t>
            </w:r>
          </w:p>
        </w:tc>
        <w:tc>
          <w:tcPr>
            <w:tcW w:w="7276" w:type="dxa"/>
            <w:tcMar>
              <w:top w:w="28" w:type="dxa"/>
              <w:bottom w:w="28" w:type="dxa"/>
            </w:tcMar>
          </w:tcPr>
          <w:p w14:paraId="5470FEE5" w14:textId="6A28773D" w:rsidR="4FE027C6" w:rsidRDefault="6421663B" w:rsidP="00100EBC">
            <w:pPr>
              <w:pStyle w:val="ListBullet"/>
              <w:numPr>
                <w:ilvl w:val="0"/>
                <w:numId w:val="0"/>
              </w:numPr>
            </w:pPr>
            <w:r>
              <w:t>People who experience income uncertainty are at greater risk of suicide compared with people who have the most stable income.</w:t>
            </w:r>
            <w:hyperlink w:anchor="_ENREF_128" w:tooltip="Welfare, 2023 #884" w:history="1">
              <w:r w:rsidR="002D6F18">
                <w:fldChar w:fldCharType="begin"/>
              </w:r>
              <w:r w:rsidR="002D6F18">
                <w:instrText xml:space="preserve"> ADDIN EN.CITE &lt;EndNote&gt;&lt;Cite&gt;&lt;Author&gt;Welfare&lt;/Author&gt;&lt;Year&gt;2023&lt;/Year&gt;&lt;RecNum&gt;884&lt;/RecNum&gt;&lt;DisplayText&gt;&lt;style face="superscript"&gt;128&lt;/style&gt;&lt;/DisplayText&gt;&lt;record&gt;&lt;rec-number&gt;884&lt;/rec-number&gt;&lt;foreign-keys&gt;&lt;key app="EN" db-id="rsettzd2isasdweewww55s9lffasxav0d0ft" timestamp="1707862927" guid="6879b194-68d3-49a8-a502-1f60f31f6eca"&gt;884&lt;/key&gt;&lt;/foreign-keys&gt;&lt;ref-type name="Web Page"&gt;12&lt;/ref-type&gt;&lt;contributors&gt;&lt;authors&gt;&lt;author&gt;Australian Institute of Health and Welfare&lt;/author&gt;&lt;/authors&gt;&lt;/contributors&gt;&lt;titles&gt;&lt;title&gt;Social and Economic Factors and Deaths by Suicide&lt;/title&gt;&lt;/titles&gt;&lt;dates&gt;&lt;year&gt;2023&lt;/year&gt;&lt;/dates&gt;&lt;publisher&gt;AIHW&lt;/publisher&gt;&lt;work-type&gt;Internet&lt;/work-type&gt;&lt;urls&gt;&lt;related-urls&gt;&lt;url&gt;https://www.aihw.gov.au/suicide-self-harm-monitoring/data/behaviours-risk-factors/social-factors-suicide&lt;/url&gt;&lt;/related-urls&gt;&lt;/urls&gt;&lt;custom1&gt;2023&lt;/custom1&gt;&lt;custom2&gt;November 06&lt;/custom2&gt;&lt;/record&gt;&lt;/Cite&gt;&lt;/EndNote&gt;</w:instrText>
              </w:r>
              <w:r w:rsidR="002D6F18">
                <w:fldChar w:fldCharType="separate"/>
              </w:r>
              <w:r w:rsidR="002D6F18" w:rsidRPr="00445D54">
                <w:rPr>
                  <w:noProof/>
                  <w:vertAlign w:val="superscript"/>
                </w:rPr>
                <w:t>128</w:t>
              </w:r>
              <w:r w:rsidR="002D6F18">
                <w:fldChar w:fldCharType="end"/>
              </w:r>
            </w:hyperlink>
            <w:r w:rsidRPr="7098A0DA">
              <w:rPr>
                <w:vertAlign w:val="superscript"/>
              </w:rPr>
              <w:t xml:space="preserve"> </w:t>
            </w:r>
            <w:r>
              <w:t>The main category used to indicate economic issues as a relevant factor in suicide deaths is ‘other and unspecified problems related to economic circumstances’. This is one of the most frequently occurring psychosocial risk factors, having been identified in 6.1% of suicide deaths.</w:t>
            </w:r>
            <w:hyperlink w:anchor="_ENREF_102" w:tooltip="Statistics, 2023 #592" w:history="1">
              <w:r w:rsidR="002D6F18">
                <w:fldChar w:fldCharType="begin"/>
              </w:r>
              <w:r w:rsidR="002D6F18">
                <w:instrText xml:space="preserve"> ADDIN EN.CITE &lt;EndNote&gt;&lt;Cite&gt;&lt;Author&gt;Statistics&lt;/Author&gt;&lt;Year&gt;2023&lt;/Year&gt;&lt;RecNum&gt;389&lt;/RecNum&gt;&lt;DisplayText&gt;&lt;style face="superscript"&gt;102&lt;/style&gt;&lt;/DisplayText&gt;&lt;record&gt;&lt;rec-number&gt;389&lt;/rec-number&gt;&lt;foreign-keys&gt;&lt;key app="EN" db-id="rsettzd2isasdweewww55s9lffasxav0d0ft" timestamp="1700699472" guid="4ff895d6-0417-4275-8d01-456704ac4403"&gt;389&lt;/key&gt;&lt;/foreign-keys&gt;&lt;ref-type name="Web Page"&gt;12&lt;/ref-type&gt;&lt;contributors&gt;&lt;authors&gt;&lt;author&gt;Australian Bureau of Statistics&lt;/author&gt;&lt;/authors&gt;&lt;/contributors&gt;&lt;titles&gt;&lt;title&gt;Causes of Death, Australia, 2022: Risk Factors for Intentional Self-Harm Deaths (Suicide) in Australia&lt;/title&gt;&lt;/titles&gt;&lt;dates&gt;&lt;year&gt;2023&lt;/year&gt;&lt;/dates&gt;&lt;publisher&gt;ABS, Australian Government&lt;/publisher&gt;&lt;work-type&gt;Internet&lt;/work-type&gt;&lt;urls&gt;&lt;related-urls&gt;&lt;url&gt;https://www.abs.gov.au/statistics/health/causes-death/causes-death-australia/2021#risk-factors-for-intentional-self-harm-deaths-suicide-in-australia&lt;/url&gt;&lt;/related-urls&gt;&lt;/urls&gt;&lt;custom1&gt;2023&lt;/custom1&gt;&lt;custom2&gt;October 30&lt;/custom2&gt;&lt;/record&gt;&lt;/Cite&gt;&lt;/EndNote&gt;</w:instrText>
              </w:r>
              <w:r w:rsidR="002D6F18">
                <w:fldChar w:fldCharType="separate"/>
              </w:r>
              <w:r w:rsidR="002D6F18" w:rsidRPr="00445D54">
                <w:rPr>
                  <w:noProof/>
                  <w:vertAlign w:val="superscript"/>
                </w:rPr>
                <w:t>102</w:t>
              </w:r>
              <w:r w:rsidR="002D6F18">
                <w:fldChar w:fldCharType="end"/>
              </w:r>
            </w:hyperlink>
          </w:p>
        </w:tc>
      </w:tr>
      <w:tr w:rsidR="7098A0DA" w14:paraId="3A691E79" w14:textId="77777777" w:rsidTr="48215A0F">
        <w:trPr>
          <w:trHeight w:val="300"/>
        </w:trPr>
        <w:tc>
          <w:tcPr>
            <w:tcW w:w="1785" w:type="dxa"/>
          </w:tcPr>
          <w:p w14:paraId="536ECFAB" w14:textId="46B736CB" w:rsidR="4FE027C6" w:rsidRDefault="4FE027C6" w:rsidP="00634A83">
            <w:r>
              <w:t>Housing</w:t>
            </w:r>
          </w:p>
        </w:tc>
        <w:tc>
          <w:tcPr>
            <w:tcW w:w="7276" w:type="dxa"/>
            <w:tcMar>
              <w:top w:w="28" w:type="dxa"/>
              <w:bottom w:w="28" w:type="dxa"/>
            </w:tcMar>
          </w:tcPr>
          <w:p w14:paraId="7676E974" w14:textId="2881DE03" w:rsidR="4FE027C6" w:rsidRDefault="6421663B" w:rsidP="00100EBC">
            <w:pPr>
              <w:pStyle w:val="ListBullet"/>
              <w:numPr>
                <w:ilvl w:val="0"/>
                <w:numId w:val="0"/>
              </w:numPr>
            </w:pPr>
            <w:r w:rsidRPr="7098A0DA">
              <w:t>Housing is important for safety and is associated with economic security. There is evidence that having a choice about housing can deliver positive mental health outcomes through feelings of empowerment and belonging, both of which are associated with greater resilience and ability to cope with stressors.</w:t>
            </w:r>
            <w:hyperlink w:anchor="_ENREF_129" w:tooltip="Institute, 2022 #1075" w:history="1">
              <w:r w:rsidR="002D6F18">
                <w:fldChar w:fldCharType="begin"/>
              </w:r>
              <w:r w:rsidR="002D6F18">
                <w:instrText xml:space="preserve"> ADDIN EN.CITE &lt;EndNote&gt;&lt;Cite&gt;&lt;Author&gt;Institute&lt;/Author&gt;&lt;Year&gt;2022&lt;/Year&gt;&lt;RecNum&gt;1075&lt;/RecNum&gt;&lt;DisplayText&gt;&lt;style face="superscript"&gt;129&lt;/style&gt;&lt;/DisplayText&gt;&lt;record&gt;&lt;rec-number&gt;1075&lt;/rec-number&gt;&lt;foreign-keys&gt;&lt;key app="EN" db-id="rsettzd2isasdweewww55s9lffasxav0d0ft" timestamp="1720495310" guid="883a7877-c427-4a04-89fc-e5f62cfdd571"&gt;1075&lt;/key&gt;&lt;/foreign-keys&gt;&lt;ref-type name="Web Page"&gt;12&lt;/ref-type&gt;&lt;contributors&gt;&lt;authors&gt;&lt;author&gt;Australian Housing and Urban Research Institute&lt;/author&gt;&lt;/authors&gt;&lt;/contributors&gt;&lt;titles&gt;&lt;title&gt;What is a mental ill health issue and how it affects housing &lt;/title&gt;&lt;/titles&gt;&lt;dates&gt;&lt;year&gt;2022&lt;/year&gt;&lt;/dates&gt;&lt;publisher&gt;Australian Housing and Urban Research Institute&lt;/publisher&gt;&lt;work-type&gt;Internet &lt;/work-type&gt;&lt;urls&gt;&lt;related-urls&gt;&lt;url&gt;https://www.ahuri.edu.au/analysis/brief/what-mental-ill-health-issue-and-how-it-affects-housing&lt;/url&gt;&lt;/related-urls&gt;&lt;/urls&gt;&lt;custom1&gt;2024&lt;/custom1&gt;&lt;custom2&gt;March 06&lt;/custom2&gt;&lt;/record&gt;&lt;/Cite&gt;&lt;/EndNote&gt;</w:instrText>
              </w:r>
              <w:r w:rsidR="002D6F18">
                <w:fldChar w:fldCharType="separate"/>
              </w:r>
              <w:r w:rsidR="002D6F18" w:rsidRPr="00445D54">
                <w:rPr>
                  <w:noProof/>
                  <w:vertAlign w:val="superscript"/>
                </w:rPr>
                <w:t>129</w:t>
              </w:r>
              <w:r w:rsidR="002D6F18">
                <w:fldChar w:fldCharType="end"/>
              </w:r>
            </w:hyperlink>
          </w:p>
        </w:tc>
      </w:tr>
    </w:tbl>
    <w:p w14:paraId="3F3F8F38" w14:textId="6CC25F61" w:rsidR="00E31B6B" w:rsidRPr="00B768A1" w:rsidRDefault="08843BB1" w:rsidP="00634A83">
      <w:r w:rsidRPr="00B768A1">
        <w:t>Effective policies and programs across government portfolios can help prevent socio-economic hardship from escalating into suicidal distress and suicide deaths.</w:t>
      </w:r>
      <w:hyperlink w:anchor="_ENREF_36" w:tooltip="J, 2022 #916" w:history="1">
        <w:r w:rsidR="002D6F18">
          <w:fldChar w:fldCharType="begin"/>
        </w:r>
        <w:r w:rsidR="002D6F18">
          <w:instrText xml:space="preserve"> ADDIN EN.CITE &lt;EndNote&gt;&lt;Cite&gt;&lt;Author&gt;J&lt;/Author&gt;&lt;Year&gt;2022&lt;/Year&gt;&lt;RecNum&gt;916&lt;/RecNum&gt;&lt;DisplayText&gt;&lt;style face="superscript"&gt;36&lt;/style&gt;&lt;/DisplayText&gt;&lt;record&gt;&lt;rec-number&gt;916&lt;/rec-number&gt;&lt;foreign-keys&gt;&lt;key app="EN" db-id="rsettzd2isasdweewww55s9lffasxav0d0ft" timestamp="1707862927" guid="fb48a273-516a-4977-951f-14a5ca5f9dcb"&gt;916&lt;/key&gt;&lt;/foreign-keys&gt;&lt;ref-type name="Web Page"&gt;12&lt;/ref-type&gt;&lt;contributors&gt;&lt;authors&gt;&lt;author&gt;Pirkis J&lt;/author&gt;&lt;author&gt;Robinson J&lt;/author&gt;&lt;author&gt;Gunnell D&lt;/author&gt;&lt;author&gt;Hawton K&lt;/author&gt;&lt;author&gt;Hetrick S&lt;/author&gt;&lt;author&gt;Niederkrotenthaler T&lt;/author&gt;&lt;author&gt;Sinyor M&lt;/author&gt;&lt;author&gt;Yip P&lt;/author&gt;&lt;/authors&gt;&lt;tertiary-authors&gt;&lt;author&gt;Centre for Mental Health, The University of Melbourne&lt;/author&gt;&lt;/tertiary-authors&gt;&lt;/contributors&gt;&lt;titles&gt;&lt;title&gt;Understanding Suicide and Self-Harm&lt;/title&gt;&lt;/titles&gt;&lt;dates&gt;&lt;year&gt;2022&lt;/year&gt;&lt;/dates&gt;&lt;pub-location&gt;Melbourne&lt;/pub-location&gt;&lt;work-type&gt;Internet&lt;/work-type&gt;&lt;urls&gt;&lt;related-urls&gt;&lt;url&gt;Link to be updated once available&lt;/url&gt;&lt;/related-urls&gt;&lt;/urls&gt;&lt;custom1&gt;2023&lt;/custom1&gt;&lt;custom2&gt;October 23&lt;/custom2&gt;&lt;/record&gt;&lt;/Cite&gt;&lt;/EndNote&gt;</w:instrText>
        </w:r>
        <w:r w:rsidR="002D6F18">
          <w:fldChar w:fldCharType="separate"/>
        </w:r>
        <w:r w:rsidR="002D6F18" w:rsidRPr="0082082D">
          <w:rPr>
            <w:noProof/>
            <w:vertAlign w:val="superscript"/>
          </w:rPr>
          <w:t>36</w:t>
        </w:r>
        <w:r w:rsidR="002D6F18">
          <w:fldChar w:fldCharType="end"/>
        </w:r>
      </w:hyperlink>
      <w:r w:rsidRPr="00B768A1">
        <w:t xml:space="preserve"> </w:t>
      </w:r>
      <w:r w:rsidR="7E08B8ED">
        <w:t>These</w:t>
      </w:r>
      <w:r w:rsidRPr="00B768A1">
        <w:t xml:space="preserve"> include adequate and ongoing assistance for people who are facing financial difficulties and instability; for example, financial counselling services to address complex needs in collaboration with other support services.</w:t>
      </w:r>
      <w:hyperlink w:anchor="_ENREF_130" w:tooltip="L, 2019 #1116" w:history="1">
        <w:r w:rsidR="002D6F18">
          <w:fldChar w:fldCharType="begin"/>
        </w:r>
        <w:r w:rsidR="002D6F18">
          <w:instrText xml:space="preserve"> ADDIN EN.CITE &lt;EndNote&gt;&lt;Cite&gt;&lt;Author&gt;L&lt;/Author&gt;&lt;Year&gt;2019&lt;/Year&gt;&lt;RecNum&gt;1116&lt;/RecNum&gt;&lt;DisplayText&gt;&lt;style face="superscript"&gt;130&lt;/style&gt;&lt;/DisplayText&gt;&lt;record&gt;&lt;rec-number&gt;1116&lt;/rec-number&gt;&lt;foreign-keys&gt;&lt;key app="EN" db-id="rsettzd2isasdweewww55s9lffasxav0d0ft" timestamp="1720505766" guid="0673ed7c-7556-4c42-8e11-e4f0b71b9191"&gt;1116&lt;/key&gt;&lt;/foreign-keys&gt;&lt;ref-type name="Web Page"&gt;12&lt;/ref-type&gt;&lt;contributors&gt;&lt;authors&gt;&lt;author&gt;Sylvan L&lt;/author&gt;&lt;/authors&gt;&lt;/contributors&gt;&lt;titles&gt;&lt;title&gt;The countervailing power: review of the coordination and funding for financial counselling services across Australia&lt;/title&gt;&lt;/titles&gt;&lt;dates&gt;&lt;year&gt;2019&lt;/year&gt;&lt;/dates&gt;&lt;publisher&gt;Department of Social Services, Australian Government&lt;/publisher&gt;&lt;work-type&gt;Internet&lt;/work-type&gt;&lt;urls&gt;&lt;related-urls&gt;&lt;url&gt;https://www.dss.gov.au/communities-and-vulnerable-people-publications-articles/the-countervailing-power-review-of-the-coordination-and-funding-for-financial-counselling-services-across-australia&lt;/url&gt;&lt;/related-urls&gt;&lt;/urls&gt;&lt;custom1&gt;2024&lt;/custom1&gt;&lt;custom2&gt;March 17&lt;/custom2&gt;&lt;/record&gt;&lt;/Cite&gt;&lt;/EndNote&gt;</w:instrText>
        </w:r>
        <w:r w:rsidR="002D6F18">
          <w:fldChar w:fldCharType="separate"/>
        </w:r>
        <w:r w:rsidR="002D6F18" w:rsidRPr="00445D54">
          <w:rPr>
            <w:noProof/>
            <w:vertAlign w:val="superscript"/>
          </w:rPr>
          <w:t>130</w:t>
        </w:r>
        <w:r w:rsidR="002D6F18">
          <w:fldChar w:fldCharType="end"/>
        </w:r>
      </w:hyperlink>
      <w:r w:rsidRPr="00B768A1">
        <w:t xml:space="preserve"> Government action also includes structural changes that prevent the emergence of the most salient socio-economic stressors.</w:t>
      </w:r>
    </w:p>
    <w:p w14:paraId="7DA2956F" w14:textId="23D47354" w:rsidR="00301CD7" w:rsidRDefault="690CB386" w:rsidP="00634A83">
      <w:r>
        <w:t>Increasing economic security is vital to preventing suicide; however, it is important that any action that is taken is tailored to suit the different causes of insecurity and done in collaboration with the experts in those particular social policy areas (action ko</w:t>
      </w:r>
      <w:r w:rsidR="0E321821">
        <w:t>3.2</w:t>
      </w:r>
      <w:r>
        <w:t xml:space="preserve">a to f). </w:t>
      </w:r>
    </w:p>
    <w:p w14:paraId="29255904" w14:textId="241FE9E3" w:rsidR="00132C97" w:rsidRPr="00132C97" w:rsidRDefault="690CB386" w:rsidP="00132C97">
      <w:r w:rsidRPr="00132C97">
        <w:t xml:space="preserve">The recommended actions </w:t>
      </w:r>
      <w:r w:rsidR="00B8789E" w:rsidRPr="00132C97">
        <w:t xml:space="preserve">to prevent suicidal distress by reducing economic insecurity </w:t>
      </w:r>
      <w:r w:rsidRPr="00132C97">
        <w:t>are described in</w:t>
      </w:r>
      <w:r w:rsidR="000410CA" w:rsidRPr="00132C97">
        <w:t xml:space="preserve"> </w:t>
      </w:r>
      <w:r w:rsidRPr="00132C97">
        <w:fldChar w:fldCharType="begin"/>
      </w:r>
      <w:r w:rsidRPr="00132C97">
        <w:instrText>REF _Ref171458983</w:instrText>
      </w:r>
      <w:r w:rsidRPr="00132C97">
        <w:fldChar w:fldCharType="separate"/>
      </w:r>
      <w:r w:rsidR="009F12B4" w:rsidRPr="00132C97">
        <w:t>Table 9</w:t>
      </w:r>
      <w:r w:rsidRPr="00132C97">
        <w:fldChar w:fldCharType="end"/>
      </w:r>
      <w:r w:rsidR="003908CF" w:rsidRPr="00132C97">
        <w:t>.</w:t>
      </w:r>
      <w:r w:rsidR="006F0023" w:rsidRPr="00132C97">
        <w:t xml:space="preserve"> </w:t>
      </w:r>
      <w:r w:rsidR="006F0023" w:rsidRPr="00132C97">
        <w:tab/>
      </w:r>
    </w:p>
    <w:p w14:paraId="331BF7A8" w14:textId="2F0C63C0" w:rsidR="006F0023" w:rsidRDefault="00132C97" w:rsidP="00132C97">
      <w:pPr>
        <w:pStyle w:val="BT-Livedexperience-Orange-Heading"/>
        <w:ind w:firstLine="465"/>
      </w:pPr>
      <w:r>
        <w:rPr>
          <w:noProof/>
        </w:rPr>
        <w:drawing>
          <wp:anchor distT="0" distB="0" distL="114300" distR="114300" simplePos="0" relativeHeight="251658268" behindDoc="0" locked="0" layoutInCell="1" allowOverlap="1" wp14:anchorId="1C5217FD" wp14:editId="095B885B">
            <wp:simplePos x="0" y="0"/>
            <wp:positionH relativeFrom="margin">
              <wp:align>left</wp:align>
            </wp:positionH>
            <wp:positionV relativeFrom="paragraph">
              <wp:posOffset>114935</wp:posOffset>
            </wp:positionV>
            <wp:extent cx="318770" cy="318770"/>
            <wp:effectExtent l="0" t="0" r="5080" b="5080"/>
            <wp:wrapNone/>
            <wp:docPr id="34351657" name="Picture 34351657" descr="Start of quotation from Lived Experience Partnership Group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420201"/>
                    <pic:cNvPicPr/>
                  </pic:nvPicPr>
                  <pic:blipFill>
                    <a:blip r:embed="rId38" cstate="print">
                      <a:extLst>
                        <a:ext uri="{28A0092B-C50C-407E-A947-70E740481C1C}">
                          <a14:useLocalDpi xmlns:a14="http://schemas.microsoft.com/office/drawing/2010/main" val="0"/>
                        </a:ext>
                        <a:ext uri="{C183D7F6-B498-43B3-948B-1728B52AA6E4}">
                          <adec:decorative xmlns:arto="http://schemas.microsoft.com/office/word/2006/arto" xmlns:adec="http://schemas.microsoft.com/office/drawing/2017/decorative" xmlns:asvg="http://schemas.microsoft.com/office/drawing/2016/SVG/main"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rot="16200000">
                      <a:off x="0" y="0"/>
                      <a:ext cx="318770" cy="318770"/>
                    </a:xfrm>
                    <a:prstGeom prst="rect">
                      <a:avLst/>
                    </a:prstGeom>
                  </pic:spPr>
                </pic:pic>
              </a:graphicData>
            </a:graphic>
          </wp:anchor>
        </w:drawing>
      </w:r>
      <w:r w:rsidR="006F0023">
        <w:t>Reflections from people with lived experience</w:t>
      </w:r>
    </w:p>
    <w:p w14:paraId="52F8C817" w14:textId="77777777" w:rsidR="006F0023" w:rsidRDefault="006F0023" w:rsidP="006F0023">
      <w:pPr>
        <w:pStyle w:val="BT-Livedexperience-Orange"/>
      </w:pPr>
      <w:r>
        <w:t xml:space="preserve">“When I first arrived in Australia, I was moved to a community housing unit by a refugee settlement program where I did not feel safe. </w:t>
      </w:r>
    </w:p>
    <w:p w14:paraId="2D20EEF3" w14:textId="77777777" w:rsidR="006F0023" w:rsidRDefault="006F0023" w:rsidP="006F0023">
      <w:pPr>
        <w:pStyle w:val="BT-Livedexperience-Orange"/>
      </w:pPr>
      <w:r>
        <w:t>“After my son and I were provided the opportunity to move to quality government subsidised rental housing, I felt safe and that made a significant difference in our life, my mental health started improving. The residents were considerate of others, they did not make loud noises to create disruption and interference in our neighbourhood. The apartment was well maintained and tidy under the supervision of a lovely lady. Being a single mother, having a child and coming from a war zone country, I feel that access to a safe and secure home</w:t>
      </w:r>
      <w:r w:rsidRPr="7E232F61">
        <w:rPr>
          <w:color w:val="8E5603" w:themeColor="accent5" w:themeShade="80"/>
        </w:rPr>
        <w:t xml:space="preserve"> </w:t>
      </w:r>
      <w:r>
        <w:t>is as necessary as access to food.</w:t>
      </w:r>
    </w:p>
    <w:p w14:paraId="637BBCE3" w14:textId="77777777" w:rsidR="006F0023" w:rsidRDefault="006F0023" w:rsidP="006F0023">
      <w:pPr>
        <w:pStyle w:val="BT-Livedexperience-Orange"/>
      </w:pPr>
      <w:r>
        <w:t>“From my own experience, I feel it is crucial to access safe, secure, quality, and affordable housing. It improves mental health and gives people a sense of control and security.”</w:t>
      </w:r>
    </w:p>
    <w:p w14:paraId="1D0A3DCA" w14:textId="77777777" w:rsidR="006F0023" w:rsidRDefault="006F0023" w:rsidP="006F0023">
      <w:pPr>
        <w:pStyle w:val="BT-Livedexperience-Orange"/>
        <w:jc w:val="right"/>
        <w:rPr>
          <w:rStyle w:val="Strong"/>
        </w:rPr>
      </w:pPr>
      <w:r w:rsidRPr="7E232F61">
        <w:rPr>
          <w:rStyle w:val="Strong"/>
        </w:rPr>
        <w:t>Adila Alef</w:t>
      </w:r>
      <w:r w:rsidRPr="7E232F61">
        <w:rPr>
          <w:rStyle w:val="Strong"/>
          <w:b w:val="0"/>
          <w:bCs w:val="0"/>
        </w:rPr>
        <w:t>, Lived Experience Partnership Group member</w:t>
      </w:r>
    </w:p>
    <w:p w14:paraId="5C9CAAB9" w14:textId="77777777" w:rsidR="00E31B6B" w:rsidRPr="00B768A1" w:rsidRDefault="00E31B6B" w:rsidP="00634A83">
      <w:pPr>
        <w:pStyle w:val="BT-Beigebox-Heading"/>
      </w:pPr>
      <w:r w:rsidRPr="00B768A1">
        <w:t>Activity to build on</w:t>
      </w:r>
    </w:p>
    <w:p w14:paraId="014E63A9" w14:textId="1D69AE30" w:rsidR="00E31B6B" w:rsidRPr="00B768A1" w:rsidRDefault="08843BB1" w:rsidP="00634A83">
      <w:pPr>
        <w:pStyle w:val="BT-Beigebox"/>
        <w:rPr>
          <w:vertAlign w:val="superscript"/>
        </w:rPr>
      </w:pPr>
      <w:r w:rsidRPr="00B768A1">
        <w:t>The COVID-19 pandemic provides a useful demonstration of the role of public policy in protecting people from the potential negative impacts of socio-economic factors. Despite adverse economic effects and increased unemployment in 2020 and 2021 associated with the pandemic, there was not an increase in deaths by suicide in Australia.</w:t>
      </w:r>
      <w:hyperlink w:anchor="_ENREF_131" w:tooltip="Welfare, 2023 #1076" w:history="1">
        <w:r w:rsidR="002D6F18">
          <w:fldChar w:fldCharType="begin"/>
        </w:r>
        <w:r w:rsidR="002D6F18">
          <w:instrText xml:space="preserve"> ADDIN EN.CITE &lt;EndNote&gt;&lt;Cite&gt;&lt;Author&gt;Welfare&lt;/Author&gt;&lt;Year&gt;2023&lt;/Year&gt;&lt;RecNum&gt;1076&lt;/RecNum&gt;&lt;DisplayText&gt;&lt;style face="superscript"&gt;131&lt;/style&gt;&lt;/DisplayText&gt;&lt;record&gt;&lt;rec-number&gt;1076&lt;/rec-number&gt;&lt;foreign-keys&gt;&lt;key app="EN" db-id="rsettzd2isasdweewww55s9lffasxav0d0ft" timestamp="1720495552" guid="d1acc5ac-3286-492d-a99a-fb15df1968f1"&gt;1076&lt;/key&gt;&lt;/foreign-keys&gt;&lt;ref-type name="Web Page"&gt;12&lt;/ref-type&gt;&lt;contributors&gt;&lt;authors&gt;&lt;author&gt;Australian Institute of Health and Welfare&lt;/author&gt;&lt;/authors&gt;&lt;/contributors&gt;&lt;titles&gt;&lt;title&gt;The use of mental health services, psychological distress, loneliness, suicide, ambulance attendances and COVID-19 &lt;/title&gt;&lt;/titles&gt;&lt;dates&gt;&lt;year&gt;2023&lt;/year&gt;&lt;pub-dates&gt;&lt;date&gt;06 December 2023&lt;/date&gt;&lt;/pub-dates&gt;&lt;/dates&gt;&lt;publisher&gt;AIHW, Australian Government&lt;/publisher&gt;&lt;work-type&gt;Internet&lt;/work-type&gt;&lt;urls&gt;&lt;related-urls&gt;&lt;url&gt;https://www.aihw.gov.au/suicide-self-harm-monitoring/data/covid-19&lt;/url&gt;&lt;/related-urls&gt;&lt;/urls&gt;&lt;custom1&gt;2024&lt;/custom1&gt;&lt;custom2&gt;March 06&lt;/custom2&gt;&lt;/record&gt;&lt;/Cite&gt;&lt;/EndNote&gt;</w:instrText>
        </w:r>
        <w:r w:rsidR="002D6F18">
          <w:fldChar w:fldCharType="separate"/>
        </w:r>
        <w:r w:rsidR="002D6F18" w:rsidRPr="00445D54">
          <w:rPr>
            <w:noProof/>
            <w:vertAlign w:val="superscript"/>
          </w:rPr>
          <w:t>131</w:t>
        </w:r>
        <w:r w:rsidR="002D6F18">
          <w:fldChar w:fldCharType="end"/>
        </w:r>
      </w:hyperlink>
      <w:r w:rsidRPr="00B768A1">
        <w:t xml:space="preserve"> Research has demonstrated that the COVID-19 economic response, such as the JobKeeper Payment and the Coronavirus supplement for income support recipients, helped to reduce levels of poverty and housing stress compared with pre-pandemic levels, and this may have had a protective effect against suicide.</w:t>
      </w:r>
      <w:hyperlink w:anchor="_ENREF_132" w:tooltip="B, 2020 #1117" w:history="1">
        <w:r w:rsidR="002D6F18">
          <w:fldChar w:fldCharType="begin"/>
        </w:r>
        <w:r w:rsidR="002D6F18">
          <w:instrText xml:space="preserve"> ADDIN EN.CITE &lt;EndNote&gt;&lt;Cite&gt;&lt;Author&gt;B&lt;/Author&gt;&lt;Year&gt;2020&lt;/Year&gt;&lt;RecNum&gt;1117&lt;/RecNum&gt;&lt;DisplayText&gt;&lt;style face="superscript"&gt;132&lt;/style&gt;&lt;/DisplayText&gt;&lt;record&gt;&lt;rec-number&gt;1117&lt;/rec-number&gt;&lt;foreign-keys&gt;&lt;key app="EN" db-id="rsettzd2isasdweewww55s9lffasxav0d0ft" timestamp="1720505963" guid="2a4776bf-fb1d-4634-817d-4e97cc9069cd"&gt;1117&lt;/key&gt;&lt;/foreign-keys&gt;&lt;ref-type name="Web Page"&gt;12&lt;/ref-type&gt;&lt;contributors&gt;&lt;authors&gt;&lt;author&gt;Phillips B &lt;/author&gt;&lt;author&gt;Gray M &lt;/author&gt;&lt;author&gt;Biddle N &lt;/author&gt;&lt;/authors&gt;&lt;/contributors&gt;&lt;titles&gt;&lt;title&gt;COVID 19 JobKeeper and JobSeeker impacts on poverty and housing stress under current and alternative economic and policy scenarios&lt;/title&gt;&lt;/titles&gt;&lt;dates&gt;&lt;year&gt;2020&lt;/year&gt;&lt;/dates&gt;&lt;pub-location&gt;Canberra&lt;/pub-location&gt;&lt;publisher&gt;Centre for Social Research and Methods, Australian National University&lt;/publisher&gt;&lt;work-type&gt;Internet&lt;/work-type&gt;&lt;urls&gt;&lt;related-urls&gt;&lt;url&gt;https://csrm.cass.anu.edu.au/research/publications/covid-19-jobkeeper-and-jobseeker-impacts-poverty-and-housing-stress-under&lt;/url&gt;&lt;/related-urls&gt;&lt;/urls&gt;&lt;custom1&gt;2024&lt;/custom1&gt;&lt;custom2&gt;March 17&lt;/custom2&gt;&lt;/record&gt;&lt;/Cite&gt;&lt;/EndNote&gt;</w:instrText>
        </w:r>
        <w:r w:rsidR="002D6F18">
          <w:fldChar w:fldCharType="separate"/>
        </w:r>
        <w:r w:rsidR="002D6F18" w:rsidRPr="00445D54">
          <w:rPr>
            <w:noProof/>
            <w:vertAlign w:val="superscript"/>
          </w:rPr>
          <w:t>132</w:t>
        </w:r>
        <w:r w:rsidR="002D6F18">
          <w:fldChar w:fldCharType="end"/>
        </w:r>
      </w:hyperlink>
      <w:r w:rsidRPr="00B768A1">
        <w:t xml:space="preserve"> This finding is consistent with international evidence that government support provided to alleviate financial hardship had a protective effect against suicide.</w:t>
      </w:r>
      <w:hyperlink w:anchor="_ENREF_14" w:tooltip="S, 2022 #28" w:history="1">
        <w:r w:rsidR="002D6F18" w:rsidRPr="00A37487">
          <w:rPr>
            <w:vertAlign w:val="superscript"/>
          </w:rPr>
          <w:fldChar w:fldCharType="begin"/>
        </w:r>
        <w:r w:rsidR="002D6F18">
          <w:rPr>
            <w:vertAlign w:val="superscript"/>
          </w:rPr>
          <w:instrText xml:space="preserve"> ADDIN EN.CITE &lt;EndNote&gt;&lt;Cite&gt;&lt;Author&gt;S&lt;/Author&gt;&lt;Year&gt;2022&lt;/Year&gt;&lt;RecNum&gt;28&lt;/RecNum&gt;&lt;DisplayText&gt;&lt;style face="superscript"&gt;14&lt;/style&gt;&lt;/DisplayText&gt;&lt;record&gt;&lt;rec-number&gt;28&lt;/rec-number&gt;&lt;foreign-keys&gt;&lt;key app="EN" db-id="rsettzd2isasdweewww55s9lffasxav0d0ft" timestamp="1700699466" guid="3b4c2c5a-88fe-4c4e-aa35-c26f98724367"&gt;28&lt;/key&gt;&lt;/foreign-keys&gt;&lt;ref-type name="Journal Article"&gt;17&lt;/ref-type&gt;&lt;contributors&gt;&lt;authors&gt;&lt;author&gt;Mathieu S&lt;/author&gt;&lt;author&gt;Treloar A&lt;/author&gt;&lt;author&gt;Hawgood J&lt;/author&gt;&lt;author&gt;Ross V&lt;/author&gt;&lt;author&gt;Kolves K&lt;/author&gt;&lt;/authors&gt;&lt;/contributors&gt;&lt;titles&gt;&lt;title&gt;The Role of Unemployment, Financial Hardship, and Economic Recession on Suicidal Behaviors and Interventions to Mitigate Their Impact: A Review&lt;/title&gt;&lt;secondary-title&gt;Frontiers in Public Health&lt;/secondary-title&gt;&lt;/titles&gt;&lt;periodical&gt;&lt;full-title&gt;Frontiers in Public Health&lt;/full-title&gt;&lt;/periodical&gt;&lt;dates&gt;&lt;year&gt;2022&lt;/year&gt;&lt;/dates&gt;&lt;urls&gt;&lt;/urls&gt;&lt;electronic-resource-num&gt;10.3389/fpubh.2022.907052&lt;/electronic-resource-num&gt;&lt;/record&gt;&lt;/Cite&gt;&lt;/EndNote&gt;</w:instrText>
        </w:r>
        <w:r w:rsidR="002D6F18" w:rsidRPr="00A37487">
          <w:rPr>
            <w:vertAlign w:val="superscript"/>
          </w:rPr>
          <w:fldChar w:fldCharType="separate"/>
        </w:r>
        <w:r w:rsidR="002D6F18">
          <w:rPr>
            <w:noProof/>
            <w:vertAlign w:val="superscript"/>
          </w:rPr>
          <w:t>14</w:t>
        </w:r>
        <w:r w:rsidR="002D6F18" w:rsidRPr="00A37487">
          <w:rPr>
            <w:vertAlign w:val="superscript"/>
          </w:rPr>
          <w:fldChar w:fldCharType="end"/>
        </w:r>
      </w:hyperlink>
      <w:r w:rsidR="00A37487" w:rsidRPr="00A37487">
        <w:rPr>
          <w:vertAlign w:val="superscript"/>
        </w:rPr>
        <w:t>,</w:t>
      </w:r>
      <w:hyperlink w:anchor="_ENREF_15" w:tooltip="RS, 2021 #973" w:history="1">
        <w:r w:rsidR="002D6F18" w:rsidRPr="00A37487">
          <w:rPr>
            <w:vertAlign w:val="superscript"/>
          </w:rPr>
          <w:fldChar w:fldCharType="begin">
            <w:fldData xml:space="preserve">PEVuZE5vdGU+PENpdGU+PEF1dGhvcj5SUzwvQXV0aG9yPjxZZWFyPjIwMjE8L1llYXI+PFJlY051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</w:fldData>
          </w:fldChar>
        </w:r>
        <w:r w:rsidR="002D6F18">
          <w:rPr>
            <w:vertAlign w:val="superscript"/>
          </w:rPr>
          <w:instrText xml:space="preserve"> ADDIN EN.CITE </w:instrText>
        </w:r>
        <w:r w:rsidR="002D6F18">
          <w:rPr>
            <w:vertAlign w:val="superscript"/>
          </w:rPr>
          <w:fldChar w:fldCharType="begin">
            <w:fldData xml:space="preserve">PEVuZE5vdGU+PENpdGU+PEF1dGhvcj5SUzwvQXV0aG9yPjxZZWFyPjIwMjE8L1llYXI+PFJlY051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</w:fldData>
          </w:fldChar>
        </w:r>
        <w:r w:rsidR="002D6F18">
          <w:rPr>
            <w:vertAlign w:val="superscript"/>
          </w:rPr>
          <w:instrText xml:space="preserve"> ADDIN EN.CITE.DATA </w:instrText>
        </w:r>
        <w:r w:rsidR="002D6F18">
          <w:rPr>
            <w:vertAlign w:val="superscript"/>
          </w:rPr>
        </w:r>
        <w:r w:rsidR="002D6F18">
          <w:rPr>
            <w:vertAlign w:val="superscript"/>
          </w:rPr>
          <w:fldChar w:fldCharType="end"/>
        </w:r>
        <w:r w:rsidR="002D6F18" w:rsidRPr="00A37487">
          <w:rPr>
            <w:vertAlign w:val="superscript"/>
          </w:rPr>
        </w:r>
        <w:r w:rsidR="002D6F18" w:rsidRPr="00A37487">
          <w:rPr>
            <w:vertAlign w:val="superscript"/>
          </w:rPr>
          <w:fldChar w:fldCharType="separate"/>
        </w:r>
        <w:r w:rsidR="002D6F18">
          <w:rPr>
            <w:noProof/>
            <w:vertAlign w:val="superscript"/>
          </w:rPr>
          <w:t>15</w:t>
        </w:r>
        <w:r w:rsidR="002D6F18" w:rsidRPr="00A37487">
          <w:rPr>
            <w:vertAlign w:val="superscript"/>
          </w:rPr>
          <w:fldChar w:fldCharType="end"/>
        </w:r>
      </w:hyperlink>
    </w:p>
    <w:p w14:paraId="60B5D7F9" w14:textId="3F2AFE0C" w:rsidR="00E31B6B" w:rsidRPr="00B768A1" w:rsidRDefault="00E31B6B" w:rsidP="00745B34">
      <w:pPr>
        <w:pStyle w:val="Caption"/>
      </w:pPr>
      <w:bookmarkStart w:id="56" w:name="_Ref164869797"/>
      <w:bookmarkStart w:id="57" w:name="_Ref171458983"/>
      <w:bookmarkStart w:id="58" w:name="_Ref171458958"/>
      <w:r>
        <w:t xml:space="preserve">Table </w:t>
      </w:r>
      <w:bookmarkEnd w:id="56"/>
      <w:r w:rsidR="003908CF">
        <w:fldChar w:fldCharType="begin"/>
      </w:r>
      <w:r w:rsidR="003908CF">
        <w:instrText xml:space="preserve"> SEQ Table \* ARABIC  \* MERGEFORMAT \* MERGEFORMAT </w:instrText>
      </w:r>
      <w:r w:rsidR="003908CF">
        <w:fldChar w:fldCharType="separate"/>
      </w:r>
      <w:r w:rsidR="009F12B4">
        <w:rPr>
          <w:noProof/>
        </w:rPr>
        <w:t>9</w:t>
      </w:r>
      <w:r w:rsidR="003908CF">
        <w:fldChar w:fldCharType="end"/>
      </w:r>
      <w:bookmarkEnd w:id="57"/>
      <w:r>
        <w:t xml:space="preserve">: </w:t>
      </w:r>
      <w:bookmarkStart w:id="59" w:name="_Ref171458966"/>
      <w:r>
        <w:t xml:space="preserve">Recommended actions for Prevention objective </w:t>
      </w:r>
      <w:r w:rsidR="00F00AA7">
        <w:t>3.2</w:t>
      </w:r>
      <w:r>
        <w:t>: Reduce economic insecurity</w:t>
      </w:r>
      <w:bookmarkEnd w:id="58"/>
      <w:bookmarkEnd w:id="59"/>
    </w:p>
    <w:tbl>
      <w:tblPr>
        <w:tblStyle w:val="TableGrid"/>
        <w:tblW w:w="5000" w:type="pct"/>
        <w:tblLayout w:type="fixed"/>
        <w:tblLook w:val="0420" w:firstRow="1" w:lastRow="0" w:firstColumn="0" w:lastColumn="0" w:noHBand="0" w:noVBand="1"/>
        <w:tblCaption w:val="Recommended actions for Prevention objective 2.4: Reduce economic insecurity"/>
        <w:tblDescription w:val="Describes actions ko2.4a to ko2.4f."/>
      </w:tblPr>
      <w:tblGrid>
        <w:gridCol w:w="1269"/>
        <w:gridCol w:w="7792"/>
      </w:tblGrid>
      <w:tr w:rsidR="00100EBC" w:rsidRPr="003750B7" w14:paraId="6A39638F" w14:textId="77777777" w:rsidTr="0D1DAC04">
        <w:trPr>
          <w:cnfStyle w:val="100000000000" w:firstRow="1" w:lastRow="0" w:firstColumn="0" w:lastColumn="0" w:oddVBand="0" w:evenVBand="0" w:oddHBand="0" w:evenHBand="0" w:firstRowFirstColumn="0" w:firstRowLastColumn="0" w:lastRowFirstColumn="0" w:lastRowLastColumn="0"/>
          <w:tblHeader/>
        </w:trPr>
        <w:tc>
          <w:tcPr>
            <w:tcW w:w="7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48002"/>
          </w:tcPr>
          <w:p w14:paraId="3B2B67D7" w14:textId="77777777" w:rsidR="00100EBC" w:rsidRPr="003750B7" w:rsidRDefault="00100EBC" w:rsidP="004F5B0E">
            <w:pPr>
              <w:pStyle w:val="NMHCTableHeaderRow"/>
            </w:pPr>
            <w:r w:rsidRPr="003750B7">
              <w:t>Action</w:t>
            </w:r>
          </w:p>
        </w:tc>
        <w:tc>
          <w:tcPr>
            <w:tcW w:w="43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48002"/>
            <w:tcMar>
              <w:top w:w="28" w:type="dxa"/>
              <w:bottom w:w="28" w:type="dxa"/>
            </w:tcMar>
          </w:tcPr>
          <w:p w14:paraId="0B3B6AAA" w14:textId="77777777" w:rsidR="00100EBC" w:rsidRPr="003750B7" w:rsidRDefault="00100EBC" w:rsidP="004F5B0E">
            <w:pPr>
              <w:pStyle w:val="NMHCTableHeaderRow"/>
            </w:pPr>
            <w:r>
              <w:t>Description</w:t>
            </w:r>
          </w:p>
        </w:tc>
      </w:tr>
      <w:tr w:rsidR="00100EBC" w:rsidRPr="00B768A1" w14:paraId="7A4AE059" w14:textId="77777777" w:rsidTr="0D1DAC04">
        <w:tc>
          <w:tcPr>
            <w:tcW w:w="700" w:type="pct"/>
            <w:tcBorders>
              <w:top w:val="single" w:sz="4" w:space="0" w:color="FFFFFF" w:themeColor="background1"/>
            </w:tcBorders>
          </w:tcPr>
          <w:p w14:paraId="36AD4ADB" w14:textId="71259790" w:rsidR="00100EBC" w:rsidRPr="009C58E7" w:rsidRDefault="00100EBC" w:rsidP="00634A83">
            <w:r>
              <w:t>k</w:t>
            </w:r>
            <w:r w:rsidRPr="009C58E7">
              <w:t>o3.2a</w:t>
            </w:r>
          </w:p>
        </w:tc>
        <w:tc>
          <w:tcPr>
            <w:tcW w:w="4300" w:type="pct"/>
            <w:tcBorders>
              <w:top w:val="single" w:sz="4" w:space="0" w:color="FFFFFF" w:themeColor="background1"/>
            </w:tcBorders>
            <w:tcMar>
              <w:top w:w="28" w:type="dxa"/>
              <w:bottom w:w="28" w:type="dxa"/>
            </w:tcMar>
          </w:tcPr>
          <w:p w14:paraId="311D73B3" w14:textId="77777777" w:rsidR="00100EBC" w:rsidRPr="009C58E7" w:rsidRDefault="00100EBC" w:rsidP="00634A83">
            <w:r w:rsidRPr="009C58E7">
              <w:t>Enhance programs that provide equitable access to employment opportunities:</w:t>
            </w:r>
          </w:p>
          <w:p w14:paraId="51EC6016" w14:textId="1FE255B6" w:rsidR="00100EBC" w:rsidRPr="009C58E7" w:rsidRDefault="70192CDD" w:rsidP="00634A83">
            <w:pPr>
              <w:pStyle w:val="ListParagraph"/>
              <w:numPr>
                <w:ilvl w:val="0"/>
                <w:numId w:val="63"/>
              </w:numPr>
              <w:rPr>
                <w:bCs/>
              </w:rPr>
            </w:pPr>
            <w:r w:rsidRPr="498A3250">
              <w:t>Implement reforms outlined in Working Future: The Australian Government’s White Paper on Jobs and Opportunities.</w:t>
            </w:r>
            <w:hyperlink w:anchor="_ENREF_133" w:tooltip="Treasury, 2023 #1077" w:history="1">
              <w:r w:rsidR="002D6F18">
                <w:fldChar w:fldCharType="begin"/>
              </w:r>
              <w:r w:rsidR="002D6F18">
                <w:instrText xml:space="preserve"> ADDIN EN.CITE &lt;EndNote&gt;&lt;Cite&gt;&lt;Author&gt;Treasury&lt;/Author&gt;&lt;Year&gt;2023&lt;/Year&gt;&lt;RecNum&gt;1077&lt;/RecNum&gt;&lt;DisplayText&gt;&lt;style face="superscript"&gt;133&lt;/style&gt;&lt;/DisplayText&gt;&lt;record&gt;&lt;rec-number&gt;1077&lt;/rec-number&gt;&lt;foreign-keys&gt;&lt;key app="EN" db-id="rsettzd2isasdweewww55s9lffasxav0d0ft" timestamp="1720495725" guid="4ccb67ae-e08d-4478-a5d8-5ae92a2a573e"&gt;1077&lt;/key&gt;&lt;/foreign-keys&gt;&lt;ref-type name="Web Page"&gt;12&lt;/ref-type&gt;&lt;contributors&gt;&lt;authors&gt;&lt;author&gt;The Treasury&lt;/author&gt;&lt;/authors&gt;&lt;/contributors&gt;&lt;titles&gt;&lt;title&gt;Working future: the Australian Government’s white paper on jobs and opportunities&lt;/title&gt;&lt;/titles&gt;&lt;dates&gt;&lt;year&gt;2023&lt;/year&gt;&lt;pub-dates&gt;&lt;date&gt;25 September 2023&lt;/date&gt;&lt;/pub-dates&gt;&lt;/dates&gt;&lt;publisher&gt;The Treasury, Australian Government&lt;/publisher&gt;&lt;isbn&gt;978-1-925832-80-8&lt;/isbn&gt;&lt;work-type&gt;Internet&lt;/work-type&gt;&lt;urls&gt;&lt;related-urls&gt;&lt;url&gt;https://treasury.gov.au/employment-whitepaper/final-report&lt;/url&gt;&lt;/related-urls&gt;&lt;/urls&gt;&lt;custom1&gt;2024&lt;/custom1&gt;&lt;custom2&gt;February 08&lt;/custom2&gt;&lt;/record&gt;&lt;/Cite&gt;&lt;/EndNote&gt;</w:instrText>
              </w:r>
              <w:r w:rsidR="002D6F18">
                <w:fldChar w:fldCharType="separate"/>
              </w:r>
              <w:r w:rsidR="002D6F18" w:rsidRPr="00445D54">
                <w:rPr>
                  <w:noProof/>
                  <w:vertAlign w:val="superscript"/>
                </w:rPr>
                <w:t>133</w:t>
              </w:r>
              <w:r w:rsidR="002D6F18">
                <w:fldChar w:fldCharType="end"/>
              </w:r>
            </w:hyperlink>
          </w:p>
          <w:p w14:paraId="742EFF76" w14:textId="77777777" w:rsidR="00100EBC" w:rsidRPr="009C58E7" w:rsidRDefault="00100EBC" w:rsidP="00634A83">
            <w:pPr>
              <w:pStyle w:val="ListParagraph"/>
              <w:numPr>
                <w:ilvl w:val="0"/>
                <w:numId w:val="63"/>
              </w:numPr>
            </w:pPr>
            <w:r w:rsidRPr="009C58E7">
              <w:t>Provide incentives to employers to employ groups of people who are chronically unemployed or underemployed.</w:t>
            </w:r>
          </w:p>
          <w:p w14:paraId="4A0B390B" w14:textId="77777777" w:rsidR="00100EBC" w:rsidRPr="009C58E7" w:rsidRDefault="00100EBC" w:rsidP="00634A83">
            <w:pPr>
              <w:pStyle w:val="ListParagraph"/>
              <w:numPr>
                <w:ilvl w:val="0"/>
                <w:numId w:val="63"/>
              </w:numPr>
            </w:pPr>
            <w:r w:rsidRPr="009C58E7">
              <w:t>Help people who receive income support payments to gain secure employment.</w:t>
            </w:r>
          </w:p>
          <w:p w14:paraId="2B98397B" w14:textId="77777777" w:rsidR="00100EBC" w:rsidRPr="009C58E7" w:rsidRDefault="00100EBC" w:rsidP="00634A83">
            <w:pPr>
              <w:pStyle w:val="ListParagraph"/>
              <w:numPr>
                <w:ilvl w:val="0"/>
                <w:numId w:val="63"/>
              </w:numPr>
            </w:pPr>
            <w:r w:rsidRPr="009C58E7">
              <w:t>Ensure people’s specific needs in finding employment at different ages are met.</w:t>
            </w:r>
          </w:p>
          <w:p w14:paraId="09E1FF66" w14:textId="77777777" w:rsidR="00100EBC" w:rsidRPr="009C58E7" w:rsidRDefault="00100EBC" w:rsidP="00634A83">
            <w:pPr>
              <w:pStyle w:val="ListParagraph"/>
              <w:numPr>
                <w:ilvl w:val="0"/>
                <w:numId w:val="63"/>
              </w:numPr>
              <w:rPr>
                <w:lang w:eastAsia="en-AU"/>
              </w:rPr>
            </w:pPr>
            <w:r w:rsidRPr="009C58E7">
              <w:t>Provide employment opportunities for people who are experiencing barriers to accessible workplaces, such as people living and working in regional, rural and remote communities and people with disability.</w:t>
            </w:r>
          </w:p>
        </w:tc>
      </w:tr>
      <w:tr w:rsidR="00100EBC" w:rsidRPr="00B768A1" w14:paraId="185D8E04" w14:textId="77777777" w:rsidTr="0D1DAC04">
        <w:tc>
          <w:tcPr>
            <w:tcW w:w="700" w:type="pct"/>
          </w:tcPr>
          <w:p w14:paraId="258DB44A" w14:textId="55E0EC91" w:rsidR="00100EBC" w:rsidRPr="009C58E7" w:rsidRDefault="00100EBC" w:rsidP="00634A83">
            <w:r>
              <w:t>k</w:t>
            </w:r>
            <w:r w:rsidRPr="009C58E7">
              <w:t>o3.2b</w:t>
            </w:r>
          </w:p>
        </w:tc>
        <w:tc>
          <w:tcPr>
            <w:tcW w:w="4300" w:type="pct"/>
            <w:tcMar>
              <w:top w:w="28" w:type="dxa"/>
              <w:bottom w:w="28" w:type="dxa"/>
            </w:tcMar>
          </w:tcPr>
          <w:p w14:paraId="484A3B65" w14:textId="77777777" w:rsidR="00100EBC" w:rsidRPr="009C58E7" w:rsidRDefault="00100EBC" w:rsidP="00634A83">
            <w:r w:rsidRPr="009C58E7">
              <w:t>Enhance</w:t>
            </w:r>
            <w:r w:rsidRPr="009C58E7" w:rsidDel="00730123">
              <w:t xml:space="preserve"> </w:t>
            </w:r>
            <w:r w:rsidRPr="009C58E7">
              <w:t>access to vocational and tertiary education, including by providing:</w:t>
            </w:r>
          </w:p>
          <w:p w14:paraId="62D57A97" w14:textId="77777777" w:rsidR="00100EBC" w:rsidRPr="009C58E7" w:rsidRDefault="00100EBC" w:rsidP="00634A83">
            <w:pPr>
              <w:pStyle w:val="ListParagraph"/>
              <w:numPr>
                <w:ilvl w:val="0"/>
                <w:numId w:val="64"/>
              </w:numPr>
              <w:rPr>
                <w:szCs w:val="20"/>
              </w:rPr>
            </w:pPr>
            <w:r w:rsidRPr="009C58E7">
              <w:t>enrolment for people who cannot otherwise afford to study</w:t>
            </w:r>
          </w:p>
          <w:p w14:paraId="32CCD816" w14:textId="77777777" w:rsidR="00100EBC" w:rsidRPr="009C58E7" w:rsidRDefault="00100EBC" w:rsidP="00634A83">
            <w:pPr>
              <w:pStyle w:val="ListParagraph"/>
              <w:numPr>
                <w:ilvl w:val="0"/>
                <w:numId w:val="64"/>
              </w:numPr>
            </w:pPr>
            <w:r w:rsidRPr="009C58E7">
              <w:t>enrolment and access for people who are experiencing physical or geographic barriers to further education, including making reasonable adjustments to support engagement.</w:t>
            </w:r>
          </w:p>
        </w:tc>
      </w:tr>
      <w:tr w:rsidR="00100EBC" w:rsidRPr="00B768A1" w14:paraId="503C0D4F" w14:textId="77777777" w:rsidTr="0D1DAC04">
        <w:tc>
          <w:tcPr>
            <w:tcW w:w="700" w:type="pct"/>
          </w:tcPr>
          <w:p w14:paraId="581DE9F9" w14:textId="2B7D2719" w:rsidR="00100EBC" w:rsidRPr="009C58E7" w:rsidRDefault="00100EBC" w:rsidP="00634A83">
            <w:r>
              <w:t>k</w:t>
            </w:r>
            <w:r w:rsidRPr="009C58E7">
              <w:t>o</w:t>
            </w:r>
            <w:r>
              <w:t>3.2</w:t>
            </w:r>
            <w:r w:rsidRPr="009C58E7">
              <w:t>c</w:t>
            </w:r>
          </w:p>
        </w:tc>
        <w:tc>
          <w:tcPr>
            <w:tcW w:w="4300" w:type="pct"/>
            <w:tcMar>
              <w:top w:w="28" w:type="dxa"/>
              <w:bottom w:w="28" w:type="dxa"/>
            </w:tcMar>
          </w:tcPr>
          <w:p w14:paraId="0EA5C9FB" w14:textId="77777777" w:rsidR="00100EBC" w:rsidRPr="009C58E7" w:rsidRDefault="00100EBC" w:rsidP="00634A83">
            <w:r w:rsidRPr="009C58E7">
              <w:t>Provide adequate income support to minimise the financial stress experienced by people with income instability.</w:t>
            </w:r>
          </w:p>
        </w:tc>
      </w:tr>
      <w:tr w:rsidR="00100EBC" w:rsidRPr="00B768A1" w14:paraId="722CBBB3" w14:textId="77777777" w:rsidTr="0D1DAC04">
        <w:tc>
          <w:tcPr>
            <w:tcW w:w="700" w:type="pct"/>
          </w:tcPr>
          <w:p w14:paraId="2AD769B1" w14:textId="06D99452" w:rsidR="00100EBC" w:rsidRPr="00B768A1" w:rsidRDefault="00100EBC" w:rsidP="00634A83">
            <w:r>
              <w:t>ko3.2</w:t>
            </w:r>
            <w:r w:rsidRPr="00B768A1">
              <w:t>d</w:t>
            </w:r>
          </w:p>
        </w:tc>
        <w:tc>
          <w:tcPr>
            <w:tcW w:w="4300" w:type="pct"/>
            <w:tcMar>
              <w:top w:w="28" w:type="dxa"/>
              <w:bottom w:w="28" w:type="dxa"/>
            </w:tcMar>
          </w:tcPr>
          <w:p w14:paraId="24FE648C" w14:textId="77777777" w:rsidR="00100EBC" w:rsidRPr="00B768A1" w:rsidRDefault="00100EBC" w:rsidP="00634A83">
            <w:r w:rsidRPr="00B768A1">
              <w:t>Strengthen connections between financial counselling, mental health and suicide prevention supports to meet the holistic and complex needs of people experiencing financial distress. Meeting these needs requires continuous access to financial counselling.</w:t>
            </w:r>
          </w:p>
        </w:tc>
      </w:tr>
      <w:tr w:rsidR="00100EBC" w:rsidRPr="00B768A1" w14:paraId="3A932F77" w14:textId="77777777" w:rsidTr="0D1DAC04">
        <w:tc>
          <w:tcPr>
            <w:tcW w:w="700" w:type="pct"/>
          </w:tcPr>
          <w:p w14:paraId="3929AD1A" w14:textId="188A171A" w:rsidR="00100EBC" w:rsidRPr="009C58E7" w:rsidRDefault="278127B6" w:rsidP="00634A83">
            <w:r>
              <w:t>ko3.2e</w:t>
            </w:r>
          </w:p>
        </w:tc>
        <w:tc>
          <w:tcPr>
            <w:tcW w:w="4300" w:type="pct"/>
            <w:tcMar>
              <w:top w:w="28" w:type="dxa"/>
              <w:bottom w:w="28" w:type="dxa"/>
            </w:tcMar>
          </w:tcPr>
          <w:p w14:paraId="0EE287A7" w14:textId="1F9B0FEC" w:rsidR="00100EBC" w:rsidRPr="009C58E7" w:rsidRDefault="3CF6C23C" w:rsidP="00634A83">
            <w:r>
              <w:t>Provide equitable and inclusive access to safe, secure and affordable housing</w:t>
            </w:r>
            <w:r w:rsidR="75009835">
              <w:t xml:space="preserve"> across the spectrum of housing and housing services, including homelessness services, social housing, private rental housing and home ownership.</w:t>
            </w:r>
          </w:p>
        </w:tc>
      </w:tr>
      <w:tr w:rsidR="00100EBC" w:rsidRPr="00B768A1" w14:paraId="499D9516" w14:textId="77777777" w:rsidTr="0D1DAC04">
        <w:tc>
          <w:tcPr>
            <w:tcW w:w="700" w:type="pct"/>
          </w:tcPr>
          <w:p w14:paraId="3B90B003" w14:textId="47D52EE8" w:rsidR="00100EBC" w:rsidRPr="009C58E7" w:rsidDel="00A9108F" w:rsidRDefault="00100EBC" w:rsidP="00634A83">
            <w:r>
              <w:t>k</w:t>
            </w:r>
            <w:r w:rsidRPr="009C58E7">
              <w:t>o3.2f</w:t>
            </w:r>
          </w:p>
        </w:tc>
        <w:tc>
          <w:tcPr>
            <w:tcW w:w="4300" w:type="pct"/>
            <w:tcMar>
              <w:top w:w="28" w:type="dxa"/>
              <w:bottom w:w="28" w:type="dxa"/>
            </w:tcMar>
          </w:tcPr>
          <w:p w14:paraId="38BD3D61" w14:textId="77777777" w:rsidR="00100EBC" w:rsidRPr="009C58E7" w:rsidRDefault="00100EBC" w:rsidP="00634A83">
            <w:pPr>
              <w:rPr>
                <w:rFonts w:cstheme="minorHAnsi"/>
              </w:rPr>
            </w:pPr>
            <w:r w:rsidRPr="009C58E7">
              <w:t>Develop a systematic process that ensures people retiring or leaving the workforce, and people requesting early access to superannuation, are proactively offered financial, physical health and mental health supports.</w:t>
            </w:r>
          </w:p>
        </w:tc>
      </w:tr>
    </w:tbl>
    <w:p w14:paraId="587DFF28" w14:textId="7A8ED155" w:rsidR="001F2AF4" w:rsidRDefault="001F2AF4" w:rsidP="00634A83">
      <w:pPr>
        <w:pStyle w:val="BodyText"/>
      </w:pPr>
    </w:p>
    <w:p w14:paraId="5401A309" w14:textId="77777777" w:rsidR="001F2AF4" w:rsidRDefault="001F2AF4" w:rsidP="00634A83">
      <w:pPr>
        <w:rPr>
          <w:rFonts w:eastAsiaTheme="majorEastAsia" w:cstheme="majorBidi"/>
          <w:sz w:val="40"/>
          <w:szCs w:val="26"/>
        </w:rPr>
      </w:pPr>
      <w:r>
        <w:br w:type="page"/>
      </w:r>
    </w:p>
    <w:p w14:paraId="36B204D0" w14:textId="0997D9CE" w:rsidR="00C823E8" w:rsidRDefault="00B76BB1" w:rsidP="008F7F7F">
      <w:pPr>
        <w:pStyle w:val="HeadingKOprevention"/>
      </w:pPr>
      <w:bookmarkStart w:id="60" w:name="_Toc1418359854"/>
      <w:bookmarkStart w:id="61" w:name="_Toc1112432860"/>
      <w:bookmarkStart w:id="62" w:name="_Toc171459029"/>
      <w:r>
        <w:drawing>
          <wp:anchor distT="0" distB="0" distL="114300" distR="114300" simplePos="0" relativeHeight="251658253" behindDoc="1" locked="0" layoutInCell="1" allowOverlap="1" wp14:anchorId="3AB27851" wp14:editId="3F540995">
            <wp:simplePos x="0" y="0"/>
            <wp:positionH relativeFrom="margin">
              <wp:align>right</wp:align>
            </wp:positionH>
            <wp:positionV relativeFrom="paragraph">
              <wp:posOffset>10795</wp:posOffset>
            </wp:positionV>
            <wp:extent cx="1402715" cy="899795"/>
            <wp:effectExtent l="0" t="0" r="6985" b="0"/>
            <wp:wrapTight wrapText="bothSides">
              <wp:wrapPolygon edited="0">
                <wp:start x="0" y="0"/>
                <wp:lineTo x="0" y="21036"/>
                <wp:lineTo x="21414" y="21036"/>
                <wp:lineTo x="21414" y="0"/>
                <wp:lineTo x="0" y="0"/>
              </wp:wrapPolygon>
            </wp:wrapTight>
            <wp:docPr id="20" name="Picture 20" descr="Social inclusion is Key objective 4 of the Strategy, within the domain of Prevention of suicidal distr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ocial inclusion is Key objective 4 of the Strategy, within the domain of Prevention of suicidal distress. "/>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02715" cy="899795"/>
                    </a:xfrm>
                    <a:prstGeom prst="rect">
                      <a:avLst/>
                    </a:prstGeom>
                  </pic:spPr>
                </pic:pic>
              </a:graphicData>
            </a:graphic>
          </wp:anchor>
        </w:drawing>
      </w:r>
      <w:r w:rsidR="00C823E8" w:rsidRPr="00A60CE2">
        <w:t xml:space="preserve">Key objective </w:t>
      </w:r>
      <w:r w:rsidR="009C58E7">
        <w:t>4</w:t>
      </w:r>
      <w:r w:rsidR="00C823E8" w:rsidRPr="00A60CE2">
        <w:t xml:space="preserve">: </w:t>
      </w:r>
      <w:r w:rsidR="009C58E7">
        <w:t>Social inclusion</w:t>
      </w:r>
      <w:bookmarkEnd w:id="60"/>
      <w:bookmarkEnd w:id="61"/>
      <w:bookmarkEnd w:id="62"/>
    </w:p>
    <w:p w14:paraId="4C316F6D" w14:textId="373C87CF" w:rsidR="009834F5" w:rsidRDefault="37957411" w:rsidP="00634A83">
      <w:pPr>
        <w:rPr>
          <w:vertAlign w:val="superscript"/>
        </w:rPr>
      </w:pPr>
      <w:r w:rsidRPr="498A3250">
        <w:t>Populations that have greater social capital—that is, those with stable families and closely knit communities that nurture and reinforce social connections—have lower suicide rates.</w:t>
      </w:r>
      <w:hyperlink w:anchor="_ENREF_40" w:tooltip="BD, 2009 #132" w:history="1">
        <w:r w:rsidR="002D6F18">
          <w:fldChar w:fldCharType="begin"/>
        </w:r>
        <w:r w:rsidR="002D6F18">
          <w:instrText xml:space="preserve"> ADDIN EN.CITE &lt;EndNote&gt;&lt;Cite&gt;&lt;Author&gt;BD&lt;/Author&gt;&lt;Year&gt;2009&lt;/Year&gt;&lt;RecNum&gt;132&lt;/RecNum&gt;&lt;DisplayText&gt;&lt;style face="superscript"&gt;40&lt;/style&gt;&lt;/DisplayText&gt;&lt;record&gt;&lt;rec-number&gt;132&lt;/rec-number&gt;&lt;foreign-keys&gt;&lt;key app="EN" db-id="rsettzd2isasdweewww55s9lffasxav0d0ft" timestamp="1700699468" guid="b80467e6-c5a8-4942-9246-1c06e978a8f6"&gt;132&lt;/key&gt;&lt;/foreign-keys&gt;&lt;ref-type name="Journal Article"&gt;17&lt;/ref-type&gt;&lt;contributors&gt;&lt;authors&gt;&lt;author&gt;Kelly BD&lt;/author&gt;&lt;author&gt;Davoren M&lt;/author&gt;&lt;author&gt;Mhaoláin ÁN&lt;/author&gt;&lt;author&gt;Breen EG&lt;/author&gt;&lt;author&gt;Casey P&lt;/author&gt;&lt;/authors&gt;&lt;/contributors&gt;&lt;titles&gt;&lt;title&gt;Social Capital and Suicide in 11 European Countries: An Ecological Analysis&lt;/title&gt;&lt;secondary-title&gt;Social Psychiatry and Psychiatric Epidemiology&lt;/secondary-title&gt;&lt;/titles&gt;&lt;periodical&gt;&lt;full-title&gt;Social Psychiatry and Psychiatric Epidemiology&lt;/full-title&gt;&lt;/periodical&gt;&lt;dates&gt;&lt;year&gt;2009&lt;/year&gt;&lt;/dates&gt;&lt;urls&gt;&lt;/urls&gt;&lt;electronic-resource-num&gt;DOI: 10.1007/s00127-009-0018-4&lt;/electronic-resource-num&gt;&lt;/record&gt;&lt;/Cite&gt;&lt;/EndNote&gt;</w:instrText>
        </w:r>
        <w:r w:rsidR="002D6F18">
          <w:fldChar w:fldCharType="separate"/>
        </w:r>
        <w:r w:rsidR="002D6F18" w:rsidRPr="0082082D">
          <w:rPr>
            <w:noProof/>
            <w:vertAlign w:val="superscript"/>
          </w:rPr>
          <w:t>40</w:t>
        </w:r>
        <w:r w:rsidR="002D6F18">
          <w:fldChar w:fldCharType="end"/>
        </w:r>
      </w:hyperlink>
      <w:r w:rsidRPr="498A3250">
        <w:t xml:space="preserve"> People thrive when they feel </w:t>
      </w:r>
      <w:r w:rsidR="2A1140B0" w:rsidRPr="498A3250">
        <w:t xml:space="preserve">included in communities, </w:t>
      </w:r>
      <w:r w:rsidRPr="498A3250">
        <w:t xml:space="preserve">connected with others and have a sense of belonging, and this in turn builds wellbeing and reduces the prevalence </w:t>
      </w:r>
      <w:r w:rsidR="00100EBC">
        <w:br/>
      </w:r>
      <w:r w:rsidRPr="498A3250">
        <w:t>of suicidal thoughts and behaviours.</w:t>
      </w:r>
      <w:hyperlink w:anchor="_ENREF_68" w:tooltip="Statistics, 2021 #532" w:history="1">
        <w:r w:rsidR="002D6F18" w:rsidRPr="004F5530">
          <w:rPr>
            <w:vertAlign w:val="superscript"/>
          </w:rPr>
          <w:fldChar w:fldCharType="begin"/>
        </w:r>
        <w:r w:rsidR="002D6F18">
          <w:rPr>
            <w:vertAlign w:val="superscript"/>
          </w:rPr>
          <w:instrText xml:space="preserve"> ADDIN EN.CITE &lt;EndNote&gt;&lt;Cite&gt;&lt;Author&gt;Statistics&lt;/Author&gt;&lt;Year&gt;2021&lt;/Year&gt;&lt;RecNum&gt;350&lt;/RecNum&gt;&lt;DisplayText&gt;&lt;style face="superscript"&gt;68&lt;/style&gt;&lt;/DisplayText&gt;&lt;record&gt;&lt;rec-number&gt;350&lt;/rec-number&gt;&lt;foreign-keys&gt;&lt;key app="EN" db-id="rsettzd2isasdweewww55s9lffasxav0d0ft" timestamp="1700699472" guid="0bf32fcc-25f7-492b-bf41-22ed4e3234b8"&gt;350&lt;/key&gt;&lt;/foreign-keys&gt;&lt;ref-type name="Web Page"&gt;12&lt;/ref-type&gt;&lt;contributors&gt;&lt;authors&gt;&lt;author&gt;Australian Bureau of Statistics&lt;/author&gt;&lt;/authors&gt;&lt;/contributors&gt;&lt;titles&gt;&lt;title&gt;General Social Survey: Summary Results, Australia&lt;/title&gt;&lt;/titles&gt;&lt;dates&gt;&lt;year&gt;2021&lt;/year&gt;&lt;/dates&gt;&lt;publisher&gt;ABS, Australian Government&lt;/publisher&gt;&lt;work-type&gt;Internet&lt;/work-type&gt;&lt;urls&gt;&lt;related-urls&gt;&lt;url&gt;https://www.abs.gov.au/statistics/people/people-and-communities/general-social-survey-summary-results-australia/latest-release&lt;/url&gt;&lt;/related-urls&gt;&lt;/urls&gt;&lt;custom1&gt;2023&lt;/custom1&gt;&lt;custom2&gt;October 06&lt;/custom2&gt;&lt;/record&gt;&lt;/Cite&gt;&lt;/EndNote&gt;</w:instrText>
        </w:r>
        <w:r w:rsidR="002D6F18" w:rsidRPr="004F5530">
          <w:rPr>
            <w:vertAlign w:val="superscript"/>
          </w:rPr>
          <w:fldChar w:fldCharType="separate"/>
        </w:r>
        <w:r w:rsidR="002D6F18">
          <w:rPr>
            <w:noProof/>
            <w:vertAlign w:val="superscript"/>
          </w:rPr>
          <w:t>68</w:t>
        </w:r>
        <w:r w:rsidR="002D6F18" w:rsidRPr="004F5530">
          <w:rPr>
            <w:vertAlign w:val="superscript"/>
          </w:rPr>
          <w:fldChar w:fldCharType="end"/>
        </w:r>
      </w:hyperlink>
      <w:r w:rsidR="004F5530" w:rsidRPr="004F5530">
        <w:rPr>
          <w:vertAlign w:val="superscript"/>
        </w:rPr>
        <w:t>,</w:t>
      </w:r>
      <w:hyperlink w:anchor="_ENREF_134" w:tooltip="R, 2019 #142" w:history="1">
        <w:r w:rsidR="002D6F18" w:rsidRPr="004F5530">
          <w:rPr>
            <w:vertAlign w:val="superscript"/>
          </w:rPr>
          <w:fldChar w:fldCharType="begin"/>
        </w:r>
        <w:r w:rsidR="002D6F18">
          <w:rPr>
            <w:vertAlign w:val="superscript"/>
          </w:rPr>
          <w:instrText xml:space="preserve"> ADDIN EN.CITE &lt;EndNote&gt;&lt;Cite&gt;&lt;Author&gt;R&lt;/Author&gt;&lt;Year&gt;2019&lt;/Year&gt;&lt;RecNum&gt;142&lt;/RecNum&gt;&lt;DisplayText&gt;&lt;style face="superscript"&gt;134&lt;/style&gt;&lt;/DisplayText&gt;&lt;record&gt;&lt;rec-number&gt;142&lt;/rec-number&gt;&lt;foreign-keys&gt;&lt;key app="EN" db-id="rsettzd2isasdweewww55s9lffasxav0d0ft" timestamp="1700699468" guid="e6492f1e-a997-4d67-8700-583d2425f565"&gt;142&lt;/key&gt;&lt;/foreign-keys&gt;&lt;ref-type name="Journal Article"&gt;17&lt;/ref-type&gt;&lt;contributors&gt;&lt;authors&gt;&lt;author&gt;Calati R&lt;/author&gt;&lt;author&gt;Ferrari C&lt;/author&gt;&lt;author&gt;Brittner M&lt;/author&gt;&lt;author&gt;Oasi O&lt;/author&gt;&lt;author&gt;Olié E&lt;/author&gt;&lt;author&gt;Carvalho AF&lt;/author&gt;&lt;author&gt;Courtet P&lt;/author&gt;&lt;/authors&gt;&lt;/contributors&gt;&lt;titles&gt;&lt;title&gt;Suicidal Thoughts and Behaviors and Social Isolation: A Narrative Review of the Literature&lt;/title&gt;&lt;secondary-title&gt;Journal of Affective Disorders&lt;/secondary-title&gt;&lt;/titles&gt;&lt;periodical&gt;&lt;full-title&gt;Journal of Affective Disorders&lt;/full-title&gt;&lt;/periodical&gt;&lt;dates&gt;&lt;year&gt;2019&lt;/year&gt;&lt;/dates&gt;&lt;urls&gt;&lt;/urls&gt;&lt;electronic-resource-num&gt;DOI: 10.1016/j.jad.2018.11.022&lt;/electronic-resource-num&gt;&lt;/record&gt;&lt;/Cite&gt;&lt;/EndNote&gt;</w:instrText>
        </w:r>
        <w:r w:rsidR="002D6F18" w:rsidRPr="004F5530">
          <w:rPr>
            <w:vertAlign w:val="superscript"/>
          </w:rPr>
          <w:fldChar w:fldCharType="separate"/>
        </w:r>
        <w:r w:rsidR="002D6F18">
          <w:rPr>
            <w:noProof/>
            <w:vertAlign w:val="superscript"/>
          </w:rPr>
          <w:t>134</w:t>
        </w:r>
        <w:r w:rsidR="002D6F18" w:rsidRPr="004F5530">
          <w:rPr>
            <w:vertAlign w:val="superscript"/>
          </w:rPr>
          <w:fldChar w:fldCharType="end"/>
        </w:r>
      </w:hyperlink>
      <w:r w:rsidR="004F5530">
        <w:t xml:space="preserve"> </w:t>
      </w:r>
    </w:p>
    <w:p w14:paraId="23C6B3E9" w14:textId="3576F81C" w:rsidR="00EC7C92" w:rsidRDefault="009834F5" w:rsidP="00634A83">
      <w:r w:rsidRPr="498A3250">
        <w:t>Suicide prevention efforts must therefore seek to nu</w:t>
      </w:r>
      <w:r w:rsidR="00A53379" w:rsidRPr="498A3250">
        <w:t xml:space="preserve">rture </w:t>
      </w:r>
      <w:r w:rsidR="32D90FB1" w:rsidRPr="498A3250">
        <w:t>more inclusive communities</w:t>
      </w:r>
      <w:r w:rsidR="73B728BB" w:rsidRPr="498A3250">
        <w:t xml:space="preserve">, </w:t>
      </w:r>
      <w:r w:rsidR="6BFB4814" w:rsidRPr="498A3250">
        <w:t xml:space="preserve">build </w:t>
      </w:r>
      <w:r w:rsidR="00A53379" w:rsidRPr="498A3250">
        <w:t>stronger connection</w:t>
      </w:r>
      <w:r w:rsidR="5C10E5BA" w:rsidRPr="498A3250">
        <w:t>s</w:t>
      </w:r>
      <w:r w:rsidR="00A53379" w:rsidRPr="498A3250">
        <w:t xml:space="preserve"> between communities and reduce the </w:t>
      </w:r>
      <w:r w:rsidR="00122800" w:rsidRPr="498A3250">
        <w:t xml:space="preserve">prevalence and impact of factors that </w:t>
      </w:r>
      <w:r w:rsidR="00EA6151" w:rsidRPr="498A3250">
        <w:t xml:space="preserve">lessen </w:t>
      </w:r>
      <w:r w:rsidR="00CA6825" w:rsidRPr="498A3250">
        <w:t>social connection and inclusion</w:t>
      </w:r>
      <w:r w:rsidR="006F7D2F" w:rsidRPr="498A3250">
        <w:t>.</w:t>
      </w:r>
    </w:p>
    <w:p w14:paraId="50E18CFA" w14:textId="77777777" w:rsidR="00EC7C92" w:rsidRPr="00B768A1" w:rsidRDefault="00EC7C92" w:rsidP="00634A83">
      <w:pPr>
        <w:pStyle w:val="BT-Livedexperience-Orange-Heading"/>
      </w:pPr>
      <w:r>
        <w:t>What do we need to achieve?</w:t>
      </w:r>
    </w:p>
    <w:p w14:paraId="77EA39FE" w14:textId="50C381BB" w:rsidR="00EC7C92" w:rsidRPr="00B768A1" w:rsidRDefault="00EC7C92" w:rsidP="00634A83">
      <w:pPr>
        <w:pStyle w:val="BT-Livedexperience-Orange"/>
      </w:pPr>
      <w:r w:rsidRPr="498A3250">
        <w:rPr>
          <w:rStyle w:val="normaltextrun"/>
          <w:rFonts w:eastAsia="Roboto" w:cstheme="minorBidi"/>
        </w:rPr>
        <w:t xml:space="preserve">People experience enhanced wellbeing through greater </w:t>
      </w:r>
      <w:r w:rsidR="5B4BC8AB" w:rsidRPr="498A3250">
        <w:rPr>
          <w:rStyle w:val="normaltextrun"/>
          <w:rFonts w:eastAsia="Roboto" w:cstheme="minorBidi"/>
        </w:rPr>
        <w:t xml:space="preserve">community inclusion and </w:t>
      </w:r>
      <w:r w:rsidR="00D27A92" w:rsidRPr="498A3250">
        <w:rPr>
          <w:rStyle w:val="normaltextrun"/>
          <w:rFonts w:eastAsia="Roboto" w:cstheme="minorBidi"/>
        </w:rPr>
        <w:t>social connection</w:t>
      </w:r>
      <w:r w:rsidR="0B3D4F1B" w:rsidRPr="498A3250">
        <w:rPr>
          <w:rStyle w:val="normaltextrun"/>
          <w:rFonts w:eastAsia="Roboto" w:cstheme="minorBidi"/>
        </w:rPr>
        <w:t>. T</w:t>
      </w:r>
      <w:r w:rsidRPr="498A3250">
        <w:rPr>
          <w:rStyle w:val="normaltextrun"/>
          <w:rFonts w:eastAsia="Roboto" w:cstheme="minorBidi"/>
        </w:rPr>
        <w:t xml:space="preserve">he prevalence and impact of </w:t>
      </w:r>
      <w:r w:rsidR="00BE60C7" w:rsidRPr="498A3250">
        <w:rPr>
          <w:rStyle w:val="normaltextrun"/>
          <w:rFonts w:eastAsia="Roboto" w:cstheme="minorBidi"/>
        </w:rPr>
        <w:t>lon</w:t>
      </w:r>
      <w:r w:rsidR="000F6E63" w:rsidRPr="498A3250">
        <w:rPr>
          <w:rStyle w:val="normaltextrun"/>
          <w:rFonts w:eastAsia="Roboto" w:cstheme="minorBidi"/>
        </w:rPr>
        <w:t xml:space="preserve">eliness and </w:t>
      </w:r>
      <w:r w:rsidR="00EB3103" w:rsidRPr="498A3250">
        <w:rPr>
          <w:rStyle w:val="normaltextrun"/>
          <w:rFonts w:eastAsia="Roboto" w:cstheme="minorBidi"/>
        </w:rPr>
        <w:t>social exclusion are reduced.</w:t>
      </w:r>
      <w:r w:rsidRPr="498A3250">
        <w:rPr>
          <w:rStyle w:val="normaltextrun"/>
          <w:rFonts w:eastAsia="Roboto" w:cstheme="minorBidi"/>
        </w:rPr>
        <w:t xml:space="preserve"> </w:t>
      </w:r>
    </w:p>
    <w:p w14:paraId="24FAE5EA" w14:textId="7507E312" w:rsidR="00E864FA" w:rsidRPr="00A60CE2" w:rsidRDefault="009C58E7" w:rsidP="008F7F7F">
      <w:pPr>
        <w:pStyle w:val="Heading3prevention0"/>
      </w:pPr>
      <w:r>
        <w:t>4</w:t>
      </w:r>
      <w:r w:rsidR="00E864FA" w:rsidRPr="00A60CE2">
        <w:t>.</w:t>
      </w:r>
      <w:r w:rsidR="00BF09EB">
        <w:t>1</w:t>
      </w:r>
      <w:r w:rsidR="00E864FA" w:rsidRPr="00A60CE2">
        <w:t xml:space="preserve"> Connect communities</w:t>
      </w:r>
    </w:p>
    <w:p w14:paraId="28F9CB47" w14:textId="10D851F8" w:rsidR="001F6942" w:rsidRPr="00B768A1" w:rsidRDefault="001F6942" w:rsidP="00634A83">
      <w:r w:rsidRPr="00B768A1">
        <w:t xml:space="preserve">People can be connected to others through their contributions to society; shared culture, identity and interests; working and volunteering relationships; </w:t>
      </w:r>
      <w:r w:rsidR="00DC78BE" w:rsidRPr="00B768A1">
        <w:t xml:space="preserve">and </w:t>
      </w:r>
      <w:r w:rsidRPr="00B768A1">
        <w:t>family and kinship networks. Each of these connections foster</w:t>
      </w:r>
      <w:r w:rsidR="00CD62B8">
        <w:t>s</w:t>
      </w:r>
      <w:r w:rsidRPr="00B768A1">
        <w:t xml:space="preserve"> a sense of belonging for the individual and community. Aboriginal and Torres Strait Islander concepts of connection </w:t>
      </w:r>
      <w:r w:rsidR="006F34C2" w:rsidRPr="00B768A1">
        <w:t xml:space="preserve">include </w:t>
      </w:r>
      <w:r w:rsidR="00410AA4" w:rsidRPr="00B768A1">
        <w:t>links to</w:t>
      </w:r>
      <w:r w:rsidRPr="00B768A1">
        <w:t xml:space="preserve"> community, Country, culture, spirituality and ancestry.</w:t>
      </w:r>
      <w:r w:rsidR="00C034D5">
        <w:t xml:space="preserve"> </w:t>
      </w:r>
    </w:p>
    <w:p w14:paraId="139C6B38" w14:textId="40368511" w:rsidR="00A1497C" w:rsidRDefault="44CFC82E" w:rsidP="00634A83">
      <w:r w:rsidRPr="20F56C59">
        <w:t xml:space="preserve">Initiatives that build affirming and inclusive communities and provide opportunities for people to engage socially and culturally in a safe and secure way are therefore a </w:t>
      </w:r>
      <w:r w:rsidR="1A938B0A" w:rsidRPr="20F56C59">
        <w:t>fundamental</w:t>
      </w:r>
      <w:r w:rsidRPr="20F56C59">
        <w:t xml:space="preserve"> part of preventing suicide</w:t>
      </w:r>
      <w:r w:rsidR="4F954462" w:rsidRPr="20F56C59">
        <w:t xml:space="preserve"> (</w:t>
      </w:r>
      <w:r w:rsidR="319486A9" w:rsidRPr="20F56C59">
        <w:t>action ko</w:t>
      </w:r>
      <w:r w:rsidR="2A7A3EB7" w:rsidRPr="20F56C59">
        <w:t>4.1</w:t>
      </w:r>
      <w:r w:rsidR="392CA9BC" w:rsidRPr="20F56C59">
        <w:t>a)</w:t>
      </w:r>
      <w:r w:rsidRPr="20F56C59">
        <w:t>.</w:t>
      </w:r>
      <w:r w:rsidR="34D27521">
        <w:t xml:space="preserve"> </w:t>
      </w:r>
      <w:r w:rsidR="6F282082" w:rsidRPr="00B768A1">
        <w:t xml:space="preserve">A </w:t>
      </w:r>
      <w:r w:rsidR="00CC3391" w:rsidRPr="00B768A1">
        <w:t xml:space="preserve">sense of community can be </w:t>
      </w:r>
      <w:r w:rsidR="6F282082" w:rsidRPr="00B768A1">
        <w:t xml:space="preserve">especially </w:t>
      </w:r>
      <w:r w:rsidR="00CC3391" w:rsidRPr="00B768A1">
        <w:t xml:space="preserve">important for </w:t>
      </w:r>
      <w:r w:rsidR="77BEF522" w:rsidRPr="00B768A1">
        <w:t>groups</w:t>
      </w:r>
      <w:r w:rsidR="00CC3391" w:rsidRPr="00B768A1">
        <w:t xml:space="preserve"> who may not typically have strong social networks</w:t>
      </w:r>
      <w:r w:rsidR="517E1728" w:rsidRPr="00B768A1">
        <w:t>,</w:t>
      </w:r>
      <w:r w:rsidR="7B83E4DC" w:rsidRPr="00B768A1">
        <w:t xml:space="preserve"> </w:t>
      </w:r>
      <w:r w:rsidR="5F4BD6AF" w:rsidRPr="00B768A1">
        <w:t xml:space="preserve">for </w:t>
      </w:r>
      <w:r w:rsidR="7B83E4DC" w:rsidRPr="00B768A1">
        <w:t xml:space="preserve">people who face </w:t>
      </w:r>
      <w:r w:rsidR="31BD247E" w:rsidRPr="00B768A1">
        <w:t>intersecting</w:t>
      </w:r>
      <w:r w:rsidR="7B83E4DC" w:rsidRPr="00B768A1">
        <w:t xml:space="preserve"> discrimination or disadvantage,</w:t>
      </w:r>
      <w:r w:rsidR="00CC3391" w:rsidRPr="00B768A1">
        <w:t xml:space="preserve"> </w:t>
      </w:r>
      <w:r w:rsidR="19C53DC8" w:rsidRPr="00B768A1">
        <w:t xml:space="preserve">and for people </w:t>
      </w:r>
      <w:r w:rsidR="00CC3391" w:rsidRPr="00B768A1">
        <w:t>who may not feel included as part of broader communities, such as</w:t>
      </w:r>
      <w:r w:rsidR="66A2B512" w:rsidRPr="00B768A1">
        <w:t xml:space="preserve"> men</w:t>
      </w:r>
      <w:r w:rsidR="05F2C0BC" w:rsidRPr="00B768A1">
        <w:t>,</w:t>
      </w:r>
      <w:hyperlink w:anchor="_ENREF_135" w:tooltip="B, 2021 #1118" w:history="1">
        <w:r w:rsidR="002D6F18" w:rsidRPr="00747E65">
          <w:rPr>
            <w:vertAlign w:val="superscript"/>
          </w:rPr>
          <w:fldChar w:fldCharType="begin"/>
        </w:r>
        <w:r w:rsidR="002D6F18">
          <w:rPr>
            <w:vertAlign w:val="superscript"/>
          </w:rPr>
          <w:instrText xml:space="preserve"> ADDIN EN.CITE &lt;EndNote&gt;&lt;Cite&gt;&lt;Author&gt;B&lt;/Author&gt;&lt;Year&gt;2021&lt;/Year&gt;&lt;RecNum&gt;1118&lt;/RecNum&gt;&lt;DisplayText&gt;&lt;style face="superscript"&gt;135&lt;/style&gt;&lt;/DisplayText&gt;&lt;record&gt;&lt;rec-number&gt;1118&lt;/rec-number&gt;&lt;foreign-keys&gt;&lt;key app="EN" db-id="rsettzd2isasdweewww55s9lffasxav0d0ft" timestamp="1720506508" guid="227add27-0ff1-4691-87fe-41a0a034c268"&gt;1118&lt;/key&gt;&lt;/foreign-keys&gt;&lt;ref-type name="Web Page"&gt;12&lt;/ref-type&gt;&lt;contributors&gt;&lt;authors&gt;&lt;author&gt;Quinn B &lt;/author&gt;&lt;author&gt;Prattley J &lt;/author&gt;&lt;author&gt;Rowland B &lt;/author&gt;&lt;/authors&gt;&lt;/contributors&gt;&lt;titles&gt;&lt;title&gt;Social connectedness among Australian males&lt;/title&gt;&lt;secondary-title&gt;Ten to men&lt;/secondary-title&gt;&lt;/titles&gt;&lt;dates&gt;&lt;year&gt;2021&lt;/year&gt;&lt;/dates&gt;&lt;pub-location&gt;Melbourne &lt;/pub-location&gt;&lt;publisher&gt;Australian Institute of Family Studies&lt;/publisher&gt;&lt;work-type&gt;Internet &lt;/work-type&gt;&lt;urls&gt;&lt;related-urls&gt;&lt;url&gt;https://tentomen.org.au/research-findings/social-connectedness-among-australian-males&lt;/url&gt;&lt;/related-urls&gt;&lt;/urls&gt;&lt;custom1&gt;2023&lt;/custom1&gt;&lt;custom2&gt;November 21&lt;/custom2&gt;&lt;/record&gt;&lt;/Cite&gt;&lt;/EndNote&gt;</w:instrText>
        </w:r>
        <w:r w:rsidR="002D6F18" w:rsidRPr="00747E65">
          <w:rPr>
            <w:vertAlign w:val="superscript"/>
          </w:rPr>
          <w:fldChar w:fldCharType="separate"/>
        </w:r>
        <w:r w:rsidR="002D6F18">
          <w:rPr>
            <w:noProof/>
            <w:vertAlign w:val="superscript"/>
          </w:rPr>
          <w:t>135</w:t>
        </w:r>
        <w:r w:rsidR="002D6F18" w:rsidRPr="00747E65">
          <w:rPr>
            <w:vertAlign w:val="superscript"/>
          </w:rPr>
          <w:fldChar w:fldCharType="end"/>
        </w:r>
      </w:hyperlink>
      <w:r w:rsidR="004F5530" w:rsidRPr="00747E65">
        <w:rPr>
          <w:vertAlign w:val="superscript"/>
        </w:rPr>
        <w:t>,</w:t>
      </w:r>
      <w:hyperlink w:anchor="_ENREF_136" w:tooltip="D, 2021 #1119" w:history="1">
        <w:r w:rsidR="002D6F18" w:rsidRPr="00747E65">
          <w:rPr>
            <w:vertAlign w:val="superscript"/>
          </w:rPr>
          <w:fldChar w:fldCharType="begin"/>
        </w:r>
        <w:r w:rsidR="002D6F18">
          <w:rPr>
            <w:vertAlign w:val="superscript"/>
          </w:rPr>
          <w:instrText xml:space="preserve"> ADDIN EN.CITE &lt;EndNote&gt;&lt;Cite&gt;&lt;Author&gt;D&lt;/Author&gt;&lt;Year&gt;2021&lt;/Year&gt;&lt;RecNum&gt;1119&lt;/RecNum&gt;&lt;DisplayText&gt;&lt;style face="superscript"&gt;136&lt;/style&gt;&lt;/DisplayText&gt;&lt;record&gt;&lt;rec-number&gt;1119&lt;/rec-number&gt;&lt;foreign-keys&gt;&lt;key app="EN" db-id="rsettzd2isasdweewww55s9lffasxav0d0ft" timestamp="1720506739" guid="b0d389fe-638d-47a7-add9-5be889026f4c"&gt;1119&lt;/key&gt;&lt;/foreign-keys&gt;&lt;ref-type name="Web Page"&gt;12&lt;/ref-type&gt;&lt;contributors&gt;&lt;authors&gt;&lt;author&gt;Cox D&lt;/author&gt;&lt;/authors&gt;&lt;/contributors&gt;&lt;titles&gt;&lt;title&gt;American men suffer a friendship recession&lt;/title&gt;&lt;/titles&gt;&lt;dates&gt;&lt;year&gt;2021&lt;/year&gt;&lt;/dates&gt;&lt;publisher&gt;American Survey Centre&lt;/publisher&gt;&lt;work-type&gt;Internet&lt;/work-type&gt;&lt;urls&gt;&lt;related-urls&gt;&lt;url&gt;https://www.americansurveycenter.org/commentary/american-men-suffer-a-friendship-recession/&lt;/url&gt;&lt;/related-urls&gt;&lt;/urls&gt;&lt;custom1&gt;2023&lt;/custom1&gt;&lt;custom2&gt;November 21&lt;/custom2&gt;&lt;/record&gt;&lt;/Cite&gt;&lt;/EndNote&gt;</w:instrText>
        </w:r>
        <w:r w:rsidR="002D6F18" w:rsidRPr="00747E65">
          <w:rPr>
            <w:vertAlign w:val="superscript"/>
          </w:rPr>
          <w:fldChar w:fldCharType="separate"/>
        </w:r>
        <w:r w:rsidR="002D6F18">
          <w:rPr>
            <w:noProof/>
            <w:vertAlign w:val="superscript"/>
          </w:rPr>
          <w:t>136</w:t>
        </w:r>
        <w:r w:rsidR="002D6F18" w:rsidRPr="00747E65">
          <w:rPr>
            <w:vertAlign w:val="superscript"/>
          </w:rPr>
          <w:fldChar w:fldCharType="end"/>
        </w:r>
      </w:hyperlink>
      <w:r w:rsidR="66A2B512" w:rsidRPr="00B768A1">
        <w:t xml:space="preserve"> </w:t>
      </w:r>
      <w:r w:rsidR="00CC3391" w:rsidRPr="00B768A1">
        <w:t>Aboriginal and Torres Strait Islander people,</w:t>
      </w:r>
      <w:hyperlink w:anchor="_ENREF_137" w:tooltip="M, 2021 #1067" w:history="1">
        <w:r w:rsidR="002D6F18">
          <w:fldChar w:fldCharType="begin"/>
        </w:r>
        <w:r w:rsidR="002D6F18">
          <w:instrText xml:space="preserve"> ADDIN EN.CITE &lt;EndNote&gt;&lt;Cite&gt;&lt;Author&gt;M&lt;/Author&gt;&lt;Year&gt;2021&lt;/Year&gt;&lt;RecNum&gt;1067&lt;/RecNum&gt;&lt;DisplayText&gt;&lt;style face="superscript"&gt;137&lt;/style&gt;&lt;/DisplayText&gt;&lt;record&gt;&lt;rec-number&gt;1067&lt;/rec-number&gt;&lt;foreign-keys&gt;&lt;key app="EN" db-id="rsettzd2isasdweewww55s9lffasxav0d0ft" timestamp="1720488617" guid="031405dd-1698-4152-8583-50d56473f750"&gt;1067&lt;/key&gt;&lt;/foreign-keys&gt;&lt;ref-type name="Journal Article"&gt;17&lt;/ref-type&gt;&lt;contributors&gt;&lt;authors&gt;&lt;author&gt;Gibson M&lt;/author&gt;&lt;author&gt;Stuart J&lt;/author&gt;&lt;author&gt;Leske S&lt;/author&gt;&lt;author&gt;Ward R&lt;/author&gt;&lt;author&gt;Tanton R&lt;/author&gt;&lt;/authors&gt;&lt;/contributors&gt;&lt;titles&gt;&lt;title&gt;Suicide rates for young Aboriginal and Torres Strait Islander people: the influence of community level cultural connectedness&lt;/title&gt;&lt;secondary-title&gt;Medical Journal of Australia&lt;/secondary-title&gt;&lt;/titles&gt;&lt;periodical&gt;&lt;full-title&gt;Medical Journal of Australia&lt;/full-title&gt;&lt;/periodical&gt;&lt;pages&gt;514-518&lt;/pages&gt;&lt;volume&gt;214&lt;/volume&gt;&lt;number&gt;11&lt;/number&gt;&lt;keywords&gt;&lt;keyword&gt;Indigenous health&lt;/keyword&gt;&lt;keyword&gt;Suicide&lt;/keyword&gt;&lt;keyword&gt;Adolescence&lt;/keyword&gt;&lt;keyword&gt;Social determinants of health&lt;/keyword&gt;&lt;keyword&gt;Culture&lt;/keyword&gt;&lt;/keywords&gt;&lt;dates&gt;&lt;year&gt;2021&lt;/year&gt;&lt;pub-dates&gt;&lt;date&gt;2021/06/01&lt;/date&gt;&lt;/pub-dates&gt;&lt;/dates&gt;&lt;publisher&gt;John Wiley &amp;amp; Sons, Ltd&lt;/publisher&gt;&lt;isbn&gt;0025-729X&lt;/isbn&gt;&lt;urls&gt;&lt;related-urls&gt;&lt;url&gt;https://doi.org/10.5694/mja2.51084&lt;/url&gt;&lt;/related-urls&gt;&lt;/urls&gt;&lt;electronic-resource-num&gt;https://doi.org/10.5694/mja2.51084&lt;/electronic-resource-num&gt;&lt;access-date&gt;2024/07/08&lt;/access-date&gt;&lt;/record&gt;&lt;/Cite&gt;&lt;/EndNote&gt;</w:instrText>
        </w:r>
        <w:r w:rsidR="002D6F18">
          <w:fldChar w:fldCharType="separate"/>
        </w:r>
        <w:r w:rsidR="002D6F18" w:rsidRPr="00445D54">
          <w:rPr>
            <w:noProof/>
            <w:vertAlign w:val="superscript"/>
          </w:rPr>
          <w:t>137</w:t>
        </w:r>
        <w:r w:rsidR="002D6F18">
          <w:fldChar w:fldCharType="end"/>
        </w:r>
      </w:hyperlink>
      <w:r w:rsidR="00CC3391" w:rsidRPr="00B768A1">
        <w:t xml:space="preserve"> </w:t>
      </w:r>
      <w:r w:rsidR="27285A55" w:rsidRPr="00B768A1">
        <w:t xml:space="preserve">people from </w:t>
      </w:r>
      <w:r w:rsidR="00CC3391" w:rsidRPr="00B768A1">
        <w:t xml:space="preserve">culturally and linguistically diverse </w:t>
      </w:r>
      <w:r w:rsidR="27285A55" w:rsidRPr="00B768A1">
        <w:t>backgrounds</w:t>
      </w:r>
      <w:r w:rsidR="00CC3391" w:rsidRPr="00B768A1">
        <w:t>, older people, people from LGBTIQ+ communities and people</w:t>
      </w:r>
      <w:r w:rsidR="24B0C56E" w:rsidRPr="00B768A1">
        <w:t xml:space="preserve"> </w:t>
      </w:r>
      <w:r w:rsidR="00CC3391" w:rsidRPr="00B768A1">
        <w:t>with disability</w:t>
      </w:r>
      <w:r w:rsidR="3BB14DB2" w:rsidRPr="00B768A1">
        <w:t>.</w:t>
      </w:r>
      <w:hyperlink w:anchor="_ENREF_138" w:tooltip="R, 2022 #1120" w:history="1">
        <w:r w:rsidR="002D6F18">
          <w:fldChar w:fldCharType="begin"/>
        </w:r>
        <w:r w:rsidR="002D6F18">
          <w:instrText xml:space="preserve"> ADDIN EN.CITE &lt;EndNote&gt;&lt;Cite&gt;&lt;Author&gt;R&lt;/Author&gt;&lt;Year&gt;2022&lt;/Year&gt;&lt;RecNum&gt;1120&lt;/RecNum&gt;&lt;DisplayText&gt;&lt;style face="superscript"&gt;138&lt;/style&gt;&lt;/DisplayText&gt;&lt;record&gt;&lt;rec-number&gt;1120&lt;/rec-number&gt;&lt;foreign-keys&gt;&lt;key app="EN" db-id="rsettzd2isasdweewww55s9lffasxav0d0ft" timestamp="1720506862" guid="328083ae-4700-4824-987a-682b57786948"&gt;1120&lt;/key&gt;&lt;/foreign-keys&gt;&lt;ref-type name="Web Page"&gt;12&lt;/ref-type&gt;&lt;contributors&gt;&lt;authors&gt;&lt;author&gt;Wilkins R&lt;/author&gt;&lt;author&gt;Vera-Toscano E&lt;/author&gt;&lt;author&gt;Botha F&lt;/author&gt;&lt;author&gt;Wooden M&lt;/author&gt;&lt;author&gt;Trinh T &lt;/author&gt;&lt;/authors&gt;&lt;/contributors&gt;&lt;titles&gt;&lt;title&gt;The household, income and labour dynamics in Australia survey: selected findings from waves 1 to 20&lt;/title&gt;&lt;/titles&gt;&lt;dates&gt;&lt;year&gt;2022&lt;/year&gt;&lt;/dates&gt;&lt;pub-location&gt;Melbourne &lt;/pub-location&gt;&lt;publisher&gt;Melbourne Institute: Applied Economic &amp;amp; Social Research, University of Melbourne&lt;/publisher&gt;&lt;work-type&gt;Internet &lt;/work-type&gt;&lt;urls&gt;&lt;related-urls&gt;&lt;url&gt;https://melbourneinstitute.unimelb.edu.au/hilda/publications/hilda-statistical-reports/past-reports&lt;/url&gt;&lt;/related-urls&gt;&lt;/urls&gt;&lt;custom1&gt;2023&lt;/custom1&gt;&lt;custom2&gt;November 24&lt;/custom2&gt;&lt;/record&gt;&lt;/Cite&gt;&lt;/EndNote&gt;</w:instrText>
        </w:r>
        <w:r w:rsidR="002D6F18">
          <w:fldChar w:fldCharType="separate"/>
        </w:r>
        <w:r w:rsidR="002D6F18" w:rsidRPr="00445D54">
          <w:rPr>
            <w:noProof/>
            <w:vertAlign w:val="superscript"/>
          </w:rPr>
          <w:t>138</w:t>
        </w:r>
        <w:r w:rsidR="002D6F18">
          <w:fldChar w:fldCharType="end"/>
        </w:r>
      </w:hyperlink>
      <w:r w:rsidR="54EF2A93">
        <w:t xml:space="preserve"> </w:t>
      </w:r>
    </w:p>
    <w:p w14:paraId="3BE89D2E" w14:textId="08A1C602" w:rsidR="00E864FA" w:rsidRPr="00B768A1" w:rsidRDefault="00E939ED" w:rsidP="00634A83">
      <w:r>
        <w:t xml:space="preserve">The recommended actions to </w:t>
      </w:r>
      <w:r w:rsidR="00C733F5">
        <w:t xml:space="preserve">improve community connection </w:t>
      </w:r>
      <w:r>
        <w:t>are described in</w:t>
      </w:r>
      <w:r w:rsidR="00C146BA">
        <w:t xml:space="preserve"> </w:t>
      </w:r>
      <w:r w:rsidR="00C146BA">
        <w:fldChar w:fldCharType="begin"/>
      </w:r>
      <w:r w:rsidR="00C146BA">
        <w:instrText xml:space="preserve"> REF _Ref164869812 \h </w:instrText>
      </w:r>
      <w:r w:rsidR="00C146BA">
        <w:fldChar w:fldCharType="separate"/>
      </w:r>
      <w:r w:rsidR="009F12B4">
        <w:t xml:space="preserve">Table </w:t>
      </w:r>
      <w:r w:rsidR="009F12B4">
        <w:rPr>
          <w:noProof/>
        </w:rPr>
        <w:t>10</w:t>
      </w:r>
      <w:r w:rsidR="00C146BA">
        <w:fldChar w:fldCharType="end"/>
      </w:r>
      <w:r>
        <w:t>.</w:t>
      </w:r>
    </w:p>
    <w:p w14:paraId="7E3722E5" w14:textId="3700501C" w:rsidR="00994A0B" w:rsidRPr="00B768A1" w:rsidRDefault="00994A0B" w:rsidP="00634A83">
      <w:pPr>
        <w:pStyle w:val="BT-Beigebox-Heading"/>
        <w:rPr>
          <w:rStyle w:val="normaltextrun"/>
          <w:color w:val="2C2A29"/>
        </w:rPr>
      </w:pPr>
      <w:r w:rsidRPr="00B768A1">
        <w:rPr>
          <w:rStyle w:val="normaltextrun"/>
          <w:color w:val="2C2A29"/>
        </w:rPr>
        <w:t xml:space="preserve">Activity </w:t>
      </w:r>
      <w:r w:rsidRPr="00B768A1">
        <w:rPr>
          <w:rStyle w:val="normaltextrun"/>
        </w:rPr>
        <w:t>to</w:t>
      </w:r>
      <w:r w:rsidRPr="00B768A1">
        <w:rPr>
          <w:rStyle w:val="normaltextrun"/>
          <w:color w:val="2C2A29"/>
        </w:rPr>
        <w:t xml:space="preserve"> build on</w:t>
      </w:r>
    </w:p>
    <w:p w14:paraId="122508BC" w14:textId="74215D52" w:rsidR="00BE4AFA" w:rsidRPr="00B768A1" w:rsidRDefault="56FCFA39" w:rsidP="00634A83">
      <w:pPr>
        <w:pStyle w:val="BT-Beigebox"/>
      </w:pPr>
      <w:r w:rsidRPr="00B768A1">
        <w:rPr>
          <w:rStyle w:val="normaltextrun"/>
          <w:color w:val="2C2A29"/>
        </w:rPr>
        <w:t xml:space="preserve">The </w:t>
      </w:r>
      <w:r w:rsidR="356E63AD" w:rsidRPr="00B768A1">
        <w:rPr>
          <w:rStyle w:val="normaltextrun"/>
          <w:color w:val="2C2A29"/>
        </w:rPr>
        <w:t xml:space="preserve">Australian Government </w:t>
      </w:r>
      <w:r w:rsidRPr="00B768A1">
        <w:rPr>
          <w:rStyle w:val="normaltextrun"/>
          <w:color w:val="2C2A29"/>
        </w:rPr>
        <w:t>Department of Social Services provides grant funding to organisations through the Strong and Resilient Communities Activity for one-off, time</w:t>
      </w:r>
      <w:r w:rsidR="3BEBB8D7" w:rsidRPr="00B768A1">
        <w:rPr>
          <w:rStyle w:val="normaltextrun"/>
          <w:color w:val="2C2A29"/>
        </w:rPr>
        <w:t>-</w:t>
      </w:r>
      <w:r w:rsidRPr="00B768A1">
        <w:rPr>
          <w:rStyle w:val="normaltextrun"/>
          <w:color w:val="2C2A29"/>
        </w:rPr>
        <w:t>limited projects that support vulnerable and disadvantaged people to participate socially and economically through local community-driven solutions.</w:t>
      </w:r>
      <w:hyperlink w:anchor="_ENREF_139" w:tooltip="Services, 2023 #351" w:history="1">
        <w:r w:rsidR="002D6F18">
          <w:rPr>
            <w:rStyle w:val="normaltextrun"/>
            <w:color w:val="2C2A29"/>
          </w:rPr>
          <w:fldChar w:fldCharType="begin"/>
        </w:r>
        <w:r w:rsidR="002D6F18">
          <w:rPr>
            <w:rStyle w:val="normaltextrun"/>
            <w:color w:val="2C2A29"/>
          </w:rPr>
          <w:instrText xml:space="preserve"> ADDIN EN.CITE &lt;EndNote&gt;&lt;Cite&gt;&lt;Author&gt;Services&lt;/Author&gt;&lt;Year&gt;2023&lt;/Year&gt;&lt;RecNum&gt;351&lt;/RecNum&gt;&lt;DisplayText&gt;&lt;style face="superscript"&gt;139&lt;/style&gt;&lt;/DisplayText&gt;&lt;record&gt;&lt;rec-number&gt;351&lt;/rec-number&gt;&lt;foreign-keys&gt;&lt;key app="EN" db-id="rsettzd2isasdweewww55s9lffasxav0d0ft" timestamp="1700699472" guid="8f2e228b-bc97-4416-a218-7091bdb0a2fc"&gt;351&lt;/key&gt;&lt;/foreign-keys&gt;&lt;ref-type name="Web Page"&gt;12&lt;/ref-type&gt;&lt;contributors&gt;&lt;authors&gt;&lt;author&gt;Department of Social Services&lt;/author&gt;&lt;/authors&gt;&lt;/contributors&gt;&lt;titles&gt;&lt;title&gt;Strong and Resilient Communities&lt;/title&gt;&lt;/titles&gt;&lt;dates&gt;&lt;year&gt;2023&lt;/year&gt;&lt;/dates&gt;&lt;publisher&gt;DSS, Australian Government&lt;/publisher&gt;&lt;work-type&gt;Internet&lt;/work-type&gt;&lt;urls&gt;&lt;related-urls&gt;&lt;url&gt;https://www.dss.gov.au/our-responsibilities-communities-and-vulnerable-people/strong-and-resilient-communities&lt;/url&gt;&lt;/related-urls&gt;&lt;/urls&gt;&lt;custom1&gt;2023&lt;/custom1&gt;&lt;custom2&gt;October 06&lt;/custom2&gt;&lt;/record&gt;&lt;/Cite&gt;&lt;/EndNote&gt;</w:instrText>
        </w:r>
        <w:r w:rsidR="002D6F18">
          <w:rPr>
            <w:rStyle w:val="normaltextrun"/>
            <w:color w:val="2C2A29"/>
          </w:rPr>
          <w:fldChar w:fldCharType="separate"/>
        </w:r>
        <w:r w:rsidR="002D6F18" w:rsidRPr="00445D54">
          <w:rPr>
            <w:rStyle w:val="normaltextrun"/>
            <w:noProof/>
            <w:color w:val="2C2A29"/>
            <w:vertAlign w:val="superscript"/>
          </w:rPr>
          <w:t>139</w:t>
        </w:r>
        <w:r w:rsidR="002D6F18">
          <w:rPr>
            <w:rStyle w:val="normaltextrun"/>
            <w:color w:val="2C2A29"/>
          </w:rPr>
          <w:fldChar w:fldCharType="end"/>
        </w:r>
      </w:hyperlink>
      <w:r w:rsidRPr="00B768A1">
        <w:rPr>
          <w:rStyle w:val="normaltextrun"/>
          <w:color w:val="2C2A29"/>
        </w:rPr>
        <w:t xml:space="preserve"> </w:t>
      </w:r>
      <w:r w:rsidR="70DB71B1" w:rsidRPr="498A3250">
        <w:rPr>
          <w:rStyle w:val="normaltextrun"/>
          <w:color w:val="2C2A29"/>
        </w:rPr>
        <w:t>As part of this initiative,</w:t>
      </w:r>
      <w:r w:rsidRPr="00B768A1">
        <w:rPr>
          <w:rStyle w:val="normaltextrun"/>
          <w:color w:val="2C2A29"/>
        </w:rPr>
        <w:t xml:space="preserve"> the Australian Muslim Women</w:t>
      </w:r>
      <w:r w:rsidR="14DC4994" w:rsidRPr="00B768A1">
        <w:rPr>
          <w:rStyle w:val="normaltextrun"/>
          <w:color w:val="2C2A29"/>
        </w:rPr>
        <w:t>’</w:t>
      </w:r>
      <w:r w:rsidRPr="00B768A1">
        <w:rPr>
          <w:rStyle w:val="normaltextrun"/>
          <w:color w:val="2C2A29"/>
        </w:rPr>
        <w:t>s Centre for Human Rights Inc</w:t>
      </w:r>
      <w:r w:rsidR="30C5DB21" w:rsidRPr="498A3250">
        <w:rPr>
          <w:rStyle w:val="normaltextrun"/>
          <w:color w:val="2C2A29"/>
        </w:rPr>
        <w:t>orporated delivered</w:t>
      </w:r>
      <w:r w:rsidRPr="00B768A1">
        <w:rPr>
          <w:rStyle w:val="normaltextrun"/>
          <w:color w:val="2C2A29"/>
        </w:rPr>
        <w:t xml:space="preserve"> a Muslim women’s leadership program</w:t>
      </w:r>
      <w:r w:rsidR="30C5DB21" w:rsidRPr="498A3250">
        <w:rPr>
          <w:rStyle w:val="normaltextrun"/>
          <w:color w:val="2C2A29"/>
        </w:rPr>
        <w:t>. The program</w:t>
      </w:r>
      <w:r w:rsidRPr="00B768A1">
        <w:rPr>
          <w:rStyle w:val="normaltextrun"/>
          <w:color w:val="2C2A29"/>
        </w:rPr>
        <w:t xml:space="preserve"> included interactive group sessions to build leadership knowledge and skills and a workshop series on community project design and development. An evaluation of the grant program found this project created a greater sense of belonging, resilience and wellbeing for women participating in the program</w:t>
      </w:r>
      <w:r w:rsidR="641F4E3D" w:rsidRPr="00B768A1">
        <w:rPr>
          <w:rStyle w:val="normaltextrun"/>
          <w:color w:val="2C2A29"/>
        </w:rPr>
        <w:t xml:space="preserve"> and </w:t>
      </w:r>
      <w:r w:rsidRPr="00B768A1">
        <w:rPr>
          <w:rStyle w:val="normaltextrun"/>
          <w:color w:val="2C2A29"/>
        </w:rPr>
        <w:t>their families</w:t>
      </w:r>
      <w:r w:rsidR="641F4E3D" w:rsidRPr="00B768A1">
        <w:rPr>
          <w:rStyle w:val="normaltextrun"/>
          <w:color w:val="2C2A29"/>
        </w:rPr>
        <w:t>,</w:t>
      </w:r>
      <w:r w:rsidRPr="00B768A1">
        <w:rPr>
          <w:rStyle w:val="normaltextrun"/>
          <w:color w:val="2C2A29"/>
        </w:rPr>
        <w:t xml:space="preserve"> and the Muslim community.</w:t>
      </w:r>
      <w:hyperlink w:anchor="_ENREF_140" w:tooltip="Centre, 2021 #1078" w:history="1">
        <w:r w:rsidR="002D6F18">
          <w:rPr>
            <w:rStyle w:val="normaltextrun"/>
            <w:color w:val="2C2A29"/>
          </w:rPr>
          <w:fldChar w:fldCharType="begin"/>
        </w:r>
        <w:r w:rsidR="002D6F18">
          <w:rPr>
            <w:rStyle w:val="normaltextrun"/>
            <w:color w:val="2C2A29"/>
          </w:rPr>
          <w:instrText xml:space="preserve"> ADDIN EN.CITE &lt;EndNote&gt;&lt;Cite&gt;&lt;Author&gt;Centre&lt;/Author&gt;&lt;Year&gt;2021&lt;/Year&gt;&lt;RecNum&gt;1078&lt;/RecNum&gt;&lt;DisplayText&gt;&lt;style face="superscript"&gt;140&lt;/style&gt;&lt;/DisplayText&gt;&lt;record&gt;&lt;rec-number&gt;1078&lt;/rec-number&gt;&lt;foreign-keys&gt;&lt;key app="EN" db-id="rsettzd2isasdweewww55s9lffasxav0d0ft" timestamp="1720495917" guid="f916eedf-5643-47bb-9ace-c00f6e58e9ec"&gt;1078&lt;/key&gt;&lt;/foreign-keys&gt;&lt;ref-type name="Web Page"&gt;12&lt;/ref-type&gt;&lt;contributors&gt;&lt;authors&gt;&lt;author&gt;Social Research Centre&lt;/author&gt;&lt;/authors&gt;&lt;/contributors&gt;&lt;titles&gt;&lt;title&gt;Strong and Resilient Communities evaluation report&lt;/title&gt;&lt;/titles&gt;&lt;dates&gt;&lt;year&gt;2021&lt;/year&gt;&lt;/dates&gt;&lt;pub-location&gt;Canberra&lt;/pub-location&gt;&lt;publisher&gt;Department of Social Services&lt;/publisher&gt;&lt;work-type&gt;Internet&lt;/work-type&gt;&lt;urls&gt;&lt;related-urls&gt;&lt;url&gt;https://www.dss.gov.au/strong-and-resilient-communities-evaluation-report&lt;/url&gt;&lt;/related-urls&gt;&lt;/urls&gt;&lt;custom1&gt;2024&lt;/custom1&gt;&lt;custom2&gt;March 06&lt;/custom2&gt;&lt;/record&gt;&lt;/Cite&gt;&lt;/EndNote&gt;</w:instrText>
        </w:r>
        <w:r w:rsidR="002D6F18">
          <w:rPr>
            <w:rStyle w:val="normaltextrun"/>
            <w:color w:val="2C2A29"/>
          </w:rPr>
          <w:fldChar w:fldCharType="separate"/>
        </w:r>
        <w:r w:rsidR="002D6F18" w:rsidRPr="00445D54">
          <w:rPr>
            <w:rStyle w:val="normaltextrun"/>
            <w:noProof/>
            <w:color w:val="2C2A29"/>
            <w:vertAlign w:val="superscript"/>
          </w:rPr>
          <w:t>140</w:t>
        </w:r>
        <w:r w:rsidR="002D6F18">
          <w:rPr>
            <w:rStyle w:val="normaltextrun"/>
            <w:color w:val="2C2A29"/>
          </w:rPr>
          <w:fldChar w:fldCharType="end"/>
        </w:r>
      </w:hyperlink>
    </w:p>
    <w:p w14:paraId="50F755D3" w14:textId="28D39F0E" w:rsidR="00E864FA" w:rsidRPr="00B768A1" w:rsidRDefault="00E939ED" w:rsidP="00745B34">
      <w:pPr>
        <w:pStyle w:val="Caption"/>
      </w:pPr>
      <w:bookmarkStart w:id="63" w:name="_Ref162225568"/>
      <w:bookmarkStart w:id="64" w:name="_Ref164869812"/>
      <w:r>
        <w:t xml:space="preserve">Table </w:t>
      </w:r>
      <w:bookmarkEnd w:id="63"/>
      <w:r w:rsidR="00F823CC">
        <w:fldChar w:fldCharType="begin"/>
      </w:r>
      <w:r w:rsidR="00F823CC">
        <w:instrText xml:space="preserve"> SEQ Table \* ARABIC  \* MERGEFORMAT </w:instrText>
      </w:r>
      <w:r w:rsidR="00F823CC">
        <w:fldChar w:fldCharType="separate"/>
      </w:r>
      <w:r w:rsidR="009F12B4">
        <w:rPr>
          <w:noProof/>
        </w:rPr>
        <w:t>10</w:t>
      </w:r>
      <w:r w:rsidR="00F823CC">
        <w:fldChar w:fldCharType="end"/>
      </w:r>
      <w:bookmarkEnd w:id="64"/>
      <w:r>
        <w:t xml:space="preserve">: Recommended actions for Prevention objective </w:t>
      </w:r>
      <w:r w:rsidR="008D14F2">
        <w:t>4.1</w:t>
      </w:r>
      <w:r>
        <w:t>: Connect communities</w:t>
      </w:r>
    </w:p>
    <w:tbl>
      <w:tblPr>
        <w:tblStyle w:val="TableGrid"/>
        <w:tblW w:w="5000" w:type="pct"/>
        <w:tblLayout w:type="fixed"/>
        <w:tblLook w:val="0420" w:firstRow="1" w:lastRow="0" w:firstColumn="0" w:lastColumn="0" w:noHBand="0" w:noVBand="1"/>
        <w:tblCaption w:val="Recommended actions for Prevention objective 1.4: Connect communities"/>
        <w:tblDescription w:val="Describes action ko1.4a&#10;&#10;"/>
      </w:tblPr>
      <w:tblGrid>
        <w:gridCol w:w="1269"/>
        <w:gridCol w:w="7792"/>
      </w:tblGrid>
      <w:tr w:rsidR="00100EBC" w:rsidRPr="00E939ED" w14:paraId="180328C2" w14:textId="77777777" w:rsidTr="55FFBE13">
        <w:trPr>
          <w:cnfStyle w:val="100000000000" w:firstRow="1" w:lastRow="0" w:firstColumn="0" w:lastColumn="0" w:oddVBand="0" w:evenVBand="0" w:oddHBand="0" w:evenHBand="0" w:firstRowFirstColumn="0" w:firstRowLastColumn="0" w:lastRowFirstColumn="0" w:lastRowLastColumn="0"/>
          <w:cantSplit/>
          <w:tblHeader/>
        </w:trPr>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48002"/>
          </w:tcPr>
          <w:p w14:paraId="3C3959FF" w14:textId="50175B39" w:rsidR="00100EBC" w:rsidRPr="00E939ED" w:rsidRDefault="00100EBC" w:rsidP="004F5B0E">
            <w:pPr>
              <w:pStyle w:val="NMHCTableHeaderRow"/>
            </w:pPr>
            <w:r w:rsidRPr="00E939ED">
              <w:t>Action</w:t>
            </w:r>
          </w:p>
        </w:tc>
        <w:tc>
          <w:tcPr>
            <w:tcW w:w="77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48002"/>
            <w:tcMar>
              <w:top w:w="28" w:type="dxa"/>
              <w:bottom w:w="28" w:type="dxa"/>
            </w:tcMar>
          </w:tcPr>
          <w:p w14:paraId="7F3E64B9" w14:textId="16175AE8" w:rsidR="00100EBC" w:rsidRPr="00E939ED" w:rsidRDefault="00100EBC" w:rsidP="004F5B0E">
            <w:pPr>
              <w:pStyle w:val="NMHCTableHeaderRow"/>
              <w:rPr>
                <w:rStyle w:val="normaltextrun"/>
              </w:rPr>
            </w:pPr>
            <w:r>
              <w:rPr>
                <w:rStyle w:val="normaltextrun"/>
              </w:rPr>
              <w:t>Description</w:t>
            </w:r>
          </w:p>
        </w:tc>
      </w:tr>
      <w:tr w:rsidR="00100EBC" w:rsidRPr="00B768A1" w14:paraId="6600C675" w14:textId="77777777" w:rsidTr="55FFBE13">
        <w:tc>
          <w:tcPr>
            <w:tcW w:w="1270" w:type="dxa"/>
            <w:tcBorders>
              <w:top w:val="single" w:sz="4" w:space="0" w:color="FFFFFF" w:themeColor="background1"/>
            </w:tcBorders>
          </w:tcPr>
          <w:p w14:paraId="254C5B76" w14:textId="26C48AF9" w:rsidR="00100EBC" w:rsidRPr="00BF09EB" w:rsidRDefault="00100EBC" w:rsidP="00634A83">
            <w:r>
              <w:t>k</w:t>
            </w:r>
            <w:r w:rsidRPr="00BF09EB">
              <w:t>o</w:t>
            </w:r>
            <w:r>
              <w:t>4.1</w:t>
            </w:r>
            <w:r w:rsidRPr="00BF09EB">
              <w:t>a</w:t>
            </w:r>
          </w:p>
        </w:tc>
        <w:tc>
          <w:tcPr>
            <w:tcW w:w="7797" w:type="dxa"/>
            <w:tcBorders>
              <w:top w:val="single" w:sz="4" w:space="0" w:color="FFFFFF" w:themeColor="background1"/>
            </w:tcBorders>
            <w:tcMar>
              <w:top w:w="28" w:type="dxa"/>
              <w:bottom w:w="28" w:type="dxa"/>
            </w:tcMar>
          </w:tcPr>
          <w:p w14:paraId="7D5D89D7" w14:textId="046ABF92" w:rsidR="00100EBC" w:rsidRPr="00BF09EB" w:rsidRDefault="00100EBC" w:rsidP="00634A83">
            <w:pPr>
              <w:rPr>
                <w:rStyle w:val="normaltextrun"/>
                <w:rFonts w:cstheme="minorHAnsi"/>
              </w:rPr>
            </w:pPr>
            <w:r w:rsidRPr="00BF09EB">
              <w:rPr>
                <w:rStyle w:val="normaltextrun"/>
              </w:rPr>
              <w:t xml:space="preserve">Work with communities to guide, coordinate and create initiatives that build cultural connection, sense of belonging, positive cultural identity, and engagement with cultural practices in communities. </w:t>
            </w:r>
            <w:r w:rsidRPr="00BF09EB">
              <w:t>These programs should be focused on inclusion of all age groups, and actively reach out to people who would benefit most from strengthened community connections. They should:</w:t>
            </w:r>
          </w:p>
          <w:p w14:paraId="087E045B" w14:textId="3C6D80D8" w:rsidR="00100EBC" w:rsidRPr="00BF09EB" w:rsidRDefault="3E468940" w:rsidP="00634A83">
            <w:pPr>
              <w:pStyle w:val="ListParagraph"/>
            </w:pPr>
            <w:r>
              <w:t>Build capacity for marginalised groups to grow community leadership for greater representation in the community.</w:t>
            </w:r>
          </w:p>
          <w:p w14:paraId="335389F6" w14:textId="0DD834D7" w:rsidR="00100EBC" w:rsidRPr="00BF09EB" w:rsidRDefault="3E468940" w:rsidP="00634A83">
            <w:pPr>
              <w:pStyle w:val="ListParagraph"/>
            </w:pPr>
            <w:r>
              <w:t>Build the capability of individuals to participate fully in the community, including through digital and online engagement.</w:t>
            </w:r>
          </w:p>
          <w:p w14:paraId="62618CB5" w14:textId="6E1004D8" w:rsidR="00100EBC" w:rsidRPr="00BF09EB" w:rsidRDefault="3E468940" w:rsidP="00634A83">
            <w:pPr>
              <w:pStyle w:val="ListParagraph"/>
            </w:pPr>
            <w:r>
              <w:t>Reinforce efforts to promote healing and reconciliation between Aboriginal and Torres Strait Islander peoples and non-Indigenous Australians.</w:t>
            </w:r>
          </w:p>
          <w:p w14:paraId="107359C1" w14:textId="7AEE3A95" w:rsidR="00100EBC" w:rsidRPr="00BF09EB" w:rsidRDefault="3E468940" w:rsidP="00634A83">
            <w:pPr>
              <w:pStyle w:val="ListParagraph"/>
            </w:pPr>
            <w:r>
              <w:t xml:space="preserve">Increase the number of sporting and other interest groups available to </w:t>
            </w:r>
            <w:bookmarkStart w:id="65" w:name="_Int_PoyPFbf6"/>
            <w:r>
              <w:t>communities, and</w:t>
            </w:r>
            <w:bookmarkEnd w:id="65"/>
            <w:r>
              <w:t xml:space="preserve"> help community clubs to ensure diverse representation among participants.</w:t>
            </w:r>
          </w:p>
          <w:p w14:paraId="0B92847F" w14:textId="6E9212AA" w:rsidR="00100EBC" w:rsidRPr="00BF09EB" w:rsidRDefault="3E468940" w:rsidP="00634A83">
            <w:pPr>
              <w:pStyle w:val="ListParagraph"/>
            </w:pPr>
            <w:r>
              <w:t>Facilitate uptake and diversity of volunteering, including increased support to connect with volunteering options across settings such as schools, hospitals, aged care support, community programs and sporting clubs.</w:t>
            </w:r>
          </w:p>
        </w:tc>
      </w:tr>
    </w:tbl>
    <w:p w14:paraId="220A0FFD" w14:textId="7C995B1D" w:rsidR="00C16201" w:rsidRPr="003B238A" w:rsidRDefault="00BF09EB" w:rsidP="008F7F7F">
      <w:pPr>
        <w:pStyle w:val="Heading3prevention0"/>
      </w:pPr>
      <w:r>
        <w:t>4.</w:t>
      </w:r>
      <w:r w:rsidR="00C16201" w:rsidRPr="003B238A">
        <w:t>2 Address loneliness and social exclusion</w:t>
      </w:r>
    </w:p>
    <w:p w14:paraId="77142237" w14:textId="6E6E79FB" w:rsidR="00C16201" w:rsidRPr="00B768A1" w:rsidRDefault="6680B6DA" w:rsidP="00634A83">
      <w:r w:rsidRPr="00B768A1">
        <w:t>Loneliness and social exclusion are risk factors for suicide.</w:t>
      </w:r>
      <w:hyperlink w:anchor="_ENREF_141" w:tooltip="SM, 2017 #164" w:history="1">
        <w:r w:rsidR="002D6F18">
          <w:fldChar w:fldCharType="begin"/>
        </w:r>
        <w:r w:rsidR="002D6F18">
          <w:instrText xml:space="preserve"> ADDIN EN.CITE &lt;EndNote&gt;&lt;Cite&gt;&lt;Author&gt;SM&lt;/Author&gt;&lt;Year&gt;2017&lt;/Year&gt;&lt;RecNum&gt;164&lt;/RecNum&gt;&lt;DisplayText&gt;&lt;style face="superscript"&gt;141&lt;/style&gt;&lt;/DisplayText&gt;&lt;record&gt;&lt;rec-number&gt;164&lt;/rec-number&gt;&lt;foreign-keys&gt;&lt;key app="EN" db-id="rsettzd2isasdweewww55s9lffasxav0d0ft" timestamp="1700699468" guid="c7a8f4c4-b78e-43ca-95d6-4a4a3ce34a9c"&gt;164&lt;/key&gt;&lt;/foreign-keys&gt;&lt;ref-type name="Journal Article"&gt;17&lt;/ref-type&gt;&lt;contributors&gt;&lt;authors&gt;&lt;author&gt;Stewart SM&lt;/author&gt;&lt;author&gt;Eaddy M&lt;/author&gt;&lt;author&gt;Horton SE&lt;/author&gt;&lt;author&gt;Hughes J&lt;/author&gt;&lt;author&gt;Kennard B&lt;/author&gt;&lt;/authors&gt;&lt;/contributors&gt;&lt;titles&gt;&lt;title&gt;The Validity of the Interpersonal Theory of Suicide in Adolescence: A Review&lt;/title&gt;&lt;secondary-title&gt;Journal of Clinical Child &amp;amp; Adolescent Psychology&lt;/secondary-title&gt;&lt;/titles&gt;&lt;periodical&gt;&lt;full-title&gt;Journal of Clinical Child &amp;amp; Adolescent Psychology&lt;/full-title&gt;&lt;/periodical&gt;&lt;dates&gt;&lt;year&gt;2017&lt;/year&gt;&lt;/dates&gt;&lt;urls&gt;&lt;/urls&gt;&lt;electronic-resource-num&gt;DOI: 10.1080/15374416.2015.1020542&lt;/electronic-resource-num&gt;&lt;/record&gt;&lt;/Cite&gt;&lt;/EndNote&gt;</w:instrText>
        </w:r>
        <w:r w:rsidR="002D6F18">
          <w:fldChar w:fldCharType="separate"/>
        </w:r>
        <w:r w:rsidR="002D6F18" w:rsidRPr="00445D54">
          <w:rPr>
            <w:noProof/>
            <w:vertAlign w:val="superscript"/>
          </w:rPr>
          <w:t>141</w:t>
        </w:r>
        <w:r w:rsidR="002D6F18">
          <w:fldChar w:fldCharType="end"/>
        </w:r>
      </w:hyperlink>
      <w:r w:rsidRPr="00B768A1">
        <w:t xml:space="preserve"> Loneliness is the subjective feeling of a lack of connection with others and can be experienced regardless of whether a person is alone or surrounded by others. Social exclusion describes an experience of being rejected or ostracised by others and can be the result of experiences such as racism, ageism, homophobia or transphobia, stigma, ableism or economic circumstances that prevent inclusion or participation in the community. Loneliness and social exclusion are related to a desire for more, or more satisfying, social relationships (</w:t>
      </w:r>
      <w:r>
        <w:t>action ko</w:t>
      </w:r>
      <w:r w:rsidR="0A7B82C3" w:rsidRPr="7098A0DA">
        <w:t>4.2</w:t>
      </w:r>
      <w:r w:rsidRPr="00B768A1">
        <w:t>a).</w:t>
      </w:r>
      <w:hyperlink w:anchor="_ENREF_142" w:tooltip="O, 2022 #1063" w:history="1">
        <w:r w:rsidR="002D6F18" w:rsidRPr="00CB663E">
          <w:rPr>
            <w:vertAlign w:val="superscript"/>
          </w:rPr>
          <w:fldChar w:fldCharType="begin"/>
        </w:r>
        <w:r w:rsidR="002D6F18">
          <w:rPr>
            <w:vertAlign w:val="superscript"/>
          </w:rPr>
          <w:instrText xml:space="preserve"> ADDIN EN.CITE &lt;EndNote&gt;&lt;Cite&gt;&lt;Author&gt;O&lt;/Author&gt;&lt;Year&gt;2022&lt;/Year&gt;&lt;RecNum&gt;1063&lt;/RecNum&gt;&lt;DisplayText&gt;&lt;style face="superscript"&gt;142&lt;/style&gt;&lt;/DisplayText&gt;&lt;record&gt;&lt;rec-number&gt;1063&lt;/rec-number&gt;&lt;foreign-keys&gt;&lt;key app="EN" db-id="rsettzd2isasdweewww55s9lffasxav0d0ft" timestamp="1720488606" guid="70380340-c2be-434c-ae42-8d0593c81722"&gt;1063&lt;/key&gt;&lt;/foreign-keys&gt;&lt;ref-type name="Journal Article"&gt;17&lt;/ref-type&gt;&lt;contributors&gt;&lt;authors&gt;&lt;author&gt;Huxhold O&lt;/author&gt;&lt;author&gt;Suanet B&lt;/author&gt;&lt;author&gt;Wetzel M&lt;/author&gt;&lt;/authors&gt;&lt;/contributors&gt;&lt;titles&gt;&lt;title&gt;Perceived Social Exclusion and Loneliness: Two Distinct but Related Phenomena&lt;/title&gt;&lt;secondary-title&gt;Sociological Science&lt;/secondary-title&gt;&lt;/titles&gt;&lt;periodical&gt;&lt;full-title&gt;Sociological Science&lt;/full-title&gt;&lt;/periodical&gt;&lt;pages&gt;430-453&lt;/pages&gt;&lt;volume&gt;9&lt;/volume&gt;&lt;dates&gt;&lt;year&gt;2022&lt;/year&gt;&lt;pub-dates&gt;&lt;date&gt;10/01&lt;/date&gt;&lt;/pub-dates&gt;&lt;/dates&gt;&lt;urls&gt;&lt;/urls&gt;&lt;electronic-resource-num&gt;10.15195/v9.a17&lt;/electronic-resource-num&gt;&lt;/record&gt;&lt;/Cite&gt;&lt;/EndNote&gt;</w:instrText>
        </w:r>
        <w:r w:rsidR="002D6F18" w:rsidRPr="00CB663E">
          <w:rPr>
            <w:vertAlign w:val="superscript"/>
          </w:rPr>
          <w:fldChar w:fldCharType="separate"/>
        </w:r>
        <w:r w:rsidR="002D6F18">
          <w:rPr>
            <w:noProof/>
            <w:vertAlign w:val="superscript"/>
          </w:rPr>
          <w:t>142</w:t>
        </w:r>
        <w:r w:rsidR="002D6F18" w:rsidRPr="00CB663E">
          <w:rPr>
            <w:vertAlign w:val="superscript"/>
          </w:rPr>
          <w:fldChar w:fldCharType="end"/>
        </w:r>
      </w:hyperlink>
      <w:r w:rsidR="00CB663E" w:rsidRPr="00CB663E">
        <w:rPr>
          <w:vertAlign w:val="superscript"/>
        </w:rPr>
        <w:t>,</w:t>
      </w:r>
      <w:hyperlink w:anchor="_ENREF_143" w:tooltip="JC, 2022 #1121" w:history="1">
        <w:r w:rsidR="002D6F18" w:rsidRPr="00CB663E">
          <w:rPr>
            <w:vertAlign w:val="superscript"/>
          </w:rPr>
          <w:fldChar w:fldCharType="begin"/>
        </w:r>
        <w:r w:rsidR="002D6F18">
          <w:rPr>
            <w:vertAlign w:val="superscript"/>
          </w:rPr>
          <w:instrText xml:space="preserve"> ADDIN EN.CITE &lt;EndNote&gt;&lt;Cite&gt;&lt;Author&gt;JC&lt;/Author&gt;&lt;Year&gt;2022&lt;/Year&gt;&lt;RecNum&gt;1121&lt;/RecNum&gt;&lt;DisplayText&gt;&lt;style face="superscript"&gt;143&lt;/style&gt;&lt;/DisplayText&gt;&lt;record&gt;&lt;rec-number&gt;1121&lt;/rec-number&gt;&lt;foreign-keys&gt;&lt;key app="EN" db-id="rsettzd2isasdweewww55s9lffasxav0d0ft" timestamp="1720506980" guid="14787e5e-1d0c-41c1-bf7f-9eebb3be1dee"&gt;1121&lt;/key&gt;&lt;/foreign-keys&gt;&lt;ref-type name="Web Page"&gt;12&lt;/ref-type&gt;&lt;contributors&gt;&lt;authors&gt;&lt;author&gt;Badcock JC&lt;/author&gt;&lt;author&gt;Holt-Lunstad J&lt;/author&gt;&lt;author&gt;Garcia E&lt;/author&gt;&lt;author&gt;Bombaci P &lt;/author&gt;&lt;author&gt;Lim MH&lt;/author&gt;&lt;/authors&gt;&lt;/contributors&gt;&lt;titles&gt;&lt;title&gt;Position statement: addressing social isolation, loneliness, and the power of human connection&lt;/title&gt;&lt;/titles&gt;&lt;dates&gt;&lt;year&gt;2022&lt;/year&gt;&lt;/dates&gt;&lt;publisher&gt;Global Initiative on Loneliness and Connection&lt;/publisher&gt;&lt;work-type&gt;Internet&lt;/work-type&gt;&lt;urls&gt;&lt;related-urls&gt;&lt;url&gt;https://www.gilc.global/our-position-statements&lt;/url&gt;&lt;/related-urls&gt;&lt;/urls&gt;&lt;custom1&gt;2023&lt;/custom1&gt;&lt;custom2&gt;November 21&lt;/custom2&gt;&lt;/record&gt;&lt;/Cite&gt;&lt;/EndNote&gt;</w:instrText>
        </w:r>
        <w:r w:rsidR="002D6F18" w:rsidRPr="00CB663E">
          <w:rPr>
            <w:vertAlign w:val="superscript"/>
          </w:rPr>
          <w:fldChar w:fldCharType="separate"/>
        </w:r>
        <w:r w:rsidR="002D6F18">
          <w:rPr>
            <w:noProof/>
            <w:vertAlign w:val="superscript"/>
          </w:rPr>
          <w:t>143</w:t>
        </w:r>
        <w:r w:rsidR="002D6F18" w:rsidRPr="00CB663E">
          <w:rPr>
            <w:vertAlign w:val="superscript"/>
          </w:rPr>
          <w:fldChar w:fldCharType="end"/>
        </w:r>
      </w:hyperlink>
    </w:p>
    <w:p w14:paraId="5A7198DB" w14:textId="48A15A79" w:rsidR="00C16201" w:rsidRPr="00B768A1" w:rsidRDefault="6680B6DA" w:rsidP="00634A83">
      <w:r>
        <w:t>R</w:t>
      </w:r>
      <w:r w:rsidRPr="00B768A1">
        <w:t>acism and racial discrimination are experienced by many people and are particularly common for Aboriginal and Torres Strait Islander people. Such experiences have negative impacts on mental health and on social and emotional wellbeing.</w:t>
      </w:r>
      <w:hyperlink w:anchor="_ENREF_144" w:tooltip="M, 2003 #1123" w:history="1">
        <w:r w:rsidR="002D6F18">
          <w:fldChar w:fldCharType="begin"/>
        </w:r>
        <w:r w:rsidR="002D6F18">
          <w:instrText xml:space="preserve"> ADDIN EN.CITE &lt;EndNote&gt;&lt;Cite&gt;&lt;Author&gt;M&lt;/Author&gt;&lt;Year&gt;2003&lt;/Year&gt;&lt;RecNum&gt;1123&lt;/RecNum&gt;&lt;DisplayText&gt;&lt;style face="superscript"&gt;144&lt;/style&gt;&lt;/DisplayText&gt;&lt;record&gt;&lt;rec-number&gt;1123&lt;/rec-number&gt;&lt;foreign-keys&gt;&lt;key app="EN" db-id="rsettzd2isasdweewww55s9lffasxav0d0ft" timestamp="1720507628" guid="43606595-3ee4-4f50-815e-59cdb0bf06ee"&gt;1123&lt;/key&gt;&lt;/foreign-keys&gt;&lt;ref-type name="Web Page"&gt;12&lt;/ref-type&gt;&lt;contributors&gt;&lt;authors&gt;&lt;author&gt;Truong M&lt;/author&gt;&lt;author&gt;Moore E&lt;/author&gt;&lt;/authors&gt;&lt;/contributors&gt;&lt;titles&gt;&lt;title&gt;Racism and Indigenous wellbeing, mental health and suicide&lt;/title&gt;&lt;/titles&gt;&lt;dates&gt;&lt;year&gt;2003&lt;/year&gt;&lt;/dates&gt;&lt;publisher&gt;Australian Institute of Health and Welfare&lt;/publisher&gt;&lt;work-type&gt;Internet&lt;/work-type&gt;&lt;urls&gt;&lt;related-urls&gt;&lt;url&gt;https://www.indigenousmhspc.gov.au/getattachment/72f9d6ff-14fe-4c3b-8705-dce479bce7bb/racism-and-indigenous-wellbeing.pdf?v=1569&lt;/url&gt;&lt;/related-urls&gt;&lt;/urls&gt;&lt;custom1&gt;2023&lt;/custom1&gt;&lt;custom2&gt;November 27&lt;/custom2&gt;&lt;electronic-resource-num&gt;10.25816/k4r5-e446 &lt;/electronic-resource-num&gt;&lt;/record&gt;&lt;/Cite&gt;&lt;/EndNote&gt;</w:instrText>
        </w:r>
        <w:r w:rsidR="002D6F18">
          <w:fldChar w:fldCharType="separate"/>
        </w:r>
        <w:r w:rsidR="002D6F18" w:rsidRPr="00445D54">
          <w:rPr>
            <w:noProof/>
            <w:vertAlign w:val="superscript"/>
          </w:rPr>
          <w:t>144</w:t>
        </w:r>
        <w:r w:rsidR="002D6F18">
          <w:fldChar w:fldCharType="end"/>
        </w:r>
      </w:hyperlink>
      <w:r w:rsidRPr="00B768A1">
        <w:t> Prejudice against transgender people is also prevalent and has a similarly detrimental impact (</w:t>
      </w:r>
      <w:r>
        <w:t>action ko</w:t>
      </w:r>
      <w:r w:rsidR="52D967CD" w:rsidRPr="498A3250">
        <w:t>4.2</w:t>
      </w:r>
      <w:r w:rsidRPr="00B768A1">
        <w:t>b).</w:t>
      </w:r>
      <w:hyperlink w:anchor="_ENREF_145" w:tooltip="E, 2016 #1048" w:history="1">
        <w:r w:rsidR="002D6F18">
          <w:fldChar w:fldCharType="begin"/>
        </w:r>
        <w:r w:rsidR="002D6F18">
          <w:instrText xml:space="preserve"> ADDIN EN.CITE &lt;EndNote&gt;&lt;Cite&gt;&lt;Author&gt;E&lt;/Author&gt;&lt;Year&gt;2016&lt;/Year&gt;&lt;RecNum&gt;1048&lt;/RecNum&gt;&lt;DisplayText&gt;&lt;style face="superscript"&gt;145&lt;/style&gt;&lt;/DisplayText&gt;&lt;record&gt;&lt;rec-number&gt;1048&lt;/rec-number&gt;&lt;foreign-keys&gt;&lt;key app="EN" db-id="rsettzd2isasdweewww55s9lffasxav0d0ft" timestamp="1720488553" guid="5aeb45f0-b86f-4f4a-a49e-179cc07a7897"&gt;1048&lt;/key&gt;&lt;/foreign-keys&gt;&lt;ref-type name="Journal Article"&gt;17&lt;/ref-type&gt;&lt;contributors&gt;&lt;authors&gt;&lt;author&gt;Wilson E&lt;/author&gt;&lt;author&gt;Chen Y-H&lt;/author&gt;&lt;author&gt;Arayasirikul S&lt;/author&gt;&lt;author&gt;Raymond H&lt;/author&gt;&lt;author&gt;McFarland W&lt;/author&gt;&lt;/authors&gt;&lt;/contributors&gt;&lt;titles&gt;&lt;title&gt;The Impact of Discrimination on the Mental Health of Trans*Female Youth and the Protective Effect of Parental Support&lt;/title&gt;&lt;secondary-title&gt;AIDS and Behavior&lt;/secondary-title&gt;&lt;/titles&gt;&lt;periodical&gt;&lt;full-title&gt;AIDS and Behavior&lt;/full-title&gt;&lt;/periodical&gt;&lt;volume&gt;20&lt;/volume&gt;&lt;dates&gt;&lt;year&gt;2016&lt;/year&gt;&lt;pub-dates&gt;&lt;date&gt;10/01&lt;/date&gt;&lt;/pub-dates&gt;&lt;/dates&gt;&lt;urls&gt;&lt;/urls&gt;&lt;electronic-resource-num&gt;10.1007/s10461-016-1409-7&lt;/electronic-resource-num&gt;&lt;/record&gt;&lt;/Cite&gt;&lt;/EndNote&gt;</w:instrText>
        </w:r>
        <w:r w:rsidR="002D6F18">
          <w:fldChar w:fldCharType="separate"/>
        </w:r>
        <w:r w:rsidR="002D6F18" w:rsidRPr="00445D54">
          <w:rPr>
            <w:noProof/>
            <w:vertAlign w:val="superscript"/>
          </w:rPr>
          <w:t>145</w:t>
        </w:r>
        <w:r w:rsidR="002D6F18">
          <w:fldChar w:fldCharType="end"/>
        </w:r>
      </w:hyperlink>
      <w:r w:rsidRPr="00B768A1">
        <w:t xml:space="preserve"> </w:t>
      </w:r>
    </w:p>
    <w:p w14:paraId="5301F395" w14:textId="6A44F621" w:rsidR="00C16201" w:rsidRDefault="0A07D7E3" w:rsidP="00634A83">
      <w:r w:rsidRPr="00B768A1">
        <w:t>People who experience severe loneliness are 3.5</w:t>
      </w:r>
      <w:r>
        <w:t> </w:t>
      </w:r>
      <w:r w:rsidRPr="00B768A1">
        <w:t>times more likely to attempt suicide in their lifetime and 17.4</w:t>
      </w:r>
      <w:r>
        <w:t> </w:t>
      </w:r>
      <w:r w:rsidRPr="00B768A1">
        <w:t>times more likely to have attempted suicide in the past 12</w:t>
      </w:r>
      <w:r>
        <w:t> </w:t>
      </w:r>
      <w:r w:rsidRPr="00B768A1">
        <w:t>months.</w:t>
      </w:r>
      <w:hyperlink w:anchor="_ENREF_53" w:tooltip="A, 2016 #151" w:history="1">
        <w:r w:rsidR="002D6F18">
          <w:fldChar w:fldCharType="begin"/>
        </w:r>
        <w:r w:rsidR="002D6F18">
          <w:instrText xml:space="preserve"> ADDIN EN.CITE &lt;EndNote&gt;&lt;Cite&gt;&lt;Author&gt;A&lt;/Author&gt;&lt;Year&gt;2016&lt;/Year&gt;&lt;RecNum&gt;151&lt;/RecNum&gt;&lt;DisplayText&gt;&lt;style face="superscript"&gt;53&lt;/style&gt;&lt;/DisplayText&gt;&lt;record&gt;&lt;rec-number&gt;151&lt;/rec-number&gt;&lt;foreign-keys&gt;&lt;key app="EN" db-id="rsettzd2isasdweewww55s9lffasxav0d0ft" timestamp="1700699468" guid="d0d15044-2faa-457d-8435-5b3eca3e7868"&gt;151&lt;/key&gt;&lt;/foreign-keys&gt;&lt;ref-type name="Journal Article"&gt;17&lt;/ref-type&gt;&lt;contributors&gt;&lt;authors&gt;&lt;author&gt;Stickley A&lt;/author&gt;&lt;author&gt;Koyanagi A&lt;/author&gt;&lt;/authors&gt;&lt;/contributors&gt;&lt;titles&gt;&lt;title&gt;Loneliness, Common Mental Disorders and Suicidal Behavior: Findings from a General Population Survey&lt;/title&gt;&lt;secondary-title&gt;Journal of Affective Disorders&lt;/secondary-title&gt;&lt;/titles&gt;&lt;periodical&gt;&lt;full-title&gt;Journal of Affective Disorders&lt;/full-title&gt;&lt;/periodical&gt;&lt;dates&gt;&lt;year&gt;2016&lt;/year&gt;&lt;/dates&gt;&lt;urls&gt;&lt;/urls&gt;&lt;electronic-resource-num&gt;DOI: 10.1016/j.jad.2016.02.054&lt;/electronic-resource-num&gt;&lt;/record&gt;&lt;/Cite&gt;&lt;/EndNote&gt;</w:instrText>
        </w:r>
        <w:r w:rsidR="002D6F18">
          <w:fldChar w:fldCharType="separate"/>
        </w:r>
        <w:r w:rsidR="002D6F18" w:rsidRPr="0082082D">
          <w:rPr>
            <w:noProof/>
            <w:vertAlign w:val="superscript"/>
          </w:rPr>
          <w:t>53</w:t>
        </w:r>
        <w:r w:rsidR="002D6F18">
          <w:fldChar w:fldCharType="end"/>
        </w:r>
      </w:hyperlink>
      <w:r w:rsidRPr="00B768A1">
        <w:t xml:space="preserve"> Approximately 1</w:t>
      </w:r>
      <w:r>
        <w:t> </w:t>
      </w:r>
      <w:r w:rsidRPr="00B768A1">
        <w:t>in 3</w:t>
      </w:r>
      <w:r>
        <w:t> </w:t>
      </w:r>
      <w:r w:rsidRPr="00B768A1">
        <w:t>Australians report that they feel lonely and 1</w:t>
      </w:r>
      <w:r>
        <w:t> </w:t>
      </w:r>
      <w:r w:rsidRPr="00B768A1">
        <w:t>in 6</w:t>
      </w:r>
      <w:r>
        <w:t> </w:t>
      </w:r>
      <w:r w:rsidRPr="00B768A1">
        <w:t>feel severely lonely.</w:t>
      </w:r>
      <w:hyperlink w:anchor="_ENREF_146" w:tooltip="MH, 2023 #864" w:history="1">
        <w:r w:rsidR="002D6F18">
          <w:fldChar w:fldCharType="begin"/>
        </w:r>
        <w:r w:rsidR="002D6F18">
          <w:instrText xml:space="preserve"> ADDIN EN.CITE &lt;EndNote&gt;&lt;Cite&gt;&lt;Author&gt;MH&lt;/Author&gt;&lt;Year&gt;2023&lt;/Year&gt;&lt;RecNum&gt;864&lt;/RecNum&gt;&lt;DisplayText&gt;&lt;style face="superscript"&gt;146&lt;/style&gt;&lt;/DisplayText&gt;&lt;record&gt;&lt;rec-number&gt;864&lt;/rec-number&gt;&lt;foreign-keys&gt;&lt;key app="EN" db-id="rsettzd2isasdweewww55s9lffasxav0d0ft" timestamp="1707862927" guid="01f04c3f-3afb-4371-9636-f7f6ac5853fd"&gt;864&lt;/key&gt;&lt;/foreign-keys&gt;&lt;ref-type name="Web Page"&gt;12&lt;/ref-type&gt;&lt;contributors&gt;&lt;authors&gt;&lt;author&gt;Lim MH&lt;/author&gt;&lt;author&gt;Smith B&lt;/author&gt;&lt;/authors&gt;&lt;/contributors&gt;&lt;titles&gt;&lt;title&gt;State of the Nation Report: Social Connections in Australia 2023&lt;/title&gt;&lt;/titles&gt;&lt;dates&gt;&lt;year&gt;2023&lt;/year&gt;&lt;/dates&gt;&lt;publisher&gt;Ending Loneliness Together&lt;/publisher&gt;&lt;work-type&gt;Internet&lt;/work-type&gt;&lt;urls&gt;&lt;related-urls&gt;&lt;url&gt;https://lonelinessawarenessweek.com.au/wp-content/uploads/2023/08/state-of-nation-social-connection-2023.pdf&lt;/url&gt;&lt;/related-urls&gt;&lt;/urls&gt;&lt;custom1&gt;2023&lt;/custom1&gt;&lt;custom2&gt;November 06&lt;/custom2&gt;&lt;/record&gt;&lt;/Cite&gt;&lt;/EndNote&gt;</w:instrText>
        </w:r>
        <w:r w:rsidR="002D6F18">
          <w:fldChar w:fldCharType="separate"/>
        </w:r>
        <w:r w:rsidR="002D6F18" w:rsidRPr="00445D54">
          <w:rPr>
            <w:noProof/>
            <w:vertAlign w:val="superscript"/>
          </w:rPr>
          <w:t>146</w:t>
        </w:r>
        <w:r w:rsidR="002D6F18">
          <w:fldChar w:fldCharType="end"/>
        </w:r>
      </w:hyperlink>
      <w:r w:rsidRPr="00B768A1">
        <w:t xml:space="preserve"> For men, loneliness is associated with twice the likelihood of experiencing suicidal thoughts and 1.4</w:t>
      </w:r>
      <w:r>
        <w:t> </w:t>
      </w:r>
      <w:r w:rsidRPr="00B768A1">
        <w:t>times the likelihood of making a suicide attempt.</w:t>
      </w:r>
      <w:hyperlink w:anchor="_ENREF_147" w:tooltip="B, 2022 #1122" w:history="1">
        <w:r w:rsidR="002D6F18">
          <w:fldChar w:fldCharType="begin"/>
        </w:r>
        <w:r w:rsidR="002D6F18">
          <w:instrText xml:space="preserve"> ADDIN EN.CITE &lt;EndNote&gt;&lt;Cite&gt;&lt;Author&gt;B&lt;/Author&gt;&lt;Year&gt;2022&lt;/Year&gt;&lt;RecNum&gt;1122&lt;/RecNum&gt;&lt;DisplayText&gt;&lt;style face="superscript"&gt;147&lt;/style&gt;&lt;/DisplayText&gt;&lt;record&gt;&lt;rec-number&gt;1122&lt;/rec-number&gt;&lt;foreign-keys&gt;&lt;key app="EN" db-id="rsettzd2isasdweewww55s9lffasxav0d0ft" timestamp="1720507117" guid="8d9420bf-93e4-4454-a937-29689457ef01"&gt;1122&lt;/key&gt;&lt;/foreign-keys&gt;&lt;ref-type name="Web Page"&gt;12&lt;/ref-type&gt;&lt;contributors&gt;&lt;authors&gt;&lt;author&gt;Quinn B&lt;/author&gt;&lt;author&gt;Rowland B&lt;/author&gt;&lt;author&gt;Martin S&lt;/author&gt;&lt;/authors&gt;&lt;/contributors&gt;&lt;titles&gt;&lt;title&gt;Insights #2 Report: findings from Ten to Men: the Australian longitudinal study on male health, 2013–21&lt;/title&gt;&lt;/titles&gt;&lt;dates&gt;&lt;year&gt;2022&lt;/year&gt;&lt;/dates&gt;&lt;pub-location&gt;Melbourne&lt;/pub-location&gt;&lt;publisher&gt;Australian Institute of Family Studies&lt;/publisher&gt;&lt;work-type&gt;Internet&lt;/work-type&gt;&lt;urls&gt;&lt;related-urls&gt;&lt;url&gt;https://aifs.gov.au/tentomen/insights-report/insights-2-report-overview-and-key-findings&lt;/url&gt;&lt;/related-urls&gt;&lt;/urls&gt;&lt;custom1&gt;2024&lt;/custom1&gt;&lt;custom2&gt;March 06&lt;/custom2&gt;&lt;/record&gt;&lt;/Cite&gt;&lt;/EndNote&gt;</w:instrText>
        </w:r>
        <w:r w:rsidR="002D6F18">
          <w:fldChar w:fldCharType="separate"/>
        </w:r>
        <w:r w:rsidR="002D6F18" w:rsidRPr="00445D54">
          <w:rPr>
            <w:noProof/>
            <w:vertAlign w:val="superscript"/>
          </w:rPr>
          <w:t>147</w:t>
        </w:r>
        <w:r w:rsidR="002D6F18">
          <w:fldChar w:fldCharType="end"/>
        </w:r>
      </w:hyperlink>
      <w:r w:rsidRPr="00B768A1">
        <w:t xml:space="preserve"> Young, lonely men are particularly at risk for experiencing suicidal thoughts.</w:t>
      </w:r>
      <w:hyperlink w:anchor="_ENREF_148" w:tooltip="M, 2021 #1043" w:history="1">
        <w:r w:rsidR="002D6F18">
          <w:fldChar w:fldCharType="begin"/>
        </w:r>
        <w:r w:rsidR="002D6F18">
          <w:instrText xml:space="preserve"> ADDIN EN.CITE &lt;EndNote&gt;&lt;Cite&gt;&lt;Author&gt;M&lt;/Author&gt;&lt;Year&gt;2021&lt;/Year&gt;&lt;RecNum&gt;1043&lt;/RecNum&gt;&lt;DisplayText&gt;&lt;style face="superscript"&gt;148&lt;/style&gt;&lt;/DisplayText&gt;&lt;record&gt;&lt;rec-number&gt;1043&lt;/rec-number&gt;&lt;foreign-keys&gt;&lt;key app="EN" db-id="rsettzd2isasdweewww55s9lffasxav0d0ft" timestamp="1720488535" guid="b277fb26-6264-49c8-89f4-3db731f98f19"&gt;1043&lt;/key&gt;&lt;/foreign-keys&gt;&lt;ref-type name="Journal Article"&gt;17&lt;/ref-type&gt;&lt;contributors&gt;&lt;authors&gt;&lt;author&gt;Ernst M&lt;/author&gt;&lt;author&gt;Klein E&lt;/author&gt;&lt;author&gt;Beutel M&lt;/author&gt;&lt;author&gt;Brähler E&lt;/author&gt;&lt;/authors&gt;&lt;/contributors&gt;&lt;titles&gt;&lt;title&gt;Gender-specific associations of loneliness and suicidal ideation in a representative population sample: Young, lonely men are particularly at risk&lt;/title&gt;&lt;secondary-title&gt;Journal of Affective Disorders&lt;/secondary-title&gt;&lt;/titles&gt;&lt;periodical&gt;&lt;full-title&gt;Journal of Affective Disorders&lt;/full-title&gt;&lt;/periodical&gt;&lt;volume&gt;294&lt;/volume&gt;&lt;dates&gt;&lt;year&gt;2021&lt;/year&gt;&lt;pub-dates&gt;&lt;date&gt;07/01&lt;/date&gt;&lt;/pub-dates&gt;&lt;/dates&gt;&lt;urls&gt;&lt;/urls&gt;&lt;electronic-resource-num&gt;10.1016/j.jad.2021.06.085&lt;/electronic-resource-num&gt;&lt;/record&gt;&lt;/Cite&gt;&lt;/EndNote&gt;</w:instrText>
        </w:r>
        <w:r w:rsidR="002D6F18">
          <w:fldChar w:fldCharType="separate"/>
        </w:r>
        <w:r w:rsidR="002D6F18" w:rsidRPr="00445D54">
          <w:rPr>
            <w:noProof/>
            <w:vertAlign w:val="superscript"/>
          </w:rPr>
          <w:t>148</w:t>
        </w:r>
        <w:r w:rsidR="002D6F18">
          <w:fldChar w:fldCharType="end"/>
        </w:r>
      </w:hyperlink>
    </w:p>
    <w:p w14:paraId="0CEA75CC" w14:textId="07C66F21" w:rsidR="00C16201" w:rsidRDefault="00C16201" w:rsidP="00634A83">
      <w:r>
        <w:t xml:space="preserve">The recommended actions to </w:t>
      </w:r>
      <w:r w:rsidR="00D44DFC">
        <w:t xml:space="preserve">reduce loneliness and isolation </w:t>
      </w:r>
      <w:r>
        <w:t>are described in</w:t>
      </w:r>
      <w:r w:rsidR="00C146BA">
        <w:t xml:space="preserve"> </w:t>
      </w:r>
      <w:r w:rsidR="00C146BA">
        <w:fldChar w:fldCharType="begin"/>
      </w:r>
      <w:r w:rsidR="00C146BA">
        <w:instrText xml:space="preserve"> REF _Ref164869823 \h </w:instrText>
      </w:r>
      <w:r w:rsidR="00C146BA">
        <w:fldChar w:fldCharType="separate"/>
      </w:r>
      <w:r w:rsidR="009F12B4">
        <w:t xml:space="preserve">Table </w:t>
      </w:r>
      <w:r w:rsidR="009F12B4">
        <w:rPr>
          <w:noProof/>
        </w:rPr>
        <w:t>11</w:t>
      </w:r>
      <w:r w:rsidR="00C146BA">
        <w:fldChar w:fldCharType="end"/>
      </w:r>
      <w:r>
        <w:t>.</w:t>
      </w:r>
    </w:p>
    <w:p w14:paraId="3E6ED4A1" w14:textId="77777777" w:rsidR="009A3EC7" w:rsidRDefault="009A3EC7">
      <w:pPr>
        <w:spacing w:after="160"/>
        <w:rPr>
          <w:b/>
        </w:rPr>
      </w:pPr>
      <w:r>
        <w:br w:type="page"/>
      </w:r>
    </w:p>
    <w:p w14:paraId="19B5BE58" w14:textId="2395A1D9" w:rsidR="00C16201" w:rsidRPr="00B768A1" w:rsidRDefault="00C16201" w:rsidP="00634A83">
      <w:pPr>
        <w:pStyle w:val="BT-Beigebox-Heading"/>
      </w:pPr>
      <w:r w:rsidRPr="00B768A1">
        <w:t>Activity to build on</w:t>
      </w:r>
    </w:p>
    <w:p w14:paraId="6C540863" w14:textId="73253344" w:rsidR="00C16201" w:rsidRPr="00B768A1" w:rsidRDefault="0A07D7E3" w:rsidP="00634A83">
      <w:pPr>
        <w:pStyle w:val="BT-Beigebox"/>
      </w:pPr>
      <w:r w:rsidRPr="00B768A1">
        <w:t>Neighbours Every Day is a campaign that encourages individuals and communities to hold events to build connections with neighbours. Social identification, that is, feeling connection and a sense of belonging with your neighbours, contributes to community health and wellbeing and decreases loneliness and social fragmentation. Involvement in a Neighbour Day event led to a significant increase in social identification.</w:t>
      </w:r>
      <w:hyperlink w:anchor="_ENREF_149" w:tooltip="P, 2021 #392" w:history="1">
        <w:r w:rsidR="002D6F18">
          <w:fldChar w:fldCharType="begin"/>
        </w:r>
        <w:r w:rsidR="002D6F18">
          <w:instrText xml:space="preserve"> ADDIN EN.CITE &lt;EndNote&gt;&lt;Cite&gt;&lt;Author&gt;P&lt;/Author&gt;&lt;Year&gt;2021&lt;/Year&gt;&lt;RecNum&gt;392&lt;/RecNum&gt;&lt;DisplayText&gt;&lt;style face="superscript"&gt;149&lt;/style&gt;&lt;/DisplayText&gt;&lt;record&gt;&lt;rec-number&gt;392&lt;/rec-number&gt;&lt;foreign-keys&gt;&lt;key app="EN" db-id="rsettzd2isasdweewww55s9lffasxav0d0ft" timestamp="1700699472" guid="c79f2338-5637-4d2c-ac61-393fc9d547bd"&gt;392&lt;/key&gt;&lt;/foreign-keys&gt;&lt;ref-type name="Journal Article"&gt;17&lt;/ref-type&gt;&lt;contributors&gt;&lt;authors&gt;&lt;author&gt;Fong P&lt;/author&gt;&lt;author&gt;Cruwys T&lt;/author&gt;&lt;author&gt;Robinson SL&lt;/author&gt;&lt;author&gt;Haslam SA&lt;/author&gt;&lt;author&gt;Haslam C&lt;/author&gt;&lt;author&gt;Mance PL&lt;/author&gt;&lt;author&gt;Fisher CL&lt;/author&gt;&lt;/authors&gt;&lt;/contributors&gt;&lt;titles&gt;&lt;title&gt;Evidence that Loneliness can be Reduced by a Whole-of-Community Intervention to Increase Neighbourhood Identification&lt;/title&gt;&lt;secondary-title&gt;Social Science &amp;amp; Medicine&lt;/secondary-title&gt;&lt;/titles&gt;&lt;periodical&gt;&lt;full-title&gt;Social Science &amp;amp; Medicine&lt;/full-title&gt;&lt;/periodical&gt;&lt;dates&gt;&lt;year&gt;2021&lt;/year&gt;&lt;/dates&gt;&lt;urls&gt;&lt;/urls&gt;&lt;electronic-resource-num&gt;DOI: 10.1016/j.socscimed.2021.113909&lt;/electronic-resource-num&gt;&lt;/record&gt;&lt;/Cite&gt;&lt;/EndNote&gt;</w:instrText>
        </w:r>
        <w:r w:rsidR="002D6F18">
          <w:fldChar w:fldCharType="separate"/>
        </w:r>
        <w:r w:rsidR="002D6F18" w:rsidRPr="00445D54">
          <w:rPr>
            <w:noProof/>
            <w:vertAlign w:val="superscript"/>
          </w:rPr>
          <w:t>149</w:t>
        </w:r>
        <w:r w:rsidR="002D6F18">
          <w:fldChar w:fldCharType="end"/>
        </w:r>
      </w:hyperlink>
    </w:p>
    <w:p w14:paraId="6ED2B6AC" w14:textId="0D48A097" w:rsidR="00C16201" w:rsidRPr="00B768A1" w:rsidRDefault="00F823CC" w:rsidP="00745B34">
      <w:pPr>
        <w:pStyle w:val="Caption"/>
      </w:pPr>
      <w:bookmarkStart w:id="66" w:name="_Ref164869823"/>
      <w:r>
        <w:t xml:space="preserve">Table </w:t>
      </w:r>
      <w:r w:rsidR="00F93B6D">
        <w:fldChar w:fldCharType="begin"/>
      </w:r>
      <w:r w:rsidR="00F93B6D">
        <w:instrText>SEQ Table \* ARABIC  \* MERGEFORMAT</w:instrText>
      </w:r>
      <w:r w:rsidR="00F93B6D">
        <w:fldChar w:fldCharType="separate"/>
      </w:r>
      <w:r w:rsidR="009F12B4">
        <w:rPr>
          <w:noProof/>
        </w:rPr>
        <w:t>11</w:t>
      </w:r>
      <w:r w:rsidR="00F93B6D">
        <w:rPr>
          <w:noProof/>
        </w:rPr>
        <w:fldChar w:fldCharType="end"/>
      </w:r>
      <w:bookmarkEnd w:id="66"/>
      <w:r w:rsidR="00C16201">
        <w:t xml:space="preserve">: Recommended actions for Prevention objective </w:t>
      </w:r>
      <w:r w:rsidR="00BD5FEF">
        <w:t>4.2</w:t>
      </w:r>
      <w:r w:rsidR="00C16201">
        <w:t>: Address loneliness and social exclusion</w:t>
      </w:r>
    </w:p>
    <w:tbl>
      <w:tblPr>
        <w:tblStyle w:val="TableGrid"/>
        <w:tblW w:w="9067" w:type="dxa"/>
        <w:tblLayout w:type="fixed"/>
        <w:tblLook w:val="0420" w:firstRow="1" w:lastRow="0" w:firstColumn="0" w:lastColumn="0" w:noHBand="0" w:noVBand="1"/>
        <w:tblCaption w:val="Recommended actions for Prevention objective 2.5: Address loneliness and social exclusion"/>
        <w:tblDescription w:val="Describes actions ko2.5a and ko2.5b.&#10;"/>
      </w:tblPr>
      <w:tblGrid>
        <w:gridCol w:w="1270"/>
        <w:gridCol w:w="7797"/>
      </w:tblGrid>
      <w:tr w:rsidR="00100EBC" w:rsidRPr="00D07402" w14:paraId="22837600" w14:textId="77777777" w:rsidTr="00100EBC">
        <w:trPr>
          <w:cnfStyle w:val="100000000000" w:firstRow="1" w:lastRow="0" w:firstColumn="0" w:lastColumn="0" w:oddVBand="0" w:evenVBand="0" w:oddHBand="0" w:evenHBand="0" w:firstRowFirstColumn="0" w:firstRowLastColumn="0" w:lastRowFirstColumn="0" w:lastRowLastColumn="0"/>
          <w:tblHeader/>
        </w:trPr>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48002"/>
          </w:tcPr>
          <w:p w14:paraId="24B6D64D" w14:textId="77777777" w:rsidR="00100EBC" w:rsidRPr="00F3096E" w:rsidRDefault="00100EBC" w:rsidP="00A771EF">
            <w:pPr>
              <w:pStyle w:val="NMHCTableHeaderRow"/>
            </w:pPr>
            <w:r w:rsidRPr="105AEE34">
              <w:t>Action</w:t>
            </w:r>
          </w:p>
        </w:tc>
        <w:tc>
          <w:tcPr>
            <w:tcW w:w="77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48002"/>
            <w:tcMar>
              <w:top w:w="28" w:type="dxa"/>
              <w:bottom w:w="28" w:type="dxa"/>
            </w:tcMar>
          </w:tcPr>
          <w:p w14:paraId="15481E85" w14:textId="77777777" w:rsidR="00100EBC" w:rsidRPr="00F3096E" w:rsidRDefault="00100EBC" w:rsidP="00A771EF">
            <w:pPr>
              <w:pStyle w:val="NMHCTableHeaderRow"/>
            </w:pPr>
            <w:r w:rsidRPr="105AEE34">
              <w:t>Description</w:t>
            </w:r>
          </w:p>
        </w:tc>
      </w:tr>
      <w:tr w:rsidR="00100EBC" w:rsidRPr="00B768A1" w14:paraId="5C933252" w14:textId="77777777" w:rsidTr="00100EBC">
        <w:tc>
          <w:tcPr>
            <w:tcW w:w="1270" w:type="dxa"/>
            <w:tcBorders>
              <w:top w:val="single" w:sz="4" w:space="0" w:color="FFFFFF" w:themeColor="background1"/>
            </w:tcBorders>
          </w:tcPr>
          <w:p w14:paraId="28529BBE" w14:textId="6AC63F0F" w:rsidR="00100EBC" w:rsidRPr="00BF09EB" w:rsidRDefault="00100EBC" w:rsidP="00634A83">
            <w:r>
              <w:t>k</w:t>
            </w:r>
            <w:r w:rsidRPr="00BF09EB">
              <w:t>o4.2a</w:t>
            </w:r>
          </w:p>
        </w:tc>
        <w:tc>
          <w:tcPr>
            <w:tcW w:w="7797" w:type="dxa"/>
            <w:tcBorders>
              <w:top w:val="single" w:sz="4" w:space="0" w:color="FFFFFF" w:themeColor="background1"/>
            </w:tcBorders>
            <w:tcMar>
              <w:top w:w="28" w:type="dxa"/>
              <w:bottom w:w="28" w:type="dxa"/>
            </w:tcMar>
          </w:tcPr>
          <w:p w14:paraId="042D9547" w14:textId="77777777" w:rsidR="00100EBC" w:rsidRPr="00BF09EB" w:rsidRDefault="00100EBC" w:rsidP="00634A83">
            <w:r w:rsidRPr="00BF09EB">
              <w:t>Address loneliness and social exclusion in Australia:</w:t>
            </w:r>
          </w:p>
          <w:p w14:paraId="63C482AF" w14:textId="77777777" w:rsidR="00100EBC" w:rsidRPr="00BF09EB" w:rsidRDefault="00100EBC" w:rsidP="00634A83">
            <w:pPr>
              <w:pStyle w:val="ListParagraph"/>
              <w:numPr>
                <w:ilvl w:val="0"/>
                <w:numId w:val="65"/>
              </w:numPr>
            </w:pPr>
            <w:r w:rsidRPr="00BF09EB">
              <w:t>Conduct a review of relevant programs in Australia and the latest evidence to guide investment on initiatives that effectively address loneliness and social exclusion.</w:t>
            </w:r>
          </w:p>
          <w:p w14:paraId="04D64EC4" w14:textId="77777777" w:rsidR="00100EBC" w:rsidRPr="00BF09EB" w:rsidRDefault="00100EBC" w:rsidP="00634A83">
            <w:pPr>
              <w:pStyle w:val="ListParagraph"/>
              <w:numPr>
                <w:ilvl w:val="0"/>
                <w:numId w:val="65"/>
              </w:numPr>
            </w:pPr>
            <w:r w:rsidRPr="00BF09EB">
              <w:t>Improve community understanding of loneliness and social exclusion and relevant resources and programs through community awareness campaigns.</w:t>
            </w:r>
          </w:p>
          <w:p w14:paraId="2C986ADA" w14:textId="77777777" w:rsidR="00100EBC" w:rsidRPr="00BF09EB" w:rsidRDefault="00100EBC" w:rsidP="00634A83">
            <w:pPr>
              <w:pStyle w:val="ListParagraph"/>
              <w:numPr>
                <w:ilvl w:val="0"/>
                <w:numId w:val="65"/>
              </w:numPr>
            </w:pPr>
            <w:r w:rsidRPr="00BF09EB">
              <w:t>Implement and evaluate programs to build social connectedness and a sense of belonging, and improve relationships, including through funding community-based programs that focus on reducing loneliness among groups that experience high rates of social disconnection and exclusion, particularly men, older Australians, young people, people with disability, and people living and working in regional, rural and remote communities.</w:t>
            </w:r>
          </w:p>
        </w:tc>
      </w:tr>
      <w:tr w:rsidR="00100EBC" w:rsidRPr="00B768A1" w14:paraId="5E1B061F" w14:textId="77777777" w:rsidTr="00100EBC">
        <w:tc>
          <w:tcPr>
            <w:tcW w:w="1270" w:type="dxa"/>
          </w:tcPr>
          <w:p w14:paraId="15FE4D08" w14:textId="664B3161" w:rsidR="00100EBC" w:rsidRPr="00B768A1" w:rsidRDefault="00100EBC" w:rsidP="00634A83">
            <w:pPr>
              <w:rPr>
                <w:b/>
                <w:bCs/>
              </w:rPr>
            </w:pPr>
            <w:r>
              <w:t>ko4.2</w:t>
            </w:r>
            <w:r w:rsidRPr="00B768A1">
              <w:t>b</w:t>
            </w:r>
          </w:p>
        </w:tc>
        <w:tc>
          <w:tcPr>
            <w:tcW w:w="7797" w:type="dxa"/>
            <w:tcMar>
              <w:top w:w="28" w:type="dxa"/>
              <w:bottom w:w="28" w:type="dxa"/>
            </w:tcMar>
          </w:tcPr>
          <w:p w14:paraId="57DDEC32" w14:textId="77777777" w:rsidR="00100EBC" w:rsidRPr="00B768A1" w:rsidRDefault="00100EBC" w:rsidP="00634A83">
            <w:pPr>
              <w:rPr>
                <w:b/>
                <w:bCs/>
              </w:rPr>
            </w:pPr>
            <w:r w:rsidRPr="00B768A1">
              <w:t>Co-design, deliver and evaluate culturally appropriate programs for communities who experience stigma, discrimination and internalised shame. This includes initiatives that focus on combating homophobia, transphobia, ageism, racism and disability discrimination.</w:t>
            </w:r>
          </w:p>
        </w:tc>
      </w:tr>
    </w:tbl>
    <w:p w14:paraId="7E70D757" w14:textId="290FB6EA" w:rsidR="008E0BA5" w:rsidRDefault="008E0BA5" w:rsidP="00634A83">
      <w:pPr>
        <w:pStyle w:val="BodyText"/>
      </w:pPr>
    </w:p>
    <w:p w14:paraId="5AE90074" w14:textId="77777777" w:rsidR="008E0BA5" w:rsidRDefault="008E0BA5" w:rsidP="00634A83">
      <w:pPr>
        <w:rPr>
          <w:rFonts w:eastAsiaTheme="majorEastAsia" w:cstheme="majorBidi"/>
          <w:sz w:val="40"/>
          <w:szCs w:val="26"/>
        </w:rPr>
      </w:pPr>
      <w:r>
        <w:br w:type="page"/>
      </w:r>
    </w:p>
    <w:p w14:paraId="73967A56" w14:textId="13B1F413" w:rsidR="00462A19" w:rsidRDefault="007E7AE0" w:rsidP="00996915">
      <w:pPr>
        <w:pStyle w:val="HeadingKOprevention"/>
      </w:pPr>
      <w:bookmarkStart w:id="67" w:name="_Toc171459030"/>
      <w:r>
        <w:drawing>
          <wp:anchor distT="0" distB="0" distL="114300" distR="114300" simplePos="0" relativeHeight="251658265" behindDoc="0" locked="0" layoutInCell="1" allowOverlap="1" wp14:anchorId="5707BC3C" wp14:editId="2557F58D">
            <wp:simplePos x="0" y="0"/>
            <wp:positionH relativeFrom="margin">
              <wp:align>right</wp:align>
            </wp:positionH>
            <wp:positionV relativeFrom="paragraph">
              <wp:posOffset>5715</wp:posOffset>
            </wp:positionV>
            <wp:extent cx="1403985" cy="909320"/>
            <wp:effectExtent l="0" t="0" r="5715" b="5080"/>
            <wp:wrapThrough wrapText="bothSides">
              <wp:wrapPolygon edited="0">
                <wp:start x="0" y="0"/>
                <wp:lineTo x="0" y="21268"/>
                <wp:lineTo x="21395" y="21268"/>
                <wp:lineTo x="21395" y="0"/>
                <wp:lineTo x="0" y="0"/>
              </wp:wrapPolygon>
            </wp:wrapThrough>
            <wp:docPr id="8" name="Picture 8"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creenshot of a phon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03985" cy="909320"/>
                    </a:xfrm>
                    <a:prstGeom prst="rect">
                      <a:avLst/>
                    </a:prstGeom>
                  </pic:spPr>
                </pic:pic>
              </a:graphicData>
            </a:graphic>
          </wp:anchor>
        </w:drawing>
      </w:r>
      <w:bookmarkStart w:id="68" w:name="_Toc255768609"/>
      <w:bookmarkStart w:id="69" w:name="_Toc1372258686"/>
      <w:r w:rsidR="00462A19" w:rsidRPr="00A60CE2">
        <w:t xml:space="preserve">Key objective </w:t>
      </w:r>
      <w:r w:rsidR="00462A19">
        <w:t>5</w:t>
      </w:r>
      <w:r w:rsidR="00462A19" w:rsidRPr="00A60CE2">
        <w:t xml:space="preserve">: </w:t>
      </w:r>
      <w:r w:rsidR="00462A19">
        <w:t xml:space="preserve">Navigating </w:t>
      </w:r>
      <w:r w:rsidR="009821C9">
        <w:t xml:space="preserve">life </w:t>
      </w:r>
      <w:r w:rsidR="008E0BA5">
        <w:t>transitions</w:t>
      </w:r>
      <w:bookmarkEnd w:id="67"/>
      <w:bookmarkEnd w:id="68"/>
      <w:bookmarkEnd w:id="69"/>
    </w:p>
    <w:p w14:paraId="2D23BCBC" w14:textId="13E67516" w:rsidR="007E426C" w:rsidRDefault="00BD00CA" w:rsidP="00634A83">
      <w:r w:rsidRPr="00BD00CA">
        <w:t>Life transitions—such as becoming a parent, retirement, bereavement</w:t>
      </w:r>
      <w:r w:rsidRPr="00BD00CA" w:rsidDel="00324A0E">
        <w:t>,</w:t>
      </w:r>
      <w:r w:rsidRPr="00BD00CA">
        <w:t xml:space="preserve"> transition out of the Australian Defence Force and leaving places of detention—are an important focus for suicide prevention. Regardless of whether transitions are anticipated or unexpected, or whether they represent a fundamentally positive or negative change, they often involve significant disruption and may require substantial adjustment. Life transitions can bring about increased loneliness, financial distress or instability, and sometimes trauma.</w:t>
      </w:r>
    </w:p>
    <w:p w14:paraId="5E4C7AC3" w14:textId="2F6CF1D6" w:rsidR="008E0BA5" w:rsidRPr="008E0BA5" w:rsidRDefault="008C00E3" w:rsidP="00634A83">
      <w:pPr>
        <w:pStyle w:val="BodyText"/>
      </w:pPr>
      <w:r>
        <w:t xml:space="preserve">As a result, life transitions are an important focus for suicide prevention. </w:t>
      </w:r>
      <w:r w:rsidR="00B151D3">
        <w:t xml:space="preserve">A comprehensive </w:t>
      </w:r>
      <w:r w:rsidR="003C723E">
        <w:t xml:space="preserve">approach </w:t>
      </w:r>
      <w:r w:rsidR="00BC4C15">
        <w:t>includes</w:t>
      </w:r>
      <w:r w:rsidR="003C723E">
        <w:t xml:space="preserve"> both equipping people with the skills and wellbeing to navigate</w:t>
      </w:r>
      <w:r w:rsidR="00332925">
        <w:t xml:space="preserve"> the challenges of life transitions</w:t>
      </w:r>
      <w:r w:rsidR="007E71AB">
        <w:t>, as well as providing support when they occur.</w:t>
      </w:r>
      <w:r w:rsidR="008E0BA5">
        <w:t xml:space="preserve"> </w:t>
      </w:r>
    </w:p>
    <w:p w14:paraId="31D9F28B" w14:textId="77777777" w:rsidR="00251B14" w:rsidRPr="00B768A1" w:rsidRDefault="00251B14" w:rsidP="00634A83">
      <w:pPr>
        <w:pStyle w:val="BT-Livedexperience-Orange-Heading"/>
      </w:pPr>
      <w:r>
        <w:t>What do we need to achieve?</w:t>
      </w:r>
    </w:p>
    <w:p w14:paraId="113A7AEE" w14:textId="0D5681CE" w:rsidR="00251B14" w:rsidRPr="00B768A1" w:rsidRDefault="00251B14" w:rsidP="00634A83">
      <w:pPr>
        <w:pStyle w:val="BT-Livedexperience-Orange"/>
      </w:pPr>
      <w:r w:rsidRPr="181DD031">
        <w:rPr>
          <w:rStyle w:val="normaltextrun"/>
          <w:rFonts w:eastAsia="Roboto" w:cstheme="minorBidi"/>
        </w:rPr>
        <w:t xml:space="preserve">People experience enhanced wellbeing </w:t>
      </w:r>
      <w:r w:rsidR="00204C32">
        <w:rPr>
          <w:rStyle w:val="normaltextrun"/>
          <w:rFonts w:eastAsia="Roboto" w:cstheme="minorBidi"/>
        </w:rPr>
        <w:t>by being equipped to navigate key stages of life and the impact of dis</w:t>
      </w:r>
      <w:r w:rsidR="00CB4F45">
        <w:rPr>
          <w:rStyle w:val="normaltextrun"/>
          <w:rFonts w:eastAsia="Roboto" w:cstheme="minorBidi"/>
        </w:rPr>
        <w:t>ruptive life transitions is reduced</w:t>
      </w:r>
      <w:r>
        <w:rPr>
          <w:rStyle w:val="normaltextrun"/>
          <w:rFonts w:eastAsia="Roboto" w:cstheme="minorHAnsi"/>
        </w:rPr>
        <w:t>.</w:t>
      </w:r>
      <w:r w:rsidRPr="181DD031">
        <w:rPr>
          <w:rStyle w:val="normaltextrun"/>
          <w:rFonts w:eastAsia="Roboto" w:cstheme="minorBidi"/>
        </w:rPr>
        <w:t xml:space="preserve"> </w:t>
      </w:r>
    </w:p>
    <w:p w14:paraId="5FEB32EA" w14:textId="2EAD8512" w:rsidR="00E864FA" w:rsidRPr="00A60CE2" w:rsidRDefault="00BF09EB" w:rsidP="008F7F7F">
      <w:pPr>
        <w:pStyle w:val="heading3prevention"/>
      </w:pPr>
      <w:r>
        <w:t>5.1</w:t>
      </w:r>
      <w:r w:rsidR="00370DFA">
        <w:t xml:space="preserve"> </w:t>
      </w:r>
      <w:r w:rsidR="00E864FA" w:rsidRPr="00A60CE2">
        <w:t>Thriv</w:t>
      </w:r>
      <w:r w:rsidR="00692508" w:rsidRPr="00A60CE2">
        <w:t>e</w:t>
      </w:r>
      <w:r w:rsidR="00E864FA" w:rsidRPr="00A60CE2">
        <w:t xml:space="preserve"> in key life stages</w:t>
      </w:r>
    </w:p>
    <w:p w14:paraId="5D0D36F0" w14:textId="0F4D7DDD" w:rsidR="00E864FA" w:rsidRPr="00B768A1" w:rsidRDefault="000A2ADA" w:rsidP="00634A83">
      <w:r w:rsidRPr="756626F3">
        <w:t>P</w:t>
      </w:r>
      <w:r w:rsidR="00E864FA" w:rsidRPr="756626F3">
        <w:t xml:space="preserve">rotection against suicide can be </w:t>
      </w:r>
      <w:r w:rsidRPr="756626F3">
        <w:t xml:space="preserve">built </w:t>
      </w:r>
      <w:r w:rsidR="00E864FA" w:rsidRPr="756626F3">
        <w:t xml:space="preserve">by positive experiences at key life stages, from childhood through to older age. </w:t>
      </w:r>
      <w:r w:rsidR="57EAF9A7" w:rsidRPr="756626F3">
        <w:t xml:space="preserve">This </w:t>
      </w:r>
      <w:r w:rsidR="00954217">
        <w:t>involves</w:t>
      </w:r>
      <w:r w:rsidR="00954217" w:rsidRPr="756626F3">
        <w:t xml:space="preserve"> </w:t>
      </w:r>
      <w:r w:rsidR="3BE22D57" w:rsidRPr="756626F3">
        <w:t xml:space="preserve">making sure people are proactively supported </w:t>
      </w:r>
      <w:r w:rsidR="4B5EDD17" w:rsidRPr="756626F3">
        <w:t>when transitioning into and out of these life stages</w:t>
      </w:r>
      <w:r w:rsidR="3BE22D57" w:rsidRPr="756626F3">
        <w:t xml:space="preserve"> </w:t>
      </w:r>
      <w:r w:rsidR="124E8582" w:rsidRPr="756626F3">
        <w:t xml:space="preserve">so they can </w:t>
      </w:r>
      <w:r w:rsidR="36E48AC7" w:rsidRPr="756626F3">
        <w:t>thrive</w:t>
      </w:r>
      <w:r w:rsidR="00422360">
        <w:t xml:space="preserve">. </w:t>
      </w:r>
    </w:p>
    <w:p w14:paraId="5F017FA9" w14:textId="4D25C05C" w:rsidR="00E864FA" w:rsidRPr="00B768A1" w:rsidRDefault="44CFC82E" w:rsidP="00634A83">
      <w:r w:rsidRPr="00B768A1">
        <w:t xml:space="preserve">With a safe and secure foundation, children can make a healthy start to life that is protective against suicide as they grow. </w:t>
      </w:r>
      <w:r w:rsidR="7ED373F4" w:rsidRPr="498A3250">
        <w:t>E</w:t>
      </w:r>
      <w:r w:rsidRPr="00B768A1">
        <w:t>nabl</w:t>
      </w:r>
      <w:r w:rsidR="7ED373F4" w:rsidRPr="498A3250">
        <w:t>ing</w:t>
      </w:r>
      <w:r w:rsidRPr="00B768A1">
        <w:t xml:space="preserve"> healthy mental and physical development within the first 2000</w:t>
      </w:r>
      <w:r w:rsidR="7D0AC1C5">
        <w:t> </w:t>
      </w:r>
      <w:r w:rsidRPr="00B768A1">
        <w:t xml:space="preserve">days of a child’s life </w:t>
      </w:r>
      <w:r w:rsidR="7ED373F4" w:rsidRPr="498A3250">
        <w:t xml:space="preserve">by equipping </w:t>
      </w:r>
      <w:r w:rsidR="19AA321A" w:rsidRPr="498A3250">
        <w:t>parents with</w:t>
      </w:r>
      <w:r w:rsidR="534785DD" w:rsidRPr="498A3250">
        <w:t xml:space="preserve"> the resources to support it </w:t>
      </w:r>
      <w:r w:rsidRPr="00B768A1">
        <w:t>can have lifelong positive impacts.</w:t>
      </w:r>
      <w:hyperlink w:anchor="_ENREF_150" w:tooltip="Commission, 2021 #353" w:history="1">
        <w:r w:rsidR="002D6F18">
          <w:fldChar w:fldCharType="begin"/>
        </w:r>
        <w:r w:rsidR="002D6F18">
          <w:instrText xml:space="preserve"> ADDIN EN.CITE &lt;EndNote&gt;&lt;Cite&gt;&lt;Author&gt;Commission&lt;/Author&gt;&lt;Year&gt;2021&lt;/Year&gt;&lt;RecNum&gt;353&lt;/RecNum&gt;&lt;DisplayText&gt;&lt;style face="superscript"&gt;150&lt;/style&gt;&lt;/DisplayText&gt;&lt;record&gt;&lt;rec-number&gt;353&lt;/rec-number&gt;&lt;foreign-keys&gt;&lt;key app="EN" db-id="rsettzd2isasdweewww55s9lffasxav0d0ft" timestamp="1700699472" guid="d1a173b8-7994-4fae-b769-34f66db20290"&gt;353&lt;/key&gt;&lt;/foreign-keys&gt;&lt;ref-type name="Web Page"&gt;12&lt;/ref-type&gt;&lt;contributors&gt;&lt;authors&gt;&lt;author&gt;National Mental Health Commission&lt;/author&gt;&lt;/authors&gt;&lt;/contributors&gt;&lt;titles&gt;&lt;title&gt;National Children&amp;apos;s Mental Health and Wellbeing Strategy&lt;/title&gt;&lt;/titles&gt;&lt;dates&gt;&lt;year&gt;2021&lt;/year&gt;&lt;/dates&gt;&lt;pub-location&gt;Canberra&lt;/pub-location&gt;&lt;publisher&gt;NMHC&lt;/publisher&gt;&lt;work-type&gt;Internet&lt;/work-type&gt;&lt;urls&gt;&lt;related-urls&gt;&lt;url&gt;https://www.mentalhealthcommission.gov.au/projects/childrens-strategy&lt;/url&gt;&lt;/related-urls&gt;&lt;/urls&gt;&lt;custom1&gt;2023&lt;/custom1&gt;&lt;custom2&gt;October 06&lt;/custom2&gt;&lt;/record&gt;&lt;/Cite&gt;&lt;/EndNote&gt;</w:instrText>
        </w:r>
        <w:r w:rsidR="002D6F18">
          <w:fldChar w:fldCharType="separate"/>
        </w:r>
        <w:r w:rsidR="002D6F18" w:rsidRPr="00445D54">
          <w:rPr>
            <w:noProof/>
            <w:vertAlign w:val="superscript"/>
          </w:rPr>
          <w:t>150</w:t>
        </w:r>
        <w:r w:rsidR="002D6F18">
          <w:fldChar w:fldCharType="end"/>
        </w:r>
      </w:hyperlink>
      <w:r w:rsidRPr="00B768A1">
        <w:t xml:space="preserve"> Building on the existing directions outlined in the </w:t>
      </w:r>
      <w:r w:rsidRPr="48215A0F">
        <w:rPr>
          <w:i/>
          <w:iCs/>
        </w:rPr>
        <w:t>National Children</w:t>
      </w:r>
      <w:r w:rsidR="2C5D53E3" w:rsidRPr="48215A0F">
        <w:rPr>
          <w:i/>
          <w:iCs/>
        </w:rPr>
        <w:t>’</w:t>
      </w:r>
      <w:r w:rsidRPr="48215A0F">
        <w:rPr>
          <w:i/>
          <w:iCs/>
        </w:rPr>
        <w:t>s Mental Health and Wellbeing Strategy</w:t>
      </w:r>
      <w:r w:rsidR="3181FAEF" w:rsidRPr="0082251B">
        <w:t>,</w:t>
      </w:r>
      <w:hyperlink w:anchor="_ENREF_150" w:tooltip="Commission, 2021 #353" w:history="1">
        <w:r w:rsidR="002D6F18">
          <w:fldChar w:fldCharType="begin"/>
        </w:r>
        <w:r w:rsidR="002D6F18">
          <w:instrText xml:space="preserve"> ADDIN EN.CITE &lt;EndNote&gt;&lt;Cite&gt;&lt;Author&gt;Commission&lt;/Author&gt;&lt;Year&gt;2021&lt;/Year&gt;&lt;RecNum&gt;353&lt;/RecNum&gt;&lt;DisplayText&gt;&lt;style face="superscript"&gt;150&lt;/style&gt;&lt;/DisplayText&gt;&lt;record&gt;&lt;rec-number&gt;353&lt;/rec-number&gt;&lt;foreign-keys&gt;&lt;key app="EN" db-id="rsettzd2isasdweewww55s9lffasxav0d0ft" timestamp="1700699472" guid="d1a173b8-7994-4fae-b769-34f66db20290"&gt;353&lt;/key&gt;&lt;/foreign-keys&gt;&lt;ref-type name="Web Page"&gt;12&lt;/ref-type&gt;&lt;contributors&gt;&lt;authors&gt;&lt;author&gt;National Mental Health Commission&lt;/author&gt;&lt;/authors&gt;&lt;/contributors&gt;&lt;titles&gt;&lt;title&gt;National Children&amp;apos;s Mental Health and Wellbeing Strategy&lt;/title&gt;&lt;/titles&gt;&lt;dates&gt;&lt;year&gt;2021&lt;/year&gt;&lt;/dates&gt;&lt;pub-location&gt;Canberra&lt;/pub-location&gt;&lt;publisher&gt;NMHC&lt;/publisher&gt;&lt;work-type&gt;Internet&lt;/work-type&gt;&lt;urls&gt;&lt;related-urls&gt;&lt;url&gt;https://www.mentalhealthcommission.gov.au/projects/childrens-strategy&lt;/url&gt;&lt;/related-urls&gt;&lt;/urls&gt;&lt;custom1&gt;2023&lt;/custom1&gt;&lt;custom2&gt;October 06&lt;/custom2&gt;&lt;/record&gt;&lt;/Cite&gt;&lt;/EndNote&gt;</w:instrText>
        </w:r>
        <w:r w:rsidR="002D6F18">
          <w:fldChar w:fldCharType="separate"/>
        </w:r>
        <w:r w:rsidR="002D6F18" w:rsidRPr="00445D54">
          <w:rPr>
            <w:noProof/>
            <w:vertAlign w:val="superscript"/>
          </w:rPr>
          <w:t>150</w:t>
        </w:r>
        <w:r w:rsidR="002D6F18">
          <w:fldChar w:fldCharType="end"/>
        </w:r>
      </w:hyperlink>
      <w:r w:rsidR="00CB663E">
        <w:t xml:space="preserve"> </w:t>
      </w:r>
      <w:r w:rsidR="0B00D840" w:rsidRPr="48215A0F">
        <w:rPr>
          <w:i/>
          <w:iCs/>
        </w:rPr>
        <w:t>T</w:t>
      </w:r>
      <w:r w:rsidR="61A41C36" w:rsidRPr="48215A0F">
        <w:rPr>
          <w:i/>
          <w:iCs/>
        </w:rPr>
        <w:t xml:space="preserve">he </w:t>
      </w:r>
      <w:r w:rsidR="4F7A8CCC" w:rsidRPr="48215A0F">
        <w:rPr>
          <w:i/>
          <w:iCs/>
        </w:rPr>
        <w:t>Early Years Strategy</w:t>
      </w:r>
      <w:hyperlink w:anchor="_ENREF_151" w:tooltip="Services, 2024 #1079" w:history="1">
        <w:r w:rsidR="002D6F18">
          <w:rPr>
            <w:i/>
            <w:iCs/>
          </w:rPr>
          <w:fldChar w:fldCharType="begin"/>
        </w:r>
        <w:r w:rsidR="002D6F18">
          <w:rPr>
            <w:i/>
            <w:iCs/>
          </w:rPr>
          <w:instrText xml:space="preserve"> ADDIN EN.CITE &lt;EndNote&gt;&lt;Cite&gt;&lt;Author&gt;Services&lt;/Author&gt;&lt;Year&gt;2024&lt;/Year&gt;&lt;RecNum&gt;1079&lt;/RecNum&gt;&lt;DisplayText&gt;&lt;style face="superscript"&gt;151&lt;/style&gt;&lt;/DisplayText&gt;&lt;record&gt;&lt;rec-number&gt;1079&lt;/rec-number&gt;&lt;foreign-keys&gt;&lt;key app="EN" db-id="rsettzd2isasdweewww55s9lffasxav0d0ft" timestamp="1720496048" guid="7e00e070-0f55-41fa-8af8-b9de2e29c72f"&gt;1079&lt;/key&gt;&lt;/foreign-keys&gt;&lt;ref-type name="Web Page"&gt;12&lt;/ref-type&gt;&lt;contributors&gt;&lt;authors&gt;&lt;author&gt;Department of Social Services&lt;/author&gt;&lt;/authors&gt;&lt;/contributors&gt;&lt;titles&gt;&lt;title&gt;Early Years Strategy&lt;/title&gt;&lt;/titles&gt;&lt;dates&gt;&lt;year&gt;2024&lt;/year&gt;&lt;/dates&gt;&lt;publisher&gt;DSS, Australian Government&lt;/publisher&gt;&lt;work-type&gt;Internet&lt;/work-type&gt;&lt;urls&gt;&lt;related-urls&gt;&lt;url&gt; https://www.dss.gov.au/families-and-children-programs-services/early-years-strategy&lt;/url&gt;&lt;/related-urls&gt;&lt;/urls&gt;&lt;custom1&gt;2024&lt;/custom1&gt;&lt;custom2&gt;March 06&lt;/custom2&gt;&lt;/record&gt;&lt;/Cite&gt;&lt;/EndNote&gt;</w:instrText>
        </w:r>
        <w:r w:rsidR="002D6F18">
          <w:rPr>
            <w:i/>
            <w:iCs/>
          </w:rPr>
          <w:fldChar w:fldCharType="separate"/>
        </w:r>
        <w:r w:rsidR="002D6F18" w:rsidRPr="00445D54">
          <w:rPr>
            <w:i/>
            <w:iCs/>
            <w:noProof/>
            <w:vertAlign w:val="superscript"/>
          </w:rPr>
          <w:t>151</w:t>
        </w:r>
        <w:r w:rsidR="002D6F18">
          <w:rPr>
            <w:i/>
            <w:iCs/>
          </w:rPr>
          <w:fldChar w:fldCharType="end"/>
        </w:r>
      </w:hyperlink>
      <w:r w:rsidR="6E37CA51" w:rsidRPr="00B768A1">
        <w:t xml:space="preserve"> </w:t>
      </w:r>
      <w:r w:rsidR="58DFDFBB" w:rsidRPr="756626F3">
        <w:t>(</w:t>
      </w:r>
      <w:r w:rsidR="319486A9" w:rsidRPr="756626F3">
        <w:t>action</w:t>
      </w:r>
      <w:r w:rsidR="320F0D9A" w:rsidRPr="756626F3">
        <w:t xml:space="preserve"> </w:t>
      </w:r>
      <w:r w:rsidR="319486A9" w:rsidRPr="756626F3">
        <w:t>ko</w:t>
      </w:r>
      <w:r w:rsidR="791E5778" w:rsidRPr="498A3250">
        <w:t>5.1</w:t>
      </w:r>
      <w:r w:rsidR="320F0D9A" w:rsidRPr="756626F3">
        <w:t>a)</w:t>
      </w:r>
      <w:r w:rsidR="35186E75" w:rsidRPr="00B768A1">
        <w:t>,</w:t>
      </w:r>
      <w:r w:rsidR="220AE903">
        <w:t xml:space="preserve"> </w:t>
      </w:r>
      <w:r w:rsidR="07568007" w:rsidRPr="00B768A1">
        <w:t xml:space="preserve">and in alignment </w:t>
      </w:r>
      <w:r w:rsidR="5957F37F" w:rsidRPr="00B768A1">
        <w:t>with</w:t>
      </w:r>
      <w:r w:rsidR="35186E75" w:rsidRPr="48215A0F">
        <w:rPr>
          <w:i/>
          <w:iCs/>
        </w:rPr>
        <w:t xml:space="preserve"> </w:t>
      </w:r>
      <w:r w:rsidR="35186E75" w:rsidRPr="00B768A1">
        <w:t>the</w:t>
      </w:r>
      <w:r w:rsidR="35186E75" w:rsidRPr="48215A0F">
        <w:rPr>
          <w:i/>
          <w:iCs/>
        </w:rPr>
        <w:t xml:space="preserve"> National </w:t>
      </w:r>
      <w:r w:rsidR="7BE4265E" w:rsidRPr="48215A0F">
        <w:rPr>
          <w:i/>
          <w:iCs/>
        </w:rPr>
        <w:t xml:space="preserve">Agreement on </w:t>
      </w:r>
      <w:r w:rsidR="35186E75" w:rsidRPr="48215A0F">
        <w:rPr>
          <w:i/>
          <w:iCs/>
        </w:rPr>
        <w:t>Closing the Gap</w:t>
      </w:r>
      <w:hyperlink w:anchor="_ENREF_33" w:tooltip="Cabinet, 2020 #787" w:history="1">
        <w:r w:rsidR="002D6F18">
          <w:rPr>
            <w:i/>
            <w:iCs/>
          </w:rPr>
          <w:fldChar w:fldCharType="begin"/>
        </w:r>
        <w:r w:rsidR="002D6F18">
          <w:rPr>
            <w:i/>
            <w:iCs/>
          </w:rPr>
          <w:instrText xml:space="preserve"> ADDIN EN.CITE &lt;EndNote&gt;&lt;Cite&gt;&lt;Author&gt;Cabinet&lt;/Author&gt;&lt;Year&gt;2020&lt;/Year&gt;&lt;RecNum&gt;787&lt;/RecNum&gt;&lt;DisplayText&gt;&lt;style face="superscript"&gt;33&lt;/style&gt;&lt;/DisplayText&gt;&lt;record&gt;&lt;rec-number&gt;787&lt;/rec-number&gt;&lt;foreign-keys&gt;&lt;key app="EN" db-id="rsettzd2isasdweewww55s9lffasxav0d0ft" timestamp="1707862925" guid="55d46732-cffa-41c4-91a1-eb130e0a4edc"&gt;787&lt;/key&gt;&lt;/foreign-keys&gt;&lt;ref-type name="Web Page"&gt;12&lt;/ref-type&gt;&lt;contributors&gt;&lt;authors&gt;&lt;author&gt;Department of the Prime Minister and Cabinet&lt;/author&gt;&lt;/authors&gt;&lt;/contributors&gt;&lt;titles&gt;&lt;title&gt;National Agreement on Closing the Gap&lt;/title&gt;&lt;/titles&gt;&lt;dates&gt;&lt;year&gt;2020&lt;/year&gt;&lt;/dates&gt;&lt;pub-location&gt;Canberra, Australian Capital Territory&lt;/pub-location&gt;&lt;publisher&gt;PM&amp;amp;C&lt;/publisher&gt;&lt;work-type&gt;Internet&lt;/work-type&gt;&lt;urls&gt;&lt;related-urls&gt;&lt;url&gt;https://www.closingthegap.gov.au/national-agreement&lt;/url&gt;&lt;/related-urls&gt;&lt;/urls&gt;&lt;custom1&gt;2023&lt;/custom1&gt;&lt;custom2&gt;October 04&lt;/custom2&gt;&lt;/record&gt;&lt;/Cite&gt;&lt;/EndNote&gt;</w:instrText>
        </w:r>
        <w:r w:rsidR="002D6F18">
          <w:rPr>
            <w:i/>
            <w:iCs/>
          </w:rPr>
          <w:fldChar w:fldCharType="separate"/>
        </w:r>
        <w:r w:rsidR="002D6F18" w:rsidRPr="0082082D">
          <w:rPr>
            <w:i/>
            <w:iCs/>
            <w:noProof/>
            <w:vertAlign w:val="superscript"/>
          </w:rPr>
          <w:t>33</w:t>
        </w:r>
        <w:r w:rsidR="002D6F18">
          <w:rPr>
            <w:i/>
            <w:iCs/>
          </w:rPr>
          <w:fldChar w:fldCharType="end"/>
        </w:r>
      </w:hyperlink>
      <w:r w:rsidR="35186E75" w:rsidRPr="48215A0F">
        <w:rPr>
          <w:i/>
          <w:iCs/>
        </w:rPr>
        <w:t xml:space="preserve"> </w:t>
      </w:r>
      <w:r w:rsidRPr="00B768A1">
        <w:t xml:space="preserve">and the </w:t>
      </w:r>
      <w:r w:rsidRPr="48215A0F">
        <w:rPr>
          <w:i/>
          <w:iCs/>
        </w:rPr>
        <w:t>National Preventive Health Strategy</w:t>
      </w:r>
      <w:r w:rsidR="61A41C36" w:rsidRPr="48215A0F">
        <w:rPr>
          <w:i/>
          <w:iCs/>
        </w:rPr>
        <w:t xml:space="preserve"> 2021–2030</w:t>
      </w:r>
      <w:r w:rsidR="3181FAEF" w:rsidRPr="0082251B">
        <w:t>,</w:t>
      </w:r>
      <w:hyperlink w:anchor="_ENREF_100" w:tooltip="Health, 2021 #1008" w:history="1">
        <w:r w:rsidR="002D6F18">
          <w:fldChar w:fldCharType="begin"/>
        </w:r>
        <w:r w:rsidR="002D6F18">
          <w:instrText xml:space="preserve"> ADDIN EN.CITE &lt;EndNote&gt;&lt;Cite&gt;&lt;Author&gt;Health&lt;/Author&gt;&lt;Year&gt;2021&lt;/Year&gt;&lt;RecNum&gt;1008&lt;/RecNum&gt;&lt;DisplayText&gt;&lt;style face="superscript"&gt;100&lt;/style&gt;&lt;/DisplayText&gt;&lt;record&gt;&lt;rec-number&gt;1008&lt;/rec-number&gt;&lt;foreign-keys&gt;&lt;key app="EN" db-id="rsettzd2isasdweewww55s9lffasxav0d0ft" timestamp="1720409628" guid="eeceeb99-335e-4b22-be85-abcbdca6a424"&gt;1008&lt;/key&gt;&lt;/foreign-keys&gt;&lt;ref-type name="Web Page"&gt;12&lt;/ref-type&gt;&lt;contributors&gt;&lt;authors&gt;&lt;author&gt;Department of Health&lt;/author&gt;&lt;/authors&gt;&lt;/contributors&gt;&lt;titles&gt;&lt;title&gt;National Preventive Health Strategy 2021-2030&lt;/title&gt;&lt;/titles&gt;&lt;dates&gt;&lt;year&gt;2021&lt;/year&gt;&lt;/dates&gt;&lt;pub-location&gt;Canberra&lt;/pub-location&gt;&lt;publisher&gt;DoH, Australian Government&lt;/publisher&gt;&lt;urls&gt;&lt;related-urls&gt;&lt;url&gt;https://www.health.gov.au/sites/default/files/documents/2021/12/national-preventive-health-strategy-2021-2030_1.pdf&lt;/url&gt;&lt;/related-urls&gt;&lt;/urls&gt;&lt;custom1&gt;2024&lt;/custom1&gt;&lt;custom2&gt;March 6&lt;/custom2&gt;&lt;/record&gt;&lt;/Cite&gt;&lt;/EndNote&gt;</w:instrText>
        </w:r>
        <w:r w:rsidR="002D6F18">
          <w:fldChar w:fldCharType="separate"/>
        </w:r>
        <w:r w:rsidR="002D6F18" w:rsidRPr="00445D54">
          <w:rPr>
            <w:noProof/>
            <w:vertAlign w:val="superscript"/>
          </w:rPr>
          <w:t>100</w:t>
        </w:r>
        <w:r w:rsidR="002D6F18">
          <w:fldChar w:fldCharType="end"/>
        </w:r>
      </w:hyperlink>
      <w:r w:rsidRPr="00B768A1">
        <w:t xml:space="preserve"> programs </w:t>
      </w:r>
      <w:r w:rsidR="53144676" w:rsidRPr="00B768A1">
        <w:t xml:space="preserve">focused on </w:t>
      </w:r>
      <w:r w:rsidRPr="00B768A1">
        <w:t>children’s wellbeing should:</w:t>
      </w:r>
    </w:p>
    <w:p w14:paraId="1735B81A" w14:textId="633C6918" w:rsidR="00E864FA" w:rsidRPr="00B768A1" w:rsidRDefault="00053588" w:rsidP="00634A83">
      <w:pPr>
        <w:pStyle w:val="ListParagraph"/>
        <w:numPr>
          <w:ilvl w:val="0"/>
          <w:numId w:val="26"/>
        </w:numPr>
      </w:pPr>
      <w:r>
        <w:t>d</w:t>
      </w:r>
      <w:r w:rsidR="00E864FA" w:rsidRPr="00B768A1">
        <w:t xml:space="preserve">eliver early childhood and primary education services that </w:t>
      </w:r>
      <w:r w:rsidR="00614AB6" w:rsidRPr="00B768A1">
        <w:t xml:space="preserve">foster </w:t>
      </w:r>
      <w:r w:rsidR="00E864FA" w:rsidRPr="00B768A1">
        <w:t>healthy mental and physical development</w:t>
      </w:r>
    </w:p>
    <w:p w14:paraId="02E46BC1" w14:textId="75100B4B" w:rsidR="00E864FA" w:rsidRPr="00B768A1" w:rsidRDefault="00053588" w:rsidP="00634A83">
      <w:pPr>
        <w:pStyle w:val="ListParagraph"/>
        <w:numPr>
          <w:ilvl w:val="0"/>
          <w:numId w:val="26"/>
        </w:numPr>
      </w:pPr>
      <w:r>
        <w:t>e</w:t>
      </w:r>
      <w:r w:rsidR="00E864FA" w:rsidRPr="00B768A1">
        <w:t xml:space="preserve">nsure that educators are equipped with the knowledge, skills, and resources to </w:t>
      </w:r>
      <w:r w:rsidR="00AA5754" w:rsidRPr="00B768A1">
        <w:t xml:space="preserve">meet each </w:t>
      </w:r>
      <w:r w:rsidR="00E864FA" w:rsidRPr="00B768A1">
        <w:t>child</w:t>
      </w:r>
      <w:r w:rsidR="00AA5754" w:rsidRPr="00B768A1">
        <w:t>’s</w:t>
      </w:r>
      <w:r w:rsidR="00E864FA" w:rsidRPr="00B768A1">
        <w:t xml:space="preserve"> physical, neurodevelopmental </w:t>
      </w:r>
      <w:r w:rsidR="00AA5754" w:rsidRPr="00B768A1">
        <w:t xml:space="preserve">and </w:t>
      </w:r>
      <w:r w:rsidR="00E864FA" w:rsidRPr="00B768A1">
        <w:t>cultural needs</w:t>
      </w:r>
      <w:r w:rsidR="00E864FA" w:rsidRPr="00B768A1" w:rsidDel="00EE27DF">
        <w:t>.</w:t>
      </w:r>
    </w:p>
    <w:p w14:paraId="10068855" w14:textId="29814014" w:rsidR="00E864FA" w:rsidRPr="00B768A1" w:rsidRDefault="44CFC82E" w:rsidP="00634A83">
      <w:r w:rsidRPr="00B768A1">
        <w:t xml:space="preserve">As young people move from childhood into </w:t>
      </w:r>
      <w:r w:rsidR="0F616481" w:rsidRPr="00B768A1">
        <w:t>young adulthood</w:t>
      </w:r>
      <w:r w:rsidRPr="00B768A1">
        <w:t xml:space="preserve">, it is important that they have the knowledge and skills to </w:t>
      </w:r>
      <w:r w:rsidR="5EA7D232" w:rsidRPr="00B768A1">
        <w:t>build and maintain</w:t>
      </w:r>
      <w:r w:rsidRPr="00B768A1">
        <w:t xml:space="preserve"> their own wellbeing. </w:t>
      </w:r>
      <w:r w:rsidR="081A0463" w:rsidRPr="00B768A1">
        <w:t xml:space="preserve">This </w:t>
      </w:r>
      <w:r w:rsidR="40B914F7" w:rsidRPr="00B768A1">
        <w:t xml:space="preserve">formative period can involve </w:t>
      </w:r>
      <w:r w:rsidR="159DF523" w:rsidRPr="00B768A1">
        <w:t xml:space="preserve">leaving school, </w:t>
      </w:r>
      <w:r w:rsidR="40B914F7" w:rsidRPr="00B768A1">
        <w:t xml:space="preserve">starting employment and higher education, </w:t>
      </w:r>
      <w:r w:rsidR="0866CE9B" w:rsidRPr="00B768A1">
        <w:t xml:space="preserve">beginning to form </w:t>
      </w:r>
      <w:r w:rsidR="50B326E3" w:rsidRPr="00B768A1">
        <w:t>in</w:t>
      </w:r>
      <w:r w:rsidR="08A769A8" w:rsidRPr="00B768A1">
        <w:t>timate relations</w:t>
      </w:r>
      <w:r w:rsidR="2E8E96CA" w:rsidRPr="00B768A1">
        <w:t>hips</w:t>
      </w:r>
      <w:r w:rsidR="08A769A8" w:rsidRPr="00B768A1">
        <w:t xml:space="preserve">, and becoming a </w:t>
      </w:r>
      <w:r w:rsidR="47029465" w:rsidRPr="00B768A1">
        <w:t>parent</w:t>
      </w:r>
      <w:r w:rsidR="28AA7D0F" w:rsidRPr="00B768A1">
        <w:t xml:space="preserve"> or carer</w:t>
      </w:r>
      <w:r w:rsidR="47029465" w:rsidRPr="00B768A1">
        <w:t>.</w:t>
      </w:r>
      <w:r w:rsidR="08A769A8" w:rsidRPr="00B768A1">
        <w:t xml:space="preserve"> </w:t>
      </w:r>
      <w:r w:rsidRPr="00B768A1">
        <w:t>Instilling</w:t>
      </w:r>
      <w:r w:rsidRPr="00B768A1" w:rsidDel="00B376E7">
        <w:t xml:space="preserve"> </w:t>
      </w:r>
      <w:r w:rsidRPr="00B768A1">
        <w:t>good health practices in young people as they grow into adults builds resilient societies and improves mental and physical health outcomes that protect against suicide</w:t>
      </w:r>
      <w:r w:rsidR="5543FECC" w:rsidRPr="00B768A1">
        <w:t xml:space="preserve"> (</w:t>
      </w:r>
      <w:r w:rsidR="319486A9">
        <w:t>action ko</w:t>
      </w:r>
      <w:r w:rsidR="32E9B089" w:rsidRPr="498A3250">
        <w:t>5.1</w:t>
      </w:r>
      <w:r w:rsidR="1CBA7C02" w:rsidRPr="00B768A1">
        <w:t>b)</w:t>
      </w:r>
      <w:r w:rsidRPr="00B768A1">
        <w:t>.</w:t>
      </w:r>
      <w:hyperlink w:anchor="_ENREF_152" w:tooltip="Organisation, 2023 #554" w:history="1">
        <w:r w:rsidR="002D6F18">
          <w:fldChar w:fldCharType="begin"/>
        </w:r>
        <w:r w:rsidR="002D6F18">
          <w:instrText xml:space="preserve"> ADDIN EN.CITE &lt;EndNote&gt;&lt;Cite&gt;&lt;Author&gt;Organisation&lt;/Author&gt;&lt;Year&gt;2023&lt;/Year&gt;&lt;RecNum&gt;554&lt;/RecNum&gt;&lt;DisplayText&gt;&lt;style face="superscript"&gt;152&lt;/style&gt;&lt;/DisplayText&gt;&lt;record&gt;&lt;rec-number&gt;554&lt;/rec-number&gt;&lt;foreign-keys&gt;&lt;key app="EN" db-id="rsettzd2isasdweewww55s9lffasxav0d0ft" timestamp="1707862922" guid="961b4f69-1129-4627-8aa3-d1a1dc47c6da"&gt;554&lt;/key&gt;&lt;/foreign-keys&gt;&lt;ref-type name="Web Page"&gt;12&lt;/ref-type&gt;&lt;contributors&gt;&lt;authors&gt;&lt;author&gt;World Health Organisation&lt;/author&gt;&lt;/authors&gt;&lt;/contributors&gt;&lt;titles&gt;&lt;title&gt;Improving the Mental and Brain Health of Children and Adolescents&lt;/title&gt;&lt;/titles&gt;&lt;dates&gt;&lt;year&gt;2023&lt;/year&gt;&lt;/dates&gt;&lt;work-type&gt;Internet&lt;/work-type&gt;&lt;urls&gt;&lt;related-urls&gt;&lt;url&gt;https://www.who.int/activities/improving-the-mental-and-brain-health-of-children-and-adolescents&lt;/url&gt;&lt;/related-urls&gt;&lt;/urls&gt;&lt;custom1&gt;2023&lt;/custom1&gt;&lt;custom2&gt;October 23&lt;/custom2&gt;&lt;/record&gt;&lt;/Cite&gt;&lt;/EndNote&gt;</w:instrText>
        </w:r>
        <w:r w:rsidR="002D6F18">
          <w:fldChar w:fldCharType="separate"/>
        </w:r>
        <w:r w:rsidR="002D6F18" w:rsidRPr="00445D54">
          <w:rPr>
            <w:noProof/>
            <w:vertAlign w:val="superscript"/>
          </w:rPr>
          <w:t>152</w:t>
        </w:r>
        <w:r w:rsidR="002D6F18">
          <w:fldChar w:fldCharType="end"/>
        </w:r>
      </w:hyperlink>
    </w:p>
    <w:p w14:paraId="65A8E7B7" w14:textId="525B7DA0" w:rsidR="00E864FA" w:rsidRPr="00B768A1" w:rsidRDefault="00E864FA" w:rsidP="00634A83">
      <w:r w:rsidRPr="4623DBCA">
        <w:t xml:space="preserve">Schools play </w:t>
      </w:r>
      <w:r w:rsidR="2195FE9C" w:rsidRPr="4623DBCA">
        <w:t>a</w:t>
      </w:r>
      <w:r w:rsidR="7A24AC23" w:rsidRPr="4623DBCA">
        <w:t>n</w:t>
      </w:r>
      <w:r w:rsidRPr="4623DBCA">
        <w:t xml:space="preserve"> </w:t>
      </w:r>
      <w:r w:rsidR="7A24AC23" w:rsidRPr="4623DBCA">
        <w:t xml:space="preserve">important </w:t>
      </w:r>
      <w:r w:rsidRPr="4623DBCA">
        <w:t>role in the lives of children and young people, acting as a hub for a range of community events. Ensuring that schools and the school curriculum are designed to build wellbeing is an investment in lifelong community suicide prevention. Over recent years, educators have increased their emphasis on student wellbeing in response to growing community expectations for schools to address mental ill</w:t>
      </w:r>
      <w:r w:rsidR="009F790D" w:rsidRPr="4623DBCA">
        <w:t xml:space="preserve"> </w:t>
      </w:r>
      <w:r w:rsidRPr="4623DBCA">
        <w:t>health, bullying, self-harm and suicide. These efforts should include:</w:t>
      </w:r>
    </w:p>
    <w:p w14:paraId="1BCE4939" w14:textId="005811E1" w:rsidR="00E864FA" w:rsidRPr="00B768A1" w:rsidRDefault="00E864FA" w:rsidP="00634A83">
      <w:pPr>
        <w:pStyle w:val="ListBullet"/>
        <w:numPr>
          <w:ilvl w:val="0"/>
          <w:numId w:val="14"/>
        </w:numPr>
      </w:pPr>
      <w:r>
        <w:t>modelling inclusive and affirming cultures</w:t>
      </w:r>
    </w:p>
    <w:p w14:paraId="53DBDF34" w14:textId="3307BFCC" w:rsidR="00E864FA" w:rsidRPr="00B768A1" w:rsidRDefault="00E864FA" w:rsidP="00634A83">
      <w:pPr>
        <w:pStyle w:val="ListBullet"/>
        <w:numPr>
          <w:ilvl w:val="0"/>
          <w:numId w:val="14"/>
        </w:numPr>
      </w:pPr>
      <w:r>
        <w:t>activities that build a sense of community within the school</w:t>
      </w:r>
      <w:r w:rsidR="003B5C87">
        <w:t>—</w:t>
      </w:r>
      <w:r>
        <w:t>for example, home rooms, sporting and special interest clubs, extracurricular activities and social events</w:t>
      </w:r>
    </w:p>
    <w:p w14:paraId="350EC361" w14:textId="733A03FB" w:rsidR="00E864FA" w:rsidRPr="00B768A1" w:rsidRDefault="00E864FA" w:rsidP="00634A83">
      <w:pPr>
        <w:pStyle w:val="ListBullet"/>
        <w:numPr>
          <w:ilvl w:val="0"/>
          <w:numId w:val="14"/>
        </w:numPr>
      </w:pPr>
      <w:r>
        <w:t>establishing links with the surrounding community</w:t>
      </w:r>
    </w:p>
    <w:p w14:paraId="126A32E3" w14:textId="102C614E" w:rsidR="00E864FA" w:rsidRDefault="18CDF35F" w:rsidP="00634A83">
      <w:pPr>
        <w:pStyle w:val="ListBullet"/>
        <w:numPr>
          <w:ilvl w:val="0"/>
          <w:numId w:val="14"/>
        </w:numPr>
      </w:pPr>
      <w:r>
        <w:t>ensuring</w:t>
      </w:r>
      <w:r w:rsidR="61D1959A">
        <w:t xml:space="preserve"> access to parenting advice and </w:t>
      </w:r>
      <w:r w:rsidR="6D917359">
        <w:t>education and</w:t>
      </w:r>
      <w:r w:rsidR="61D1959A">
        <w:t xml:space="preserve"> providing regular communication about school and community events.</w:t>
      </w:r>
    </w:p>
    <w:p w14:paraId="6431D13A" w14:textId="20B5BB12" w:rsidR="00062F2E" w:rsidRDefault="0493F53F" w:rsidP="00062F2E">
      <w:pPr>
        <w:pStyle w:val="BT-Livedexperience-Orange"/>
        <w:ind w:firstLine="465"/>
      </w:pPr>
      <w:r>
        <w:rPr>
          <w:noProof/>
        </w:rPr>
        <w:drawing>
          <wp:anchor distT="0" distB="0" distL="114300" distR="114300" simplePos="0" relativeHeight="251658240" behindDoc="0" locked="0" layoutInCell="1" allowOverlap="1" wp14:anchorId="47D7BF48" wp14:editId="31B1B31F">
            <wp:simplePos x="0" y="0"/>
            <wp:positionH relativeFrom="column">
              <wp:posOffset>77470</wp:posOffset>
            </wp:positionH>
            <wp:positionV relativeFrom="paragraph">
              <wp:posOffset>171352</wp:posOffset>
            </wp:positionV>
            <wp:extent cx="318770" cy="318770"/>
            <wp:effectExtent l="0" t="0" r="5080" b="5080"/>
            <wp:wrapNone/>
            <wp:docPr id="2020270356" name="Graphic 2020270356" descr="Start of quotation from Lived Experience Partnership Group memb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rot="16200000">
                      <a:off x="0" y="0"/>
                      <a:ext cx="318770" cy="318770"/>
                    </a:xfrm>
                    <a:prstGeom prst="rect">
                      <a:avLst/>
                    </a:prstGeom>
                  </pic:spPr>
                </pic:pic>
              </a:graphicData>
            </a:graphic>
            <wp14:sizeRelH relativeFrom="page">
              <wp14:pctWidth>0</wp14:pctWidth>
            </wp14:sizeRelH>
            <wp14:sizeRelV relativeFrom="page">
              <wp14:pctHeight>0</wp14:pctHeight>
            </wp14:sizeRelV>
          </wp:anchor>
        </w:drawing>
      </w:r>
      <w:r w:rsidRPr="0016524C">
        <w:rPr>
          <w:b/>
        </w:rPr>
        <w:t>Reflections from people with lived experience</w:t>
      </w:r>
    </w:p>
    <w:p w14:paraId="64124651" w14:textId="14EBE60A" w:rsidR="00170BC0" w:rsidRPr="009A0D76" w:rsidRDefault="00062F2E" w:rsidP="00381701">
      <w:pPr>
        <w:pStyle w:val="BT-Livedexperience-Orange"/>
      </w:pPr>
      <w:r w:rsidRPr="00381701">
        <w:t>“</w:t>
      </w:r>
      <w:r w:rsidR="12D97304" w:rsidRPr="00381701">
        <w:t>There needs to be a good transition plan for kids who go back to school after a suicide attempt. It can be a massive shift getting back into education. Many students don’t re-engage with education, particularly if the attempt is in the final years. It makes a huge difference to their experience if there is coordinated care at home, at school and with the care team. This can make it possible for them to graduate.”</w:t>
      </w:r>
    </w:p>
    <w:p w14:paraId="2C208963" w14:textId="61C957F4" w:rsidR="00170BC0" w:rsidRPr="00B73B3F" w:rsidRDefault="12D97304" w:rsidP="00381701">
      <w:pPr>
        <w:pStyle w:val="BT-Livedexperience-Orange-Heading"/>
        <w:shd w:val="clear" w:color="auto" w:fill="FEEDD4" w:themeFill="accent5" w:themeFillTint="33"/>
        <w:spacing w:line="259" w:lineRule="auto"/>
        <w:ind w:firstLine="465"/>
        <w:jc w:val="right"/>
      </w:pPr>
      <w:r w:rsidRPr="00B73B3F">
        <w:t xml:space="preserve">Jordan Frith, </w:t>
      </w:r>
      <w:r w:rsidRPr="00B768A1">
        <w:rPr>
          <w:b w:val="0"/>
        </w:rPr>
        <w:t>Lived Experience Partnership Group Member</w:t>
      </w:r>
    </w:p>
    <w:p w14:paraId="75767519" w14:textId="17587BEE" w:rsidR="00A379B8" w:rsidRDefault="44CFC82E" w:rsidP="00634A83">
      <w:r w:rsidRPr="00016CBE">
        <w:t>Promoting good health across the lifespan contributes to wellbeing in older age (see</w:t>
      </w:r>
      <w:r w:rsidR="4CF882F8" w:rsidRPr="00016CBE">
        <w:t xml:space="preserve"> </w:t>
      </w:r>
      <w:r w:rsidR="6ECEF75A">
        <w:t>3.1</w:t>
      </w:r>
      <w:r w:rsidR="6ECEF75A" w:rsidRPr="00F833FC">
        <w:t xml:space="preserve"> </w:t>
      </w:r>
      <w:r w:rsidR="4CF882F8" w:rsidRPr="00F833FC">
        <w:t>Improve health outcomes</w:t>
      </w:r>
      <w:r w:rsidRPr="00016CBE">
        <w:t xml:space="preserve">). </w:t>
      </w:r>
      <w:r w:rsidR="7ACB0671" w:rsidRPr="00016CBE">
        <w:t>Social</w:t>
      </w:r>
      <w:r w:rsidR="7ACB0671" w:rsidRPr="00B768A1">
        <w:t xml:space="preserve"> participation </w:t>
      </w:r>
      <w:r w:rsidRPr="00B768A1">
        <w:t>of older people is facilitated by fostering positive social attitudes towards older people, and creating physical and social environments that are accessible and inclusive</w:t>
      </w:r>
      <w:r w:rsidR="732ECA7E" w:rsidRPr="00B768A1">
        <w:t xml:space="preserve"> (</w:t>
      </w:r>
      <w:r w:rsidR="319486A9">
        <w:t>action ko</w:t>
      </w:r>
      <w:r w:rsidR="7D1280E5">
        <w:t>5.1</w:t>
      </w:r>
      <w:r w:rsidR="732ECA7E" w:rsidRPr="00B768A1">
        <w:t>c)</w:t>
      </w:r>
      <w:r w:rsidRPr="00B768A1">
        <w:t>.</w:t>
      </w:r>
      <w:hyperlink w:anchor="_ENREF_153" w:tooltip="Organization, 2012 #1080" w:history="1">
        <w:r w:rsidR="002D6F18">
          <w:fldChar w:fldCharType="begin"/>
        </w:r>
        <w:r w:rsidR="002D6F18">
          <w:instrText xml:space="preserve"> ADDIN EN.CITE &lt;EndNote&gt;&lt;Cite&gt;&lt;Author&gt;Organization&lt;/Author&gt;&lt;Year&gt;2012&lt;/Year&gt;&lt;RecNum&gt;1080&lt;/RecNum&gt;&lt;DisplayText&gt;&lt;style face="superscript"&gt;153&lt;/style&gt;&lt;/DisplayText&gt;&lt;record&gt;&lt;rec-number&gt;1080&lt;/rec-number&gt;&lt;foreign-keys&gt;&lt;key app="EN" db-id="rsettzd2isasdweewww55s9lffasxav0d0ft" timestamp="1720496176" guid="841e8eed-9c6b-4cab-9988-43dafc48183f"&gt;1080&lt;/key&gt;&lt;/foreign-keys&gt;&lt;ref-type name="Web Page"&gt;12&lt;/ref-type&gt;&lt;contributors&gt;&lt;authors&gt;&lt;author&gt;World Health Organization&lt;/author&gt;&lt;/authors&gt;&lt;/contributors&gt;&lt;titles&gt;&lt;title&gt;Good health adds life to years: global brief for World Health Day 2012&lt;/title&gt;&lt;/titles&gt;&lt;dates&gt;&lt;year&gt;2012&lt;/year&gt;&lt;/dates&gt;&lt;publisher&gt;World Health Organization&lt;/publisher&gt;&lt;urls&gt;&lt;related-urls&gt;&lt;url&gt;https://iris.who.int/handle/10665/70853&lt;/url&gt;&lt;/related-urls&gt;&lt;/urls&gt;&lt;custom1&gt;2023&lt;/custom1&gt;&lt;custom2&gt;November 21&lt;/custom2&gt;&lt;/record&gt;&lt;/Cite&gt;&lt;/EndNote&gt;</w:instrText>
        </w:r>
        <w:r w:rsidR="002D6F18">
          <w:fldChar w:fldCharType="separate"/>
        </w:r>
        <w:r w:rsidR="002D6F18" w:rsidRPr="00445D54">
          <w:rPr>
            <w:noProof/>
            <w:vertAlign w:val="superscript"/>
          </w:rPr>
          <w:t>153</w:t>
        </w:r>
        <w:r w:rsidR="002D6F18">
          <w:fldChar w:fldCharType="end"/>
        </w:r>
      </w:hyperlink>
      <w:r w:rsidRPr="00B768A1">
        <w:t xml:space="preserve"> Environments and experiences that engage and stimulate each person can </w:t>
      </w:r>
      <w:r w:rsidR="05749DC7" w:rsidRPr="00B768A1">
        <w:t>build</w:t>
      </w:r>
      <w:r w:rsidRPr="00B768A1">
        <w:t xml:space="preserve"> cognitive functioning and help establish and maintain social connections.</w:t>
      </w:r>
      <w:r w:rsidR="4BFC21F9" w:rsidRPr="00B768A1">
        <w:t xml:space="preserve"> </w:t>
      </w:r>
      <w:r w:rsidRPr="00B768A1">
        <w:t>Later life should be appreciated as a time for living, and older people should be provided with opportunities to live in a way that provides agency, purpose and meaning.</w:t>
      </w:r>
      <w:hyperlink w:anchor="_ENREF_154" w:tooltip="Safety, 2021 #1081" w:history="1">
        <w:r w:rsidR="002D6F18">
          <w:fldChar w:fldCharType="begin"/>
        </w:r>
        <w:r w:rsidR="002D6F18">
          <w:instrText xml:space="preserve"> ADDIN EN.CITE &lt;EndNote&gt;&lt;Cite&gt;&lt;Author&gt;Safety&lt;/Author&gt;&lt;Year&gt;2021&lt;/Year&gt;&lt;RecNum&gt;1081&lt;/RecNum&gt;&lt;DisplayText&gt;&lt;style face="superscript"&gt;154&lt;/style&gt;&lt;/DisplayText&gt;&lt;record&gt;&lt;rec-number&gt;1081&lt;/rec-number&gt;&lt;foreign-keys&gt;&lt;key app="EN" db-id="rsettzd2isasdweewww55s9lffasxav0d0ft" timestamp="1720496390" guid="384443f2-ef13-409f-984c-b24b8291d18f"&gt;1081&lt;/key&gt;&lt;/foreign-keys&gt;&lt;ref-type name="Web Page"&gt;12&lt;/ref-type&gt;&lt;contributors&gt;&lt;authors&gt;&lt;author&gt;Royal Commission into Aged Care Quality and Safety&lt;/author&gt;&lt;/authors&gt;&lt;/contributors&gt;&lt;titles&gt;&lt;title&gt;Care, dignity and respect. Final report&lt;/title&gt;&lt;/titles&gt;&lt;dates&gt;&lt;year&gt;2021&lt;/year&gt;&lt;pub-dates&gt;&lt;date&gt;01 March 2021&lt;/date&gt;&lt;/pub-dates&gt;&lt;/dates&gt;&lt;publisher&gt;Australian Government&lt;/publisher&gt;&lt;work-type&gt;Internet&lt;/work-type&gt;&lt;urls&gt;&lt;related-urls&gt;&lt;url&gt;https://www.royalcommission.gov.au/aged-care/final-report&lt;/url&gt;&lt;/related-urls&gt;&lt;/urls&gt;&lt;custom1&gt;2023&lt;/custom1&gt;&lt;custom2&gt;November 21&lt;/custom2&gt;&lt;/record&gt;&lt;/Cite&gt;&lt;/EndNote&gt;</w:instrText>
        </w:r>
        <w:r w:rsidR="002D6F18">
          <w:fldChar w:fldCharType="separate"/>
        </w:r>
        <w:r w:rsidR="002D6F18" w:rsidRPr="00445D54">
          <w:rPr>
            <w:noProof/>
            <w:vertAlign w:val="superscript"/>
          </w:rPr>
          <w:t>154</w:t>
        </w:r>
        <w:r w:rsidR="002D6F18">
          <w:fldChar w:fldCharType="end"/>
        </w:r>
      </w:hyperlink>
      <w:r w:rsidRPr="00B768A1">
        <w:t xml:space="preserve"> </w:t>
      </w:r>
      <w:r w:rsidR="53CA4776" w:rsidRPr="00B768A1">
        <w:t>A</w:t>
      </w:r>
      <w:r w:rsidRPr="00B768A1">
        <w:t>ged care</w:t>
      </w:r>
      <w:r w:rsidR="53CA4776" w:rsidRPr="00B768A1">
        <w:t>, when needed,</w:t>
      </w:r>
      <w:r w:rsidRPr="00B768A1">
        <w:t xml:space="preserve"> should </w:t>
      </w:r>
      <w:r w:rsidR="05749DC7" w:rsidRPr="00B768A1">
        <w:t>ensure</w:t>
      </w:r>
      <w:r w:rsidRPr="00B768A1">
        <w:t xml:space="preserve"> people </w:t>
      </w:r>
      <w:r w:rsidRPr="00B768A1" w:rsidDel="008F4362">
        <w:t>live a satisfying and fulfilling life</w:t>
      </w:r>
      <w:r w:rsidRPr="00B768A1">
        <w:t xml:space="preserve"> as much as possible</w:t>
      </w:r>
      <w:r w:rsidR="732ECA7E" w:rsidRPr="00B768A1">
        <w:t xml:space="preserve"> (</w:t>
      </w:r>
      <w:r w:rsidR="319486A9">
        <w:t>action ko</w:t>
      </w:r>
      <w:r w:rsidR="17C27353">
        <w:t>5.1</w:t>
      </w:r>
      <w:r w:rsidR="732ECA7E" w:rsidRPr="00B768A1">
        <w:t>d)</w:t>
      </w:r>
      <w:r w:rsidRPr="00B768A1">
        <w:t>.</w:t>
      </w:r>
      <w:r w:rsidR="594375AD">
        <w:t xml:space="preserve"> </w:t>
      </w:r>
    </w:p>
    <w:p w14:paraId="16A13513" w14:textId="40A1D08D" w:rsidR="00E864FA" w:rsidRPr="00B768A1" w:rsidRDefault="594375AD" w:rsidP="00634A83">
      <w:r>
        <w:t xml:space="preserve">The recommended actions to </w:t>
      </w:r>
      <w:r w:rsidR="00A379B8">
        <w:t xml:space="preserve">ensure that people thrive in key life stages </w:t>
      </w:r>
      <w:r>
        <w:t>are described in</w:t>
      </w:r>
      <w:r w:rsidR="17FB91F6">
        <w:t xml:space="preserve"> </w:t>
      </w:r>
      <w:r w:rsidR="00C146BA">
        <w:fldChar w:fldCharType="begin"/>
      </w:r>
      <w:r w:rsidR="00C146BA">
        <w:instrText xml:space="preserve"> REF _Ref164869841 \h </w:instrText>
      </w:r>
      <w:r w:rsidR="00C146BA">
        <w:fldChar w:fldCharType="separate"/>
      </w:r>
      <w:r w:rsidR="009F12B4">
        <w:t xml:space="preserve">Table </w:t>
      </w:r>
      <w:r w:rsidR="009F12B4">
        <w:rPr>
          <w:noProof/>
        </w:rPr>
        <w:t>12</w:t>
      </w:r>
      <w:r w:rsidR="00C146BA">
        <w:fldChar w:fldCharType="end"/>
      </w:r>
      <w:r>
        <w:t>.</w:t>
      </w:r>
    </w:p>
    <w:p w14:paraId="4C65E9F9" w14:textId="3EA1C64B" w:rsidR="00E864FA" w:rsidRPr="00B768A1" w:rsidRDefault="00994A0B" w:rsidP="00634A83">
      <w:pPr>
        <w:pStyle w:val="BT-Beigebox-Heading"/>
      </w:pPr>
      <w:r w:rsidRPr="00B768A1">
        <w:t>Activity to build on</w:t>
      </w:r>
    </w:p>
    <w:p w14:paraId="2171ED66" w14:textId="44AD17AC" w:rsidR="00994A0B" w:rsidRDefault="56FCFA39" w:rsidP="00634A83">
      <w:pPr>
        <w:pStyle w:val="BT-Beigebox"/>
        <w:rPr>
          <w:rFonts w:cstheme="minorBidi"/>
        </w:rPr>
      </w:pPr>
      <w:r w:rsidRPr="00B768A1">
        <w:t>Mental health literacy programs can help young people understand concepts of mental health and wellbeing, learn strategies to maintain good mental health, decrease stigma about mental illness and increase help-seeking</w:t>
      </w:r>
      <w:r w:rsidR="62CD3BF9" w:rsidRPr="00B768A1">
        <w:t xml:space="preserve"> and res</w:t>
      </w:r>
      <w:r w:rsidR="37A783A8" w:rsidRPr="00B768A1">
        <w:t>i</w:t>
      </w:r>
      <w:r w:rsidR="62CD3BF9" w:rsidRPr="00B768A1">
        <w:t>lience</w:t>
      </w:r>
      <w:r w:rsidRPr="00B768A1">
        <w:t xml:space="preserve">. Youth Aware of Mental Health is an evidence-based program </w:t>
      </w:r>
      <w:r w:rsidR="2F06DFC8" w:rsidRPr="00B768A1">
        <w:t xml:space="preserve">provided through schools </w:t>
      </w:r>
      <w:r w:rsidRPr="00B768A1">
        <w:t>for young people to learn about and explore the topic of mental health.</w:t>
      </w:r>
      <w:hyperlink w:anchor="_ENREF_155" w:tooltip="AB., 2024 #1082" w:history="1">
        <w:r w:rsidR="002D6F18">
          <w:fldChar w:fldCharType="begin"/>
        </w:r>
        <w:r w:rsidR="002D6F18">
          <w:instrText xml:space="preserve"> ADDIN EN.CITE &lt;EndNote&gt;&lt;Cite&gt;&lt;Author&gt;AB.&lt;/Author&gt;&lt;Year&gt;2024&lt;/Year&gt;&lt;RecNum&gt;1082&lt;/RecNum&gt;&lt;DisplayText&gt;&lt;style face="superscript"&gt;155&lt;/style&gt;&lt;/DisplayText&gt;&lt;record&gt;&lt;rec-number&gt;1082&lt;/rec-number&gt;&lt;foreign-keys&gt;&lt;key app="EN" db-id="rsettzd2isasdweewww55s9lffasxav0d0ft" timestamp="1720496512" guid="5eff56e7-fa1f-4973-8164-ca12ddc34df9"&gt;1082&lt;/key&gt;&lt;/foreign-keys&gt;&lt;ref-type name="Web Page"&gt;12&lt;/ref-type&gt;&lt;contributors&gt;&lt;authors&gt;&lt;author&gt;Mental Health in Mind International AB. &lt;/author&gt;&lt;/authors&gt;&lt;/contributors&gt;&lt;titles&gt;&lt;title&gt;Youth Aware of Mental health&lt;/title&gt;&lt;/titles&gt;&lt;dates&gt;&lt;year&gt;2024&lt;/year&gt;&lt;/dates&gt;&lt;work-type&gt;Internet&lt;/work-type&gt;&lt;urls&gt;&lt;related-urls&gt;&lt;url&gt;https://www.y-a-m.org/&lt;/url&gt;&lt;/related-urls&gt;&lt;/urls&gt;&lt;custom1&gt;2024&lt;/custom1&gt;&lt;custom2&gt;March 06&lt;/custom2&gt;&lt;/record&gt;&lt;/Cite&gt;&lt;/EndNote&gt;</w:instrText>
        </w:r>
        <w:r w:rsidR="002D6F18">
          <w:fldChar w:fldCharType="separate"/>
        </w:r>
        <w:r w:rsidR="002D6F18" w:rsidRPr="00445D54">
          <w:rPr>
            <w:noProof/>
            <w:vertAlign w:val="superscript"/>
          </w:rPr>
          <w:t>155</w:t>
        </w:r>
        <w:r w:rsidR="002D6F18">
          <w:fldChar w:fldCharType="end"/>
        </w:r>
      </w:hyperlink>
    </w:p>
    <w:p w14:paraId="25F39D25" w14:textId="30E25C29" w:rsidR="003E4C95" w:rsidRPr="00B768A1" w:rsidRDefault="003E4C95" w:rsidP="00745B34">
      <w:pPr>
        <w:pStyle w:val="Caption"/>
      </w:pPr>
      <w:bookmarkStart w:id="70" w:name="_Ref162226771"/>
      <w:bookmarkStart w:id="71" w:name="_Ref164869841"/>
      <w:r>
        <w:t xml:space="preserve">Table </w:t>
      </w:r>
      <w:bookmarkEnd w:id="70"/>
      <w:r w:rsidR="00F823CC">
        <w:fldChar w:fldCharType="begin"/>
      </w:r>
      <w:r w:rsidR="00F823CC">
        <w:instrText xml:space="preserve"> SEQ Table \* ARABIC  \* MERGEFORMAT </w:instrText>
      </w:r>
      <w:r w:rsidR="00F823CC">
        <w:fldChar w:fldCharType="separate"/>
      </w:r>
      <w:r w:rsidR="009F12B4">
        <w:rPr>
          <w:noProof/>
        </w:rPr>
        <w:t>12</w:t>
      </w:r>
      <w:r w:rsidR="00F823CC">
        <w:fldChar w:fldCharType="end"/>
      </w:r>
      <w:bookmarkEnd w:id="71"/>
      <w:r>
        <w:t xml:space="preserve">: </w:t>
      </w:r>
      <w:r w:rsidR="001F0D1D">
        <w:t xml:space="preserve">Recommended actions for Prevention objective </w:t>
      </w:r>
      <w:r w:rsidR="009929AC">
        <w:t>5.1</w:t>
      </w:r>
      <w:r w:rsidR="001F0D1D">
        <w:t>: Thrive in key life stages</w:t>
      </w:r>
    </w:p>
    <w:tbl>
      <w:tblPr>
        <w:tblStyle w:val="TableGrid"/>
        <w:tblW w:w="5000" w:type="pct"/>
        <w:tblLayout w:type="fixed"/>
        <w:tblLook w:val="0420" w:firstRow="1" w:lastRow="0" w:firstColumn="0" w:lastColumn="0" w:noHBand="0" w:noVBand="1"/>
        <w:tblCaption w:val="Recommended actions for Prevention objective 1.5: Thrive in key life stages"/>
        <w:tblDescription w:val="Describes actions ko1.5a to ko1.5d.&#10;&#10;"/>
      </w:tblPr>
      <w:tblGrid>
        <w:gridCol w:w="1269"/>
        <w:gridCol w:w="7792"/>
      </w:tblGrid>
      <w:tr w:rsidR="00100EBC" w:rsidRPr="00760C15" w14:paraId="3B873143" w14:textId="77777777" w:rsidTr="55FFBE13">
        <w:trPr>
          <w:cnfStyle w:val="100000000000" w:firstRow="1" w:lastRow="0" w:firstColumn="0" w:lastColumn="0" w:oddVBand="0" w:evenVBand="0" w:oddHBand="0" w:evenHBand="0" w:firstRowFirstColumn="0" w:firstRowLastColumn="0" w:lastRowFirstColumn="0" w:lastRowLastColumn="0"/>
          <w:tblHeader/>
        </w:trPr>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48002"/>
          </w:tcPr>
          <w:p w14:paraId="63ACD1D4" w14:textId="44602E47" w:rsidR="00100EBC" w:rsidRPr="00760C15" w:rsidRDefault="00100EBC" w:rsidP="004F5B0E">
            <w:pPr>
              <w:pStyle w:val="NMHCTableHeaderRow"/>
            </w:pPr>
            <w:r w:rsidRPr="00760C15">
              <w:t>Action</w:t>
            </w:r>
          </w:p>
        </w:tc>
        <w:tc>
          <w:tcPr>
            <w:tcW w:w="77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48002"/>
            <w:tcMar>
              <w:top w:w="28" w:type="dxa"/>
              <w:bottom w:w="28" w:type="dxa"/>
            </w:tcMar>
          </w:tcPr>
          <w:p w14:paraId="77FA9691" w14:textId="17F26A61" w:rsidR="00100EBC" w:rsidRPr="00760C15" w:rsidRDefault="00100EBC" w:rsidP="004F5B0E">
            <w:pPr>
              <w:pStyle w:val="NMHCTableHeaderRow"/>
            </w:pPr>
            <w:r>
              <w:t>Description</w:t>
            </w:r>
          </w:p>
        </w:tc>
      </w:tr>
      <w:tr w:rsidR="00100EBC" w:rsidRPr="00B768A1" w14:paraId="02DDE2CF" w14:textId="77777777" w:rsidTr="55FFBE13">
        <w:tc>
          <w:tcPr>
            <w:tcW w:w="1270" w:type="dxa"/>
            <w:tcBorders>
              <w:top w:val="single" w:sz="4" w:space="0" w:color="FFFFFF" w:themeColor="background1"/>
            </w:tcBorders>
          </w:tcPr>
          <w:p w14:paraId="08C00DBB" w14:textId="69B44C5F" w:rsidR="00100EBC" w:rsidRPr="002B2A71" w:rsidRDefault="00100EBC" w:rsidP="00634A83">
            <w:r>
              <w:t>ko5.1</w:t>
            </w:r>
            <w:r w:rsidRPr="00B768A1">
              <w:t>a</w:t>
            </w:r>
          </w:p>
        </w:tc>
        <w:tc>
          <w:tcPr>
            <w:tcW w:w="7797" w:type="dxa"/>
            <w:tcBorders>
              <w:top w:val="single" w:sz="4" w:space="0" w:color="FFFFFF" w:themeColor="background1"/>
            </w:tcBorders>
            <w:tcMar>
              <w:top w:w="28" w:type="dxa"/>
              <w:bottom w:w="28" w:type="dxa"/>
            </w:tcMar>
          </w:tcPr>
          <w:p w14:paraId="4ADB78EE" w14:textId="3D037985" w:rsidR="00100EBC" w:rsidRPr="00B768A1" w:rsidRDefault="70192CDD" w:rsidP="00634A83">
            <w:pPr>
              <w:rPr>
                <w:b/>
                <w:bCs/>
              </w:rPr>
            </w:pPr>
            <w:r>
              <w:t xml:space="preserve">Continue to </w:t>
            </w:r>
            <w:r w:rsidRPr="00B768A1">
              <w:t xml:space="preserve">implement the </w:t>
            </w:r>
            <w:r w:rsidRPr="498A3250">
              <w:t>National Children’s Mental Health and Wellbeing Strategy</w:t>
            </w:r>
            <w:r w:rsidRPr="00BF2B02">
              <w:t>.</w:t>
            </w:r>
            <w:hyperlink w:anchor="_ENREF_150" w:tooltip="Commission, 2021 #353" w:history="1">
              <w:r w:rsidR="002D6F18">
                <w:fldChar w:fldCharType="begin"/>
              </w:r>
              <w:r w:rsidR="002D6F18">
                <w:instrText xml:space="preserve"> ADDIN EN.CITE &lt;EndNote&gt;&lt;Cite&gt;&lt;Author&gt;Commission&lt;/Author&gt;&lt;Year&gt;2021&lt;/Year&gt;&lt;RecNum&gt;753&lt;/RecNum&gt;&lt;DisplayText&gt;&lt;style face="superscript"&gt;150&lt;/style&gt;&lt;/DisplayText&gt;&lt;record&gt;&lt;rec-number&gt;753&lt;/rec-number&gt;&lt;foreign-keys&gt;&lt;key app="EN" db-id="rsettzd2isasdweewww55s9lffasxav0d0ft" timestamp="1707862925" guid="6b7907bb-deaa-4586-b987-f852d21b9438"&gt;753&lt;/key&gt;&lt;/foreign-keys&gt;&lt;ref-type name="Web Page"&gt;12&lt;/ref-type&gt;&lt;contributors&gt;&lt;authors&gt;&lt;author&gt;National Mental Health Commission&lt;/author&gt;&lt;/authors&gt;&lt;/contributors&gt;&lt;titles&gt;&lt;title&gt;National Children&amp;apos;s Mental Health and Wellbeing Strategy&lt;/title&gt;&lt;/titles&gt;&lt;dates&gt;&lt;year&gt;2021&lt;/year&gt;&lt;/dates&gt;&lt;pub-location&gt;Canberra&lt;/pub-location&gt;&lt;publisher&gt;NMHC&lt;/publisher&gt;&lt;work-type&gt;Internet&lt;/work-type&gt;&lt;urls&gt;&lt;related-urls&gt;&lt;url&gt;https://www.mentalhealthcommission.gov.au/projects/childrens-strategy&lt;/url&gt;&lt;/related-urls&gt;&lt;/urls&gt;&lt;custom1&gt;2023&lt;/custom1&gt;&lt;custom2&gt;October 06&lt;/custom2&gt;&lt;/record&gt;&lt;/Cite&gt;&lt;/EndNote&gt;</w:instrText>
              </w:r>
              <w:r w:rsidR="002D6F18">
                <w:fldChar w:fldCharType="separate"/>
              </w:r>
              <w:r w:rsidR="002D6F18" w:rsidRPr="00445D54">
                <w:rPr>
                  <w:noProof/>
                  <w:vertAlign w:val="superscript"/>
                </w:rPr>
                <w:t>150</w:t>
              </w:r>
              <w:r w:rsidR="002D6F18">
                <w:fldChar w:fldCharType="end"/>
              </w:r>
            </w:hyperlink>
          </w:p>
        </w:tc>
      </w:tr>
      <w:tr w:rsidR="00100EBC" w:rsidRPr="00B768A1" w14:paraId="644C878A" w14:textId="77777777" w:rsidTr="55FFBE13">
        <w:tc>
          <w:tcPr>
            <w:tcW w:w="1270" w:type="dxa"/>
          </w:tcPr>
          <w:p w14:paraId="549336A7" w14:textId="4D1C7C1A" w:rsidR="00100EBC" w:rsidRPr="00BF09EB" w:rsidRDefault="00100EBC" w:rsidP="00634A83">
            <w:r>
              <w:t>k</w:t>
            </w:r>
            <w:r w:rsidRPr="00BF09EB">
              <w:t>o5.1b</w:t>
            </w:r>
          </w:p>
        </w:tc>
        <w:tc>
          <w:tcPr>
            <w:tcW w:w="7797" w:type="dxa"/>
            <w:tcMar>
              <w:top w:w="28" w:type="dxa"/>
              <w:bottom w:w="28" w:type="dxa"/>
            </w:tcMar>
          </w:tcPr>
          <w:p w14:paraId="2EA49450" w14:textId="32E5C295" w:rsidR="00100EBC" w:rsidRPr="00BF09EB" w:rsidRDefault="00100EBC" w:rsidP="00634A83">
            <w:r w:rsidRPr="00BF09EB">
              <w:t>Review the effectiveness of existing programs, including in schools, that build life skills and foster the wellbeing of children and young people, with a view to implementing and evaluating a coordinated, accessible and nationally consistent approach. The program should be co-designed with children and young people, but could include:</w:t>
            </w:r>
          </w:p>
          <w:p w14:paraId="7ADA9AE6" w14:textId="26F1623B" w:rsidR="00100EBC" w:rsidRPr="00BF09EB" w:rsidRDefault="3E468940" w:rsidP="00634A83">
            <w:pPr>
              <w:pStyle w:val="ListParagraph"/>
            </w:pPr>
            <w:r>
              <w:t>adaptive coping and problem-solving, and improving self-esteem and self-efficacy</w:t>
            </w:r>
          </w:p>
          <w:p w14:paraId="2F756197" w14:textId="25B72AAF" w:rsidR="00100EBC" w:rsidRPr="00BF09EB" w:rsidRDefault="3E468940" w:rsidP="00634A83">
            <w:pPr>
              <w:pStyle w:val="ListParagraph"/>
            </w:pPr>
            <w:r>
              <w:t>financial literacy</w:t>
            </w:r>
          </w:p>
          <w:p w14:paraId="452DB765" w14:textId="51B93361" w:rsidR="00100EBC" w:rsidRPr="00BF09EB" w:rsidRDefault="3E468940" w:rsidP="00634A83">
            <w:pPr>
              <w:pStyle w:val="ListParagraph"/>
            </w:pPr>
            <w:r>
              <w:t>self-help and peer support skills</w:t>
            </w:r>
          </w:p>
          <w:p w14:paraId="15AD5619" w14:textId="54CBC9E6" w:rsidR="00100EBC" w:rsidRPr="00BF09EB" w:rsidRDefault="3E468940" w:rsidP="00634A83">
            <w:pPr>
              <w:pStyle w:val="ListParagraph"/>
            </w:pPr>
            <w:r>
              <w:t>safe and effective interaction with technology and digital media</w:t>
            </w:r>
          </w:p>
          <w:p w14:paraId="05E179DB" w14:textId="74B69823" w:rsidR="00100EBC" w:rsidRPr="00BF09EB" w:rsidRDefault="3E468940" w:rsidP="00634A83">
            <w:pPr>
              <w:pStyle w:val="ListParagraph"/>
            </w:pPr>
            <w:r>
              <w:t>tailored components to build the social and emotional wellbeing of Aboriginal and Torres Strait Islander children and young people.</w:t>
            </w:r>
          </w:p>
        </w:tc>
      </w:tr>
      <w:tr w:rsidR="00100EBC" w:rsidRPr="00B768A1" w14:paraId="39007119" w14:textId="77777777" w:rsidTr="55FFBE13">
        <w:tc>
          <w:tcPr>
            <w:tcW w:w="1270" w:type="dxa"/>
          </w:tcPr>
          <w:p w14:paraId="281AA8F9" w14:textId="030905DA" w:rsidR="00100EBC" w:rsidRPr="008928D5" w:rsidRDefault="00100EBC" w:rsidP="00634A83">
            <w:r>
              <w:t>ko5.1</w:t>
            </w:r>
            <w:r w:rsidRPr="00B768A1">
              <w:t>c</w:t>
            </w:r>
          </w:p>
        </w:tc>
        <w:tc>
          <w:tcPr>
            <w:tcW w:w="7797" w:type="dxa"/>
            <w:tcMar>
              <w:top w:w="28" w:type="dxa"/>
              <w:bottom w:w="28" w:type="dxa"/>
            </w:tcMar>
          </w:tcPr>
          <w:p w14:paraId="21D11A9F" w14:textId="76F7B938" w:rsidR="00100EBC" w:rsidRPr="00B768A1" w:rsidRDefault="00100EBC" w:rsidP="00634A83">
            <w:pPr>
              <w:rPr>
                <w:b/>
                <w:bCs/>
              </w:rPr>
            </w:pPr>
            <w:r w:rsidRPr="00B768A1">
              <w:rPr>
                <w:rStyle w:val="normaltextrun"/>
                <w:rFonts w:eastAsiaTheme="minorEastAsia" w:cstheme="minorHAnsi"/>
              </w:rPr>
              <w:t>Develop a considered approach to build the wellbeing of older Australians, including to foster positive social attitudes, create physical and social environments that are accessible and inclusive, and encourage participation.</w:t>
            </w:r>
          </w:p>
        </w:tc>
      </w:tr>
      <w:tr w:rsidR="00100EBC" w:rsidRPr="00B768A1" w14:paraId="6D295DB5" w14:textId="77777777" w:rsidTr="55FFBE13">
        <w:tc>
          <w:tcPr>
            <w:tcW w:w="1270" w:type="dxa"/>
          </w:tcPr>
          <w:p w14:paraId="3949D110" w14:textId="7B86F4BA" w:rsidR="00100EBC" w:rsidRPr="00760C15" w:rsidRDefault="00100EBC" w:rsidP="00634A83">
            <w:r>
              <w:t>ko5.1</w:t>
            </w:r>
            <w:r w:rsidRPr="00B768A1">
              <w:t>d</w:t>
            </w:r>
          </w:p>
        </w:tc>
        <w:tc>
          <w:tcPr>
            <w:tcW w:w="7797" w:type="dxa"/>
            <w:tcMar>
              <w:top w:w="28" w:type="dxa"/>
              <w:bottom w:w="28" w:type="dxa"/>
            </w:tcMar>
          </w:tcPr>
          <w:p w14:paraId="5FE6254F" w14:textId="3C87040A" w:rsidR="00100EBC" w:rsidRPr="00B768A1" w:rsidRDefault="70192CDD" w:rsidP="00634A83">
            <w:pPr>
              <w:rPr>
                <w:b/>
                <w:bCs/>
              </w:rPr>
            </w:pPr>
            <w:r>
              <w:rPr>
                <w:rStyle w:val="normaltextrun"/>
                <w:color w:val="000000"/>
              </w:rPr>
              <w:t>I</w:t>
            </w:r>
            <w:r w:rsidRPr="00B768A1">
              <w:rPr>
                <w:rStyle w:val="normaltextrun"/>
                <w:color w:val="000000"/>
              </w:rPr>
              <w:t xml:space="preserve">mplement measures aligned with the Australian Government response to the </w:t>
            </w:r>
            <w:r w:rsidRPr="48215A0F">
              <w:rPr>
                <w:rStyle w:val="normaltextrun"/>
                <w:i/>
                <w:iCs/>
                <w:color w:val="000000"/>
              </w:rPr>
              <w:t>Royal Commission into Aged Care Quality and Safety</w:t>
            </w:r>
            <w:hyperlink w:anchor="_ENREF_156" w:tooltip="Health, 2021 #1083" w:history="1">
              <w:r w:rsidR="002D6F18">
                <w:rPr>
                  <w:rStyle w:val="normaltextrun"/>
                  <w:i/>
                  <w:iCs/>
                  <w:color w:val="000000"/>
                </w:rPr>
                <w:fldChar w:fldCharType="begin"/>
              </w:r>
              <w:r w:rsidR="002D6F18">
                <w:rPr>
                  <w:rStyle w:val="normaltextrun"/>
                  <w:i/>
                  <w:iCs/>
                  <w:color w:val="000000"/>
                </w:rPr>
                <w:instrText xml:space="preserve"> ADDIN EN.CITE &lt;EndNote&gt;&lt;Cite&gt;&lt;Author&gt;Health&lt;/Author&gt;&lt;Year&gt;2021&lt;/Year&gt;&lt;RecNum&gt;1083&lt;/RecNum&gt;&lt;DisplayText&gt;&lt;style face="superscript"&gt;156&lt;/style&gt;&lt;/DisplayText&gt;&lt;record&gt;&lt;rec-number&gt;1083&lt;/rec-number&gt;&lt;foreign-keys&gt;&lt;key app="EN" db-id="rsettzd2isasdweewww55s9lffasxav0d0ft" timestamp="1720496640" guid="dd7ef374-28f9-4b02-9c73-c24a4490a684"&gt;1083&lt;/key&gt;&lt;/foreign-keys&gt;&lt;ref-type name="Web Page"&gt;12&lt;/ref-type&gt;&lt;contributors&gt;&lt;authors&gt;&lt;author&gt;Department of Health&lt;/author&gt;&lt;/authors&gt;&lt;/contributors&gt;&lt;titles&gt;&lt;title&gt;Australian Government Response to the Final Report of the Royal Commission into Aged Care Quality and Safety&lt;/title&gt;&lt;/titles&gt;&lt;dates&gt;&lt;year&gt;2021&lt;/year&gt;&lt;/dates&gt;&lt;publisher&gt;DoH, Australian Government&lt;/publisher&gt;&lt;work-type&gt;Internet&lt;/work-type&gt;&lt;urls&gt;&lt;related-urls&gt;&lt;url&gt;https://www.health.gov.au/sites/default/files/documents/2021/05/australian-government-response-to-the-final-report-of-the-royal-commission-into-aged-care-quality-and-safety.pdf&lt;/url&gt;&lt;/related-urls&gt;&lt;/urls&gt;&lt;custom1&gt;2024&lt;/custom1&gt;&lt;custom2&gt;March 06&lt;/custom2&gt;&lt;/record&gt;&lt;/Cite&gt;&lt;/EndNote&gt;</w:instrText>
              </w:r>
              <w:r w:rsidR="002D6F18">
                <w:rPr>
                  <w:rStyle w:val="normaltextrun"/>
                  <w:i/>
                  <w:iCs/>
                  <w:color w:val="000000"/>
                </w:rPr>
                <w:fldChar w:fldCharType="separate"/>
              </w:r>
              <w:r w:rsidR="002D6F18" w:rsidRPr="00445D54">
                <w:rPr>
                  <w:rStyle w:val="normaltextrun"/>
                  <w:i/>
                  <w:iCs/>
                  <w:noProof/>
                  <w:color w:val="000000"/>
                  <w:vertAlign w:val="superscript"/>
                </w:rPr>
                <w:t>156</w:t>
              </w:r>
              <w:r w:rsidR="002D6F18">
                <w:rPr>
                  <w:rStyle w:val="normaltextrun"/>
                  <w:i/>
                  <w:iCs/>
                  <w:color w:val="000000"/>
                </w:rPr>
                <w:fldChar w:fldCharType="end"/>
              </w:r>
            </w:hyperlink>
            <w:r w:rsidRPr="00B768A1">
              <w:rPr>
                <w:rStyle w:val="normaltextrun"/>
                <w:color w:val="000000"/>
              </w:rPr>
              <w:t xml:space="preserve"> to promote</w:t>
            </w:r>
            <w:r w:rsidRPr="48215A0F">
              <w:rPr>
                <w:rStyle w:val="normaltextrun"/>
                <w:i/>
                <w:iCs/>
                <w:color w:val="000000"/>
              </w:rPr>
              <w:t xml:space="preserve"> </w:t>
            </w:r>
            <w:r w:rsidRPr="00B768A1">
              <w:rPr>
                <w:rStyle w:val="normaltextrun"/>
                <w:color w:val="000000"/>
              </w:rPr>
              <w:t>the health and wellbeing of aged care residents, including through</w:t>
            </w:r>
            <w:r w:rsidRPr="00B768A1">
              <w:t xml:space="preserve"> connecting and integrating aged care services with the broader community to enhance connection.</w:t>
            </w:r>
          </w:p>
        </w:tc>
      </w:tr>
    </w:tbl>
    <w:p w14:paraId="25676E50" w14:textId="410AD2F0" w:rsidR="0073047A" w:rsidRPr="003B238A" w:rsidRDefault="00BF09EB" w:rsidP="008F7F7F">
      <w:pPr>
        <w:pStyle w:val="heading3prevention"/>
      </w:pPr>
      <w:bookmarkStart w:id="72" w:name="_Toc152082303"/>
      <w:bookmarkStart w:id="73" w:name="_Ref152166262"/>
      <w:r>
        <w:t>5.2</w:t>
      </w:r>
      <w:r w:rsidR="0073047A" w:rsidRPr="003B238A">
        <w:t xml:space="preserve"> Assist people with challenging life transitions</w:t>
      </w:r>
    </w:p>
    <w:p w14:paraId="405E8862" w14:textId="5D958DC7" w:rsidR="0073047A" w:rsidRPr="00B768A1" w:rsidRDefault="0073047A" w:rsidP="00634A83">
      <w:r w:rsidRPr="00B768A1">
        <w:t>As people navigate new life circumstances, feelings of stress can escalate to distress which, without support, can escalate into suicidal distress.</w:t>
      </w:r>
      <w:r w:rsidR="006133A9">
        <w:t xml:space="preserve"> </w:t>
      </w:r>
      <w:r w:rsidRPr="00B768A1">
        <w:t>Some prominent life transitions and events have been identified as risk factors for suicide in Australia</w:t>
      </w:r>
      <w:r>
        <w:t>, and these are described in</w:t>
      </w:r>
      <w:r w:rsidR="00C146BA">
        <w:t xml:space="preserve"> </w:t>
      </w:r>
      <w:r w:rsidR="00C146BA">
        <w:fldChar w:fldCharType="begin"/>
      </w:r>
      <w:r w:rsidR="00C146BA">
        <w:instrText xml:space="preserve"> REF _Ref164869854 \h </w:instrText>
      </w:r>
      <w:r w:rsidR="00C146BA">
        <w:fldChar w:fldCharType="separate"/>
      </w:r>
      <w:r w:rsidR="009F12B4">
        <w:t xml:space="preserve">Table </w:t>
      </w:r>
      <w:r w:rsidR="009F12B4">
        <w:rPr>
          <w:noProof/>
        </w:rPr>
        <w:t>13</w:t>
      </w:r>
      <w:r w:rsidR="00C146BA">
        <w:fldChar w:fldCharType="end"/>
      </w:r>
      <w:r w:rsidRPr="00B768A1">
        <w:t>.</w:t>
      </w:r>
    </w:p>
    <w:p w14:paraId="05A2FABC" w14:textId="4670E7BF" w:rsidR="0073047A" w:rsidRDefault="00F823CC" w:rsidP="00745B34">
      <w:pPr>
        <w:pStyle w:val="Caption"/>
      </w:pPr>
      <w:bookmarkStart w:id="74" w:name="_Ref164869854"/>
      <w:r>
        <w:t xml:space="preserve">Table </w:t>
      </w:r>
      <w:r w:rsidR="00F93B6D">
        <w:fldChar w:fldCharType="begin"/>
      </w:r>
      <w:r w:rsidR="00F93B6D">
        <w:instrText>SEQ Table \* ARABIC  \* MERGEFORMAT</w:instrText>
      </w:r>
      <w:r w:rsidR="00F93B6D">
        <w:fldChar w:fldCharType="separate"/>
      </w:r>
      <w:r w:rsidR="009F12B4">
        <w:rPr>
          <w:noProof/>
        </w:rPr>
        <w:t>13</w:t>
      </w:r>
      <w:r w:rsidR="00F93B6D">
        <w:rPr>
          <w:noProof/>
        </w:rPr>
        <w:fldChar w:fldCharType="end"/>
      </w:r>
      <w:bookmarkEnd w:id="74"/>
      <w:r w:rsidR="0073047A">
        <w:t>: Life transitions and events identified as risk factors for suicide</w:t>
      </w:r>
    </w:p>
    <w:tbl>
      <w:tblPr>
        <w:tblStyle w:val="TableGrid"/>
        <w:tblW w:w="9209" w:type="dxa"/>
        <w:tblLook w:val="0420" w:firstRow="1" w:lastRow="0" w:firstColumn="0" w:lastColumn="0" w:noHBand="0" w:noVBand="1"/>
        <w:tblCaption w:val="Life transitions and events identified as risk factors for suicide"/>
        <w:tblDescription w:val="Lists significant life transitions and events and describes how they relate to suicide risk."/>
      </w:tblPr>
      <w:tblGrid>
        <w:gridCol w:w="1696"/>
        <w:gridCol w:w="7513"/>
      </w:tblGrid>
      <w:tr w:rsidR="0073047A" w:rsidRPr="00B12376" w14:paraId="241613F4" w14:textId="77777777" w:rsidTr="48215A0F">
        <w:trPr>
          <w:cnfStyle w:val="100000000000" w:firstRow="1" w:lastRow="0" w:firstColumn="0" w:lastColumn="0" w:oddVBand="0" w:evenVBand="0" w:oddHBand="0" w:evenHBand="0" w:firstRowFirstColumn="0" w:firstRowLastColumn="0" w:lastRowFirstColumn="0" w:lastRowLastColumn="0"/>
          <w:trHeight w:val="300"/>
          <w:tblHeader/>
        </w:trPr>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1C698" w:themeFill="background2" w:themeFillShade="BF"/>
          </w:tcPr>
          <w:p w14:paraId="5879BDAF" w14:textId="77777777" w:rsidR="0073047A" w:rsidRPr="00F3096E" w:rsidRDefault="0073047A" w:rsidP="004F5B0E">
            <w:pPr>
              <w:pStyle w:val="NMHCTableHeaderRow"/>
            </w:pPr>
            <w:r w:rsidRPr="105AEE34">
              <w:t>Life transition or event</w:t>
            </w:r>
          </w:p>
        </w:tc>
        <w:tc>
          <w:tcPr>
            <w:tcW w:w="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1C698" w:themeFill="background2" w:themeFillShade="BF"/>
            <w:tcMar>
              <w:top w:w="28" w:type="dxa"/>
              <w:bottom w:w="28" w:type="dxa"/>
            </w:tcMar>
          </w:tcPr>
          <w:p w14:paraId="516ED60A" w14:textId="77777777" w:rsidR="0073047A" w:rsidRPr="00F3096E" w:rsidRDefault="0073047A" w:rsidP="004F5B0E">
            <w:pPr>
              <w:pStyle w:val="NMHCTableHeaderRow"/>
            </w:pPr>
            <w:r w:rsidRPr="105AEE34">
              <w:t>Description</w:t>
            </w:r>
          </w:p>
        </w:tc>
      </w:tr>
      <w:tr w:rsidR="0073047A" w14:paraId="36AA7F96" w14:textId="77777777" w:rsidTr="48215A0F">
        <w:tc>
          <w:tcPr>
            <w:tcW w:w="1696" w:type="dxa"/>
            <w:tcBorders>
              <w:top w:val="single" w:sz="4" w:space="0" w:color="FFFFFF" w:themeColor="background1"/>
            </w:tcBorders>
          </w:tcPr>
          <w:p w14:paraId="7E0834B4" w14:textId="77777777" w:rsidR="0073047A" w:rsidRDefault="0073047A" w:rsidP="00634A83">
            <w:r w:rsidRPr="00B768A1">
              <w:t>Perinatal period</w:t>
            </w:r>
          </w:p>
        </w:tc>
        <w:tc>
          <w:tcPr>
            <w:tcW w:w="7513" w:type="dxa"/>
            <w:tcBorders>
              <w:top w:val="single" w:sz="4" w:space="0" w:color="FFFFFF" w:themeColor="background1"/>
            </w:tcBorders>
            <w:tcMar>
              <w:top w:w="28" w:type="dxa"/>
              <w:bottom w:w="28" w:type="dxa"/>
            </w:tcMar>
          </w:tcPr>
          <w:p w14:paraId="1BDADF05" w14:textId="22FEEDD3" w:rsidR="0073047A" w:rsidRDefault="4475CDD7" w:rsidP="00634A83">
            <w:r w:rsidRPr="00B768A1">
              <w:t>Suicidal thoughts are common during the perinatal period</w:t>
            </w:r>
            <w:r>
              <w:t>.</w:t>
            </w:r>
            <w:r w:rsidRPr="00B768A1">
              <w:t xml:space="preserve"> </w:t>
            </w:r>
            <w:r>
              <w:t>E</w:t>
            </w:r>
            <w:r w:rsidRPr="00B768A1">
              <w:t>stimates suggest 5–14% of expectant and new parents experience suicidal thoughts and behaviours.</w:t>
            </w:r>
            <w:hyperlink w:anchor="_ENREF_55" w:tooltip="V, 2005 #576" w:history="1">
              <w:r w:rsidR="002D6F18">
                <w:fldChar w:fldCharType="begin"/>
              </w:r>
              <w:r w:rsidR="002D6F18">
                <w:instrText xml:space="preserve"> ADDIN EN.CITE &lt;EndNote&gt;&lt;Cite&gt;&lt;Author&gt;V&lt;/Author&gt;&lt;Year&gt;2005&lt;/Year&gt;&lt;RecNum&gt;576&lt;/RecNum&gt;&lt;DisplayText&gt;&lt;style face="superscript"&gt;55&lt;/style&gt;&lt;/DisplayText&gt;&lt;record&gt;&lt;rec-number&gt;576&lt;/rec-number&gt;&lt;foreign-keys&gt;&lt;key app="EN" db-id="rsettzd2isasdweewww55s9lffasxav0d0ft" timestamp="1707862922" guid="6e2f4f9f-3157-41d8-80b6-baabe12d0c25"&gt;576&lt;/key&gt;&lt;/foreign-keys&gt;&lt;ref-type name="Journal Article"&gt;17&lt;/ref-type&gt;&lt;contributors&gt;&lt;authors&gt;&lt;author&gt;Lindahl V&lt;/author&gt;&lt;author&gt;Pearson JL&lt;/author&gt;&lt;author&gt;Colpe L&lt;/author&gt;&lt;/authors&gt;&lt;/contributors&gt;&lt;titles&gt;&lt;title&gt;Prevalence of Suicidality During Pregnancy and the Postpartum&lt;/title&gt;&lt;secondary-title&gt;Archives of Women’s Mental Health&lt;/secondary-title&gt;&lt;/titles&gt;&lt;periodical&gt;&lt;full-title&gt;Archives of Women’s Mental Health&lt;/full-title&gt;&lt;/periodical&gt;&lt;dates&gt;&lt;year&gt;2005&lt;/year&gt;&lt;/dates&gt;&lt;urls&gt;&lt;/urls&gt;&lt;electronic-resource-num&gt;https://doi.org/10.1007/s00737-005-0080-1&lt;/electronic-resource-num&gt;&lt;/record&gt;&lt;/Cite&gt;&lt;/EndNote&gt;</w:instrText>
              </w:r>
              <w:r w:rsidR="002D6F18">
                <w:fldChar w:fldCharType="separate"/>
              </w:r>
              <w:r w:rsidR="002D6F18" w:rsidRPr="0082082D">
                <w:rPr>
                  <w:noProof/>
                  <w:vertAlign w:val="superscript"/>
                </w:rPr>
                <w:t>55</w:t>
              </w:r>
              <w:r w:rsidR="002D6F18">
                <w:fldChar w:fldCharType="end"/>
              </w:r>
            </w:hyperlink>
          </w:p>
        </w:tc>
      </w:tr>
      <w:tr w:rsidR="0073047A" w14:paraId="03DF60B0" w14:textId="77777777" w:rsidTr="48215A0F">
        <w:tc>
          <w:tcPr>
            <w:tcW w:w="1696" w:type="dxa"/>
          </w:tcPr>
          <w:p w14:paraId="45ED5CE2" w14:textId="77777777" w:rsidR="0073047A" w:rsidRPr="00B768A1" w:rsidRDefault="0073047A" w:rsidP="00634A83">
            <w:r w:rsidRPr="00B768A1">
              <w:t>Key LGBTIQ+ milestones</w:t>
            </w:r>
          </w:p>
        </w:tc>
        <w:tc>
          <w:tcPr>
            <w:tcW w:w="7513" w:type="dxa"/>
            <w:tcMar>
              <w:top w:w="28" w:type="dxa"/>
              <w:bottom w:w="28" w:type="dxa"/>
            </w:tcMar>
          </w:tcPr>
          <w:p w14:paraId="3E111734" w14:textId="45E3061B" w:rsidR="0073047A" w:rsidRPr="00B768A1" w:rsidRDefault="4475CDD7" w:rsidP="00634A83">
            <w:r w:rsidRPr="00B768A1">
              <w:t>There is evidence of increased risk of suicidal behaviour in LGBTIQ+ people close to coming out milestones; of all suicide attempts among LGBTIQ+ people, 61% occur within 5</w:t>
            </w:r>
            <w:r>
              <w:t> </w:t>
            </w:r>
            <w:r w:rsidRPr="00B768A1">
              <w:t>years of realising their LGBTIQ+ identity.</w:t>
            </w:r>
            <w:hyperlink w:anchor="_ENREF_157" w:tooltip="IH, 2021 #1124" w:history="1">
              <w:r w:rsidR="002D6F18">
                <w:fldChar w:fldCharType="begin"/>
              </w:r>
              <w:r w:rsidR="002D6F18">
                <w:instrText xml:space="preserve"> ADDIN EN.CITE &lt;EndNote&gt;&lt;Cite&gt;&lt;Author&gt;IH&lt;/Author&gt;&lt;Year&gt;2021&lt;/Year&gt;&lt;RecNum&gt;1124&lt;/RecNum&gt;&lt;DisplayText&gt;&lt;style face="superscript"&gt;157&lt;/style&gt;&lt;/DisplayText&gt;&lt;record&gt;&lt;rec-number&gt;1124&lt;/rec-number&gt;&lt;foreign-keys&gt;&lt;key app="EN" db-id="rsettzd2isasdweewww55s9lffasxav0d0ft" timestamp="1720508945" guid="82b3023c-d2b4-4b31-8a62-190ae0f70e17"&gt;1124&lt;/key&gt;&lt;/foreign-keys&gt;&lt;ref-type name="Web Page"&gt;12&lt;/ref-type&gt;&lt;contributors&gt;&lt;authors&gt;&lt;author&gt;Meyer IH&lt;/author&gt;&lt;author&gt;Blosnich JR&lt;/author&gt;&lt;author&gt;Choi SK&lt;/author&gt;&lt;author&gt;Harper GW&lt;/author&gt;&lt;author&gt;Russell ST&lt;/author&gt;&lt;/authors&gt;&lt;/contributors&gt;&lt;titles&gt;&lt;title&gt;Suicidal behaviour and coming out milestones in three cohorts of sexual minority adults&lt;/title&gt;&lt;/titles&gt;&lt;dates&gt;&lt;year&gt;2021&lt;/year&gt;&lt;/dates&gt;&lt;publisher&gt;Williams Institute, UCLA School of Law&lt;/publisher&gt;&lt;work-type&gt;Internet&lt;/work-type&gt;&lt;urls&gt;&lt;related-urls&gt;&lt;url&gt;https://williamsinstitute.law.ucla.edu/publications/suicide-coming-out-sgm&lt;/url&gt;&lt;/related-urls&gt;&lt;/urls&gt;&lt;custom1&gt;2024&lt;/custom1&gt;&lt;custom2&gt;March 6&lt;/custom2&gt;&lt;/record&gt;&lt;/Cite&gt;&lt;/EndNote&gt;</w:instrText>
              </w:r>
              <w:r w:rsidR="002D6F18">
                <w:fldChar w:fldCharType="separate"/>
              </w:r>
              <w:r w:rsidR="002D6F18" w:rsidRPr="00445D54">
                <w:rPr>
                  <w:noProof/>
                  <w:vertAlign w:val="superscript"/>
                </w:rPr>
                <w:t>157</w:t>
              </w:r>
              <w:r w:rsidR="002D6F18">
                <w:fldChar w:fldCharType="end"/>
              </w:r>
            </w:hyperlink>
          </w:p>
          <w:p w14:paraId="30B3FC36" w14:textId="6EF9FE4C" w:rsidR="0073047A" w:rsidRPr="00B768A1" w:rsidRDefault="4475CDD7" w:rsidP="00634A83">
            <w:r w:rsidRPr="00B768A1">
              <w:t>For transgender, including gender diverse and non-binary people, coming out as transgender or affirming one’s gender and being unable to access gender-affirming treatment are stressful life events. Studies show these experiences may increase the likelihood of suicide attempt.</w:t>
            </w:r>
            <w:hyperlink w:anchor="_ENREF_158" w:tooltip="S, 2021 #1061" w:history="1">
              <w:r w:rsidR="002D6F18" w:rsidRPr="00EF4582">
                <w:rPr>
                  <w:vertAlign w:val="superscript"/>
                </w:rPr>
                <w:fldChar w:fldCharType="begin"/>
              </w:r>
              <w:r w:rsidR="002D6F18">
                <w:rPr>
                  <w:vertAlign w:val="superscript"/>
                </w:rPr>
                <w:instrText xml:space="preserve"> ADDIN EN.CITE &lt;EndNote&gt;&lt;Cite&gt;&lt;Author&gt;S&lt;/Author&gt;&lt;Year&gt;2021&lt;/Year&gt;&lt;RecNum&gt;1061&lt;/RecNum&gt;&lt;DisplayText&gt;&lt;style face="superscript"&gt;158&lt;/style&gt;&lt;/DisplayText&gt;&lt;record&gt;&lt;rec-number&gt;1061&lt;/rec-number&gt;&lt;foreign-keys&gt;&lt;key app="EN" db-id="rsettzd2isasdweewww55s9lffasxav0d0ft" timestamp="1720488594" guid="85c727eb-3aa1-4244-a383-17f4c231a97f"&gt;1061&lt;/key&gt;&lt;/foreign-keys&gt;&lt;ref-type name="Journal Article"&gt;17&lt;/ref-type&gt;&lt;contributors&gt;&lt;authors&gt;&lt;author&gt;Zwickl S&lt;/author&gt;&lt;author&gt;Wong A&lt;/author&gt;&lt;author&gt;Dowers E&lt;/author&gt;&lt;author&gt;Leemaqz S&lt;/author&gt;&lt;author&gt;Bretherton I&lt;/author&gt;&lt;author&gt;Cook T&lt;/author&gt;&lt;author&gt;Zajac J&lt;/author&gt;&lt;author&gt;Yip P&lt;/author&gt;&lt;author&gt;Cheung A&lt;/author&gt;&lt;/authors&gt;&lt;/contributors&gt;&lt;titles&gt;&lt;title&gt;Factors associated with suicide attempts among Australian transgender adults&lt;/title&gt;&lt;secondary-title&gt;BMC Psychiatry&lt;/secondary-title&gt;&lt;/titles&gt;&lt;periodical&gt;&lt;full-title&gt;BMC Psychiatry&lt;/full-title&gt;&lt;/periodical&gt;&lt;volume&gt;21&lt;/volume&gt;&lt;dates&gt;&lt;year&gt;2021&lt;/year&gt;&lt;pub-dates&gt;&lt;date&gt;02/08&lt;/date&gt;&lt;/pub-dates&gt;&lt;/dates&gt;&lt;urls&gt;&lt;/urls&gt;&lt;electronic-resource-num&gt;10.1186/s12888-021-03084-7&lt;/electronic-resource-num&gt;&lt;/record&gt;&lt;/Cite&gt;&lt;/EndNote&gt;</w:instrText>
              </w:r>
              <w:r w:rsidR="002D6F18" w:rsidRPr="00EF4582">
                <w:rPr>
                  <w:vertAlign w:val="superscript"/>
                </w:rPr>
                <w:fldChar w:fldCharType="separate"/>
              </w:r>
              <w:r w:rsidR="002D6F18">
                <w:rPr>
                  <w:noProof/>
                  <w:vertAlign w:val="superscript"/>
                </w:rPr>
                <w:t>158</w:t>
              </w:r>
              <w:r w:rsidR="002D6F18" w:rsidRPr="00EF4582">
                <w:rPr>
                  <w:vertAlign w:val="superscript"/>
                </w:rPr>
                <w:fldChar w:fldCharType="end"/>
              </w:r>
            </w:hyperlink>
            <w:r w:rsidR="00EF4582" w:rsidRPr="00EF4582">
              <w:rPr>
                <w:vertAlign w:val="superscript"/>
              </w:rPr>
              <w:t>,</w:t>
            </w:r>
            <w:hyperlink w:anchor="_ENREF_159" w:tooltip="Project, 2023 #1084" w:history="1">
              <w:r w:rsidR="002D6F18" w:rsidRPr="00EF4582">
                <w:rPr>
                  <w:vertAlign w:val="superscript"/>
                </w:rPr>
                <w:fldChar w:fldCharType="begin"/>
              </w:r>
              <w:r w:rsidR="002D6F18">
                <w:rPr>
                  <w:vertAlign w:val="superscript"/>
                </w:rPr>
                <w:instrText xml:space="preserve"> ADDIN EN.CITE &lt;EndNote&gt;&lt;Cite&gt;&lt;Author&gt;Project&lt;/Author&gt;&lt;Year&gt;2023&lt;/Year&gt;&lt;RecNum&gt;1084&lt;/RecNum&gt;&lt;DisplayText&gt;&lt;style face="superscript"&gt;159&lt;/style&gt;&lt;/DisplayText&gt;&lt;record&gt;&lt;rec-number&gt;1084&lt;/rec-number&gt;&lt;foreign-keys&gt;&lt;key app="EN" db-id="rsettzd2isasdweewww55s9lffasxav0d0ft" timestamp="1720496831" guid="9a0f475b-de43-4154-aa50-5d803945a5cf"&gt;1084&lt;/key&gt;&lt;/foreign-keys&gt;&lt;ref-type name="Web Page"&gt;12&lt;/ref-type&gt;&lt;contributors&gt;&lt;authors&gt;&lt;author&gt;The Trevor Project &lt;/author&gt;&lt;/authors&gt;&lt;/contributors&gt;&lt;titles&gt;&lt;title&gt;Research brief: age of gender identity outness and suicide risk.&lt;/title&gt;&lt;/titles&gt;&lt;dates&gt;&lt;year&gt;2023&lt;/year&gt;&lt;/dates&gt;&lt;publisher&gt;The Trevor Project &lt;/publisher&gt;&lt;work-type&gt;Internet &lt;/work-type&gt;&lt;urls&gt;&lt;related-urls&gt;&lt;url&gt;https://www.thetrevorproject.org/wp-content/uploads/2023/03/March-2023-Research-Brief-Final.pdf&lt;/url&gt;&lt;/related-urls&gt;&lt;/urls&gt;&lt;/record&gt;&lt;/Cite&gt;&lt;/EndNote&gt;</w:instrText>
              </w:r>
              <w:r w:rsidR="002D6F18" w:rsidRPr="00EF4582">
                <w:rPr>
                  <w:vertAlign w:val="superscript"/>
                </w:rPr>
                <w:fldChar w:fldCharType="separate"/>
              </w:r>
              <w:r w:rsidR="002D6F18">
                <w:rPr>
                  <w:noProof/>
                  <w:vertAlign w:val="superscript"/>
                </w:rPr>
                <w:t>159</w:t>
              </w:r>
              <w:r w:rsidR="002D6F18" w:rsidRPr="00EF4582">
                <w:rPr>
                  <w:vertAlign w:val="superscript"/>
                </w:rPr>
                <w:fldChar w:fldCharType="end"/>
              </w:r>
            </w:hyperlink>
          </w:p>
        </w:tc>
      </w:tr>
      <w:tr w:rsidR="0073047A" w14:paraId="2520C086" w14:textId="77777777" w:rsidTr="48215A0F">
        <w:tc>
          <w:tcPr>
            <w:tcW w:w="1696" w:type="dxa"/>
          </w:tcPr>
          <w:p w14:paraId="2B8CF4D7" w14:textId="77777777" w:rsidR="0073047A" w:rsidRPr="00B768A1" w:rsidRDefault="0073047A" w:rsidP="00634A83">
            <w:r w:rsidRPr="00980C72">
              <w:t>Family and relationship breakdown</w:t>
            </w:r>
          </w:p>
        </w:tc>
        <w:tc>
          <w:tcPr>
            <w:tcW w:w="7513" w:type="dxa"/>
            <w:tcMar>
              <w:top w:w="28" w:type="dxa"/>
              <w:bottom w:w="28" w:type="dxa"/>
            </w:tcMar>
          </w:tcPr>
          <w:p w14:paraId="599998B9" w14:textId="647CC7A7" w:rsidR="0073047A" w:rsidRPr="00B768A1" w:rsidRDefault="4475CDD7" w:rsidP="00634A83">
            <w:r w:rsidRPr="00B768A1">
              <w:t>Disruption of family by separation and divorce has been identified in around 1</w:t>
            </w:r>
            <w:r>
              <w:t> </w:t>
            </w:r>
            <w:r w:rsidRPr="00B768A1">
              <w:t>in 6</w:t>
            </w:r>
            <w:r>
              <w:t> </w:t>
            </w:r>
            <w:r w:rsidRPr="00B768A1">
              <w:t>male and 1</w:t>
            </w:r>
            <w:r>
              <w:t> </w:t>
            </w:r>
            <w:r w:rsidRPr="00B768A1">
              <w:t>in 10</w:t>
            </w:r>
            <w:r>
              <w:t> </w:t>
            </w:r>
            <w:r w:rsidRPr="00B768A1">
              <w:t>female suicide deaths.</w:t>
            </w:r>
            <w:hyperlink w:anchor="_ENREF_56" w:tooltip="Welfare, 2023 #377" w:history="1">
              <w:r w:rsidR="002D6F18">
                <w:fldChar w:fldCharType="begin"/>
              </w:r>
              <w:r w:rsidR="002D6F18">
                <w:instrText xml:space="preserve"> ADDIN EN.CITE &lt;EndNote&gt;&lt;Cite&gt;&lt;Author&gt;Welfare&lt;/Author&gt;&lt;Year&gt;2023&lt;/Year&gt;&lt;RecNum&gt;377&lt;/RecNum&gt;&lt;DisplayText&gt;&lt;style face="superscript"&gt;56&lt;/style&gt;&lt;/DisplayText&gt;&lt;record&gt;&lt;rec-number&gt;377&lt;/rec-number&gt;&lt;foreign-keys&gt;&lt;key app="EN" db-id="rsettzd2isasdweewww55s9lffasxav0d0ft" timestamp="1700699472" guid="0af7090b-51d8-4ff0-bcbd-8d33ebad3d0b"&gt;377&lt;/key&gt;&lt;/foreign-keys&gt;&lt;ref-type name="Web Page"&gt;12&lt;/ref-type&gt;&lt;contributors&gt;&lt;authors&gt;&lt;author&gt;Australian Institute of Health and Welfare&lt;/author&gt;&lt;/authors&gt;&lt;/contributors&gt;&lt;titles&gt;&lt;title&gt;Data Tables: 2021 National Mortality Database - Suicide (ICD-10 X60-X84, Y87.0)&lt;/title&gt;&lt;/titles&gt;&lt;dates&gt;&lt;year&gt;2023&lt;/year&gt;&lt;/dates&gt;&lt;publisher&gt;AIHW, Australian Government&lt;/publisher&gt;&lt;work-type&gt;Internet&lt;/work-type&gt;&lt;urls&gt;&lt;related-urls&gt;&lt;url&gt;https://www.aihw.gov.au/suicide-self-harm-monitoring/data/data-downloads&lt;/url&gt;&lt;/related-urls&gt;&lt;/urls&gt;&lt;custom1&gt;2023&lt;/custom1&gt;&lt;custom2&gt;October 24&lt;/custom2&gt;&lt;/record&gt;&lt;/Cite&gt;&lt;/EndNote&gt;</w:instrText>
              </w:r>
              <w:r w:rsidR="002D6F18">
                <w:fldChar w:fldCharType="separate"/>
              </w:r>
              <w:r w:rsidR="002D6F18" w:rsidRPr="0082082D">
                <w:rPr>
                  <w:noProof/>
                  <w:vertAlign w:val="superscript"/>
                </w:rPr>
                <w:t>56</w:t>
              </w:r>
              <w:r w:rsidR="002D6F18">
                <w:fldChar w:fldCharType="end"/>
              </w:r>
            </w:hyperlink>
          </w:p>
          <w:p w14:paraId="7484C905" w14:textId="35E54268" w:rsidR="0073047A" w:rsidRPr="00B768A1" w:rsidRDefault="4475CDD7" w:rsidP="00634A83">
            <w:r w:rsidRPr="00B768A1">
              <w:t>Intimate partner relationship problems such as romantic break-ups, arguments and conflict are also common factors in adult suicide.</w:t>
            </w:r>
            <w:hyperlink w:anchor="_ENREF_160" w:tooltip="AR, 2023 #1033" w:history="1">
              <w:r w:rsidR="002D6F18" w:rsidRPr="00426B97">
                <w:rPr>
                  <w:vertAlign w:val="superscript"/>
                </w:rPr>
                <w:fldChar w:fldCharType="begin"/>
              </w:r>
              <w:r w:rsidR="002D6F18">
                <w:rPr>
                  <w:vertAlign w:val="superscript"/>
                </w:rPr>
                <w:instrText xml:space="preserve"> ADDIN EN.CITE &lt;EndNote&gt;&lt;Cite&gt;&lt;Author&gt;AR&lt;/Author&gt;&lt;Year&gt;2023&lt;/Year&gt;&lt;RecNum&gt;1033&lt;/RecNum&gt;&lt;DisplayText&gt;&lt;style face="superscript"&gt;160&lt;/style&gt;&lt;/DisplayText&gt;&lt;record&gt;&lt;rec-number&gt;1033&lt;/rec-number&gt;&lt;foreign-keys&gt;&lt;key app="EN" db-id="rsettzd2isasdweewww55s9lffasxav0d0ft" timestamp="1720488486" guid="91caa70c-6ae5-4a44-9f00-a6597ca3f8e8"&gt;1033&lt;/key&gt;&lt;/foreign-keys&gt;&lt;ref-type name="Journal Article"&gt;17&lt;/ref-type&gt;&lt;contributors&gt;&lt;authors&gt;&lt;author&gt;Stanley AR&lt;/author&gt;&lt;author&gt;Aguilar T&lt;/author&gt;&lt;author&gt;Holland KM&lt;/author&gt;&lt;author&gt;Orpinas P&lt;/author&gt;&lt;/authors&gt;&lt;/contributors&gt;&lt;auth-address&gt;Division of Violence Prevention, Centers for Disease Control and Prevention, Atlanta, Georgia. Electronic address: ing9@cdc.gov.&amp;#xD;Department of Health Behavior, Gillings School of Global Public Health, University of North Carolina at Chapel Hill, Chapel Hill, North Carolina.&amp;#xD;Division of Violence Prevention, Centers for Disease Control and Prevention, Atlanta, Georgia.&amp;#xD;Department of Health Promotion and Behavior, College of Public Health, University of Georgia, Athens, Georgia.&lt;/auth-address&gt;&lt;titles&gt;&lt;title&gt;Precipitating Circumstances Associated With Intimate Partner Problem-Related Suicides&lt;/title&gt;&lt;secondary-title&gt;Am J Prev Med&lt;/secondary-title&gt;&lt;/titles&gt;&lt;periodical&gt;&lt;full-title&gt;Am J Prev Med&lt;/full-title&gt;&lt;/periodical&gt;&lt;pages&gt;385-394&lt;/pages&gt;&lt;volume&gt;65&lt;/volume&gt;&lt;number&gt;3&lt;/number&gt;&lt;edition&gt;2023/03/19&lt;/edition&gt;&lt;keywords&gt;&lt;keyword&gt;Adult&lt;/keyword&gt;&lt;keyword&gt;Humans&lt;/keyword&gt;&lt;keyword&gt;United States/epidemiology&lt;/keyword&gt;&lt;keyword&gt;*Suicide/psychology&lt;/keyword&gt;&lt;keyword&gt;Homicide&lt;/keyword&gt;&lt;keyword&gt;Violence&lt;/keyword&gt;&lt;keyword&gt;Cause of Death&lt;/keyword&gt;&lt;keyword&gt;Suicidal Ideation&lt;/keyword&gt;&lt;keyword&gt;Population Surveillance&lt;/keyword&gt;&lt;/keywords&gt;&lt;dates&gt;&lt;year&gt;2023&lt;/year&gt;&lt;pub-dates&gt;&lt;date&gt;Sep&lt;/date&gt;&lt;/pub-dates&gt;&lt;/dates&gt;&lt;isbn&gt;0749-3797&lt;/isbn&gt;&lt;accession-num&gt;36933753&lt;/accession-num&gt;&lt;urls&gt;&lt;/urls&gt;&lt;electronic-resource-num&gt;10.1016/j.amepre.2023.03.011&lt;/electronic-resource-num&gt;&lt;remote-database-provider&gt;NLM&lt;/remote-database-provider&gt;&lt;language&gt;eng&lt;/language&gt;&lt;/record&gt;&lt;/Cite&gt;&lt;/EndNote&gt;</w:instrText>
              </w:r>
              <w:r w:rsidR="002D6F18" w:rsidRPr="00426B97">
                <w:rPr>
                  <w:vertAlign w:val="superscript"/>
                </w:rPr>
                <w:fldChar w:fldCharType="separate"/>
              </w:r>
              <w:r w:rsidR="002D6F18">
                <w:rPr>
                  <w:noProof/>
                  <w:vertAlign w:val="superscript"/>
                </w:rPr>
                <w:t>160</w:t>
              </w:r>
              <w:r w:rsidR="002D6F18" w:rsidRPr="00426B97">
                <w:rPr>
                  <w:vertAlign w:val="superscript"/>
                </w:rPr>
                <w:fldChar w:fldCharType="end"/>
              </w:r>
            </w:hyperlink>
            <w:r w:rsidR="00426B97" w:rsidRPr="00426B97">
              <w:rPr>
                <w:vertAlign w:val="superscript"/>
              </w:rPr>
              <w:t>,</w:t>
            </w:r>
            <w:hyperlink w:anchor="_ENREF_161" w:tooltip="Welfare, 2022 #315" w:history="1">
              <w:r w:rsidR="002D6F18" w:rsidRPr="00426B97">
                <w:rPr>
                  <w:vertAlign w:val="superscript"/>
                </w:rPr>
                <w:fldChar w:fldCharType="begin"/>
              </w:r>
              <w:r w:rsidR="002D6F18">
                <w:rPr>
                  <w:vertAlign w:val="superscript"/>
                </w:rPr>
                <w:instrText xml:space="preserve"> ADDIN EN.CITE &lt;EndNote&gt;&lt;Cite&gt;&lt;Author&gt;Welfare&lt;/Author&gt;&lt;Year&gt;2022&lt;/Year&gt;&lt;RecNum&gt;492&lt;/RecNum&gt;&lt;DisplayText&gt;&lt;style face="superscript"&gt;161&lt;/style&gt;&lt;/DisplayText&gt;&lt;record&gt;&lt;rec-number&gt;492&lt;/rec-number&gt;&lt;foreign-keys&gt;&lt;key app="EN" db-id="rsettzd2isasdweewww55s9lffasxav0d0ft" timestamp="1707862912" guid="424bb830-7687-4929-bd5f-38fc9e2ad3d3"&gt;492&lt;/key&gt;&lt;/foreign-keys&gt;&lt;ref-type name="Web Page"&gt;12&lt;/ref-type&gt;&lt;contributors&gt;&lt;authors&gt;&lt;author&gt;Australian Institute of Health and Welfare&lt;/author&gt;&lt;/authors&gt;&lt;/contributors&gt;&lt;titles&gt;&lt;title&gt;Psychosocial Risk Factors and Deaths by Suicide&lt;/title&gt;&lt;/titles&gt;&lt;dates&gt;&lt;year&gt;2022&lt;/year&gt;&lt;/dates&gt;&lt;publisher&gt;AIHW&lt;/publisher&gt;&lt;work-type&gt;Internet&lt;/work-type&gt;&lt;urls&gt;&lt;related-urls&gt;&lt;url&gt;https://www.aihw.gov.au/suicide-self-harm-monitoring/data/behaviours-risk-factors/psychosocial-risk-factors-suicide&lt;/url&gt;&lt;/related-urls&gt;&lt;/urls&gt;&lt;custom1&gt;2023&lt;/custom1&gt;&lt;custom2&gt;October 03&lt;/custom2&gt;&lt;/record&gt;&lt;/Cite&gt;&lt;/EndNote&gt;</w:instrText>
              </w:r>
              <w:r w:rsidR="002D6F18" w:rsidRPr="00426B97">
                <w:rPr>
                  <w:vertAlign w:val="superscript"/>
                </w:rPr>
                <w:fldChar w:fldCharType="separate"/>
              </w:r>
              <w:r w:rsidR="002D6F18">
                <w:rPr>
                  <w:noProof/>
                  <w:vertAlign w:val="superscript"/>
                </w:rPr>
                <w:t>161</w:t>
              </w:r>
              <w:r w:rsidR="002D6F18" w:rsidRPr="00426B97">
                <w:rPr>
                  <w:vertAlign w:val="superscript"/>
                </w:rPr>
                <w:fldChar w:fldCharType="end"/>
              </w:r>
            </w:hyperlink>
          </w:p>
        </w:tc>
      </w:tr>
      <w:tr w:rsidR="0073047A" w14:paraId="713F9A92" w14:textId="77777777" w:rsidTr="48215A0F">
        <w:tc>
          <w:tcPr>
            <w:tcW w:w="1696" w:type="dxa"/>
          </w:tcPr>
          <w:p w14:paraId="7486AA52" w14:textId="77777777" w:rsidR="0073047A" w:rsidRPr="00980C72" w:rsidRDefault="0073047A" w:rsidP="00634A83">
            <w:pPr>
              <w:rPr>
                <w:bCs/>
              </w:rPr>
            </w:pPr>
            <w:r w:rsidRPr="00B768A1">
              <w:t>Legal problems</w:t>
            </w:r>
          </w:p>
        </w:tc>
        <w:tc>
          <w:tcPr>
            <w:tcW w:w="7513" w:type="dxa"/>
            <w:tcMar>
              <w:top w:w="28" w:type="dxa"/>
              <w:bottom w:w="28" w:type="dxa"/>
            </w:tcMar>
          </w:tcPr>
          <w:p w14:paraId="6D40FD3A" w14:textId="69239415" w:rsidR="0073047A" w:rsidRPr="00B768A1" w:rsidRDefault="4475CDD7" w:rsidP="00634A83">
            <w:r w:rsidRPr="00B768A1">
              <w:t>Problems related to legal circumstances have been identified in 11.8% of suicide deaths.</w:t>
            </w:r>
            <w:hyperlink w:anchor="_ENREF_102" w:tooltip="Statistics, 2023 #592" w:history="1">
              <w:r w:rsidR="002D6F18">
                <w:fldChar w:fldCharType="begin"/>
              </w:r>
              <w:r w:rsidR="002D6F18">
                <w:instrText xml:space="preserve"> ADDIN EN.CITE &lt;EndNote&gt;&lt;Cite&gt;&lt;Author&gt;Statistics&lt;/Author&gt;&lt;Year&gt;2023&lt;/Year&gt;&lt;RecNum&gt;389&lt;/RecNum&gt;&lt;DisplayText&gt;&lt;style face="superscript"&gt;102&lt;/style&gt;&lt;/DisplayText&gt;&lt;record&gt;&lt;rec-number&gt;389&lt;/rec-number&gt;&lt;foreign-keys&gt;&lt;key app="EN" db-id="rsettzd2isasdweewww55s9lffasxav0d0ft" timestamp="1700699472" guid="4ff895d6-0417-4275-8d01-456704ac4403"&gt;389&lt;/key&gt;&lt;/foreign-keys&gt;&lt;ref-type name="Web Page"&gt;12&lt;/ref-type&gt;&lt;contributors&gt;&lt;authors&gt;&lt;author&gt;Australian Bureau of Statistics&lt;/author&gt;&lt;/authors&gt;&lt;/contributors&gt;&lt;titles&gt;&lt;title&gt;Causes of Death, Australia, 2022: Risk Factors for Intentional Self-Harm Deaths (Suicide) in Australia&lt;/title&gt;&lt;/titles&gt;&lt;dates&gt;&lt;year&gt;2023&lt;/year&gt;&lt;/dates&gt;&lt;publisher&gt;ABS, Australian Government&lt;/publisher&gt;&lt;work-type&gt;Internet&lt;/work-type&gt;&lt;urls&gt;&lt;related-urls&gt;&lt;url&gt;https://www.abs.gov.au/statistics/health/causes-death/causes-death-australia/2021#risk-factors-for-intentional-self-harm-deaths-suicide-in-australia&lt;/url&gt;&lt;/related-urls&gt;&lt;/urls&gt;&lt;custom1&gt;2023&lt;/custom1&gt;&lt;custom2&gt;October 30&lt;/custom2&gt;&lt;/record&gt;&lt;/Cite&gt;&lt;/EndNote&gt;</w:instrText>
              </w:r>
              <w:r w:rsidR="002D6F18">
                <w:fldChar w:fldCharType="separate"/>
              </w:r>
              <w:r w:rsidR="002D6F18" w:rsidRPr="00445D54">
                <w:rPr>
                  <w:noProof/>
                  <w:vertAlign w:val="superscript"/>
                </w:rPr>
                <w:t>102</w:t>
              </w:r>
              <w:r w:rsidR="002D6F18">
                <w:fldChar w:fldCharType="end"/>
              </w:r>
            </w:hyperlink>
          </w:p>
        </w:tc>
      </w:tr>
      <w:tr w:rsidR="0073047A" w14:paraId="281E798B" w14:textId="77777777" w:rsidTr="48215A0F">
        <w:tc>
          <w:tcPr>
            <w:tcW w:w="1696" w:type="dxa"/>
          </w:tcPr>
          <w:p w14:paraId="3019C0A9" w14:textId="77777777" w:rsidR="0073047A" w:rsidRPr="00980C72" w:rsidRDefault="0073047A" w:rsidP="00634A83">
            <w:r w:rsidRPr="00980C72">
              <w:t>Work changes</w:t>
            </w:r>
          </w:p>
        </w:tc>
        <w:tc>
          <w:tcPr>
            <w:tcW w:w="7513" w:type="dxa"/>
            <w:tcMar>
              <w:top w:w="28" w:type="dxa"/>
              <w:bottom w:w="28" w:type="dxa"/>
            </w:tcMar>
          </w:tcPr>
          <w:p w14:paraId="6700E357" w14:textId="728A0175" w:rsidR="0073047A" w:rsidRPr="00B768A1" w:rsidRDefault="4475CDD7" w:rsidP="00634A83">
            <w:r w:rsidRPr="00B768A1">
              <w:t>People exiting the labour force, especially people who retire involuntarily</w:t>
            </w:r>
            <w:hyperlink w:anchor="_ENREF_162" w:tooltip="A, 2021 #1059" w:history="1">
              <w:r w:rsidR="002D6F18">
                <w:fldChar w:fldCharType="begin"/>
              </w:r>
              <w:r w:rsidR="002D6F18">
                <w:instrText xml:space="preserve"> ADDIN EN.CITE &lt;EndNote&gt;&lt;Cite&gt;&lt;Author&gt;A&lt;/Author&gt;&lt;Year&gt;2021&lt;/Year&gt;&lt;RecNum&gt;1059&lt;/RecNum&gt;&lt;DisplayText&gt;&lt;style face="superscript"&gt;162&lt;/style&gt;&lt;/DisplayText&gt;&lt;record&gt;&lt;rec-number&gt;1059&lt;/rec-number&gt;&lt;foreign-keys&gt;&lt;key app="EN" db-id="rsettzd2isasdweewww55s9lffasxav0d0ft" timestamp="1720488588" guid="f3af5952-d7b9-4c9f-93c3-58bd794449f2"&gt;1059&lt;/key&gt;&lt;/foreign-keys&gt;&lt;ref-type name="Journal Article"&gt;17&lt;/ref-type&gt;&lt;contributors&gt;&lt;authors&gt;&lt;author&gt;Page A&lt;/author&gt;&lt;author&gt;Sperandei S&lt;/author&gt;&lt;author&gt;Spittal M&lt;/author&gt;&lt;author&gt;Milner A&lt;/author&gt;&lt;author&gt;Pirkis J&lt;/author&gt;&lt;/authors&gt;&lt;/contributors&gt;&lt;titles&gt;&lt;title&gt;The impact of transitions from employment to retirement on suicidal behaviour among older aged Australians&lt;/title&gt;&lt;secondary-title&gt;Social psychiatry and psychiatric epidemiology&lt;/secondary-title&gt;&lt;/titles&gt;&lt;periodical&gt;&lt;full-title&gt;Social Psychiatry and Psychiatric Epidemiology&lt;/full-title&gt;&lt;/periodical&gt;&lt;volume&gt;56&lt;/volume&gt;&lt;dates&gt;&lt;year&gt;2021&lt;/year&gt;&lt;pub-dates&gt;&lt;date&gt;05/01&lt;/date&gt;&lt;/pub-dates&gt;&lt;/dates&gt;&lt;urls&gt;&lt;/urls&gt;&lt;electronic-resource-num&gt;10.1007/s00127-020-01947-0&lt;/electronic-resource-num&gt;&lt;/record&gt;&lt;/Cite&gt;&lt;/EndNote&gt;</w:instrText>
              </w:r>
              <w:r w:rsidR="002D6F18">
                <w:fldChar w:fldCharType="separate"/>
              </w:r>
              <w:r w:rsidR="002D6F18" w:rsidRPr="00445D54">
                <w:rPr>
                  <w:noProof/>
                  <w:vertAlign w:val="superscript"/>
                </w:rPr>
                <w:t>162</w:t>
              </w:r>
              <w:r w:rsidR="002D6F18">
                <w:fldChar w:fldCharType="end"/>
              </w:r>
            </w:hyperlink>
            <w:r w:rsidRPr="00B768A1">
              <w:t xml:space="preserve"> or leave the labour force due to injury,</w:t>
            </w:r>
            <w:hyperlink w:anchor="_ENREF_163" w:tooltip="A, 2022 #1028" w:history="1">
              <w:r w:rsidR="002D6F18">
                <w:fldChar w:fldCharType="begin"/>
              </w:r>
              <w:r w:rsidR="002D6F18">
                <w:instrText xml:space="preserve"> ADDIN EN.CITE &lt;EndNote&gt;&lt;Cite&gt;&lt;Author&gt;A&lt;/Author&gt;&lt;Year&gt;2022&lt;/Year&gt;&lt;RecNum&gt;1028&lt;/RecNum&gt;&lt;DisplayText&gt;&lt;style face="superscript"&gt;163&lt;/style&gt;&lt;/DisplayText&gt;&lt;record&gt;&lt;rec-number&gt;1028&lt;/rec-number&gt;&lt;foreign-keys&gt;&lt;key app="EN" db-id="rsettzd2isasdweewww55s9lffasxav0d0ft" timestamp="1720488467" guid="7aff0b86-0f2c-434f-9767-52e973705256"&gt;1028&lt;/key&gt;&lt;/foreign-keys&gt;&lt;ref-type name="Journal Article"&gt;17&lt;/ref-type&gt;&lt;contributors&gt;&lt;authors&gt;&lt;author&gt;Collie A&lt;/author&gt;&lt;author&gt;Gray SE&lt;/author&gt;&lt;/authors&gt;&lt;/contributors&gt;&lt;titles&gt;&lt;title&gt;The relationship between work disability and subsequent suicide or self-harm: A scoping review&lt;/title&gt;&lt;secondary-title&gt;PLOS Global Public Health&lt;/secondary-title&gt;&lt;/titles&gt;&lt;periodical&gt;&lt;full-title&gt;PLOS Global Public Health&lt;/full-title&gt;&lt;/periodical&gt;&lt;pages&gt;e0000922&lt;/pages&gt;&lt;volume&gt;2&lt;/volume&gt;&lt;number&gt;12&lt;/number&gt;&lt;dates&gt;&lt;year&gt;2022&lt;/year&gt;&lt;/dates&gt;&lt;publisher&gt;Public Library of Science&lt;/publisher&gt;&lt;urls&gt;&lt;related-urls&gt;&lt;url&gt;https://doi.org/10.1371/journal.pgph.0000922&lt;/url&gt;&lt;/related-urls&gt;&lt;/urls&gt;&lt;electronic-resource-num&gt;10.1371/journal.pgph.0000922&lt;/electronic-resource-num&gt;&lt;/record&gt;&lt;/Cite&gt;&lt;/EndNote&gt;</w:instrText>
              </w:r>
              <w:r w:rsidR="002D6F18">
                <w:fldChar w:fldCharType="separate"/>
              </w:r>
              <w:r w:rsidR="002D6F18" w:rsidRPr="00445D54">
                <w:rPr>
                  <w:noProof/>
                  <w:vertAlign w:val="superscript"/>
                </w:rPr>
                <w:t>163</w:t>
              </w:r>
              <w:r w:rsidR="002D6F18">
                <w:fldChar w:fldCharType="end"/>
              </w:r>
            </w:hyperlink>
            <w:r w:rsidRPr="00B768A1">
              <w:t xml:space="preserve"> can be at greater risk of suicidal thoughts and behaviours.</w:t>
            </w:r>
          </w:p>
        </w:tc>
      </w:tr>
      <w:tr w:rsidR="0073047A" w14:paraId="121A13FA" w14:textId="77777777" w:rsidTr="48215A0F">
        <w:tc>
          <w:tcPr>
            <w:tcW w:w="1696" w:type="dxa"/>
          </w:tcPr>
          <w:p w14:paraId="3429836B" w14:textId="77777777" w:rsidR="0073047A" w:rsidRPr="00980C72" w:rsidRDefault="0073047A" w:rsidP="00634A83">
            <w:pPr>
              <w:rPr>
                <w:bCs/>
              </w:rPr>
            </w:pPr>
            <w:r w:rsidRPr="00B768A1">
              <w:t>Australian Defence Force members</w:t>
            </w:r>
          </w:p>
        </w:tc>
        <w:tc>
          <w:tcPr>
            <w:tcW w:w="7513" w:type="dxa"/>
            <w:tcMar>
              <w:top w:w="28" w:type="dxa"/>
              <w:bottom w:w="28" w:type="dxa"/>
            </w:tcMar>
          </w:tcPr>
          <w:p w14:paraId="37A36302" w14:textId="25D35319" w:rsidR="0073047A" w:rsidRPr="00B768A1" w:rsidRDefault="4475CDD7" w:rsidP="00634A83">
            <w:r w:rsidRPr="00B768A1">
              <w:t>Research has found that ex-serving males and ex-serving females were more likely to die by suicide, with suicide rates being 27%</w:t>
            </w:r>
            <w:r>
              <w:t> </w:t>
            </w:r>
            <w:r w:rsidRPr="00B768A1">
              <w:t>higher for ex-serving males and 107%</w:t>
            </w:r>
            <w:r>
              <w:t> </w:t>
            </w:r>
            <w:r w:rsidRPr="00B768A1">
              <w:t xml:space="preserve">higher for ex-serving females. </w:t>
            </w:r>
            <w:r w:rsidR="31238F43">
              <w:t>T</w:t>
            </w:r>
            <w:r w:rsidRPr="00B768A1">
              <w:t>he rate of suicide for involuntarily medically separated ex-serving males was much higher</w:t>
            </w:r>
            <w:r w:rsidR="56F5416E">
              <w:t xml:space="preserve"> than that of voluntarily separated males and the general population</w:t>
            </w:r>
            <w:r w:rsidRPr="00B768A1">
              <w:t xml:space="preserve"> at 67.1</w:t>
            </w:r>
            <w:r>
              <w:t> </w:t>
            </w:r>
            <w:r w:rsidRPr="00B768A1">
              <w:t>per 100,000 population.</w:t>
            </w:r>
            <w:hyperlink w:anchor="_ENREF_23" w:tooltip="Welfare, 2023 #981" w:history="1">
              <w:r w:rsidR="002D6F18" w:rsidRPr="00426B97">
                <w:rPr>
                  <w:vertAlign w:val="superscript"/>
                </w:rPr>
                <w:fldChar w:fldCharType="begin"/>
              </w:r>
              <w:r w:rsidR="002D6F18">
                <w:rPr>
                  <w:vertAlign w:val="superscript"/>
                </w:rPr>
                <w:instrText xml:space="preserve"> ADDIN EN.CITE &lt;EndNote&gt;&lt;Cite&gt;&lt;Author&gt;Welfare&lt;/Author&gt;&lt;Year&gt;2023&lt;/Year&gt;&lt;RecNum&gt;981&lt;/RecNum&gt;&lt;DisplayText&gt;&lt;style face="superscript"&gt;23&lt;/style&gt;&lt;/DisplayText&gt;&lt;record&gt;&lt;rec-number&gt;981&lt;/rec-number&gt;&lt;foreign-keys&gt;&lt;key app="EN" db-id="rsettzd2isasdweewww55s9lffasxav0d0ft" timestamp="1720071985" guid="68e2f524-d715-4312-90e5-429d4d265bd7"&gt;981&lt;/key&gt;&lt;/foreign-keys&gt;&lt;ref-type name="Web Page"&gt;12&lt;/ref-type&gt;&lt;contributors&gt;&lt;authors&gt;&lt;author&gt;Australian Institute of Health and Welfare&lt;/author&gt;&lt;/authors&gt;&lt;/contributors&gt;&lt;titles&gt;&lt;title&gt;Serving and ex-serving Australian Defence Force members who have served since 1985: suicide monitoring 1997 to 2021&lt;/title&gt;&lt;/titles&gt;&lt;dates&gt;&lt;year&gt;2023&lt;/year&gt;&lt;/dates&gt;&lt;pub-location&gt;Canberra&lt;/pub-location&gt;&lt;publisher&gt;AIHW, Australian Government&lt;/publisher&gt;&lt;work-type&gt;Internet&lt;/work-type&gt;&lt;urls&gt;&lt;related-urls&gt;&lt;url&gt;https://www.aihw.gov.au/reports/veterans/serving-exserving-adf-suicide-monitoring-2023/&lt;/url&gt;&lt;/related-urls&gt;&lt;/urls&gt;&lt;custom1&gt;2024&lt;/custom1&gt;&lt;custom2&gt;February 22&lt;/custom2&gt;&lt;/record&gt;&lt;/Cite&gt;&lt;/EndNote&gt;</w:instrText>
              </w:r>
              <w:r w:rsidR="002D6F18" w:rsidRPr="00426B97">
                <w:rPr>
                  <w:vertAlign w:val="superscript"/>
                </w:rPr>
                <w:fldChar w:fldCharType="separate"/>
              </w:r>
              <w:r w:rsidR="002D6F18">
                <w:rPr>
                  <w:noProof/>
                  <w:vertAlign w:val="superscript"/>
                </w:rPr>
                <w:t>23</w:t>
              </w:r>
              <w:r w:rsidR="002D6F18" w:rsidRPr="00426B97">
                <w:rPr>
                  <w:vertAlign w:val="superscript"/>
                </w:rPr>
                <w:fldChar w:fldCharType="end"/>
              </w:r>
            </w:hyperlink>
            <w:r w:rsidR="00426B97" w:rsidRPr="00426B97">
              <w:rPr>
                <w:vertAlign w:val="superscript"/>
              </w:rPr>
              <w:t>,</w:t>
            </w:r>
            <w:hyperlink w:anchor="_ENREF_161" w:tooltip="Welfare, 2022 #315" w:history="1">
              <w:r w:rsidR="002D6F18" w:rsidRPr="00426B97">
                <w:rPr>
                  <w:vertAlign w:val="superscript"/>
                </w:rPr>
                <w:fldChar w:fldCharType="begin"/>
              </w:r>
              <w:r w:rsidR="002D6F18">
                <w:rPr>
                  <w:vertAlign w:val="superscript"/>
                </w:rPr>
                <w:instrText xml:space="preserve"> ADDIN EN.CITE &lt;EndNote&gt;&lt;Cite&gt;&lt;Author&gt;Welfare&lt;/Author&gt;&lt;Year&gt;2022&lt;/Year&gt;&lt;RecNum&gt;315&lt;/RecNum&gt;&lt;DisplayText&gt;&lt;style face="superscript"&gt;161&lt;/style&gt;&lt;/DisplayText&gt;&lt;record&gt;&lt;rec-number&gt;315&lt;/rec-number&gt;&lt;foreign-keys&gt;&lt;key app="EN" db-id="rsettzd2isasdweewww55s9lffasxav0d0ft" timestamp="1700699471" guid="e71fbff8-fa6d-4f48-bd4b-b257d2c44920"&gt;315&lt;/key&gt;&lt;/foreign-keys&gt;&lt;ref-type name="Web Page"&gt;12&lt;/ref-type&gt;&lt;contributors&gt;&lt;authors&gt;&lt;author&gt;Australian Institute of Health and Welfare&lt;/author&gt;&lt;/authors&gt;&lt;/contributors&gt;&lt;titles&gt;&lt;title&gt;Psychosocial Risk Factors and Deaths by Suicide&lt;/title&gt;&lt;/titles&gt;&lt;dates&gt;&lt;year&gt;2022&lt;/year&gt;&lt;/dates&gt;&lt;publisher&gt;AIHW, Australian Government&lt;/publisher&gt;&lt;work-type&gt;Internet&lt;/work-type&gt;&lt;urls&gt;&lt;related-urls&gt;&lt;url&gt;https://www.aihw.gov.au/suicide-self-harm-monitoring/data/behaviours-risk-factors/psychosocial-risk-factors-suicide&lt;/url&gt;&lt;/related-urls&gt;&lt;/urls&gt;&lt;custom1&gt;2023&lt;/custom1&gt;&lt;custom2&gt;October 03&lt;/custom2&gt;&lt;/record&gt;&lt;/Cite&gt;&lt;/EndNote&gt;</w:instrText>
              </w:r>
              <w:r w:rsidR="002D6F18" w:rsidRPr="00426B97">
                <w:rPr>
                  <w:vertAlign w:val="superscript"/>
                </w:rPr>
                <w:fldChar w:fldCharType="separate"/>
              </w:r>
              <w:r w:rsidR="002D6F18">
                <w:rPr>
                  <w:noProof/>
                  <w:vertAlign w:val="superscript"/>
                </w:rPr>
                <w:t>161</w:t>
              </w:r>
              <w:r w:rsidR="002D6F18" w:rsidRPr="00426B97">
                <w:rPr>
                  <w:vertAlign w:val="superscript"/>
                </w:rPr>
                <w:fldChar w:fldCharType="end"/>
              </w:r>
            </w:hyperlink>
          </w:p>
        </w:tc>
      </w:tr>
      <w:tr w:rsidR="0073047A" w14:paraId="2BC019D9" w14:textId="77777777" w:rsidTr="48215A0F">
        <w:tc>
          <w:tcPr>
            <w:tcW w:w="1696" w:type="dxa"/>
          </w:tcPr>
          <w:p w14:paraId="0D7D25E8" w14:textId="77777777" w:rsidR="0073047A" w:rsidRPr="00B768A1" w:rsidRDefault="0073047A" w:rsidP="00634A83">
            <w:r>
              <w:t>Places of detention</w:t>
            </w:r>
          </w:p>
        </w:tc>
        <w:tc>
          <w:tcPr>
            <w:tcW w:w="7513" w:type="dxa"/>
            <w:tcMar>
              <w:top w:w="28" w:type="dxa"/>
              <w:bottom w:w="28" w:type="dxa"/>
            </w:tcMar>
          </w:tcPr>
          <w:p w14:paraId="1523DEB8" w14:textId="00E4D7B5" w:rsidR="0073047A" w:rsidRPr="00B768A1" w:rsidRDefault="4475CDD7" w:rsidP="00634A83">
            <w:r w:rsidRPr="00B768A1">
              <w:t>People transitioning out of prison are at greater risk of suicide. A study on Queensland prisons found that released women and men were, respectively, 14.2</w:t>
            </w:r>
            <w:r>
              <w:t> </w:t>
            </w:r>
            <w:r w:rsidRPr="00B768A1">
              <w:t>times and 4.8</w:t>
            </w:r>
            <w:r>
              <w:t> </w:t>
            </w:r>
            <w:r w:rsidRPr="00B768A1">
              <w:t>times more likely to die by suicide than the Queensland population.</w:t>
            </w:r>
            <w:hyperlink w:anchor="_ENREF_164" w:tooltip="MJ, 2014 #172" w:history="1">
              <w:r w:rsidR="002D6F18">
                <w:fldChar w:fldCharType="begin"/>
              </w:r>
              <w:r w:rsidR="002D6F18">
                <w:instrText xml:space="preserve"> ADDIN EN.CITE &lt;EndNote&gt;&lt;Cite&gt;&lt;Author&gt;MJ&lt;/Author&gt;&lt;Year&gt;2014&lt;/Year&gt;&lt;RecNum&gt;172&lt;/RecNum&gt;&lt;DisplayText&gt;&lt;style face="superscript"&gt;164&lt;/style&gt;&lt;/DisplayText&gt;&lt;record&gt;&lt;rec-number&gt;172&lt;/rec-number&gt;&lt;foreign-keys&gt;&lt;key app="EN" db-id="rsettzd2isasdweewww55s9lffasxav0d0ft" timestamp="1700699468" guid="bbc133f0-804a-437d-83dd-1fddbae4cab9"&gt;172&lt;/key&gt;&lt;/foreign-keys&gt;&lt;ref-type name="Journal Article"&gt;17&lt;/ref-type&gt;&lt;contributors&gt;&lt;authors&gt;&lt;author&gt;Spittal MJ&lt;/author&gt;&lt;author&gt;Forsyth S&lt;/author&gt;&lt;author&gt;Pirkis J&lt;/author&gt;&lt;author&gt;Alati R&lt;/author&gt;&lt;author&gt;Kinner SA&lt;/author&gt;&lt;/authors&gt;&lt;/contributors&gt;&lt;titles&gt;&lt;title&gt;Suicide in Adults Released from Prison in Queensland, Australia: A Cohort Study&lt;/title&gt;&lt;secondary-title&gt;Journal of Epidemiology &amp;amp; Community Health&lt;/secondary-title&gt;&lt;/titles&gt;&lt;periodical&gt;&lt;full-title&gt;Journal of Epidemiology &amp;amp; Community Health&lt;/full-title&gt;&lt;/periodical&gt;&lt;dates&gt;&lt;year&gt;2014&lt;/year&gt;&lt;/dates&gt;&lt;urls&gt;&lt;/urls&gt;&lt;electronic-resource-num&gt;DOI: 10.1136/jech-2014-204295&lt;/electronic-resource-num&gt;&lt;/record&gt;&lt;/Cite&gt;&lt;/EndNote&gt;</w:instrText>
              </w:r>
              <w:r w:rsidR="002D6F18">
                <w:fldChar w:fldCharType="separate"/>
              </w:r>
              <w:r w:rsidR="002D6F18" w:rsidRPr="00445D54">
                <w:rPr>
                  <w:noProof/>
                  <w:vertAlign w:val="superscript"/>
                </w:rPr>
                <w:t>164</w:t>
              </w:r>
              <w:r w:rsidR="002D6F18">
                <w:fldChar w:fldCharType="end"/>
              </w:r>
            </w:hyperlink>
          </w:p>
          <w:p w14:paraId="1C23FD7B" w14:textId="75EC87AE" w:rsidR="0073047A" w:rsidRPr="00B768A1" w:rsidRDefault="4475CDD7" w:rsidP="00634A83">
            <w:r w:rsidRPr="00B768A1">
              <w:t>Self-harm rates for asylum seekers in all types of onshore closed immigration detention are many times higher than rates found in the Australian population.</w:t>
            </w:r>
            <w:hyperlink w:anchor="_ENREF_165" w:tooltip="K, 2020 #1024" w:history="1">
              <w:r w:rsidR="002D6F18">
                <w:fldChar w:fldCharType="begin"/>
              </w:r>
              <w:r w:rsidR="002D6F18">
                <w:instrText xml:space="preserve"> ADDIN EN.CITE &lt;EndNote&gt;&lt;Cite&gt;&lt;Author&gt;K&lt;/Author&gt;&lt;Year&gt;2020&lt;/Year&gt;&lt;RecNum&gt;1024&lt;/RecNum&gt;&lt;DisplayText&gt;&lt;style face="superscript"&gt;165&lt;/style&gt;&lt;/DisplayText&gt;&lt;record&gt;&lt;rec-number&gt;1024&lt;/rec-number&gt;&lt;foreign-keys&gt;&lt;key app="EN" db-id="rsettzd2isasdweewww55s9lffasxav0d0ft" timestamp="1720488442" guid="ba5df3fd-4c4e-4585-b84e-ff77802c3e2c"&gt;1024&lt;/key&gt;&lt;/foreign-keys&gt;&lt;ref-type name="Journal Article"&gt;17&lt;/ref-type&gt;&lt;contributors&gt;&lt;authors&gt;&lt;author&gt;Hedrick K&lt;/author&gt;&lt;author&gt;Armstrong G&lt;/author&gt;&lt;author&gt;Coffey G&lt;/author&gt;&lt;author&gt;Borschmann R&lt;/author&gt;&lt;/authors&gt;&lt;/contributors&gt;&lt;titles&gt;&lt;title&gt;Self-harm among asylum seekers in Australian onshore immigration detention: how incidence rates vary by held detention type&lt;/title&gt;&lt;secondary-title&gt;BMC Public Health&lt;/secondary-title&gt;&lt;/titles&gt;&lt;periodical&gt;&lt;full-title&gt;BMC Public Health&lt;/full-title&gt;&lt;/periodical&gt;&lt;pages&gt;592&lt;/pages&gt;&lt;volume&gt;20&lt;/volume&gt;&lt;number&gt;1&lt;/number&gt;&lt;dates&gt;&lt;year&gt;2020&lt;/year&gt;&lt;pub-dates&gt;&lt;date&gt;2020/04/30&lt;/date&gt;&lt;/pub-dates&gt;&lt;/dates&gt;&lt;isbn&gt;1471-2458&lt;/isbn&gt;&lt;urls&gt;&lt;related-urls&gt;&lt;url&gt;https://doi.org/10.1186/s12889-020-08717-2&lt;/url&gt;&lt;/related-urls&gt;&lt;/urls&gt;&lt;electronic-resource-num&gt;10.1186/s12889-020-08717-2&lt;/electronic-resource-num&gt;&lt;/record&gt;&lt;/Cite&gt;&lt;/EndNote&gt;</w:instrText>
              </w:r>
              <w:r w:rsidR="002D6F18">
                <w:fldChar w:fldCharType="separate"/>
              </w:r>
              <w:r w:rsidR="002D6F18" w:rsidRPr="00445D54">
                <w:rPr>
                  <w:noProof/>
                  <w:vertAlign w:val="superscript"/>
                </w:rPr>
                <w:t>165</w:t>
              </w:r>
              <w:r w:rsidR="002D6F18">
                <w:fldChar w:fldCharType="end"/>
              </w:r>
            </w:hyperlink>
          </w:p>
        </w:tc>
      </w:tr>
      <w:tr w:rsidR="0073047A" w14:paraId="53819FA0" w14:textId="77777777" w:rsidTr="48215A0F">
        <w:tc>
          <w:tcPr>
            <w:tcW w:w="1696" w:type="dxa"/>
          </w:tcPr>
          <w:p w14:paraId="03AC5C39" w14:textId="77777777" w:rsidR="0073047A" w:rsidRDefault="0073047A" w:rsidP="00634A83">
            <w:pPr>
              <w:rPr>
                <w:bCs/>
              </w:rPr>
            </w:pPr>
            <w:r w:rsidRPr="00B768A1">
              <w:t>Ageing</w:t>
            </w:r>
          </w:p>
        </w:tc>
        <w:tc>
          <w:tcPr>
            <w:tcW w:w="7513" w:type="dxa"/>
            <w:tcMar>
              <w:top w:w="28" w:type="dxa"/>
              <w:bottom w:w="28" w:type="dxa"/>
            </w:tcMar>
          </w:tcPr>
          <w:p w14:paraId="065AA7A4" w14:textId="018720E3" w:rsidR="0073047A" w:rsidRPr="00B768A1" w:rsidRDefault="4475CDD7" w:rsidP="00634A83">
            <w:pPr>
              <w:rPr>
                <w:vertAlign w:val="superscript"/>
              </w:rPr>
            </w:pPr>
            <w:r w:rsidRPr="00B768A1">
              <w:t>For older people, risk factors for suicide include declining health, loss of independence, neurocognitive impairment and difficulty adjusting after moving into aged care.</w:t>
            </w:r>
            <w:hyperlink w:anchor="_ENREF_166" w:tooltip="BJ, 2018 #399" w:history="1">
              <w:r w:rsidR="002D6F18" w:rsidRPr="00426B97">
                <w:rPr>
                  <w:vertAlign w:val="superscript"/>
                </w:rPr>
                <w:fldChar w:fldCharType="begin"/>
              </w:r>
              <w:r w:rsidR="002D6F18">
                <w:rPr>
                  <w:vertAlign w:val="superscript"/>
                </w:rPr>
                <w:instrText xml:space="preserve"> ADDIN EN.CITE &lt;EndNote&gt;&lt;Cite&gt;&lt;Author&gt;BJ&lt;/Author&gt;&lt;Year&gt;2018&lt;/Year&gt;&lt;RecNum&gt;399&lt;/RecNum&gt;&lt;DisplayText&gt;&lt;style face="superscript"&gt;166&lt;/style&gt;&lt;/DisplayText&gt;&lt;record&gt;&lt;rec-number&gt;399&lt;/rec-number&gt;&lt;foreign-keys&gt;&lt;key app="EN" db-id="rsettzd2isasdweewww55s9lffasxav0d0ft" timestamp="1700699473" guid="6126a637-3082-4110-a546-bae1a77a97b4"&gt;399&lt;/key&gt;&lt;/foreign-keys&gt;&lt;ref-type name="Journal Article"&gt;17&lt;/ref-type&gt;&lt;contributors&gt;&lt;authors&gt;&lt;author&gt;Murphy BJ&lt;/author&gt;&lt;author&gt;Bugeja LC&lt;/author&gt;&lt;author&gt;Pilgrim JL&lt;/author&gt;&lt;author&gt;Ibrahim JE&lt;/author&gt;&lt;/authors&gt;&lt;/contributors&gt;&lt;titles&gt;&lt;title&gt;Suicide Among Nursing Home Residents in Australia: A National Population-Based Retrospective Analysis of Medico-Legal Death Investigation Information&lt;/title&gt;&lt;secondary-title&gt;International Journal of Geriatric Psychiatry&lt;/secondary-title&gt;&lt;/titles&gt;&lt;periodical&gt;&lt;full-title&gt;International Journal of Geriatric Psychiatry&lt;/full-title&gt;&lt;/periodical&gt;&lt;dates&gt;&lt;year&gt;2018&lt;/year&gt;&lt;/dates&gt;&lt;urls&gt;&lt;/urls&gt;&lt;electronic-resource-num&gt;10.1002/gps.4862&lt;/electronic-resource-num&gt;&lt;/record&gt;&lt;/Cite&gt;&lt;/EndNote&gt;</w:instrText>
              </w:r>
              <w:r w:rsidR="002D6F18" w:rsidRPr="00426B97">
                <w:rPr>
                  <w:vertAlign w:val="superscript"/>
                </w:rPr>
                <w:fldChar w:fldCharType="separate"/>
              </w:r>
              <w:r w:rsidR="002D6F18">
                <w:rPr>
                  <w:noProof/>
                  <w:vertAlign w:val="superscript"/>
                </w:rPr>
                <w:t>166</w:t>
              </w:r>
              <w:r w:rsidR="002D6F18" w:rsidRPr="00426B97">
                <w:rPr>
                  <w:vertAlign w:val="superscript"/>
                </w:rPr>
                <w:fldChar w:fldCharType="end"/>
              </w:r>
            </w:hyperlink>
            <w:r w:rsidR="00426B97" w:rsidRPr="00426B97">
              <w:rPr>
                <w:vertAlign w:val="superscript"/>
              </w:rPr>
              <w:t>,</w:t>
            </w:r>
            <w:hyperlink w:anchor="_ENREF_167" w:tooltip="SJ, 2021 #211" w:history="1">
              <w:r w:rsidR="002D6F18" w:rsidRPr="00426B97">
                <w:rPr>
                  <w:vertAlign w:val="superscript"/>
                </w:rPr>
                <w:fldChar w:fldCharType="begin"/>
              </w:r>
              <w:r w:rsidR="002D6F18">
                <w:rPr>
                  <w:vertAlign w:val="superscript"/>
                </w:rPr>
                <w:instrText xml:space="preserve"> ADDIN EN.CITE &lt;EndNote&gt;&lt;Cite&gt;&lt;Author&gt;SJ&lt;/Author&gt;&lt;Year&gt;2021&lt;/Year&gt;&lt;RecNum&gt;211&lt;/RecNum&gt;&lt;DisplayText&gt;&lt;style face="superscript"&gt;167&lt;/style&gt;&lt;/DisplayText&gt;&lt;record&gt;&lt;rec-number&gt;211&lt;/rec-number&gt;&lt;foreign-keys&gt;&lt;key app="EN" db-id="rsettzd2isasdweewww55s9lffasxav0d0ft" timestamp="1700699469" guid="7b37d987-fa1a-454b-b7a0-250f9079247c"&gt;211&lt;/key&gt;&lt;/foreign-keys&gt;&lt;ref-type name="Journal Article"&gt;17&lt;/ref-type&gt;&lt;contributors&gt;&lt;authors&gt;&lt;author&gt;Fitzpatrick SJ&lt;/author&gt;&lt;author&gt;Handley T&lt;/author&gt;&lt;author&gt;Powell N&lt;/author&gt;&lt;author&gt;Read D&lt;/author&gt;&lt;author&gt;Inder KJ&lt;/author&gt;&lt;author&gt;Perkins D&lt;/author&gt;&lt;author&gt;Brew BK&lt;/author&gt;&lt;/authors&gt;&lt;/contributors&gt;&lt;titles&gt;&lt;title&gt;A Sociological Autopsy Lens on Older Adult Suicide in Rural Australia: Addressing Health, Psychosocial Factors and Care Practices at the Intersection of Policies and Institutions&lt;/title&gt;&lt;secondary-title&gt;Social Science &amp;amp; Medicine&lt;/secondary-title&gt;&lt;/titles&gt;&lt;periodical&gt;&lt;full-title&gt;Social Science &amp;amp; Medicine&lt;/full-title&gt;&lt;/periodical&gt;&lt;dates&gt;&lt;year&gt;2021&lt;/year&gt;&lt;/dates&gt;&lt;urls&gt;&lt;/urls&gt;&lt;electronic-resource-num&gt;DOI: 10.1016/j.socscimed.2021.114196&lt;/electronic-resource-num&gt;&lt;/record&gt;&lt;/Cite&gt;&lt;/EndNote&gt;</w:instrText>
              </w:r>
              <w:r w:rsidR="002D6F18" w:rsidRPr="00426B97">
                <w:rPr>
                  <w:vertAlign w:val="superscript"/>
                </w:rPr>
                <w:fldChar w:fldCharType="separate"/>
              </w:r>
              <w:r w:rsidR="002D6F18">
                <w:rPr>
                  <w:noProof/>
                  <w:vertAlign w:val="superscript"/>
                </w:rPr>
                <w:t>167</w:t>
              </w:r>
              <w:r w:rsidR="002D6F18" w:rsidRPr="00426B97">
                <w:rPr>
                  <w:vertAlign w:val="superscript"/>
                </w:rPr>
                <w:fldChar w:fldCharType="end"/>
              </w:r>
            </w:hyperlink>
          </w:p>
          <w:p w14:paraId="5EDDE324" w14:textId="1433374F" w:rsidR="0073047A" w:rsidRPr="00B768A1" w:rsidRDefault="4475CDD7" w:rsidP="00634A83">
            <w:r w:rsidRPr="00B768A1">
              <w:t>Moving into aged care may involve additional stress for Aboriginal and Torres Strait Islander people due to trauma associated with institutional settings, especially for Stolen Generations survivors.</w:t>
            </w:r>
            <w:hyperlink w:anchor="_ENREF_154" w:tooltip="Safety, 2021 #1081" w:history="1">
              <w:r w:rsidR="002D6F18">
                <w:fldChar w:fldCharType="begin"/>
              </w:r>
              <w:r w:rsidR="002D6F18">
                <w:instrText xml:space="preserve"> ADDIN EN.CITE &lt;EndNote&gt;&lt;Cite&gt;&lt;Author&gt;Safety&lt;/Author&gt;&lt;Year&gt;2021&lt;/Year&gt;&lt;RecNum&gt;1081&lt;/RecNum&gt;&lt;DisplayText&gt;&lt;style face="superscript"&gt;154&lt;/style&gt;&lt;/DisplayText&gt;&lt;record&gt;&lt;rec-number&gt;1081&lt;/rec-number&gt;&lt;foreign-keys&gt;&lt;key app="EN" db-id="rsettzd2isasdweewww55s9lffasxav0d0ft" timestamp="1720496390" guid="384443f2-ef13-409f-984c-b24b8291d18f"&gt;1081&lt;/key&gt;&lt;/foreign-keys&gt;&lt;ref-type name="Web Page"&gt;12&lt;/ref-type&gt;&lt;contributors&gt;&lt;authors&gt;&lt;author&gt;Royal Commission into Aged Care Quality and Safety&lt;/author&gt;&lt;/authors&gt;&lt;/contributors&gt;&lt;titles&gt;&lt;title&gt;Care, dignity and respect. Final report&lt;/title&gt;&lt;/titles&gt;&lt;dates&gt;&lt;year&gt;2021&lt;/year&gt;&lt;pub-dates&gt;&lt;date&gt;01 March 2021&lt;/date&gt;&lt;/pub-dates&gt;&lt;/dates&gt;&lt;publisher&gt;Australian Government&lt;/publisher&gt;&lt;work-type&gt;Internet&lt;/work-type&gt;&lt;urls&gt;&lt;related-urls&gt;&lt;url&gt;https://www.royalcommission.gov.au/aged-care/final-report&lt;/url&gt;&lt;/related-urls&gt;&lt;/urls&gt;&lt;custom1&gt;2023&lt;/custom1&gt;&lt;custom2&gt;November 21&lt;/custom2&gt;&lt;/record&gt;&lt;/Cite&gt;&lt;/EndNote&gt;</w:instrText>
              </w:r>
              <w:r w:rsidR="002D6F18">
                <w:fldChar w:fldCharType="separate"/>
              </w:r>
              <w:r w:rsidR="002D6F18" w:rsidRPr="00445D54">
                <w:rPr>
                  <w:noProof/>
                  <w:vertAlign w:val="superscript"/>
                </w:rPr>
                <w:t>154</w:t>
              </w:r>
              <w:r w:rsidR="002D6F18">
                <w:fldChar w:fldCharType="end"/>
              </w:r>
            </w:hyperlink>
          </w:p>
          <w:p w14:paraId="015FCE7F" w14:textId="3D44D0BB" w:rsidR="0073047A" w:rsidRPr="00B768A1" w:rsidRDefault="4475CDD7" w:rsidP="00634A83">
            <w:r w:rsidRPr="00B768A1">
              <w:t>Stress about anticipated discrimination and mistreatment in residential aged care settings is common for LGBTIQ+ people.</w:t>
            </w:r>
            <w:hyperlink w:anchor="_ENREF_168" w:tooltip="A, 2021 #1026" w:history="1">
              <w:r w:rsidR="002D6F18">
                <w:fldChar w:fldCharType="begin"/>
              </w:r>
              <w:r w:rsidR="002D6F18">
                <w:instrText xml:space="preserve"> ADDIN EN.CITE &lt;EndNote&gt;&lt;Cite&gt;&lt;Author&gt;A&lt;/Author&gt;&lt;Year&gt;2021&lt;/Year&gt;&lt;RecNum&gt;1026&lt;/RecNum&gt;&lt;DisplayText&gt;&lt;style face="superscript"&gt;168&lt;/style&gt;&lt;/DisplayText&gt;&lt;record&gt;&lt;rec-number&gt;1026&lt;/rec-number&gt;&lt;foreign-keys&gt;&lt;key app="EN" db-id="rsettzd2isasdweewww55s9lffasxav0d0ft" timestamp="1720488461" guid="054bc7d8-56a7-4ae0-a5b3-7ee6976b4c59"&gt;1026&lt;/key&gt;&lt;/foreign-keys&gt;&lt;ref-type name="Journal Article"&gt;17&lt;/ref-type&gt;&lt;contributors&gt;&lt;authors&gt;&lt;author&gt;Lyons A&lt;/author&gt;&lt;author&gt;Alba B&lt;/author&gt;&lt;author&gt;Waling A&lt;/author&gt;&lt;author&gt;Minichiello V&lt;/author&gt;&lt;author&gt;Hughes M&lt;/author&gt;&lt;author&gt;Barrett C&lt;/author&gt;&lt;author&gt;Fredriksen-Goldsen K&lt;/author&gt;&lt;author&gt;Edmonds S&lt;/author&gt;&lt;author&gt;Pepping CA&lt;/author&gt;&lt;/authors&gt;&lt;/contributors&gt;&lt;titles&gt;&lt;title&gt;Comfort Among Older Lesbian and Gay People in Disclosing Their Sexual Orientation to Health and Aged Care Services&lt;/title&gt;&lt;secondary-title&gt;Journal of Applied Gerontology&lt;/secondary-title&gt;&lt;/titles&gt;&lt;periodical&gt;&lt;full-title&gt;Journal of Applied Gerontology&lt;/full-title&gt;&lt;/periodical&gt;&lt;pages&gt;132-141&lt;/pages&gt;&lt;volume&gt;40&lt;/volume&gt;&lt;number&gt;2&lt;/number&gt;&lt;keywords&gt;&lt;keyword&gt;health care policy,sexuality,disparities,stigma&lt;/keyword&gt;&lt;/keywords&gt;&lt;dates&gt;&lt;year&gt;2021&lt;/year&gt;&lt;/dates&gt;&lt;accession-num&gt;32478630&lt;/accession-num&gt;&lt;urls&gt;&lt;related-urls&gt;&lt;url&gt;https://journals.sagepub.com/doi/abs/10.1177/0733464820925330&lt;/url&gt;&lt;/related-urls&gt;&lt;/urls&gt;&lt;electronic-resource-num&gt;10.1177/0733464820925330&lt;/electronic-resource-num&gt;&lt;/record&gt;&lt;/Cite&gt;&lt;/EndNote&gt;</w:instrText>
              </w:r>
              <w:r w:rsidR="002D6F18">
                <w:fldChar w:fldCharType="separate"/>
              </w:r>
              <w:r w:rsidR="002D6F18" w:rsidRPr="00445D54">
                <w:rPr>
                  <w:noProof/>
                  <w:vertAlign w:val="superscript"/>
                </w:rPr>
                <w:t>168</w:t>
              </w:r>
              <w:r w:rsidR="002D6F18">
                <w:fldChar w:fldCharType="end"/>
              </w:r>
            </w:hyperlink>
          </w:p>
        </w:tc>
      </w:tr>
      <w:tr w:rsidR="0073047A" w14:paraId="7C551DCB" w14:textId="77777777" w:rsidTr="48215A0F">
        <w:tc>
          <w:tcPr>
            <w:tcW w:w="1696" w:type="dxa"/>
          </w:tcPr>
          <w:p w14:paraId="2ED58D87" w14:textId="77777777" w:rsidR="0073047A" w:rsidRPr="006B3B74" w:rsidRDefault="0073047A" w:rsidP="00634A83">
            <w:r w:rsidRPr="006B3B74">
              <w:t>Bereavement</w:t>
            </w:r>
          </w:p>
        </w:tc>
        <w:tc>
          <w:tcPr>
            <w:tcW w:w="7513" w:type="dxa"/>
            <w:tcMar>
              <w:top w:w="28" w:type="dxa"/>
              <w:bottom w:w="28" w:type="dxa"/>
            </w:tcMar>
          </w:tcPr>
          <w:p w14:paraId="51A32F29" w14:textId="305FB1CC" w:rsidR="0073047A" w:rsidRPr="00B768A1" w:rsidRDefault="4475CDD7" w:rsidP="00634A83">
            <w:r w:rsidRPr="00B768A1">
              <w:t>People recently bereaved are at a higher risk of suicide and that risk is higher again for people bereaved by a sudden death.</w:t>
            </w:r>
            <w:hyperlink w:anchor="_ENREF_169" w:tooltip="S, 2019 #170" w:history="1">
              <w:r w:rsidR="002D6F18" w:rsidRPr="00791E39">
                <w:rPr>
                  <w:vertAlign w:val="superscript"/>
                </w:rPr>
                <w:fldChar w:fldCharType="begin"/>
              </w:r>
              <w:r w:rsidR="002D6F18">
                <w:rPr>
                  <w:vertAlign w:val="superscript"/>
                </w:rPr>
                <w:instrText xml:space="preserve"> ADDIN EN.CITE &lt;EndNote&gt;&lt;Cite&gt;&lt;Author&gt;S&lt;/Author&gt;&lt;Year&gt;2019&lt;/Year&gt;&lt;RecNum&gt;170&lt;/RecNum&gt;&lt;DisplayText&gt;&lt;style face="superscript"&gt;169&lt;/style&gt;&lt;/DisplayText&gt;&lt;record&gt;&lt;rec-number&gt;170&lt;/rec-number&gt;&lt;foreign-keys&gt;&lt;key app="EN" db-id="rsettzd2isasdweewww55s9lffasxav0d0ft" timestamp="1700699468" guid="8cb8b95d-2a7b-46dd-97aa-7a674f34f565"&gt;170&lt;/key&gt;&lt;/foreign-keys&gt;&lt;ref-type name="Journal Article"&gt;17&lt;/ref-type&gt;&lt;contributors&gt;&lt;authors&gt;&lt;author&gt;Hamdan S&lt;/author&gt;&lt;author&gt;Berkman N&lt;/author&gt;&lt;author&gt;Lavi N&lt;/author&gt;&lt;author&gt;Levy S&lt;/author&gt;&lt;author&gt;Brent D&lt;/author&gt;&lt;/authors&gt;&lt;/contributors&gt;&lt;titles&gt;&lt;title&gt;The Effect of Sudden Death Bereavement on the Risk for Suicide&lt;/title&gt;&lt;secondary-title&gt;Crisis&lt;/secondary-title&gt;&lt;/titles&gt;&lt;periodical&gt;&lt;full-title&gt;Crisis&lt;/full-title&gt;&lt;/periodical&gt;&lt;dates&gt;&lt;year&gt;2019&lt;/year&gt;&lt;/dates&gt;&lt;urls&gt;&lt;/urls&gt;&lt;electronic-resource-num&gt;10.1027/0227-5910/a000635&lt;/electronic-resource-num&gt;&lt;/record&gt;&lt;/Cite&gt;&lt;/EndNote&gt;</w:instrText>
              </w:r>
              <w:r w:rsidR="002D6F18" w:rsidRPr="00791E39">
                <w:rPr>
                  <w:vertAlign w:val="superscript"/>
                </w:rPr>
                <w:fldChar w:fldCharType="separate"/>
              </w:r>
              <w:r w:rsidR="002D6F18">
                <w:rPr>
                  <w:noProof/>
                  <w:vertAlign w:val="superscript"/>
                </w:rPr>
                <w:t>169</w:t>
              </w:r>
              <w:r w:rsidR="002D6F18" w:rsidRPr="00791E39">
                <w:rPr>
                  <w:vertAlign w:val="superscript"/>
                </w:rPr>
                <w:fldChar w:fldCharType="end"/>
              </w:r>
            </w:hyperlink>
            <w:r w:rsidR="00426B97" w:rsidRPr="00791E39">
              <w:rPr>
                <w:vertAlign w:val="superscript"/>
              </w:rPr>
              <w:t>,</w:t>
            </w:r>
            <w:hyperlink w:anchor="_ENREF_170" w:tooltip="M, 2005 #171" w:history="1">
              <w:r w:rsidR="002D6F18" w:rsidRPr="00791E39">
                <w:rPr>
                  <w:vertAlign w:val="superscript"/>
                </w:rPr>
                <w:fldChar w:fldCharType="begin"/>
              </w:r>
              <w:r w:rsidR="002D6F18">
                <w:rPr>
                  <w:vertAlign w:val="superscript"/>
                </w:rPr>
                <w:instrText xml:space="preserve"> ADDIN EN.CITE &lt;EndNote&gt;&lt;Cite&gt;&lt;Author&gt;M&lt;/Author&gt;&lt;Year&gt;2005&lt;/Year&gt;&lt;RecNum&gt;171&lt;/RecNum&gt;&lt;DisplayText&gt;&lt;style face="superscript"&gt;170&lt;/style&gt;&lt;/DisplayText&gt;&lt;record&gt;&lt;rec-number&gt;171&lt;/rec-number&gt;&lt;foreign-keys&gt;&lt;key app="EN" db-id="rsettzd2isasdweewww55s9lffasxav0d0ft" timestamp="1700699468" guid="06fcbd68-ebdc-4ff0-a8a0-917f20f99aab"&gt;171&lt;/key&gt;&lt;/foreign-keys&gt;&lt;ref-type name="Journal Article"&gt;17&lt;/ref-type&gt;&lt;contributors&gt;&lt;authors&gt;&lt;author&gt;Stroebe M&lt;/author&gt;&lt;author&gt;Stroebe W&lt;/author&gt;&lt;author&gt;Abakoumkin G&lt;/author&gt;&lt;/authors&gt;&lt;/contributors&gt;&lt;titles&gt;&lt;title&gt;The Broken Heart: Suicidal Ideation in Bereavement&lt;/title&gt;&lt;secondary-title&gt;American Journal of Psychiatry&lt;/secondary-title&gt;&lt;/titles&gt;&lt;periodical&gt;&lt;full-title&gt;American Journal of Psychiatry&lt;/full-title&gt;&lt;/periodical&gt;&lt;dates&gt;&lt;year&gt;2005&lt;/year&gt;&lt;/dates&gt;&lt;urls&gt;&lt;/urls&gt;&lt;electronic-resource-num&gt;DOI: 10.1176/appi.ajp.162.11.2178&lt;/electronic-resource-num&gt;&lt;/record&gt;&lt;/Cite&gt;&lt;/EndNote&gt;</w:instrText>
              </w:r>
              <w:r w:rsidR="002D6F18" w:rsidRPr="00791E39">
                <w:rPr>
                  <w:vertAlign w:val="superscript"/>
                </w:rPr>
                <w:fldChar w:fldCharType="separate"/>
              </w:r>
              <w:r w:rsidR="002D6F18">
                <w:rPr>
                  <w:noProof/>
                  <w:vertAlign w:val="superscript"/>
                </w:rPr>
                <w:t>170</w:t>
              </w:r>
              <w:r w:rsidR="002D6F18" w:rsidRPr="00791E39">
                <w:rPr>
                  <w:vertAlign w:val="superscript"/>
                </w:rPr>
                <w:fldChar w:fldCharType="end"/>
              </w:r>
            </w:hyperlink>
            <w:r w:rsidRPr="00B768A1">
              <w:rPr>
                <w:vertAlign w:val="superscript"/>
              </w:rPr>
              <w:t xml:space="preserve"> </w:t>
            </w:r>
            <w:r w:rsidRPr="00B768A1">
              <w:t>People bereaved by suicide have 1.65</w:t>
            </w:r>
            <w:r>
              <w:t> </w:t>
            </w:r>
            <w:r w:rsidRPr="00B768A1">
              <w:t>times the likelihood of suicide attempt compared with those bereaved by sudden natural causes.</w:t>
            </w:r>
            <w:hyperlink w:anchor="_ENREF_27" w:tooltip="AL, 2016 #155" w:history="1">
              <w:r w:rsidR="002D6F18">
                <w:fldChar w:fldCharType="begin"/>
              </w:r>
              <w:r w:rsidR="002D6F18">
                <w:instrText xml:space="preserve"> ADDIN EN.CITE &lt;EndNote&gt;&lt;Cite&gt;&lt;Author&gt;AL&lt;/Author&gt;&lt;Year&gt;2016&lt;/Year&gt;&lt;RecNum&gt;155&lt;/RecNum&gt;&lt;DisplayText&gt;&lt;style face="superscript"&gt;27&lt;/style&gt;&lt;/DisplayText&gt;&lt;record&gt;&lt;rec-number&gt;155&lt;/rec-number&gt;&lt;foreign-keys&gt;&lt;key app="EN" db-id="rsettzd2isasdweewww55s9lffasxav0d0ft" timestamp="1700699468" guid="e4280e81-36d8-4480-81e0-68e206a844a7"&gt;155&lt;/key&gt;&lt;/foreign-keys&gt;&lt;ref-type name="Journal Article"&gt;17&lt;/ref-type&gt;&lt;contributors&gt;&lt;authors&gt;&lt;author&gt;Pitman AL&lt;/author&gt;&lt;author&gt;Osborn DPJ&lt;/author&gt;&lt;author&gt;Rantell K&lt;/author&gt;&lt;author&gt;King MB&lt;/author&gt;&lt;/authors&gt;&lt;/contributors&gt;&lt;titles&gt;&lt;title&gt;Bereavement by Suicide as a Risk Factor for Suicide Attempt: A Cross-Sectional National UK-Wide Study of 3432 Young Bereaved Adults&lt;/title&gt;&lt;secondary-title&gt;BMJ Open&lt;/secondary-title&gt;&lt;/titles&gt;&lt;periodical&gt;&lt;full-title&gt;BMJ Open&lt;/full-title&gt;&lt;/periodical&gt;&lt;dates&gt;&lt;year&gt;2016&lt;/year&gt;&lt;/dates&gt;&lt;urls&gt;&lt;/urls&gt;&lt;electronic-resource-num&gt;DOI: 10.1136/bmjopen-2015-009948&lt;/electronic-resource-num&gt;&lt;/record&gt;&lt;/Cite&gt;&lt;/EndNote&gt;</w:instrText>
              </w:r>
              <w:r w:rsidR="002D6F18">
                <w:fldChar w:fldCharType="separate"/>
              </w:r>
              <w:r w:rsidR="002D6F18" w:rsidRPr="0082082D">
                <w:rPr>
                  <w:noProof/>
                  <w:vertAlign w:val="superscript"/>
                </w:rPr>
                <w:t>27</w:t>
              </w:r>
              <w:r w:rsidR="002D6F18">
                <w:fldChar w:fldCharType="end"/>
              </w:r>
            </w:hyperlink>
          </w:p>
        </w:tc>
      </w:tr>
    </w:tbl>
    <w:p w14:paraId="3AA6C4CA" w14:textId="77777777" w:rsidR="0073047A" w:rsidRPr="00641D27" w:rsidRDefault="0073047A" w:rsidP="00100EBC">
      <w:pPr>
        <w:pStyle w:val="BT-Livedexperience-Orange-Heading"/>
        <w:ind w:firstLine="465"/>
      </w:pPr>
      <w:r>
        <w:rPr>
          <w:noProof/>
        </w:rPr>
        <w:drawing>
          <wp:anchor distT="0" distB="0" distL="114300" distR="114300" simplePos="0" relativeHeight="251658242" behindDoc="0" locked="0" layoutInCell="1" allowOverlap="1" wp14:anchorId="4B7FFF85" wp14:editId="2DCF9836">
            <wp:simplePos x="0" y="0"/>
            <wp:positionH relativeFrom="column">
              <wp:posOffset>77944</wp:posOffset>
            </wp:positionH>
            <wp:positionV relativeFrom="paragraph">
              <wp:posOffset>121285</wp:posOffset>
            </wp:positionV>
            <wp:extent cx="318770" cy="318770"/>
            <wp:effectExtent l="0" t="0" r="5080" b="5080"/>
            <wp:wrapNone/>
            <wp:docPr id="10" name="Graphic 10" descr="Start of quotation from Lived Experience Partnership Group memb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5717837"/>
                    <pic:cNvPicPr/>
                  </pic:nvPicPr>
                  <pic:blipFill>
                    <a:blip r:embed="rId43" cstate="print">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rot="16200000">
                      <a:off x="0" y="0"/>
                      <a:ext cx="318770" cy="318770"/>
                    </a:xfrm>
                    <a:prstGeom prst="rect">
                      <a:avLst/>
                    </a:prstGeom>
                  </pic:spPr>
                </pic:pic>
              </a:graphicData>
            </a:graphic>
          </wp:anchor>
        </w:drawing>
      </w:r>
      <w:r w:rsidRPr="04A3B251">
        <w:t>Reflections from people with lived experience</w:t>
      </w:r>
    </w:p>
    <w:p w14:paraId="2AD8497C" w14:textId="77777777" w:rsidR="0073047A" w:rsidRPr="00B768A1" w:rsidRDefault="0073047A" w:rsidP="00634A83">
      <w:pPr>
        <w:pStyle w:val="BT-Livedexperience-Orange"/>
      </w:pPr>
      <w:r w:rsidRPr="00B768A1">
        <w:t>“</w:t>
      </w:r>
      <w:r w:rsidRPr="00290E92">
        <w:t xml:space="preserve">The change that’s happened across the sector is phenomenal. When we lost a family member to suicide over 10 years ago, we battled with nothing, we had no specific support services to turn to and no </w:t>
      </w:r>
      <w:r w:rsidRPr="00290E92">
        <w:rPr>
          <w:rStyle w:val="Strong"/>
          <w:b w:val="0"/>
          <w:bCs w:val="0"/>
        </w:rPr>
        <w:t>help</w:t>
      </w:r>
      <w:r w:rsidRPr="00290E92">
        <w:t xml:space="preserve"> in </w:t>
      </w:r>
      <w:r w:rsidRPr="00290E92">
        <w:rPr>
          <w:rStyle w:val="Strong"/>
          <w:b w:val="0"/>
          <w:bCs w:val="0"/>
        </w:rPr>
        <w:t>navigating next steps</w:t>
      </w:r>
      <w:r w:rsidRPr="00290E92">
        <w:t xml:space="preserve">. The </w:t>
      </w:r>
      <w:r w:rsidRPr="00290E92">
        <w:rPr>
          <w:rStyle w:val="Strong"/>
          <w:b w:val="0"/>
          <w:bCs w:val="0"/>
        </w:rPr>
        <w:t>immediate support</w:t>
      </w:r>
      <w:r w:rsidRPr="00290E92">
        <w:t xml:space="preserve"> is there now where it wasn’t before. Services can step in, in those early days </w:t>
      </w:r>
      <w:r w:rsidRPr="00290E92">
        <w:rPr>
          <w:rStyle w:val="Strong"/>
          <w:b w:val="0"/>
          <w:bCs w:val="0"/>
        </w:rPr>
        <w:t>after the loss of a loved one</w:t>
      </w:r>
      <w:r w:rsidRPr="00290E92">
        <w:t xml:space="preserve">. Ideally, </w:t>
      </w:r>
      <w:r w:rsidRPr="00290E92">
        <w:rPr>
          <w:rStyle w:val="Strong"/>
          <w:b w:val="0"/>
          <w:bCs w:val="0"/>
        </w:rPr>
        <w:t>referrals to supports</w:t>
      </w:r>
      <w:r w:rsidRPr="00290E92">
        <w:t xml:space="preserve"> would happen automatically for those whose life has been impacted by suicide. It makes such a difference to set people up with </w:t>
      </w:r>
      <w:r w:rsidRPr="00290E92">
        <w:rPr>
          <w:rStyle w:val="Strong"/>
          <w:b w:val="0"/>
          <w:bCs w:val="0"/>
        </w:rPr>
        <w:t>wraparound support</w:t>
      </w:r>
      <w:r w:rsidRPr="00290E92">
        <w:t xml:space="preserve"> and </w:t>
      </w:r>
      <w:r w:rsidRPr="00290E92">
        <w:rPr>
          <w:rStyle w:val="Strong"/>
          <w:b w:val="0"/>
          <w:bCs w:val="0"/>
        </w:rPr>
        <w:t>walk beside them</w:t>
      </w:r>
      <w:r w:rsidRPr="00290E92">
        <w:t xml:space="preserve"> on their challenging journey ahead</w:t>
      </w:r>
      <w:r w:rsidRPr="00B768A1">
        <w:t>.”</w:t>
      </w:r>
    </w:p>
    <w:p w14:paraId="4687D431" w14:textId="77777777" w:rsidR="0073047A" w:rsidRDefault="0073047A" w:rsidP="00CB6C46">
      <w:pPr>
        <w:pStyle w:val="BT-Livedexperience-Orange"/>
        <w:jc w:val="right"/>
        <w:rPr>
          <w:rStyle w:val="Strong"/>
          <w:b w:val="0"/>
          <w:bCs w:val="0"/>
        </w:rPr>
      </w:pPr>
      <w:r w:rsidRPr="00B768A1">
        <w:rPr>
          <w:rStyle w:val="Strong"/>
        </w:rPr>
        <w:t>Susan Edgar</w:t>
      </w:r>
      <w:r w:rsidRPr="00753C3F">
        <w:rPr>
          <w:rStyle w:val="Strong"/>
          <w:b w:val="0"/>
          <w:bCs w:val="0"/>
        </w:rPr>
        <w:t>, Lived Experience Partnership Group Chair</w:t>
      </w:r>
    </w:p>
    <w:p w14:paraId="7DACD1AF" w14:textId="77777777" w:rsidR="00D43F15" w:rsidRDefault="00D43F15" w:rsidP="00D43F15">
      <w:r>
        <w:t xml:space="preserve">Supports need to be put in place to address the risk of escalated distress in these circumstances. One means of doing so is by leveraging the related services that many people who are going through life transitions are likely to use; for example, couples going through a separation or divorce may be in contact with legal or family services and/or the Federal Circuit and Family Court of Australia. </w:t>
      </w:r>
    </w:p>
    <w:p w14:paraId="69F51025" w14:textId="77777777" w:rsidR="00D43F15" w:rsidRDefault="00D43F15" w:rsidP="00D43F15">
      <w:r>
        <w:t>These service contacts are well-positioned to identify those who might need additional support and facilitate their engagement with the appropriate services, including culturally sensitive support for Aboriginal and Torres Strait Islander people. Doing so is pivotal to preventing suicide; however, it is important that any action being taken is tailored to suit the circumstances of the transitions and the specific cohorts and is done in collaboration with the experts in those particular social policy areas (action ko5.2a to i).</w:t>
      </w:r>
    </w:p>
    <w:p w14:paraId="79795918" w14:textId="77777777" w:rsidR="00D43F15" w:rsidRDefault="00D43F15" w:rsidP="00D43F15">
      <w:r>
        <w:t xml:space="preserve">The recommended actions to assist people during life transitions are described in </w:t>
      </w:r>
      <w:r>
        <w:fldChar w:fldCharType="begin"/>
      </w:r>
      <w:r>
        <w:instrText xml:space="preserve"> REF _Ref164869873 \h </w:instrText>
      </w:r>
      <w:r>
        <w:fldChar w:fldCharType="separate"/>
      </w:r>
      <w:r>
        <w:t xml:space="preserve">Table </w:t>
      </w:r>
      <w:r>
        <w:rPr>
          <w:noProof/>
        </w:rPr>
        <w:t>14</w:t>
      </w:r>
      <w:r>
        <w:fldChar w:fldCharType="end"/>
      </w:r>
      <w:r>
        <w:t>.</w:t>
      </w:r>
    </w:p>
    <w:p w14:paraId="63E433D7" w14:textId="6EDFEBC9" w:rsidR="0073047A" w:rsidRPr="00B768A1" w:rsidRDefault="0073047A" w:rsidP="00634A83">
      <w:pPr>
        <w:pStyle w:val="BT-Beigebox-Heading"/>
      </w:pPr>
      <w:r w:rsidRPr="00B768A1">
        <w:t>Activity to build on</w:t>
      </w:r>
    </w:p>
    <w:p w14:paraId="44A5A95B" w14:textId="19581088" w:rsidR="0073047A" w:rsidRPr="00B768A1" w:rsidRDefault="4475CDD7" w:rsidP="00100EBC">
      <w:pPr>
        <w:pStyle w:val="BT-Beigebox"/>
        <w:rPr>
          <w:b/>
        </w:rPr>
      </w:pPr>
      <w:r w:rsidRPr="498A3250">
        <w:t>Feel the Magic provides evidence-based early intervention grief education programs for children and young people who are experiencing pain and isolation due to the death of a parent, guardian or sibling. The program aims to support children, young people and their families to develop strategies to cope with a loss. A program for young people bereaved by suicide, called the Let’s Talk Suicide virtual camp, helps them heal from the guilt, shame and blame often associated with suicidal grief.</w:t>
      </w:r>
      <w:hyperlink w:anchor="_ENREF_171" w:tooltip="K, 2023 #401" w:history="1">
        <w:r w:rsidR="002D6F18">
          <w:fldChar w:fldCharType="begin"/>
        </w:r>
        <w:r w:rsidR="002D6F18">
          <w:instrText xml:space="preserve"> ADDIN EN.CITE &lt;EndNote&gt;&lt;Cite&gt;&lt;Author&gt;K&lt;/Author&gt;&lt;Year&gt;2023&lt;/Year&gt;&lt;RecNum&gt;401&lt;/RecNum&gt;&lt;DisplayText&gt;&lt;style face="superscript"&gt;171&lt;/style&gt;&lt;/DisplayText&gt;&lt;record&gt;&lt;rec-number&gt;401&lt;/rec-number&gt;&lt;foreign-keys&gt;&lt;key app="EN" db-id="rsettzd2isasdweewww55s9lffasxav0d0ft" timestamp="1700699473" guid="7de4c72d-a800-4a2f-a8e2-611e2a5b1532"&gt;401&lt;/key&gt;&lt;/foreign-keys&gt;&lt;ref-type name="Journal Article"&gt;17&lt;/ref-type&gt;&lt;contributors&gt;&lt;authors&gt;&lt;author&gt;Krysinska K&lt;/author&gt;&lt;author&gt;Currier D&lt;/author&gt;&lt;author&gt;Andriessen K&lt;/author&gt;&lt;/authors&gt;&lt;/contributors&gt;&lt;titles&gt;&lt;title&gt;Evaluation of a New Online Program for Children Bereaved by Suicide: The Views of Children, Parents, and Facilitators&lt;/title&gt;&lt;secondary-title&gt;Archives of Suicide Research&lt;/secondary-title&gt;&lt;/titles&gt;&lt;periodical&gt;&lt;full-title&gt;Archives of Suicide Research.&lt;/full-title&gt;&lt;abbr-1&gt;Archives of Suicide Research&lt;/abbr-1&gt;&lt;/periodical&gt;&lt;dates&gt;&lt;year&gt;2023&lt;/year&gt;&lt;/dates&gt;&lt;urls&gt;&lt;/urls&gt;&lt;electronic-resource-num&gt;DOI: 10.1080/13811118.2023.2185559&lt;/electronic-resource-num&gt;&lt;/record&gt;&lt;/Cite&gt;&lt;/EndNote&gt;</w:instrText>
        </w:r>
        <w:r w:rsidR="002D6F18">
          <w:fldChar w:fldCharType="separate"/>
        </w:r>
        <w:r w:rsidR="002D6F18" w:rsidRPr="00445D54">
          <w:rPr>
            <w:noProof/>
            <w:vertAlign w:val="superscript"/>
          </w:rPr>
          <w:t>171</w:t>
        </w:r>
        <w:r w:rsidR="002D6F18">
          <w:fldChar w:fldCharType="end"/>
        </w:r>
      </w:hyperlink>
    </w:p>
    <w:p w14:paraId="225ED144" w14:textId="6B5249B1" w:rsidR="0073047A" w:rsidRPr="00B768A1" w:rsidRDefault="4475CDD7" w:rsidP="00100EBC">
      <w:pPr>
        <w:pStyle w:val="BT-Beigebox"/>
      </w:pPr>
      <w:r w:rsidRPr="48215A0F">
        <w:rPr>
          <w:i/>
          <w:iCs/>
        </w:rPr>
        <w:t>A practitioner’s resource guide: helping families to support their Lesbian, Gay, Bisexual and Transgender children</w:t>
      </w:r>
      <w:r w:rsidRPr="498A3250">
        <w:t xml:space="preserve"> helps health and social service practitioners understand the central role of family acceptance and rejection in the health and wellbeing of adolescents who identify as lesbian, gay, bisexual or transgender. It provides implementation guidance for an evidence-informed family support model developed by the Family Acceptance Project.</w:t>
      </w:r>
      <w:hyperlink w:anchor="_ENREF_172" w:tooltip="Administration, 2014 #403" w:history="1">
        <w:r w:rsidR="002D6F18">
          <w:fldChar w:fldCharType="begin"/>
        </w:r>
        <w:r w:rsidR="002D6F18">
          <w:instrText xml:space="preserve"> ADDIN EN.CITE &lt;EndNote&gt;&lt;Cite&gt;&lt;Author&gt;Administration&lt;/Author&gt;&lt;Year&gt;2014&lt;/Year&gt;&lt;RecNum&gt;403&lt;/RecNum&gt;&lt;DisplayText&gt;&lt;style face="superscript"&gt;172&lt;/style&gt;&lt;/DisplayText&gt;&lt;record&gt;&lt;rec-number&gt;403&lt;/rec-number&gt;&lt;foreign-keys&gt;&lt;key app="EN" db-id="rsettzd2isasdweewww55s9lffasxav0d0ft" timestamp="1700699473" guid="bebb7e7d-ab1b-403a-ac75-e07822bba4be"&gt;403&lt;/key&gt;&lt;/foreign-keys&gt;&lt;ref-type name="Web Page"&gt;12&lt;/ref-type&gt;&lt;contributors&gt;&lt;authors&gt;&lt;author&gt;Substance Abuse and Mental Health Services Administration&lt;/author&gt;&lt;/authors&gt;&lt;/contributors&gt;&lt;titles&gt;&lt;title&gt;A Practitioner&amp;apos;s Resource Guide: Helping Families to Support Their LGBT Children&lt;/title&gt;&lt;/titles&gt;&lt;dates&gt;&lt;year&gt;2014&lt;/year&gt;&lt;/dates&gt;&lt;publisher&gt;SAMHSA&lt;/publisher&gt;&lt;work-type&gt;Internet&lt;/work-type&gt;&lt;urls&gt;&lt;related-urls&gt;&lt;url&gt;https://store.samhsa.gov/sites/default/files/d7/priv/pep14-lgbtkids.pdf&lt;/url&gt;&lt;/related-urls&gt;&lt;/urls&gt;&lt;custom1&gt;2023&lt;/custom1&gt;&lt;custom2&gt;October 30&lt;/custom2&gt;&lt;/record&gt;&lt;/Cite&gt;&lt;/EndNote&gt;</w:instrText>
        </w:r>
        <w:r w:rsidR="002D6F18">
          <w:fldChar w:fldCharType="separate"/>
        </w:r>
        <w:r w:rsidR="002D6F18" w:rsidRPr="00445D54">
          <w:rPr>
            <w:noProof/>
            <w:vertAlign w:val="superscript"/>
          </w:rPr>
          <w:t>172</w:t>
        </w:r>
        <w:r w:rsidR="002D6F18">
          <w:fldChar w:fldCharType="end"/>
        </w:r>
      </w:hyperlink>
      <w:r w:rsidRPr="498A3250">
        <w:t xml:space="preserve"> The model can be implemented to reduce risk for suicidal thoughts and behaviours, depression and substance use, to decrease family rejection and to promote wellbeing. It is complemented by family education resources.</w:t>
      </w:r>
      <w:hyperlink w:anchor="_ENREF_173" w:tooltip="C, 2009 #404" w:history="1">
        <w:r w:rsidR="002D6F18">
          <w:fldChar w:fldCharType="begin"/>
        </w:r>
        <w:r w:rsidR="002D6F18">
          <w:instrText xml:space="preserve"> ADDIN EN.CITE &lt;EndNote&gt;&lt;Cite&gt;&lt;Author&gt;C&lt;/Author&gt;&lt;Year&gt;2009&lt;/Year&gt;&lt;RecNum&gt;404&lt;/RecNum&gt;&lt;DisplayText&gt;&lt;style face="superscript"&gt;173&lt;/style&gt;&lt;/DisplayText&gt;&lt;record&gt;&lt;rec-number&gt;404&lt;/rec-number&gt;&lt;foreign-keys&gt;&lt;key app="EN" db-id="rsettzd2isasdweewww55s9lffasxav0d0ft" timestamp="1700699473" guid="dbc9b803-119b-4a12-9c03-d42ac339ba4d"&gt;404&lt;/key&gt;&lt;/foreign-keys&gt;&lt;ref-type name="Web Page"&gt;12&lt;/ref-type&gt;&lt;contributors&gt;&lt;authors&gt;&lt;author&gt;Ryan C&lt;/author&gt;&lt;/authors&gt;&lt;/contributors&gt;&lt;titles&gt;&lt;title&gt;Helping Families Support Their Lesbian, Gay, Bisexual, and Transgender (LGBT) Children&lt;/title&gt;&lt;/titles&gt;&lt;dates&gt;&lt;year&gt;2009&lt;/year&gt;&lt;/dates&gt;&lt;publisher&gt;Georgetown University Center for Child and Human Development&lt;/publisher&gt;&lt;work-type&gt;Internet&lt;/work-type&gt;&lt;urls&gt;&lt;related-urls&gt;&lt;url&gt;https://nccc.georgetown.edu/documents/LGBT_Brief.pdf&lt;/url&gt;&lt;/related-urls&gt;&lt;/urls&gt;&lt;custom1&gt;2023&lt;/custom1&gt;&lt;custom2&gt;October 30&lt;/custom2&gt;&lt;/record&gt;&lt;/Cite&gt;&lt;/EndNote&gt;</w:instrText>
        </w:r>
        <w:r w:rsidR="002D6F18">
          <w:fldChar w:fldCharType="separate"/>
        </w:r>
        <w:r w:rsidR="002D6F18" w:rsidRPr="00445D54">
          <w:rPr>
            <w:noProof/>
            <w:vertAlign w:val="superscript"/>
          </w:rPr>
          <w:t>173</w:t>
        </w:r>
        <w:r w:rsidR="002D6F18">
          <w:fldChar w:fldCharType="end"/>
        </w:r>
      </w:hyperlink>
    </w:p>
    <w:p w14:paraId="2A8EE2F0" w14:textId="53DA7383" w:rsidR="0073047A" w:rsidRPr="00B768A1" w:rsidRDefault="0073047A" w:rsidP="00745B34">
      <w:pPr>
        <w:pStyle w:val="Caption"/>
      </w:pPr>
      <w:bookmarkStart w:id="75" w:name="_Ref164869873"/>
      <w:r>
        <w:t>Table</w:t>
      </w:r>
      <w:r w:rsidR="00F823CC">
        <w:t xml:space="preserve"> </w:t>
      </w:r>
      <w:r w:rsidR="00F93B6D">
        <w:fldChar w:fldCharType="begin"/>
      </w:r>
      <w:r w:rsidR="00F93B6D">
        <w:instrText>SEQ Table \* ARABIC  \* MERGEFORMAT</w:instrText>
      </w:r>
      <w:r w:rsidR="00F93B6D">
        <w:fldChar w:fldCharType="separate"/>
      </w:r>
      <w:r w:rsidR="009F12B4">
        <w:rPr>
          <w:noProof/>
        </w:rPr>
        <w:t>14</w:t>
      </w:r>
      <w:r w:rsidR="00F93B6D">
        <w:rPr>
          <w:noProof/>
        </w:rPr>
        <w:fldChar w:fldCharType="end"/>
      </w:r>
      <w:bookmarkEnd w:id="75"/>
      <w:r>
        <w:t xml:space="preserve">: Recommended actions for Prevention objective </w:t>
      </w:r>
      <w:r w:rsidR="000A428B">
        <w:t>5.2</w:t>
      </w:r>
      <w:r>
        <w:t>: Assist people with challenging life transitions</w:t>
      </w:r>
    </w:p>
    <w:tbl>
      <w:tblPr>
        <w:tblStyle w:val="TableGrid"/>
        <w:tblW w:w="9067" w:type="dxa"/>
        <w:tblLayout w:type="fixed"/>
        <w:tblLook w:val="0420" w:firstRow="1" w:lastRow="0" w:firstColumn="0" w:lastColumn="0" w:noHBand="0" w:noVBand="1"/>
        <w:tblCaption w:val="Recommendations actions for Prevention objective 2.6: Assist people with challenging life transitions"/>
        <w:tblDescription w:val="Describes actions ko2.6a to ko2.6i."/>
      </w:tblPr>
      <w:tblGrid>
        <w:gridCol w:w="1271"/>
        <w:gridCol w:w="7796"/>
      </w:tblGrid>
      <w:tr w:rsidR="00100EBC" w:rsidRPr="00DE14DA" w14:paraId="04BDF9B5" w14:textId="77777777" w:rsidTr="24AB9016">
        <w:trPr>
          <w:cnfStyle w:val="100000000000" w:firstRow="1" w:lastRow="0" w:firstColumn="0" w:lastColumn="0" w:oddVBand="0" w:evenVBand="0" w:oddHBand="0" w:evenHBand="0" w:firstRowFirstColumn="0" w:firstRowLastColumn="0" w:lastRowFirstColumn="0" w:lastRowLastColumn="0"/>
          <w:tblHeader/>
        </w:trPr>
        <w:tc>
          <w:tcPr>
            <w:tcW w:w="12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48002"/>
          </w:tcPr>
          <w:p w14:paraId="46A4E4BC" w14:textId="77777777" w:rsidR="00100EBC" w:rsidRPr="00F3096E" w:rsidRDefault="00100EBC" w:rsidP="00100EBC">
            <w:pPr>
              <w:pStyle w:val="NMHCTableHeaderRow"/>
              <w:rPr>
                <w:u w:val="single"/>
              </w:rPr>
            </w:pPr>
            <w:r w:rsidRPr="105AEE34">
              <w:t>Action</w:t>
            </w:r>
          </w:p>
        </w:tc>
        <w:tc>
          <w:tcPr>
            <w:tcW w:w="7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48002"/>
            <w:tcMar>
              <w:top w:w="28" w:type="dxa"/>
              <w:bottom w:w="28" w:type="dxa"/>
            </w:tcMar>
          </w:tcPr>
          <w:p w14:paraId="3EE7C814" w14:textId="77777777" w:rsidR="00100EBC" w:rsidRPr="00F3096E" w:rsidRDefault="00100EBC" w:rsidP="00100EBC">
            <w:pPr>
              <w:pStyle w:val="NMHCTableHeaderRow"/>
            </w:pPr>
            <w:r w:rsidRPr="105AEE34">
              <w:t>Description</w:t>
            </w:r>
          </w:p>
        </w:tc>
      </w:tr>
      <w:tr w:rsidR="00100EBC" w:rsidRPr="00B768A1" w14:paraId="0B59E071" w14:textId="77777777" w:rsidTr="24AB9016">
        <w:tc>
          <w:tcPr>
            <w:tcW w:w="1271" w:type="dxa"/>
            <w:tcBorders>
              <w:top w:val="single" w:sz="4" w:space="0" w:color="FFFFFF" w:themeColor="background1"/>
            </w:tcBorders>
          </w:tcPr>
          <w:p w14:paraId="0721556C" w14:textId="328D7764" w:rsidR="00100EBC" w:rsidRPr="00B768A1" w:rsidRDefault="00100EBC" w:rsidP="00634A83">
            <w:r>
              <w:t>ko5.2</w:t>
            </w:r>
            <w:r w:rsidRPr="00B768A1">
              <w:t>a</w:t>
            </w:r>
          </w:p>
        </w:tc>
        <w:tc>
          <w:tcPr>
            <w:tcW w:w="7796" w:type="dxa"/>
            <w:tcBorders>
              <w:top w:val="single" w:sz="4" w:space="0" w:color="FFFFFF" w:themeColor="background1"/>
            </w:tcBorders>
            <w:tcMar>
              <w:top w:w="28" w:type="dxa"/>
              <w:bottom w:w="28" w:type="dxa"/>
            </w:tcMar>
          </w:tcPr>
          <w:p w14:paraId="24D6BA59" w14:textId="77777777" w:rsidR="00100EBC" w:rsidRPr="00B768A1" w:rsidRDefault="00100EBC" w:rsidP="00634A83">
            <w:r w:rsidRPr="00B768A1">
              <w:t>Increase access to and promotion of support programs for people transitioning into parenthood to help those experiencing parenting-related difficulties and distress.</w:t>
            </w:r>
          </w:p>
        </w:tc>
      </w:tr>
      <w:tr w:rsidR="00100EBC" w:rsidRPr="00B768A1" w14:paraId="603C31B6" w14:textId="77777777" w:rsidTr="24AB9016">
        <w:tc>
          <w:tcPr>
            <w:tcW w:w="1271" w:type="dxa"/>
          </w:tcPr>
          <w:p w14:paraId="120414D0" w14:textId="7F7A2075" w:rsidR="00100EBC" w:rsidRPr="00BF09EB" w:rsidRDefault="00100EBC" w:rsidP="00634A83">
            <w:r>
              <w:t>k</w:t>
            </w:r>
            <w:r w:rsidRPr="00BF09EB">
              <w:t>o5.2b</w:t>
            </w:r>
          </w:p>
        </w:tc>
        <w:tc>
          <w:tcPr>
            <w:tcW w:w="7796" w:type="dxa"/>
            <w:tcMar>
              <w:top w:w="28" w:type="dxa"/>
              <w:bottom w:w="28" w:type="dxa"/>
            </w:tcMar>
          </w:tcPr>
          <w:p w14:paraId="419F2729" w14:textId="77777777" w:rsidR="00100EBC" w:rsidRPr="00BF09EB" w:rsidRDefault="00100EBC" w:rsidP="00634A83">
            <w:r w:rsidRPr="00BF09EB">
              <w:t>Through the Family and Magistrate Court systems, for people involved in family law and domestic violence matters, continue to provide information on and referrals to suicide prevention and other support programs, including peer support, counselling services, legal advice and parental assistance.</w:t>
            </w:r>
          </w:p>
        </w:tc>
      </w:tr>
      <w:tr w:rsidR="00100EBC" w:rsidRPr="00B768A1" w14:paraId="7E7CEB2D" w14:textId="77777777" w:rsidTr="24AB9016">
        <w:tc>
          <w:tcPr>
            <w:tcW w:w="1271" w:type="dxa"/>
          </w:tcPr>
          <w:p w14:paraId="004BF5F4" w14:textId="1A99E00B" w:rsidR="00100EBC" w:rsidRPr="00B768A1" w:rsidRDefault="00100EBC" w:rsidP="00634A83">
            <w:r>
              <w:t>ko5.2</w:t>
            </w:r>
            <w:r w:rsidRPr="00B768A1">
              <w:t>c</w:t>
            </w:r>
          </w:p>
        </w:tc>
        <w:tc>
          <w:tcPr>
            <w:tcW w:w="7796" w:type="dxa"/>
            <w:tcMar>
              <w:top w:w="28" w:type="dxa"/>
              <w:bottom w:w="28" w:type="dxa"/>
            </w:tcMar>
          </w:tcPr>
          <w:p w14:paraId="7D273527" w14:textId="77777777" w:rsidR="00100EBC" w:rsidRPr="00B768A1" w:rsidRDefault="00100EBC" w:rsidP="00634A83">
            <w:pPr>
              <w:rPr>
                <w:b/>
                <w:bCs/>
              </w:rPr>
            </w:pPr>
            <w:r w:rsidRPr="00B768A1">
              <w:rPr>
                <w:rStyle w:val="eop"/>
              </w:rPr>
              <w:t>Continue to provide subsidised access to counselling for people going through separation and divorce, promoted through family law services and other key touchpoints in the family law system.</w:t>
            </w:r>
          </w:p>
        </w:tc>
      </w:tr>
      <w:tr w:rsidR="00100EBC" w:rsidRPr="00B768A1" w14:paraId="74D63729" w14:textId="77777777" w:rsidTr="24AB9016">
        <w:tc>
          <w:tcPr>
            <w:tcW w:w="1271" w:type="dxa"/>
          </w:tcPr>
          <w:p w14:paraId="1957110A" w14:textId="2EC77C9A" w:rsidR="00100EBC" w:rsidRPr="00B768A1" w:rsidRDefault="00100EBC" w:rsidP="00634A83">
            <w:r>
              <w:t>ko5.2</w:t>
            </w:r>
            <w:r w:rsidRPr="00B768A1">
              <w:t>d</w:t>
            </w:r>
          </w:p>
        </w:tc>
        <w:tc>
          <w:tcPr>
            <w:tcW w:w="7796" w:type="dxa"/>
            <w:tcMar>
              <w:top w:w="28" w:type="dxa"/>
              <w:bottom w:w="28" w:type="dxa"/>
            </w:tcMar>
          </w:tcPr>
          <w:p w14:paraId="3C35717E" w14:textId="77777777" w:rsidR="00100EBC" w:rsidRPr="00B768A1" w:rsidRDefault="00100EBC" w:rsidP="00634A83">
            <w:r>
              <w:t>Provide timely and effective support for people in prison or youth detention settings.</w:t>
            </w:r>
          </w:p>
          <w:p w14:paraId="694FC5D7" w14:textId="77777777" w:rsidR="00100EBC" w:rsidRPr="00B768A1" w:rsidRDefault="00100EBC" w:rsidP="00634A83">
            <w:pPr>
              <w:pStyle w:val="ListParagraph"/>
              <w:numPr>
                <w:ilvl w:val="0"/>
                <w:numId w:val="15"/>
              </w:numPr>
            </w:pPr>
            <w:r>
              <w:t>Effective mental health and suicide prevention supports.</w:t>
            </w:r>
          </w:p>
          <w:p w14:paraId="3465A57E" w14:textId="1EEE4381" w:rsidR="00100EBC" w:rsidRPr="00B768A1" w:rsidRDefault="75009835" w:rsidP="00634A83">
            <w:pPr>
              <w:pStyle w:val="ListParagraph"/>
              <w:numPr>
                <w:ilvl w:val="0"/>
                <w:numId w:val="15"/>
              </w:numPr>
            </w:pPr>
            <w:r>
              <w:t>Transition support programs that facilitate access to stable housing, and develop psychosocial, employment and job-seeking capabilities, and provide ongoing transitional support after release</w:t>
            </w:r>
            <w:r w:rsidR="29A69B66">
              <w:t xml:space="preserve"> </w:t>
            </w:r>
            <w:r w:rsidR="29865307">
              <w:t>and—for Aboriginal and Torres Strait Islander people leaving prison—cultural support.</w:t>
            </w:r>
          </w:p>
        </w:tc>
      </w:tr>
      <w:tr w:rsidR="00100EBC" w:rsidRPr="00B768A1" w14:paraId="132CEAEA" w14:textId="77777777" w:rsidTr="24AB9016">
        <w:trPr>
          <w:trHeight w:val="300"/>
        </w:trPr>
        <w:tc>
          <w:tcPr>
            <w:tcW w:w="1271" w:type="dxa"/>
          </w:tcPr>
          <w:p w14:paraId="590F2138" w14:textId="518F85D2" w:rsidR="00100EBC" w:rsidRPr="00B768A1" w:rsidRDefault="00100EBC" w:rsidP="00634A83">
            <w:r>
              <w:t>ko5.2</w:t>
            </w:r>
            <w:r w:rsidRPr="00B768A1">
              <w:t>e</w:t>
            </w:r>
          </w:p>
        </w:tc>
        <w:tc>
          <w:tcPr>
            <w:tcW w:w="7796" w:type="dxa"/>
            <w:tcMar>
              <w:top w:w="28" w:type="dxa"/>
              <w:bottom w:w="28" w:type="dxa"/>
            </w:tcMar>
          </w:tcPr>
          <w:p w14:paraId="347A4EF7" w14:textId="654B14B5" w:rsidR="00100EBC" w:rsidRPr="00B768A1" w:rsidRDefault="00100EBC" w:rsidP="00634A83">
            <w:r w:rsidRPr="00B768A1">
              <w:t xml:space="preserve">Fund assistance for people transitioning into aged care environments, </w:t>
            </w:r>
            <w:r w:rsidR="005B122F">
              <w:t>including</w:t>
            </w:r>
            <w:r w:rsidR="000854E3">
              <w:t xml:space="preserve"> </w:t>
            </w:r>
            <w:r w:rsidRPr="00B768A1">
              <w:t>culturally appropriate, trauma-informed and healing-informed approaches for Aboriginal and Torres Strait Islander peoples that acknowledge the heightened trauma associated with moving into institutional settings for members of the Stolen Generations.</w:t>
            </w:r>
          </w:p>
        </w:tc>
      </w:tr>
      <w:tr w:rsidR="00100EBC" w:rsidRPr="00B768A1" w14:paraId="74FD9F9B" w14:textId="77777777" w:rsidTr="24AB9016">
        <w:trPr>
          <w:trHeight w:val="300"/>
        </w:trPr>
        <w:tc>
          <w:tcPr>
            <w:tcW w:w="1271" w:type="dxa"/>
          </w:tcPr>
          <w:p w14:paraId="3D3CD10D" w14:textId="48C4D453" w:rsidR="00100EBC" w:rsidRPr="00B768A1" w:rsidRDefault="00100EBC" w:rsidP="00634A83">
            <w:r>
              <w:t>ko5.2</w:t>
            </w:r>
            <w:r w:rsidRPr="00B768A1">
              <w:t>f</w:t>
            </w:r>
          </w:p>
        </w:tc>
        <w:tc>
          <w:tcPr>
            <w:tcW w:w="7796" w:type="dxa"/>
            <w:tcMar>
              <w:top w:w="28" w:type="dxa"/>
              <w:bottom w:w="28" w:type="dxa"/>
            </w:tcMar>
          </w:tcPr>
          <w:p w14:paraId="612CA27B" w14:textId="77777777" w:rsidR="00100EBC" w:rsidRPr="00B768A1" w:rsidRDefault="00100EBC" w:rsidP="00634A83">
            <w:r w:rsidRPr="00B768A1">
              <w:t xml:space="preserve">Provide universal access to: </w:t>
            </w:r>
          </w:p>
          <w:p w14:paraId="086242D2" w14:textId="77777777" w:rsidR="00100EBC" w:rsidRPr="00B768A1" w:rsidRDefault="00100EBC" w:rsidP="00634A83">
            <w:pPr>
              <w:pStyle w:val="ListParagraph"/>
              <w:numPr>
                <w:ilvl w:val="0"/>
                <w:numId w:val="61"/>
              </w:numPr>
              <w:rPr>
                <w:lang w:eastAsia="en-AU"/>
              </w:rPr>
            </w:pPr>
            <w:r>
              <w:t>postvention services to support people bereaved by suicide, including dedicated tailored supports for groups disproportionately impacted by suicide</w:t>
            </w:r>
          </w:p>
          <w:p w14:paraId="3CAA289D" w14:textId="77777777" w:rsidR="00100EBC" w:rsidRPr="00B768A1" w:rsidRDefault="00100EBC" w:rsidP="00634A83">
            <w:pPr>
              <w:pStyle w:val="ListParagraph"/>
              <w:numPr>
                <w:ilvl w:val="0"/>
                <w:numId w:val="61"/>
              </w:numPr>
              <w:rPr>
                <w:rFonts w:eastAsia="Calibri" w:cs="Calibri"/>
              </w:rPr>
            </w:pPr>
            <w:r>
              <w:t xml:space="preserve">bereavement support for all, including </w:t>
            </w:r>
            <w:r w:rsidRPr="267F0FA9">
              <w:t>grief counselling, financial and legal advice and other care.</w:t>
            </w:r>
          </w:p>
        </w:tc>
      </w:tr>
      <w:tr w:rsidR="00100EBC" w:rsidRPr="00B768A1" w14:paraId="106E8AC6" w14:textId="77777777" w:rsidTr="24AB9016">
        <w:trPr>
          <w:trHeight w:val="300"/>
        </w:trPr>
        <w:tc>
          <w:tcPr>
            <w:tcW w:w="1271" w:type="dxa"/>
          </w:tcPr>
          <w:p w14:paraId="40E10022" w14:textId="51B18D2E" w:rsidR="00100EBC" w:rsidRPr="00B768A1" w:rsidRDefault="00100EBC" w:rsidP="00634A83">
            <w:r>
              <w:t>ko5.2</w:t>
            </w:r>
            <w:r w:rsidRPr="00B768A1">
              <w:t>g</w:t>
            </w:r>
          </w:p>
        </w:tc>
        <w:tc>
          <w:tcPr>
            <w:tcW w:w="7796" w:type="dxa"/>
            <w:tcMar>
              <w:top w:w="28" w:type="dxa"/>
              <w:bottom w:w="28" w:type="dxa"/>
            </w:tcMar>
          </w:tcPr>
          <w:p w14:paraId="12CEF7E3" w14:textId="77777777" w:rsidR="00100EBC" w:rsidRPr="00B768A1" w:rsidRDefault="00100EBC" w:rsidP="00634A83">
            <w:r w:rsidRPr="00B768A1">
              <w:t xml:space="preserve">Draw on existing reviews of workers compensation processes in Australia to develop best practices to improve: </w:t>
            </w:r>
          </w:p>
          <w:p w14:paraId="290889A5" w14:textId="77777777" w:rsidR="00100EBC" w:rsidRPr="00B768A1" w:rsidRDefault="00100EBC" w:rsidP="00634A83">
            <w:pPr>
              <w:pStyle w:val="ListParagraph"/>
              <w:numPr>
                <w:ilvl w:val="0"/>
                <w:numId w:val="62"/>
              </w:numPr>
            </w:pPr>
            <w:r>
              <w:t>the timeliness and fairness of procedures</w:t>
            </w:r>
          </w:p>
          <w:p w14:paraId="47955209" w14:textId="77777777" w:rsidR="00100EBC" w:rsidRPr="00B768A1" w:rsidRDefault="00100EBC" w:rsidP="00634A83">
            <w:pPr>
              <w:pStyle w:val="ListParagraph"/>
              <w:numPr>
                <w:ilvl w:val="0"/>
                <w:numId w:val="62"/>
              </w:numPr>
            </w:pPr>
            <w:r>
              <w:t>the quality and duration of psychological support provided</w:t>
            </w:r>
          </w:p>
          <w:p w14:paraId="46790DF8" w14:textId="77777777" w:rsidR="00100EBC" w:rsidRPr="00B768A1" w:rsidRDefault="00100EBC" w:rsidP="00634A83">
            <w:pPr>
              <w:pStyle w:val="ListParagraph"/>
              <w:numPr>
                <w:ilvl w:val="0"/>
                <w:numId w:val="62"/>
              </w:numPr>
            </w:pPr>
            <w:r>
              <w:t>the overall worker experience of claims processes</w:t>
            </w:r>
          </w:p>
          <w:p w14:paraId="2D19AFBF" w14:textId="77777777" w:rsidR="00100EBC" w:rsidRPr="00B768A1" w:rsidRDefault="00100EBC" w:rsidP="00634A83">
            <w:pPr>
              <w:pStyle w:val="ListParagraph"/>
              <w:numPr>
                <w:ilvl w:val="0"/>
                <w:numId w:val="62"/>
              </w:numPr>
            </w:pPr>
            <w:r>
              <w:t>return to work outcomes.</w:t>
            </w:r>
          </w:p>
        </w:tc>
      </w:tr>
      <w:tr w:rsidR="00100EBC" w:rsidRPr="00B768A1" w14:paraId="7AC27045" w14:textId="77777777" w:rsidTr="24AB9016">
        <w:trPr>
          <w:trHeight w:val="300"/>
        </w:trPr>
        <w:tc>
          <w:tcPr>
            <w:tcW w:w="1271" w:type="dxa"/>
          </w:tcPr>
          <w:p w14:paraId="7BCE8094" w14:textId="4CC904F8" w:rsidR="00100EBC" w:rsidRPr="00BF09EB" w:rsidRDefault="00100EBC" w:rsidP="00634A83">
            <w:r>
              <w:t>k</w:t>
            </w:r>
            <w:r w:rsidRPr="00BF09EB">
              <w:t>o5.2h</w:t>
            </w:r>
          </w:p>
        </w:tc>
        <w:tc>
          <w:tcPr>
            <w:tcW w:w="7796" w:type="dxa"/>
            <w:tcMar>
              <w:top w:w="28" w:type="dxa"/>
              <w:bottom w:w="28" w:type="dxa"/>
            </w:tcMar>
          </w:tcPr>
          <w:p w14:paraId="3C27A5E0" w14:textId="19209285" w:rsidR="00100EBC" w:rsidRPr="00BF09EB" w:rsidRDefault="005962CE" w:rsidP="005962CE">
            <w:pPr>
              <w:spacing w:before="120"/>
            </w:pPr>
            <w:r w:rsidRPr="005962CE">
              <w:t xml:space="preserve">Implement measures aligned with the Australian Government response to the </w:t>
            </w:r>
            <w:r w:rsidRPr="00864994">
              <w:rPr>
                <w:i/>
                <w:iCs/>
              </w:rPr>
              <w:t xml:space="preserve">Final Report </w:t>
            </w:r>
            <w:r w:rsidRPr="005962CE">
              <w:t>of the Royal Commission into Defence and Veteran Suicide.</w:t>
            </w:r>
            <w:hyperlink w:anchor="_ENREF_174" w:tooltip="Government, 2024 #1143" w:history="1">
              <w:r w:rsidR="002D6F18">
                <w:fldChar w:fldCharType="begin"/>
              </w:r>
              <w:r w:rsidR="002D6F18">
                <w:instrText xml:space="preserve"> ADDIN EN.CITE &lt;EndNote&gt;&lt;Cite&gt;&lt;Author&gt;Government&lt;/Author&gt;&lt;Year&gt;2024&lt;/Year&gt;&lt;RecNum&gt;1143&lt;/RecNum&gt;&lt;DisplayText&gt;&lt;style face="superscript"&gt;174&lt;/style&gt;&lt;/DisplayText&gt;&lt;record&gt;&lt;rec-number&gt;1143&lt;/rec-number&gt;&lt;foreign-keys&gt;&lt;key app="EN" db-id="rsettzd2isasdweewww55s9lffasxav0d0ft" timestamp="1725863980" guid="5320dffa-6d8a-41bc-a2e9-8f468d3e81ea"&gt;1143&lt;/key&gt;&lt;/foreign-keys&gt;&lt;ref-type name="Web Page"&gt;12&lt;/ref-type&gt;&lt;contributors&gt;&lt;authors&gt;&lt;author&gt;Australian Government&lt;/author&gt;&lt;/authors&gt;&lt;/contributors&gt;&lt;titles&gt;&lt;title&gt;Royal Commission into Defence and Veteran Suicide: Final report&lt;/title&gt;&lt;/titles&gt;&lt;dates&gt;&lt;year&gt;2024&lt;/year&gt;&lt;/dates&gt;&lt;pub-location&gt;Canberra&lt;/pub-location&gt;&lt;publisher&gt;Australian Government&lt;/publisher&gt;&lt;isbn&gt;978-1-921357-05-3 (online)&lt;/isbn&gt;&lt;work-type&gt;Internet&lt;/work-type&gt;&lt;urls&gt;&lt;related-urls&gt;&lt;url&gt;https://www.aph.gov.au/Parliamentary_Business/Tabled_Documents/7262&lt;/url&gt;&lt;/related-urls&gt;&lt;/urls&gt;&lt;custom1&gt;2024&lt;/custom1&gt;&lt;custom2&gt;September 09&lt;/custom2&gt;&lt;/record&gt;&lt;/Cite&gt;&lt;/EndNote&gt;</w:instrText>
              </w:r>
              <w:r w:rsidR="002D6F18">
                <w:fldChar w:fldCharType="separate"/>
              </w:r>
              <w:r w:rsidR="002D6F18" w:rsidRPr="00C559B5">
                <w:rPr>
                  <w:noProof/>
                  <w:vertAlign w:val="superscript"/>
                </w:rPr>
                <w:t>174</w:t>
              </w:r>
              <w:r w:rsidR="002D6F18">
                <w:fldChar w:fldCharType="end"/>
              </w:r>
            </w:hyperlink>
          </w:p>
        </w:tc>
      </w:tr>
      <w:tr w:rsidR="00100EBC" w:rsidRPr="00B768A1" w14:paraId="14D02195" w14:textId="77777777" w:rsidTr="24AB9016">
        <w:trPr>
          <w:trHeight w:val="300"/>
        </w:trPr>
        <w:tc>
          <w:tcPr>
            <w:tcW w:w="1271" w:type="dxa"/>
          </w:tcPr>
          <w:p w14:paraId="1059F570" w14:textId="19E5D759" w:rsidR="00100EBC" w:rsidRPr="00BF09EB" w:rsidRDefault="00100EBC" w:rsidP="00634A83">
            <w:r>
              <w:t>k</w:t>
            </w:r>
            <w:r w:rsidRPr="00BF09EB">
              <w:t>o5.2i</w:t>
            </w:r>
          </w:p>
        </w:tc>
        <w:tc>
          <w:tcPr>
            <w:tcW w:w="7796" w:type="dxa"/>
            <w:tcMar>
              <w:top w:w="28" w:type="dxa"/>
              <w:bottom w:w="28" w:type="dxa"/>
            </w:tcMar>
          </w:tcPr>
          <w:p w14:paraId="66299297" w14:textId="77777777" w:rsidR="00100EBC" w:rsidRPr="00BF09EB" w:rsidRDefault="00100EBC" w:rsidP="00634A83">
            <w:r w:rsidRPr="00BF09EB">
              <w:t>Increase support for LGBTIQ+ young people and their families, carers and kin, to facilitate good mental health and supportive relationships, with a focus on the intersections between key coming out milestones and increased suicide risk.</w:t>
            </w:r>
          </w:p>
        </w:tc>
      </w:tr>
      <w:bookmarkEnd w:id="72"/>
      <w:bookmarkEnd w:id="73"/>
    </w:tbl>
    <w:p w14:paraId="7C29F8E1" w14:textId="77777777" w:rsidR="00FA01F3" w:rsidRPr="00B768A1" w:rsidRDefault="00FA01F3" w:rsidP="00634A83">
      <w:pPr>
        <w:pStyle w:val="BodyText"/>
        <w:sectPr w:rsidR="00FA01F3" w:rsidRPr="00B768A1" w:rsidSect="00794CF8">
          <w:headerReference w:type="default" r:id="rId45"/>
          <w:footerReference w:type="default" r:id="rId46"/>
          <w:headerReference w:type="first" r:id="rId47"/>
          <w:footerReference w:type="first" r:id="rId48"/>
          <w:endnotePr>
            <w:numFmt w:val="decimal"/>
          </w:endnotePr>
          <w:pgSz w:w="11907" w:h="16839" w:code="9"/>
          <w:pgMar w:top="993" w:right="1418" w:bottom="1418" w:left="1418" w:header="680" w:footer="85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p>
    <w:p w14:paraId="4E728052" w14:textId="4EEADCD4" w:rsidR="00FA01F3" w:rsidRPr="00584C11" w:rsidRDefault="3639D8DE" w:rsidP="00D81ABA">
      <w:pPr>
        <w:pStyle w:val="Headingmainsupport"/>
      </w:pPr>
      <w:bookmarkStart w:id="76" w:name="_Toc151717670"/>
      <w:bookmarkStart w:id="77" w:name="_Toc152082304"/>
      <w:bookmarkStart w:id="78" w:name="_Toc202930332"/>
      <w:bookmarkStart w:id="79" w:name="_Toc1423263109"/>
      <w:bookmarkStart w:id="80" w:name="_Toc171459031"/>
      <w:r w:rsidRPr="00584C11">
        <w:rPr>
          <w:color w:val="307363" w:themeColor="accent1"/>
          <w14:textFill>
            <w14:solidFill>
              <w14:schemeClr w14:val="accent1">
                <w14:lumMod w14:val="75000"/>
                <w14:lumMod w14:val="75000"/>
                <w14:lumMod w14:val="75000"/>
              </w14:schemeClr>
            </w14:solidFill>
          </w14:textFill>
        </w:rPr>
        <w:t>Support</w:t>
      </w:r>
      <w:bookmarkEnd w:id="76"/>
      <w:bookmarkEnd w:id="77"/>
      <w:bookmarkEnd w:id="78"/>
      <w:bookmarkEnd w:id="79"/>
      <w:bookmarkEnd w:id="80"/>
    </w:p>
    <w:p w14:paraId="484EA79A" w14:textId="715D0974" w:rsidR="00FA01F3" w:rsidRPr="00F833FC" w:rsidRDefault="4643498C" w:rsidP="00634A83">
      <w:r>
        <w:t>Compassionate, timely, appropriate</w:t>
      </w:r>
      <w:r w:rsidR="64137CCE">
        <w:t xml:space="preserve"> and</w:t>
      </w:r>
      <w:r>
        <w:t xml:space="preserve"> coordinated</w:t>
      </w:r>
      <w:r w:rsidR="12147B00">
        <w:t xml:space="preserve"> support that addresses </w:t>
      </w:r>
      <w:r w:rsidR="7C450A3B">
        <w:t xml:space="preserve">the drivers of </w:t>
      </w:r>
      <w:r w:rsidR="12147B00">
        <w:t xml:space="preserve">a person’s </w:t>
      </w:r>
      <w:r w:rsidR="29EDAE7C">
        <w:t xml:space="preserve">distress </w:t>
      </w:r>
      <w:r>
        <w:t xml:space="preserve">is central to preventing suicidal distress from continuing or escalating. </w:t>
      </w:r>
    </w:p>
    <w:p w14:paraId="439BBF98" w14:textId="6FE7D54D" w:rsidR="00FA01F3" w:rsidRPr="00B768A1" w:rsidRDefault="4643498C" w:rsidP="00634A83">
      <w:r>
        <w:t>In Australia, however, there is widespread stigma associated with suicide that can limit people’s engagement with supports, and lead to increased isolation and distress. In addition, the support that is currently available for people experiencing suicidal thoughts and behaviours largely</w:t>
      </w:r>
      <w:r w:rsidR="3B949F45">
        <w:t xml:space="preserve"> relies on a mental health system that is born out of a physical health model.</w:t>
      </w:r>
      <w:r w:rsidR="3639D8DE">
        <w:t xml:space="preserve"> This contribut</w:t>
      </w:r>
      <w:r w:rsidR="708E678E">
        <w:t>es</w:t>
      </w:r>
      <w:r w:rsidR="3639D8DE">
        <w:t xml:space="preserve"> to experiences of care that </w:t>
      </w:r>
      <w:r w:rsidR="5B771651">
        <w:t xml:space="preserve">can be </w:t>
      </w:r>
      <w:r w:rsidR="3639D8DE">
        <w:t xml:space="preserve">inflexible, difficult to navigate and often limited to clinical or medical treatment options. </w:t>
      </w:r>
      <w:r w:rsidR="31D2AF1D">
        <w:t>These experiences can, again, diminish engagement and exacerbate distress for people experiencing suicidal thoughts and behaviours, and their families, carers and kin.</w:t>
      </w:r>
      <w:r w:rsidR="31D2AF1D" w:rsidRPr="0D1DAC04">
        <w:rPr>
          <w:rStyle w:val="normaltextrun"/>
          <w:rFonts w:ascii="Century Gothic" w:eastAsia="Century Gothic" w:hAnsi="Century Gothic" w:cs="Century Gothic"/>
        </w:rPr>
        <w:t xml:space="preserve"> </w:t>
      </w:r>
      <w:r w:rsidR="31D2AF1D">
        <w:t xml:space="preserve">Australia’s </w:t>
      </w:r>
      <w:r w:rsidR="3639D8DE">
        <w:t xml:space="preserve">mental health system is </w:t>
      </w:r>
      <w:r w:rsidR="7D98EEE0">
        <w:t xml:space="preserve">also </w:t>
      </w:r>
      <w:r w:rsidR="3639D8DE">
        <w:t xml:space="preserve">not sufficiently integrated with broader support services that help address the </w:t>
      </w:r>
      <w:r w:rsidR="1EBCE58A">
        <w:t xml:space="preserve">full range of </w:t>
      </w:r>
      <w:r w:rsidR="3639D8DE">
        <w:t>drivers of suicidal distress</w:t>
      </w:r>
      <w:r w:rsidR="640F5ADD">
        <w:t xml:space="preserve"> discussed in Key Objectives 1-5</w:t>
      </w:r>
      <w:r w:rsidR="3639D8DE">
        <w:t>.</w:t>
      </w:r>
      <w:r w:rsidR="44D8834E">
        <w:t xml:space="preserve"> </w:t>
      </w:r>
    </w:p>
    <w:p w14:paraId="19B1B6BD" w14:textId="6ABA257D" w:rsidR="00FA01F3" w:rsidRPr="00B768A1" w:rsidRDefault="440B68BF" w:rsidP="00634A83">
      <w:r>
        <w:t xml:space="preserve">There are many encouraging mental health and suicide prevention reforms underway that are aimed at addressing these limitations. Achieving the change required involves progressing these reforms, as well as expanding initiatives that deliver positive outcomes and building the evidence for promising support models. </w:t>
      </w:r>
      <w:r w:rsidR="00667E70">
        <w:t>These include</w:t>
      </w:r>
      <w:r w:rsidR="35081D62">
        <w:t xml:space="preserve"> procedural im</w:t>
      </w:r>
      <w:r w:rsidR="1A6EC7D5">
        <w:t>p</w:t>
      </w:r>
      <w:r w:rsidR="35081D62">
        <w:t>rovements to crisis responses inv</w:t>
      </w:r>
      <w:r w:rsidR="4EA413F0">
        <w:t>o</w:t>
      </w:r>
      <w:r w:rsidR="35081D62">
        <w:t xml:space="preserve">lving </w:t>
      </w:r>
      <w:r w:rsidR="08BA81BA">
        <w:t xml:space="preserve">emergency services and mental health workers, </w:t>
      </w:r>
      <w:r w:rsidR="22719A8E">
        <w:t xml:space="preserve">in-person after hours </w:t>
      </w:r>
      <w:r w:rsidR="08BA81BA">
        <w:t>crisis services for people in suicide distress,</w:t>
      </w:r>
      <w:r w:rsidR="2853FD94">
        <w:t xml:space="preserve"> </w:t>
      </w:r>
      <w:r w:rsidR="6EDD6A72">
        <w:t xml:space="preserve">expanded community-based supports, </w:t>
      </w:r>
      <w:r w:rsidR="463DDAC3">
        <w:t xml:space="preserve">and improved competency in risk formulation. </w:t>
      </w:r>
    </w:p>
    <w:p w14:paraId="51BC282E" w14:textId="6BD6F208" w:rsidR="00FA01F3" w:rsidRPr="00B768A1" w:rsidRDefault="3639D8DE" w:rsidP="00634A83">
      <w:r>
        <w:t>This Strategy proposes</w:t>
      </w:r>
      <w:r w:rsidR="00775789">
        <w:t xml:space="preserve"> further</w:t>
      </w:r>
      <w:r>
        <w:t xml:space="preserve"> </w:t>
      </w:r>
      <w:r w:rsidR="14BBF453">
        <w:t xml:space="preserve">strengthening </w:t>
      </w:r>
      <w:r w:rsidR="66E1FB75">
        <w:t xml:space="preserve">our approach </w:t>
      </w:r>
      <w:r w:rsidR="30473341">
        <w:t>s</w:t>
      </w:r>
      <w:r w:rsidR="14BBF453">
        <w:t>o that it is better</w:t>
      </w:r>
      <w:r>
        <w:t xml:space="preserve"> designed to support people experiencing suicidal thoughts and behaviours</w:t>
      </w:r>
      <w:r w:rsidR="3EA8E73E">
        <w:t xml:space="preserve">, and their families, carers </w:t>
      </w:r>
      <w:r w:rsidR="66E32D38">
        <w:t>and kin, a</w:t>
      </w:r>
      <w:r w:rsidR="0C0295DC">
        <w:t>nd reflects a contemporary understanding of suicide</w:t>
      </w:r>
      <w:r w:rsidR="3D66A4E7">
        <w:t xml:space="preserve"> – </w:t>
      </w:r>
      <w:r w:rsidR="0C0295DC">
        <w:t>that</w:t>
      </w:r>
      <w:r w:rsidR="66E32D38">
        <w:t xml:space="preserve"> </w:t>
      </w:r>
      <w:r w:rsidR="3D66A4E7">
        <w:t xml:space="preserve">is, </w:t>
      </w:r>
      <w:r w:rsidR="00741DC8">
        <w:t>one</w:t>
      </w:r>
      <w:r w:rsidR="66E32D38">
        <w:t xml:space="preserve"> that recognises </w:t>
      </w:r>
      <w:r>
        <w:t xml:space="preserve">the diverse and </w:t>
      </w:r>
      <w:r w:rsidR="1B7BF50B">
        <w:t>concurrent</w:t>
      </w:r>
      <w:r>
        <w:t xml:space="preserve"> drivers of distress</w:t>
      </w:r>
      <w:r w:rsidR="5BC14E44">
        <w:t xml:space="preserve"> and </w:t>
      </w:r>
      <w:r w:rsidR="16B2EA39">
        <w:t>is</w:t>
      </w:r>
      <w:r>
        <w:t xml:space="preserve"> grounded in an understanding of suicidal distress not as a phenomenon to be managed, shut down or stopped, but as a human response to overwhelming suffering, which deserves to be met with a compassionate and holistic response.</w:t>
      </w:r>
    </w:p>
    <w:p w14:paraId="33E3CB99" w14:textId="78848421" w:rsidR="00FA01F3" w:rsidRPr="00B768A1" w:rsidRDefault="18C6F823" w:rsidP="00634A83">
      <w:r>
        <w:t>To achieve this, t</w:t>
      </w:r>
      <w:r w:rsidR="3639D8DE">
        <w:t>h</w:t>
      </w:r>
      <w:r w:rsidR="5938AE76">
        <w:t xml:space="preserve">e </w:t>
      </w:r>
      <w:r w:rsidR="2DCC55D7">
        <w:t xml:space="preserve">Strategy </w:t>
      </w:r>
      <w:r w:rsidR="3639D8DE">
        <w:t xml:space="preserve">outlines five </w:t>
      </w:r>
      <w:r w:rsidR="610FE087">
        <w:t>essential</w:t>
      </w:r>
      <w:r w:rsidR="3639D8DE">
        <w:t xml:space="preserve"> components of an </w:t>
      </w:r>
      <w:r w:rsidR="4D59DBF0">
        <w:t>effective</w:t>
      </w:r>
      <w:r w:rsidR="3639D8DE">
        <w:t xml:space="preserve"> support system:</w:t>
      </w:r>
    </w:p>
    <w:p w14:paraId="63D7711F" w14:textId="1AE7B6E4" w:rsidR="00FA01F3" w:rsidRPr="00B768A1" w:rsidRDefault="2A62DF99" w:rsidP="00634A83">
      <w:pPr>
        <w:pStyle w:val="ListParagraph"/>
        <w:numPr>
          <w:ilvl w:val="0"/>
          <w:numId w:val="8"/>
        </w:numPr>
      </w:pPr>
      <w:r>
        <w:t>A</w:t>
      </w:r>
      <w:r w:rsidR="63EC6111">
        <w:t xml:space="preserve"> culture of compassion</w:t>
      </w:r>
      <w:r w:rsidR="61F84B45">
        <w:t xml:space="preserve"> – </w:t>
      </w:r>
      <w:r w:rsidR="1517F601">
        <w:t>i</w:t>
      </w:r>
      <w:r w:rsidR="40BBAF70">
        <w:t>ncreas</w:t>
      </w:r>
      <w:r w:rsidR="007A482A">
        <w:t>e</w:t>
      </w:r>
      <w:r w:rsidR="40BBAF70">
        <w:t xml:space="preserve"> </w:t>
      </w:r>
      <w:r w:rsidR="6DE6CE22">
        <w:t>engagement with supports through r</w:t>
      </w:r>
      <w:r w:rsidR="61F84B45">
        <w:t xml:space="preserve">educed </w:t>
      </w:r>
      <w:r w:rsidR="0CDB3D20">
        <w:t xml:space="preserve">suicide </w:t>
      </w:r>
      <w:r w:rsidR="61F84B45">
        <w:t>stigma</w:t>
      </w:r>
      <w:r w:rsidR="440FC744">
        <w:t xml:space="preserve">, reduced knowledge </w:t>
      </w:r>
      <w:r w:rsidR="4BBABDD3">
        <w:t xml:space="preserve">of </w:t>
      </w:r>
      <w:r w:rsidR="440FC744">
        <w:t>and access to means,</w:t>
      </w:r>
      <w:r w:rsidR="29FE8156">
        <w:t xml:space="preserve"> </w:t>
      </w:r>
      <w:r w:rsidR="61F84B45">
        <w:t>and</w:t>
      </w:r>
      <w:r w:rsidR="5DC669A2">
        <w:t xml:space="preserve"> </w:t>
      </w:r>
      <w:r w:rsidR="61F84B45">
        <w:t xml:space="preserve">increased capability </w:t>
      </w:r>
      <w:r w:rsidR="140E8396">
        <w:t xml:space="preserve">of </w:t>
      </w:r>
      <w:r w:rsidR="61F84B45">
        <w:t>community and services</w:t>
      </w:r>
      <w:r w:rsidR="02403478">
        <w:t xml:space="preserve"> </w:t>
      </w:r>
      <w:r w:rsidR="63EC6111">
        <w:t xml:space="preserve"> </w:t>
      </w:r>
    </w:p>
    <w:p w14:paraId="3335C3AA" w14:textId="25A9F273" w:rsidR="00FA01F3" w:rsidRPr="00B768A1" w:rsidRDefault="34C80B11" w:rsidP="00634A83">
      <w:pPr>
        <w:pStyle w:val="ListParagraph"/>
        <w:numPr>
          <w:ilvl w:val="0"/>
          <w:numId w:val="8"/>
        </w:numPr>
      </w:pPr>
      <w:r w:rsidRPr="20F56C59">
        <w:t>A</w:t>
      </w:r>
      <w:r w:rsidR="3639D8DE" w:rsidRPr="20F56C59">
        <w:t>ccessibility</w:t>
      </w:r>
      <w:r w:rsidRPr="20F56C59">
        <w:t xml:space="preserve"> – affordable, timely and acceptable supports are available </w:t>
      </w:r>
    </w:p>
    <w:p w14:paraId="6C7D4C00" w14:textId="466000B9" w:rsidR="00FA01F3" w:rsidRPr="00B768A1" w:rsidRDefault="123BE44B" w:rsidP="00634A83">
      <w:pPr>
        <w:pStyle w:val="ListParagraph"/>
        <w:numPr>
          <w:ilvl w:val="0"/>
          <w:numId w:val="8"/>
        </w:numPr>
      </w:pPr>
      <w:r>
        <w:t>S</w:t>
      </w:r>
      <w:r w:rsidR="3639D8DE">
        <w:t>ystem</w:t>
      </w:r>
      <w:r w:rsidR="10EC1255">
        <w:t>-</w:t>
      </w:r>
      <w:r w:rsidR="320311C6">
        <w:t>level</w:t>
      </w:r>
      <w:r w:rsidR="3639D8DE">
        <w:t xml:space="preserve"> coordination</w:t>
      </w:r>
      <w:r w:rsidR="18FAF0FD">
        <w:t xml:space="preserve"> – support</w:t>
      </w:r>
      <w:r w:rsidR="4F966FFD">
        <w:t>s</w:t>
      </w:r>
      <w:r w:rsidR="18FAF0FD">
        <w:t xml:space="preserve"> are seamlessly linked and easy to navigate</w:t>
      </w:r>
    </w:p>
    <w:p w14:paraId="614E585A" w14:textId="7C173CB1" w:rsidR="00FA01F3" w:rsidRPr="00B768A1" w:rsidRDefault="66BE5907" w:rsidP="00634A83">
      <w:pPr>
        <w:pStyle w:val="ListParagraph"/>
        <w:numPr>
          <w:ilvl w:val="0"/>
          <w:numId w:val="8"/>
        </w:numPr>
      </w:pPr>
      <w:r w:rsidRPr="5F2E80E7">
        <w:rPr>
          <w:color w:val="auto"/>
        </w:rPr>
        <w:t xml:space="preserve">Holistic </w:t>
      </w:r>
      <w:r w:rsidR="57A322E1" w:rsidRPr="5CC6D3C4">
        <w:rPr>
          <w:color w:val="auto"/>
        </w:rPr>
        <w:t>approaches</w:t>
      </w:r>
      <w:r w:rsidR="73274936" w:rsidRPr="55EAC424">
        <w:rPr>
          <w:color w:val="auto"/>
        </w:rPr>
        <w:t xml:space="preserve"> </w:t>
      </w:r>
      <w:r w:rsidR="3102857B" w:rsidRPr="253CBF83">
        <w:rPr>
          <w:color w:val="auto"/>
        </w:rPr>
        <w:t xml:space="preserve">– </w:t>
      </w:r>
      <w:r w:rsidR="205AAE1E">
        <w:t xml:space="preserve">address drivers of distress and sustain engagement </w:t>
      </w:r>
    </w:p>
    <w:p w14:paraId="55126396" w14:textId="29D80342" w:rsidR="00FA01F3" w:rsidRPr="00B768A1" w:rsidRDefault="18FAF0FD" w:rsidP="0B395BDB">
      <w:pPr>
        <w:pStyle w:val="ListParagraph"/>
      </w:pPr>
      <w:r>
        <w:t>Increased connection – restore and build wellbeing through increased social connection and community engagement</w:t>
      </w:r>
      <w:r w:rsidR="5F0EEB09">
        <w:t>.</w:t>
      </w:r>
    </w:p>
    <w:p w14:paraId="68E91E69" w14:textId="36129F57" w:rsidR="00D531B9" w:rsidRPr="001A3BB7" w:rsidRDefault="648E7BFE" w:rsidP="00980AE0">
      <w:pPr>
        <w:spacing w:line="259" w:lineRule="auto"/>
        <w:rPr>
          <w:rFonts w:eastAsiaTheme="majorEastAsia"/>
        </w:rPr>
      </w:pPr>
      <w:r>
        <w:t xml:space="preserve">Each of </w:t>
      </w:r>
      <w:r w:rsidR="63EC6111">
        <w:t>the</w:t>
      </w:r>
      <w:r w:rsidR="6C908AAA">
        <w:t>se</w:t>
      </w:r>
      <w:r w:rsidR="5117F66E">
        <w:t xml:space="preserve"> </w:t>
      </w:r>
      <w:r w:rsidR="63EC6111">
        <w:t>components</w:t>
      </w:r>
      <w:r w:rsidR="6B16838A">
        <w:t xml:space="preserve"> </w:t>
      </w:r>
      <w:r w:rsidR="5AD80903">
        <w:t xml:space="preserve">is </w:t>
      </w:r>
      <w:r w:rsidR="63EC6111">
        <w:t xml:space="preserve">framed as </w:t>
      </w:r>
      <w:r w:rsidR="27DB1478">
        <w:t>a</w:t>
      </w:r>
      <w:r w:rsidR="63EC6111">
        <w:t xml:space="preserve"> </w:t>
      </w:r>
      <w:r w:rsidR="0094293A">
        <w:t>k</w:t>
      </w:r>
      <w:r w:rsidR="015B5C47">
        <w:t xml:space="preserve">ey </w:t>
      </w:r>
      <w:r w:rsidR="3EDA3B20">
        <w:t>o</w:t>
      </w:r>
      <w:r w:rsidR="63EC6111">
        <w:t>bjective</w:t>
      </w:r>
      <w:r w:rsidR="0B0C6BFD">
        <w:t xml:space="preserve"> and</w:t>
      </w:r>
      <w:r w:rsidR="63EC6111">
        <w:t xml:space="preserve"> specific actions </w:t>
      </w:r>
      <w:r w:rsidR="0B0C6BFD">
        <w:t xml:space="preserve">are </w:t>
      </w:r>
      <w:r w:rsidR="63EC6111">
        <w:t xml:space="preserve">outlined </w:t>
      </w:r>
      <w:r w:rsidR="614DBDE8">
        <w:t xml:space="preserve">to </w:t>
      </w:r>
      <w:r w:rsidR="63EC6111">
        <w:t xml:space="preserve">deliver them. </w:t>
      </w:r>
      <w:r w:rsidR="621EE892">
        <w:t xml:space="preserve">To achieve </w:t>
      </w:r>
      <w:r w:rsidR="757B4EC4">
        <w:t xml:space="preserve">an effective </w:t>
      </w:r>
      <w:r w:rsidR="621EE892">
        <w:t xml:space="preserve">support system, </w:t>
      </w:r>
      <w:r w:rsidR="30E74D50">
        <w:t xml:space="preserve">all </w:t>
      </w:r>
      <w:r w:rsidR="621EE892">
        <w:t>component</w:t>
      </w:r>
      <w:r w:rsidR="732FB2B5">
        <w:t>s</w:t>
      </w:r>
      <w:r w:rsidR="621EE892">
        <w:t xml:space="preserve"> must be reflected in each</w:t>
      </w:r>
      <w:r w:rsidR="544E85DD">
        <w:t xml:space="preserve"> service that provides support to people who experience suicidal thoughts and behaviours and their families, carers and kin, as well as across the suicide prevention support system as a whole.</w:t>
      </w:r>
      <w:r w:rsidR="6F75036C">
        <w:t xml:space="preserve"> </w:t>
      </w:r>
      <w:r w:rsidR="08BAAFF0">
        <w:t>This includes mental health</w:t>
      </w:r>
      <w:r w:rsidR="4D9789CE">
        <w:t>,</w:t>
      </w:r>
      <w:r w:rsidR="08BAAFF0">
        <w:t xml:space="preserve"> suicide prevention</w:t>
      </w:r>
      <w:r w:rsidR="09BED52E">
        <w:t xml:space="preserve">, </w:t>
      </w:r>
      <w:r w:rsidR="54F37740">
        <w:t>primary care</w:t>
      </w:r>
      <w:r w:rsidR="432D2E06">
        <w:t>, and emergency department</w:t>
      </w:r>
      <w:r w:rsidR="08BAAFF0">
        <w:t xml:space="preserve"> services</w:t>
      </w:r>
      <w:r w:rsidR="1D43DFBC">
        <w:t xml:space="preserve">, </w:t>
      </w:r>
      <w:r w:rsidR="0C622CDE">
        <w:t>a</w:t>
      </w:r>
      <w:r w:rsidR="2627D7F9">
        <w:t>s well as related supports</w:t>
      </w:r>
      <w:r w:rsidR="15C3A35C">
        <w:t>, for example,</w:t>
      </w:r>
      <w:r w:rsidR="2627D7F9">
        <w:t xml:space="preserve"> in </w:t>
      </w:r>
      <w:r w:rsidR="297FE9A8">
        <w:t xml:space="preserve">services for </w:t>
      </w:r>
      <w:r w:rsidR="2627D7F9">
        <w:t xml:space="preserve">alcohol and other drugs, </w:t>
      </w:r>
      <w:r w:rsidR="30B292F4">
        <w:t>victim support, family and relationship</w:t>
      </w:r>
      <w:r w:rsidR="392C3CF4">
        <w:t>s</w:t>
      </w:r>
      <w:r w:rsidR="30B292F4">
        <w:t>,</w:t>
      </w:r>
      <w:r w:rsidR="09470C49">
        <w:t xml:space="preserve"> </w:t>
      </w:r>
      <w:r w:rsidR="2D1EDC9B">
        <w:t xml:space="preserve">and </w:t>
      </w:r>
      <w:r w:rsidR="09470C49">
        <w:t xml:space="preserve">child protection. </w:t>
      </w:r>
      <w:r w:rsidR="003039F0">
        <w:t xml:space="preserve">The objectives and actions </w:t>
      </w:r>
      <w:r w:rsidR="19148499">
        <w:t xml:space="preserve">are relevant across </w:t>
      </w:r>
      <w:r w:rsidR="006603E1">
        <w:t xml:space="preserve">all </w:t>
      </w:r>
      <w:r w:rsidR="19148499">
        <w:t xml:space="preserve">services </w:t>
      </w:r>
      <w:r w:rsidR="006603E1">
        <w:t>and</w:t>
      </w:r>
      <w:r w:rsidR="19148499">
        <w:t xml:space="preserve"> the </w:t>
      </w:r>
      <w:r w:rsidR="4AF35E83">
        <w:t xml:space="preserve">diverse </w:t>
      </w:r>
      <w:r w:rsidR="3405B02F">
        <w:t>workforces</w:t>
      </w:r>
      <w:r w:rsidR="64637F5C">
        <w:t xml:space="preserve"> </w:t>
      </w:r>
      <w:r w:rsidR="1FEAB9CD">
        <w:t xml:space="preserve">employed </w:t>
      </w:r>
      <w:r w:rsidR="00196682">
        <w:t>within them,</w:t>
      </w:r>
      <w:r w:rsidR="1FEAB9CD">
        <w:t xml:space="preserve"> including nurses, </w:t>
      </w:r>
      <w:r w:rsidR="00061449">
        <w:t xml:space="preserve">doctors, </w:t>
      </w:r>
      <w:r w:rsidR="1FEAB9CD">
        <w:t>psychologists, psychiatrists, social workers, and peer workers.</w:t>
      </w:r>
      <w:r w:rsidR="006A25AC">
        <w:t xml:space="preserve"> </w:t>
      </w:r>
      <w:bookmarkStart w:id="81" w:name="_Toc152082305"/>
      <w:r w:rsidR="00D531B9" w:rsidRPr="001A3BB7">
        <w:br w:type="page"/>
      </w:r>
    </w:p>
    <w:p w14:paraId="4A409EA2" w14:textId="7BF76BD3" w:rsidR="00AE7BDB" w:rsidRPr="00996915" w:rsidRDefault="006F5420" w:rsidP="00D81ABA">
      <w:pPr>
        <w:pStyle w:val="heading2support"/>
      </w:pPr>
      <w:bookmarkStart w:id="82" w:name="_Toc1594827464"/>
      <w:bookmarkStart w:id="83" w:name="_Toc1481075455"/>
      <w:bookmarkStart w:id="84" w:name="_Toc171459032"/>
      <w:r w:rsidRPr="00996915">
        <w:drawing>
          <wp:anchor distT="0" distB="0" distL="114300" distR="114300" simplePos="0" relativeHeight="251658254" behindDoc="1" locked="0" layoutInCell="1" allowOverlap="1" wp14:anchorId="68D2C68B" wp14:editId="72B4DF1B">
            <wp:simplePos x="0" y="0"/>
            <wp:positionH relativeFrom="margin">
              <wp:align>right</wp:align>
            </wp:positionH>
            <wp:positionV relativeFrom="paragraph">
              <wp:posOffset>8255</wp:posOffset>
            </wp:positionV>
            <wp:extent cx="1403985" cy="899795"/>
            <wp:effectExtent l="0" t="0" r="5715" b="0"/>
            <wp:wrapTight wrapText="bothSides">
              <wp:wrapPolygon edited="0">
                <wp:start x="0" y="0"/>
                <wp:lineTo x="0" y="21036"/>
                <wp:lineTo x="21395" y="21036"/>
                <wp:lineTo x="21395" y="0"/>
                <wp:lineTo x="0" y="0"/>
              </wp:wrapPolygon>
            </wp:wrapTight>
            <wp:docPr id="22" name="Picture 22" descr="Culture of compassion is Key objective 6 of the Strategy, within the domain of Support for people experiencing suicidal thoughts and behaviours, and those that care for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lture of compassion is Key objective 6 of the Strategy, within the domain of Support for people experiencing suicidal thoughts and behaviours, and those that care for them. "/>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03985" cy="899795"/>
                    </a:xfrm>
                    <a:prstGeom prst="rect">
                      <a:avLst/>
                    </a:prstGeom>
                  </pic:spPr>
                </pic:pic>
              </a:graphicData>
            </a:graphic>
          </wp:anchor>
        </w:drawing>
      </w:r>
      <w:r w:rsidR="2E7B5895" w:rsidRPr="00996915">
        <w:t xml:space="preserve">Key </w:t>
      </w:r>
      <w:r w:rsidR="21B2EA17" w:rsidRPr="00996915">
        <w:t>o</w:t>
      </w:r>
      <w:r w:rsidR="2E7B5895" w:rsidRPr="00996915">
        <w:t xml:space="preserve">bjective </w:t>
      </w:r>
      <w:r w:rsidR="7CAD6FCD" w:rsidRPr="00996915">
        <w:t>6</w:t>
      </w:r>
      <w:r w:rsidR="2E7B5895" w:rsidRPr="00996915">
        <w:t>: Culture of compassion</w:t>
      </w:r>
      <w:bookmarkEnd w:id="81"/>
      <w:bookmarkEnd w:id="82"/>
      <w:bookmarkEnd w:id="83"/>
      <w:bookmarkEnd w:id="84"/>
    </w:p>
    <w:p w14:paraId="562AC460" w14:textId="77C78459" w:rsidR="57ED5A96" w:rsidRDefault="37D85A7C" w:rsidP="00634A83">
      <w:r w:rsidRPr="20F56C59">
        <w:t xml:space="preserve">Connecting people who experience suicidal distress with supports is vitally important in preventing suicide. </w:t>
      </w:r>
    </w:p>
    <w:p w14:paraId="7C54AC36" w14:textId="044FAB64" w:rsidR="57ED5A96" w:rsidRDefault="6EB7D473" w:rsidP="00634A83">
      <w:r>
        <w:t>To maximise opportunities to do so requires a shift to a culture of compassion. This is one where people with suicidal thoughts and behaviours and their families, carers and kin are met - not with damaging attitudes and behaviours that limit engagement with support - but with understanding and respect for their strength, autonomy and agency.</w:t>
      </w:r>
    </w:p>
    <w:p w14:paraId="4878C596" w14:textId="5E8119DE" w:rsidR="57ED5A96" w:rsidRDefault="37D85A7C" w:rsidP="00634A83">
      <w:r w:rsidRPr="20F56C59">
        <w:t>This shift requires:</w:t>
      </w:r>
    </w:p>
    <w:p w14:paraId="1969DC0F" w14:textId="43519853" w:rsidR="57ED5A96" w:rsidRDefault="37D85A7C" w:rsidP="00634A83">
      <w:pPr>
        <w:pStyle w:val="ListParagraph"/>
        <w:numPr>
          <w:ilvl w:val="0"/>
          <w:numId w:val="7"/>
        </w:numPr>
      </w:pPr>
      <w:r w:rsidRPr="20F56C59">
        <w:t xml:space="preserve">concerted efforts to reduce stigma associated with suicide </w:t>
      </w:r>
    </w:p>
    <w:p w14:paraId="31D3483B" w14:textId="30ABB335" w:rsidR="57ED5A96" w:rsidRDefault="6EB7D473" w:rsidP="00634A83">
      <w:pPr>
        <w:pStyle w:val="ListParagraph"/>
        <w:numPr>
          <w:ilvl w:val="0"/>
          <w:numId w:val="7"/>
        </w:numPr>
      </w:pPr>
      <w:r>
        <w:t xml:space="preserve">upskilling of service providers (outside of mental health and suicide prevention) and members of the general community to understand suicide and to be able to identify, reach out and compassionately respond to people in suicidal distress. Expanding the range of touchpoints available in this way means that people do not always have to reach out – but rather that </w:t>
      </w:r>
      <w:r w:rsidR="3E251F91">
        <w:t xml:space="preserve">these informal </w:t>
      </w:r>
      <w:r>
        <w:t>supports reach in to help</w:t>
      </w:r>
    </w:p>
    <w:p w14:paraId="75ACFA88" w14:textId="181C1795" w:rsidR="57ED5A96" w:rsidRDefault="6EB7D473" w:rsidP="00634A83">
      <w:pPr>
        <w:pStyle w:val="ListParagraph"/>
        <w:numPr>
          <w:ilvl w:val="0"/>
          <w:numId w:val="7"/>
        </w:numPr>
      </w:pPr>
      <w:r>
        <w:t>provid</w:t>
      </w:r>
      <w:r w:rsidR="70124172">
        <w:t>ing</w:t>
      </w:r>
      <w:r>
        <w:t xml:space="preserve"> training and support for staff to deliver best-practice, trauma-informed </w:t>
      </w:r>
      <w:r w:rsidR="31CC2A1E">
        <w:t>support</w:t>
      </w:r>
    </w:p>
    <w:p w14:paraId="0539FC8C" w14:textId="08C17797" w:rsidR="236B0EFC" w:rsidRDefault="2F95EF07" w:rsidP="00634A83">
      <w:pPr>
        <w:pStyle w:val="ListParagraph"/>
        <w:numPr>
          <w:ilvl w:val="0"/>
          <w:numId w:val="7"/>
        </w:numPr>
      </w:pPr>
      <w:r>
        <w:t>r</w:t>
      </w:r>
      <w:r w:rsidR="3C5C23BE">
        <w:t>educed knowledge of and access to means of suicide</w:t>
      </w:r>
      <w:r w:rsidR="7A7D6F07">
        <w:t>.</w:t>
      </w:r>
    </w:p>
    <w:p w14:paraId="1D4119C2" w14:textId="7AFE2DAF" w:rsidR="0085761C" w:rsidRPr="00B768A1" w:rsidRDefault="0085761C" w:rsidP="00634A83">
      <w:pPr>
        <w:pStyle w:val="BT-Livedexperience-Green-Heading"/>
      </w:pPr>
      <w:bookmarkStart w:id="85" w:name="_Toc1283236714"/>
      <w:bookmarkStart w:id="86" w:name="_Toc142403287"/>
      <w:bookmarkStart w:id="87" w:name="_Toc142407462"/>
      <w:r w:rsidRPr="00B768A1">
        <w:t xml:space="preserve">What </w:t>
      </w:r>
      <w:r w:rsidR="00DE14DA">
        <w:t xml:space="preserve">do </w:t>
      </w:r>
      <w:r w:rsidRPr="00B768A1">
        <w:t xml:space="preserve">we </w:t>
      </w:r>
      <w:r w:rsidR="00DE14DA">
        <w:t xml:space="preserve">need </w:t>
      </w:r>
      <w:r w:rsidRPr="00B768A1">
        <w:t>to achieve?</w:t>
      </w:r>
    </w:p>
    <w:p w14:paraId="49362282" w14:textId="1AFFB4B9" w:rsidR="0085761C" w:rsidRPr="00B768A1" w:rsidRDefault="0085761C" w:rsidP="00634A83">
      <w:pPr>
        <w:pStyle w:val="BT-Livedexperience-Green"/>
      </w:pPr>
      <w:r w:rsidRPr="00B768A1">
        <w:t>People impacted by suicidal thoughts and behaviours experience a compassionate response that helps them feel understood and empowered by the support system and society.</w:t>
      </w:r>
    </w:p>
    <w:p w14:paraId="437F119B" w14:textId="1F9167F5" w:rsidR="35518337" w:rsidRDefault="35518337" w:rsidP="00634A83">
      <w:pPr>
        <w:pStyle w:val="BT-Livedexperience-Green"/>
      </w:pPr>
      <w:r>
        <w:t>People have reduced access to the means of suicide and less exposure to harmful suicide-related information.</w:t>
      </w:r>
    </w:p>
    <w:p w14:paraId="1D07DA93" w14:textId="18055255" w:rsidR="00FA01F3" w:rsidRPr="00B768A1" w:rsidRDefault="5D94102F" w:rsidP="00D81ABA">
      <w:pPr>
        <w:pStyle w:val="heading3support"/>
      </w:pPr>
      <w:r w:rsidRPr="1D463F5D">
        <w:t>6</w:t>
      </w:r>
      <w:r w:rsidR="00FA01F3" w:rsidRPr="00B768A1">
        <w:t>.1 Reduc</w:t>
      </w:r>
      <w:r w:rsidR="0026268C" w:rsidRPr="00B768A1">
        <w:t>e</w:t>
      </w:r>
      <w:r w:rsidR="00FA01F3" w:rsidRPr="00B768A1">
        <w:t xml:space="preserve"> suicide stigma</w:t>
      </w:r>
    </w:p>
    <w:p w14:paraId="58CCFD97" w14:textId="45726201" w:rsidR="3639D8DE" w:rsidRDefault="7E0270BE" w:rsidP="00634A83">
      <w:r>
        <w:t>S</w:t>
      </w:r>
      <w:r w:rsidR="3639D8DE">
        <w:t>tigma occurs in different forms</w:t>
      </w:r>
      <w:r w:rsidR="6A97C357">
        <w:t xml:space="preserve"> </w:t>
      </w:r>
      <w:r w:rsidR="6A97C357" w:rsidRPr="20F56C59">
        <w:t>including structural stigma (when laws, policies and practices enable unfair treatment), public stigma (negative opinions held towards people with lived and living experience of suicide), cultural stigma (norms and taboos present in a culture) and self-stigma (when a person with lived or living experience of suicide comes to believe negative stereotypes about themselves; for example, that they are weak or selfish or not deserving of support).</w:t>
      </w:r>
    </w:p>
    <w:p w14:paraId="02CE0599" w14:textId="10628874" w:rsidR="00FA01F3" w:rsidRPr="00B768A1" w:rsidRDefault="4940876B" w:rsidP="00634A83">
      <w:r w:rsidRPr="00996915" w:rsidDel="00A71D7B">
        <w:t>There is significant and continuing</w:t>
      </w:r>
      <w:r w:rsidRPr="00996915">
        <w:t xml:space="preserve"> </w:t>
      </w:r>
      <w:r w:rsidRPr="00996915" w:rsidDel="00A71D7B">
        <w:t>stigma specific to suicide</w:t>
      </w:r>
      <w:r w:rsidR="2BBF2D7E" w:rsidRPr="00996915">
        <w:t>.</w:t>
      </w:r>
      <w:hyperlink w:anchor="_ENREF_175" w:tooltip="B, 2017 #118" w:history="1">
        <w:r w:rsidR="002D6F18" w:rsidRPr="00AD12BB">
          <w:rPr>
            <w:vertAlign w:val="superscript"/>
          </w:rPr>
          <w:fldChar w:fldCharType="begin"/>
        </w:r>
        <w:r w:rsidR="002D6F18">
          <w:rPr>
            <w:vertAlign w:val="superscript"/>
          </w:rPr>
          <w:instrText xml:space="preserve"> ADDIN EN.CITE &lt;EndNote&gt;&lt;Cite&gt;&lt;Author&gt;B&lt;/Author&gt;&lt;Year&gt;2017&lt;/Year&gt;&lt;RecNum&gt;118&lt;/RecNum&gt;&lt;DisplayText&gt;&lt;style face="superscript"&gt;175&lt;/style&gt;&lt;/DisplayText&gt;&lt;record&gt;&lt;rec-number&gt;118&lt;/rec-number&gt;&lt;foreign-keys&gt;&lt;key app="EN" db-id="rsettzd2isasdweewww55s9lffasxav0d0ft" timestamp="1700699467" guid="224a689b-3482-4abe-91d3-b7a38f56b1e8"&gt;118&lt;/key&gt;&lt;/foreign-keys&gt;&lt;ref-type name="Journal Article"&gt;17&lt;/ref-type&gt;&lt;contributors&gt;&lt;authors&gt;&lt;author&gt;Carpiniello B&lt;/author&gt;&lt;author&gt;Pinna F&lt;/author&gt;&lt;/authors&gt;&lt;/contributors&gt;&lt;titles&gt;&lt;title&gt;The Reciprocal Relationship between Suicidality and Stigma&lt;/title&gt;&lt;secondary-title&gt;Frontiers in Psychiatry&lt;/secondary-title&gt;&lt;/titles&gt;&lt;periodical&gt;&lt;full-title&gt;Frontiers in Psychiatry&lt;/full-title&gt;&lt;/periodical&gt;&lt;dates&gt;&lt;year&gt;2017&lt;/year&gt;&lt;/dates&gt;&lt;urls&gt;&lt;/urls&gt;&lt;electronic-resource-num&gt;DOI: 10.3389/fpsyt.2017.00035&lt;/electronic-resource-num&gt;&lt;/record&gt;&lt;/Cite&gt;&lt;/EndNote&gt;</w:instrText>
        </w:r>
        <w:r w:rsidR="002D6F18" w:rsidRPr="00AD12BB">
          <w:rPr>
            <w:vertAlign w:val="superscript"/>
          </w:rPr>
          <w:fldChar w:fldCharType="separate"/>
        </w:r>
        <w:r w:rsidR="002D6F18">
          <w:rPr>
            <w:noProof/>
            <w:vertAlign w:val="superscript"/>
          </w:rPr>
          <w:t>175</w:t>
        </w:r>
        <w:r w:rsidR="002D6F18" w:rsidRPr="00AD12BB">
          <w:rPr>
            <w:vertAlign w:val="superscript"/>
          </w:rPr>
          <w:fldChar w:fldCharType="end"/>
        </w:r>
      </w:hyperlink>
      <w:r w:rsidR="00AD12BB" w:rsidRPr="00AD12BB">
        <w:rPr>
          <w:vertAlign w:val="superscript"/>
        </w:rPr>
        <w:t>,</w:t>
      </w:r>
      <w:hyperlink w:anchor="_ENREF_176" w:tooltip="H, 2008 #165" w:history="1">
        <w:r w:rsidR="002D6F18" w:rsidRPr="00AD12BB">
          <w:rPr>
            <w:vertAlign w:val="superscript"/>
          </w:rPr>
          <w:fldChar w:fldCharType="begin"/>
        </w:r>
        <w:r w:rsidR="002D6F18">
          <w:rPr>
            <w:vertAlign w:val="superscript"/>
          </w:rPr>
          <w:instrText xml:space="preserve"> ADDIN EN.CITE &lt;EndNote&gt;&lt;Cite&gt;&lt;Author&gt;H&lt;/Author&gt;&lt;Year&gt;2008&lt;/Year&gt;&lt;RecNum&gt;165&lt;/RecNum&gt;&lt;DisplayText&gt;&lt;style face="superscript"&gt;176&lt;/style&gt;&lt;/DisplayText&gt;&lt;record&gt;&lt;rec-number&gt;165&lt;/rec-number&gt;&lt;foreign-keys&gt;&lt;key app="EN" db-id="rsettzd2isasdweewww55s9lffasxav0d0ft" timestamp="1700699468" guid="6f589f1b-6482-49c4-88a6-ccdb2ab592e0"&gt;165&lt;/key&gt;&lt;/foreign-keys&gt;&lt;ref-type name="Journal Article"&gt;17&lt;/ref-type&gt;&lt;contributors&gt;&lt;authors&gt;&lt;author&gt;Sudak H&lt;/author&gt;&lt;author&gt;Maxim K&lt;/author&gt;&lt;author&gt;Carpenter M&lt;/author&gt;&lt;/authors&gt;&lt;/contributors&gt;&lt;titles&gt;&lt;title&gt;Suicide and Stigma: A Review of the Literature and Personal Reflections&lt;/title&gt;&lt;secondary-title&gt;Academic Psychiatry&lt;/secondary-title&gt;&lt;/titles&gt;&lt;periodical&gt;&lt;full-title&gt;Academic Psychiatry&lt;/full-title&gt;&lt;/periodical&gt;&lt;dates&gt;&lt;year&gt;2008&lt;/year&gt;&lt;/dates&gt;&lt;urls&gt;&lt;/urls&gt;&lt;electronic-resource-num&gt;DOI: 10.1176/appi.ap.32.2.136&lt;/electronic-resource-num&gt;&lt;/record&gt;&lt;/Cite&gt;&lt;/EndNote&gt;</w:instrText>
        </w:r>
        <w:r w:rsidR="002D6F18" w:rsidRPr="00AD12BB">
          <w:rPr>
            <w:vertAlign w:val="superscript"/>
          </w:rPr>
          <w:fldChar w:fldCharType="separate"/>
        </w:r>
        <w:r w:rsidR="002D6F18">
          <w:rPr>
            <w:noProof/>
            <w:vertAlign w:val="superscript"/>
          </w:rPr>
          <w:t>176</w:t>
        </w:r>
        <w:r w:rsidR="002D6F18" w:rsidRPr="00AD12BB">
          <w:rPr>
            <w:vertAlign w:val="superscript"/>
          </w:rPr>
          <w:fldChar w:fldCharType="end"/>
        </w:r>
      </w:hyperlink>
      <w:r w:rsidRPr="00996915" w:rsidDel="00A71D7B">
        <w:t xml:space="preserve"> </w:t>
      </w:r>
      <w:r w:rsidR="2BBF2D7E" w:rsidRPr="00996915">
        <w:t>M</w:t>
      </w:r>
      <w:r w:rsidRPr="00996915" w:rsidDel="00A71D7B">
        <w:t>any people regard suicide as morally wrong, a selfish</w:t>
      </w:r>
      <w:r w:rsidR="3B025FE7" w:rsidRPr="00996915">
        <w:t xml:space="preserve"> </w:t>
      </w:r>
      <w:r w:rsidRPr="00996915" w:rsidDel="00A71D7B">
        <w:t>act, or a sign of weakness</w:t>
      </w:r>
      <w:r w:rsidR="4B2D817A" w:rsidRPr="00996915">
        <w:t xml:space="preserve"> </w:t>
      </w:r>
      <w:r w:rsidRPr="00996915" w:rsidDel="00A71D7B">
        <w:t>or attention seeking.</w:t>
      </w:r>
      <w:hyperlink w:anchor="_ENREF_177" w:tooltip="PJ, 2013 #166" w:history="1">
        <w:r w:rsidR="002D6F18">
          <w:fldChar w:fldCharType="begin"/>
        </w:r>
        <w:r w:rsidR="002D6F18">
          <w:instrText xml:space="preserve"> ADDIN EN.CITE &lt;EndNote&gt;&lt;Cite&gt;&lt;Author&gt;PJ&lt;/Author&gt;&lt;Year&gt;2013&lt;/Year&gt;&lt;RecNum&gt;166&lt;/RecNum&gt;&lt;DisplayText&gt;&lt;style face="superscript"&gt;177&lt;/style&gt;&lt;/DisplayText&gt;&lt;record&gt;&lt;rec-number&gt;166&lt;/rec-number&gt;&lt;foreign-keys&gt;&lt;key app="EN" db-id="rsettzd2isasdweewww55s9lffasxav0d0ft" timestamp="1700699468" guid="c2b30f81-bdce-4442-85a3-9a033ef11603"&gt;166&lt;/key&gt;&lt;/foreign-keys&gt;&lt;ref-type name="Journal Article"&gt;17&lt;/ref-type&gt;&lt;contributors&gt;&lt;authors&gt;&lt;author&gt;Batterham PJ&lt;/author&gt;&lt;author&gt;Calear AL&lt;/author&gt;&lt;author&gt;Christensen H&lt;/author&gt;&lt;/authors&gt;&lt;/contributors&gt;&lt;titles&gt;&lt;title&gt;The Stigma of Suicide Scale. Psychometric Properties and Correlates of the Stigma of Suicide&lt;/title&gt;&lt;secondary-title&gt;Crisis: The Journal of Crisis Intervention and Suicide Prevention&lt;/secondary-title&gt;&lt;/titles&gt;&lt;periodical&gt;&lt;full-title&gt;Crisis: The Journal of Crisis Intervention and Suicide Prevention&lt;/full-title&gt;&lt;/periodical&gt;&lt;dates&gt;&lt;year&gt;2013&lt;/year&gt;&lt;/dates&gt;&lt;urls&gt;&lt;/urls&gt;&lt;electronic-resource-num&gt;DOI: 10.1027/0227-5910/a000156&lt;/electronic-resource-num&gt;&lt;/record&gt;&lt;/Cite&gt;&lt;/EndNote&gt;</w:instrText>
        </w:r>
        <w:r w:rsidR="002D6F18">
          <w:fldChar w:fldCharType="separate"/>
        </w:r>
        <w:r w:rsidR="002D6F18" w:rsidRPr="00C559B5">
          <w:rPr>
            <w:noProof/>
            <w:vertAlign w:val="superscript"/>
          </w:rPr>
          <w:t>177</w:t>
        </w:r>
        <w:r w:rsidR="002D6F18">
          <w:fldChar w:fldCharType="end"/>
        </w:r>
      </w:hyperlink>
      <w:r w:rsidRPr="00996915" w:rsidDel="00A71D7B">
        <w:t xml:space="preserve"> </w:t>
      </w:r>
      <w:r w:rsidRPr="00996915">
        <w:t xml:space="preserve">Suicide stigma can </w:t>
      </w:r>
      <w:r w:rsidR="6BA43EEB" w:rsidRPr="00996915">
        <w:rPr>
          <w:rFonts w:eastAsia="Century Gothic"/>
        </w:rPr>
        <w:t>limit the engagement of people with suicidal thoughts and behaviours with supports. It can also lead to their ostracization when it is vitally important that they be socially connected.</w:t>
      </w:r>
      <w:r w:rsidR="6BA43EEB" w:rsidRPr="00996915">
        <w:t xml:space="preserve"> In addition, </w:t>
      </w:r>
      <w:r w:rsidR="1BE405CC" w:rsidRPr="00996915">
        <w:t xml:space="preserve">self-stigma </w:t>
      </w:r>
      <w:r w:rsidR="6BA43EEB" w:rsidRPr="00996915">
        <w:t>can add to social withdrawal and loneliness.</w:t>
      </w:r>
      <w:hyperlink w:anchor="_ENREF_178" w:tooltip="LN, 2023 #175" w:history="1">
        <w:r w:rsidR="002D6F18" w:rsidRPr="00AD12BB">
          <w:rPr>
            <w:vertAlign w:val="superscript"/>
          </w:rPr>
          <w:fldChar w:fldCharType="begin"/>
        </w:r>
        <w:r w:rsidR="002D6F18">
          <w:rPr>
            <w:vertAlign w:val="superscript"/>
          </w:rPr>
          <w:instrText xml:space="preserve"> ADDIN EN.CITE &lt;EndNote&gt;&lt;Cite&gt;&lt;Author&gt;LN&lt;/Author&gt;&lt;Year&gt;2023&lt;/Year&gt;&lt;RecNum&gt;175&lt;/RecNum&gt;&lt;DisplayText&gt;&lt;style face="superscript"&gt;178&lt;/style&gt;&lt;/DisplayText&gt;&lt;record&gt;&lt;rec-number&gt;175&lt;/rec-number&gt;&lt;foreign-keys&gt;&lt;key app="EN" db-id="rsettzd2isasdweewww55s9lffasxav0d0ft" timestamp="1700699468" guid="8b3427eb-e9c6-45e8-a9ba-5cdccd48bbf9"&gt;175&lt;/key&gt;&lt;/foreign-keys&gt;&lt;ref-type name="Journal Article"&gt;17&lt;/ref-type&gt;&lt;contributors&gt;&lt;authors&gt;&lt;author&gt;Sharwood LN&lt;/author&gt;&lt;author&gt;Calear AL&lt;/author&gt;&lt;author&gt;Batterham PJ&lt;/author&gt;&lt;author&gt;Torok M&lt;/author&gt;&lt;author&gt;McGillivray L&lt;/author&gt;&lt;author&gt;Rheinberger D&lt;/author&gt;&lt;author&gt;Zeritis S&lt;/author&gt;&lt;author&gt;Esgin T&lt;/author&gt;&lt;author&gt;Shand F&lt;/author&gt;&lt;/authors&gt;&lt;/contributors&gt;&lt;titles&gt;&lt;title&gt;Exploring Sociodemographic Correlates of Suicide Stigma in Australia: Baseline Cross-Sectional Survey Findings from the Life-Span Suicide Prevention Trial Studies&lt;/title&gt;&lt;secondary-title&gt;International Journal of Environmental Research and Public Health&lt;/secondary-title&gt;&lt;/titles&gt;&lt;periodical&gt;&lt;full-title&gt;International Journal of Environmental Research and Public Health&lt;/full-title&gt;&lt;/periodical&gt;&lt;dates&gt;&lt;year&gt;2023&lt;/year&gt;&lt;/dates&gt;&lt;urls&gt;&lt;/urls&gt;&lt;electronic-resource-num&gt;DOI: 10.3390/ijerph20032610&lt;/electronic-resource-num&gt;&lt;/record&gt;&lt;/Cite&gt;&lt;/EndNote&gt;</w:instrText>
        </w:r>
        <w:r w:rsidR="002D6F18" w:rsidRPr="00AD12BB">
          <w:rPr>
            <w:vertAlign w:val="superscript"/>
          </w:rPr>
          <w:fldChar w:fldCharType="separate"/>
        </w:r>
        <w:r w:rsidR="002D6F18">
          <w:rPr>
            <w:noProof/>
            <w:vertAlign w:val="superscript"/>
          </w:rPr>
          <w:t>178</w:t>
        </w:r>
        <w:r w:rsidR="002D6F18" w:rsidRPr="00AD12BB">
          <w:rPr>
            <w:vertAlign w:val="superscript"/>
          </w:rPr>
          <w:fldChar w:fldCharType="end"/>
        </w:r>
      </w:hyperlink>
      <w:r w:rsidR="00AD12BB" w:rsidRPr="00AD12BB">
        <w:rPr>
          <w:vertAlign w:val="superscript"/>
        </w:rPr>
        <w:t>,</w:t>
      </w:r>
      <w:hyperlink w:anchor="_ENREF_175" w:tooltip="B, 2017 #118" w:history="1">
        <w:r w:rsidR="002D6F18" w:rsidRPr="00AD12BB">
          <w:rPr>
            <w:vertAlign w:val="superscript"/>
          </w:rPr>
          <w:fldChar w:fldCharType="begin"/>
        </w:r>
        <w:r w:rsidR="002D6F18">
          <w:rPr>
            <w:vertAlign w:val="superscript"/>
          </w:rPr>
          <w:instrText xml:space="preserve"> ADDIN EN.CITE &lt;EndNote&gt;&lt;Cite&gt;&lt;Author&gt;B&lt;/Author&gt;&lt;Year&gt;2017&lt;/Year&gt;&lt;RecNum&gt;118&lt;/RecNum&gt;&lt;DisplayText&gt;&lt;style face="superscript"&gt;175&lt;/style&gt;&lt;/DisplayText&gt;&lt;record&gt;&lt;rec-number&gt;118&lt;/rec-number&gt;&lt;foreign-keys&gt;&lt;key app="EN" db-id="rsettzd2isasdweewww55s9lffasxav0d0ft" timestamp="1700699467" guid="224a689b-3482-4abe-91d3-b7a38f56b1e8"&gt;118&lt;/key&gt;&lt;/foreign-keys&gt;&lt;ref-type name="Journal Article"&gt;17&lt;/ref-type&gt;&lt;contributors&gt;&lt;authors&gt;&lt;author&gt;Carpiniello B&lt;/author&gt;&lt;author&gt;Pinna F&lt;/author&gt;&lt;/authors&gt;&lt;/contributors&gt;&lt;titles&gt;&lt;title&gt;The Reciprocal Relationship between Suicidality and Stigma&lt;/title&gt;&lt;secondary-title&gt;Frontiers in Psychiatry&lt;/secondary-title&gt;&lt;/titles&gt;&lt;periodical&gt;&lt;full-title&gt;Frontiers in Psychiatry&lt;/full-title&gt;&lt;/periodical&gt;&lt;dates&gt;&lt;year&gt;2017&lt;/year&gt;&lt;/dates&gt;&lt;urls&gt;&lt;/urls&gt;&lt;electronic-resource-num&gt;DOI: 10.3389/fpsyt.2017.00035&lt;/electronic-resource-num&gt;&lt;/record&gt;&lt;/Cite&gt;&lt;/EndNote&gt;</w:instrText>
        </w:r>
        <w:r w:rsidR="002D6F18" w:rsidRPr="00AD12BB">
          <w:rPr>
            <w:vertAlign w:val="superscript"/>
          </w:rPr>
          <w:fldChar w:fldCharType="separate"/>
        </w:r>
        <w:r w:rsidR="002D6F18">
          <w:rPr>
            <w:noProof/>
            <w:vertAlign w:val="superscript"/>
          </w:rPr>
          <w:t>175</w:t>
        </w:r>
        <w:r w:rsidR="002D6F18" w:rsidRPr="00AD12BB">
          <w:rPr>
            <w:vertAlign w:val="superscript"/>
          </w:rPr>
          <w:fldChar w:fldCharType="end"/>
        </w:r>
      </w:hyperlink>
      <w:r w:rsidR="3637FE31" w:rsidRPr="00996915">
        <w:rPr>
          <w:rStyle w:val="EndnoteReference"/>
        </w:rPr>
        <w:t xml:space="preserve"> </w:t>
      </w:r>
      <w:r w:rsidR="3637FE31">
        <w:t xml:space="preserve">Suicide stigma </w:t>
      </w:r>
      <w:r w:rsidR="7EC765E8">
        <w:t>can also b</w:t>
      </w:r>
      <w:r w:rsidR="3637FE31">
        <w:t>e experienced by people who support someone who is suicidal and by people who are bereaved by suicide.</w:t>
      </w:r>
      <w:hyperlink w:anchor="_ENREF_175" w:tooltip="B, 2017 #118" w:history="1">
        <w:r w:rsidR="002D6F18">
          <w:fldChar w:fldCharType="begin"/>
        </w:r>
        <w:r w:rsidR="002D6F18">
          <w:instrText xml:space="preserve"> ADDIN EN.CITE &lt;EndNote&gt;&lt;Cite&gt;&lt;Author&gt;B&lt;/Author&gt;&lt;Year&gt;2017&lt;/Year&gt;&lt;RecNum&gt;118&lt;/RecNum&gt;&lt;DisplayText&gt;&lt;style face="superscript"&gt;175&lt;/style&gt;&lt;/DisplayText&gt;&lt;record&gt;&lt;rec-number&gt;118&lt;/rec-number&gt;&lt;foreign-keys&gt;&lt;key app="EN" db-id="rsettzd2isasdweewww55s9lffasxav0d0ft" timestamp="1700699467" guid="224a689b-3482-4abe-91d3-b7a38f56b1e8"&gt;118&lt;/key&gt;&lt;/foreign-keys&gt;&lt;ref-type name="Journal Article"&gt;17&lt;/ref-type&gt;&lt;contributors&gt;&lt;authors&gt;&lt;author&gt;Carpiniello B&lt;/author&gt;&lt;author&gt;Pinna F&lt;/author&gt;&lt;/authors&gt;&lt;/contributors&gt;&lt;titles&gt;&lt;title&gt;The Reciprocal Relationship between Suicidality and Stigma&lt;/title&gt;&lt;secondary-title&gt;Frontiers in Psychiatry&lt;/secondary-title&gt;&lt;/titles&gt;&lt;periodical&gt;&lt;full-title&gt;Frontiers in Psychiatry&lt;/full-title&gt;&lt;/periodical&gt;&lt;dates&gt;&lt;year&gt;2017&lt;/year&gt;&lt;/dates&gt;&lt;urls&gt;&lt;/urls&gt;&lt;electronic-resource-num&gt;DOI: 10.3389/fpsyt.2017.00035&lt;/electronic-resource-num&gt;&lt;/record&gt;&lt;/Cite&gt;&lt;/EndNote&gt;</w:instrText>
        </w:r>
        <w:r w:rsidR="002D6F18">
          <w:fldChar w:fldCharType="separate"/>
        </w:r>
        <w:r w:rsidR="002D6F18" w:rsidRPr="00C559B5">
          <w:rPr>
            <w:noProof/>
            <w:vertAlign w:val="superscript"/>
          </w:rPr>
          <w:t>175</w:t>
        </w:r>
        <w:r w:rsidR="002D6F18">
          <w:fldChar w:fldCharType="end"/>
        </w:r>
      </w:hyperlink>
      <w:r w:rsidR="02596E98" w:rsidRPr="498A3250">
        <w:rPr>
          <w:rStyle w:val="EndnoteReference"/>
        </w:rPr>
        <w:t xml:space="preserve"> </w:t>
      </w:r>
      <w:r w:rsidR="3315856C">
        <w:t xml:space="preserve">This can </w:t>
      </w:r>
      <w:r w:rsidR="5D26B11E">
        <w:t>exacerbate distress and lead to isolation at a time when connection is critical.</w:t>
      </w:r>
    </w:p>
    <w:p w14:paraId="413E44B8" w14:textId="7D2C3B48" w:rsidR="00FA01F3" w:rsidRPr="00B768A1" w:rsidRDefault="458D4D42" w:rsidP="00634A83">
      <w:r>
        <w:t xml:space="preserve">Stigmatising beliefs about suicide </w:t>
      </w:r>
      <w:r w:rsidR="039BE0EF">
        <w:t>in service settings</w:t>
      </w:r>
      <w:r>
        <w:t xml:space="preserve"> are likely to lead to unsafe and unhelpful interactions with people who are experiencing suicidal thoughts and behaviours or their families, carers and kin.</w:t>
      </w:r>
      <w:hyperlink w:anchor="_ENREF_179" w:tooltip="A, 2019 #1057" w:history="1">
        <w:r w:rsidR="002D6F18">
          <w:fldChar w:fldCharType="begin"/>
        </w:r>
        <w:r w:rsidR="002D6F18">
          <w:instrText xml:space="preserve"> ADDIN EN.CITE &lt;EndNote&gt;&lt;Cite&gt;&lt;Author&gt;A&lt;/Author&gt;&lt;Year&gt;2019&lt;/Year&gt;&lt;RecNum&gt;1057&lt;/RecNum&gt;&lt;DisplayText&gt;&lt;style face="superscript"&gt;179&lt;/style&gt;&lt;/DisplayText&gt;&lt;record&gt;&lt;rec-number&gt;1057&lt;/rec-number&gt;&lt;foreign-keys&gt;&lt;key app="EN" db-id="rsettzd2isasdweewww55s9lffasxav0d0ft" timestamp="1720488582" guid="c02199ea-734d-42dc-aff1-7defb60040e4"&gt;1057&lt;/key&gt;&lt;/foreign-keys&gt;&lt;ref-type name="Journal Article"&gt;17&lt;/ref-type&gt;&lt;contributors&gt;&lt;authors&gt;&lt;author&gt;Calear A&lt;/author&gt;&lt;author&gt;Batterham P&lt;/author&gt;&lt;/authors&gt;&lt;/contributors&gt;&lt;titles&gt;&lt;title&gt;Suicidal ideation disclosure: Patterns, correlates and outcome&lt;/title&gt;&lt;secondary-title&gt;Psychiatry Research&lt;/secondary-title&gt;&lt;/titles&gt;&lt;periodical&gt;&lt;full-title&gt;Psychiatry Research&lt;/full-title&gt;&lt;/periodical&gt;&lt;volume&gt;278&lt;/volume&gt;&lt;dates&gt;&lt;year&gt;2019&lt;/year&gt;&lt;pub-dates&gt;&lt;date&gt;05/01&lt;/date&gt;&lt;/pub-dates&gt;&lt;/dates&gt;&lt;urls&gt;&lt;/urls&gt;&lt;electronic-resource-num&gt;10.1016/j.psychres.2019.05.024&lt;/electronic-resource-num&gt;&lt;/record&gt;&lt;/Cite&gt;&lt;/EndNote&gt;</w:instrText>
        </w:r>
        <w:r w:rsidR="002D6F18">
          <w:fldChar w:fldCharType="separate"/>
        </w:r>
        <w:r w:rsidR="002D6F18" w:rsidRPr="00C559B5">
          <w:rPr>
            <w:noProof/>
            <w:vertAlign w:val="superscript"/>
          </w:rPr>
          <w:t>179</w:t>
        </w:r>
        <w:r w:rsidR="002D6F18">
          <w:fldChar w:fldCharType="end"/>
        </w:r>
      </w:hyperlink>
      <w:r>
        <w:t xml:space="preserve"> When efforts to reach out for help do not go well, people may be discouraged from seeking help in future.</w:t>
      </w:r>
    </w:p>
    <w:p w14:paraId="7296B708" w14:textId="0AB162D0" w:rsidR="00ED75F2" w:rsidRPr="00B768A1" w:rsidRDefault="7F255D10" w:rsidP="00634A83">
      <w:r w:rsidRPr="00B768A1">
        <w:t xml:space="preserve">Education programs and campaigns have been found to effectively address </w:t>
      </w:r>
      <w:r w:rsidR="5C63DB76" w:rsidRPr="4623DBCA">
        <w:t xml:space="preserve">public </w:t>
      </w:r>
      <w:r w:rsidRPr="00B768A1">
        <w:t>suicide stigma (</w:t>
      </w:r>
      <w:r w:rsidR="681FEB7C">
        <w:t>action ko</w:t>
      </w:r>
      <w:r w:rsidR="333BF1A8" w:rsidRPr="498A3250">
        <w:t>6</w:t>
      </w:r>
      <w:r w:rsidRPr="00B768A1">
        <w:t>.1</w:t>
      </w:r>
      <w:r w:rsidR="0C8B7995" w:rsidRPr="498A3250">
        <w:t>a</w:t>
      </w:r>
      <w:r w:rsidRPr="00B768A1">
        <w:t>).</w:t>
      </w:r>
      <w:hyperlink w:anchor="_ENREF_180" w:tooltip="PW, 2005 #960" w:history="1">
        <w:r w:rsidR="002D6F18" w:rsidRPr="0053128A">
          <w:rPr>
            <w:vertAlign w:val="superscript"/>
          </w:rPr>
          <w:fldChar w:fldCharType="begin"/>
        </w:r>
        <w:r w:rsidR="002D6F18">
          <w:rPr>
            <w:vertAlign w:val="superscript"/>
          </w:rPr>
          <w:instrText xml:space="preserve"> ADDIN EN.CITE &lt;EndNote&gt;&lt;Cite&gt;&lt;Author&gt;PW&lt;/Author&gt;&lt;Year&gt;2005&lt;/Year&gt;&lt;RecNum&gt;960&lt;/RecNum&gt;&lt;DisplayText&gt;&lt;style face="superscript"&gt;180&lt;/style&gt;&lt;/DisplayText&gt;&lt;record&gt;&lt;rec-number&gt;960&lt;/rec-number&gt;&lt;foreign-keys&gt;&lt;key app="EN" db-id="rsettzd2isasdweewww55s9lffasxav0d0ft" timestamp="1707862928" guid="c0beef91-241f-432a-a4dc-bf1ecc38da46"&gt;960&lt;/key&gt;&lt;/foreign-keys&gt;&lt;ref-type name="Book"&gt;6&lt;/ref-type&gt;&lt;contributors&gt;&lt;authors&gt;&lt;author&gt;Corrigan PW&lt;/author&gt;&lt;/authors&gt;&lt;/contributors&gt;&lt;titles&gt;&lt;title&gt;On the Stigma of Mental Illness: Practical Strategies for Research and Social Change&lt;/title&gt;&lt;/titles&gt;&lt;dates&gt;&lt;year&gt;2005&lt;/year&gt;&lt;/dates&gt;&lt;pub-location&gt;Washington, DC, United States of America&lt;/pub-location&gt;&lt;publisher&gt;American Psychological Association&lt;/publisher&gt;&lt;urls&gt;&lt;/urls&gt;&lt;/record&gt;&lt;/Cite&gt;&lt;/EndNote&gt;</w:instrText>
        </w:r>
        <w:r w:rsidR="002D6F18" w:rsidRPr="0053128A">
          <w:rPr>
            <w:vertAlign w:val="superscript"/>
          </w:rPr>
          <w:fldChar w:fldCharType="separate"/>
        </w:r>
        <w:r w:rsidR="002D6F18">
          <w:rPr>
            <w:noProof/>
            <w:vertAlign w:val="superscript"/>
          </w:rPr>
          <w:t>180</w:t>
        </w:r>
        <w:r w:rsidR="002D6F18" w:rsidRPr="0053128A">
          <w:rPr>
            <w:vertAlign w:val="superscript"/>
          </w:rPr>
          <w:fldChar w:fldCharType="end"/>
        </w:r>
      </w:hyperlink>
      <w:r w:rsidR="00AD12BB" w:rsidRPr="0053128A">
        <w:rPr>
          <w:vertAlign w:val="superscript"/>
        </w:rPr>
        <w:t>,</w:t>
      </w:r>
      <w:hyperlink w:anchor="_ENREF_181" w:tooltip="HF, 2012 #215" w:history="1">
        <w:r w:rsidR="002D6F18" w:rsidRPr="0053128A">
          <w:rPr>
            <w:vertAlign w:val="superscript"/>
          </w:rPr>
          <w:fldChar w:fldCharType="begin"/>
        </w:r>
        <w:r w:rsidR="002D6F18">
          <w:rPr>
            <w:vertAlign w:val="superscript"/>
          </w:rPr>
          <w:instrText xml:space="preserve"> ADDIN EN.CITE &lt;EndNote&gt;&lt;Cite&gt;&lt;Author&gt;HF&lt;/Author&gt;&lt;Year&gt;2012&lt;/Year&gt;&lt;RecNum&gt;215&lt;/RecNum&gt;&lt;DisplayText&gt;&lt;style face="superscript"&gt;181&lt;/style&gt;&lt;/DisplayText&gt;&lt;record&gt;&lt;rec-number&gt;215&lt;/rec-number&gt;&lt;foreign-keys&gt;&lt;key app="EN" db-id="rsettzd2isasdweewww55s9lffasxav0d0ft" timestamp="1700699469" guid="5f9d3717-7061-430f-bbb3-516310c4f795"&gt;215&lt;/key&gt;&lt;/foreign-keys&gt;&lt;ref-type name="Journal Article"&gt;17&lt;/ref-type&gt;&lt;contributors&gt;&lt;authors&gt;&lt;author&gt;Dalky HF&lt;/author&gt;&lt;/authors&gt;&lt;/contributors&gt;&lt;titles&gt;&lt;title&gt;Mental Illness Stigma Reduction Interventions: Review of Intervention Trials&lt;/title&gt;&lt;secondary-title&gt;Western Journal of Nursing Research&lt;/secondary-title&gt;&lt;/titles&gt;&lt;periodical&gt;&lt;full-title&gt;Western Journal of Nursing Research&lt;/full-title&gt;&lt;/periodical&gt;&lt;dates&gt;&lt;year&gt;2012&lt;/year&gt;&lt;/dates&gt;&lt;urls&gt;&lt;/urls&gt;&lt;electronic-resource-num&gt;DOI: 10.1177/0193945911400638&lt;/electronic-resource-num&gt;&lt;/record&gt;&lt;/Cite&gt;&lt;/EndNote&gt;</w:instrText>
        </w:r>
        <w:r w:rsidR="002D6F18" w:rsidRPr="0053128A">
          <w:rPr>
            <w:vertAlign w:val="superscript"/>
          </w:rPr>
          <w:fldChar w:fldCharType="separate"/>
        </w:r>
        <w:r w:rsidR="002D6F18">
          <w:rPr>
            <w:noProof/>
            <w:vertAlign w:val="superscript"/>
          </w:rPr>
          <w:t>181</w:t>
        </w:r>
        <w:r w:rsidR="002D6F18" w:rsidRPr="0053128A">
          <w:rPr>
            <w:vertAlign w:val="superscript"/>
          </w:rPr>
          <w:fldChar w:fldCharType="end"/>
        </w:r>
      </w:hyperlink>
      <w:r w:rsidR="00AD12BB" w:rsidRPr="0053128A">
        <w:rPr>
          <w:vertAlign w:val="superscript"/>
        </w:rPr>
        <w:t>,</w:t>
      </w:r>
      <w:hyperlink w:anchor="_ENREF_182" w:tooltip="AJ, 2018 #216" w:history="1">
        <w:r w:rsidR="002D6F18" w:rsidRPr="0053128A">
          <w:rPr>
            <w:vertAlign w:val="superscript"/>
          </w:rPr>
          <w:fldChar w:fldCharType="begin"/>
        </w:r>
        <w:r w:rsidR="002D6F18">
          <w:rPr>
            <w:vertAlign w:val="superscript"/>
          </w:rPr>
          <w:instrText xml:space="preserve"> ADDIN EN.CITE &lt;EndNote&gt;&lt;Cite&gt;&lt;Author&gt;AJ&lt;/Author&gt;&lt;Year&gt;2018&lt;/Year&gt;&lt;RecNum&gt;692&lt;/RecNum&gt;&lt;DisplayText&gt;&lt;style face="superscript"&gt;182&lt;/style&gt;&lt;/DisplayText&gt;&lt;record&gt;&lt;rec-number&gt;692&lt;/rec-number&gt;&lt;foreign-keys&gt;&lt;key app="EN" db-id="rsettzd2isasdweewww55s9lffasxav0d0ft" timestamp="1707862924" guid="7a75120c-4226-488b-83db-c4f957378ee1"&gt;692&lt;/key&gt;&lt;/foreign-keys&gt;&lt;ref-type name="Journal Article"&gt;17&lt;/ref-type&gt;&lt;contributors&gt;&lt;authors&gt;&lt;author&gt;Morgan AJ&lt;/author&gt;&lt;author&gt;Reavley NJ&lt;/author&gt;&lt;author&gt;Ross A&lt;/author&gt;&lt;author&gt;San Too L&lt;/author&gt;&lt;author&gt;Jorm AF&lt;/author&gt;&lt;/authors&gt;&lt;/contributors&gt;&lt;titles&gt;&lt;title&gt;Interventions to Reduce Stigma Towards People with Severe Mental Illness: Systematic Review and Meta-Analysis&lt;/title&gt;&lt;secondary-title&gt;Journal of Psychiatric Research&lt;/secondary-title&gt;&lt;/titles&gt;&lt;periodical&gt;&lt;full-title&gt;Journal of Psychiatric Research&lt;/full-title&gt;&lt;/periodical&gt;&lt;dates&gt;&lt;year&gt;2018&lt;/year&gt;&lt;/dates&gt;&lt;urls&gt;&lt;/urls&gt;&lt;electronic-resource-num&gt;https://doi.org/10.1016/j.jpsychires.2018.05.017&lt;/electronic-resource-num&gt;&lt;/record&gt;&lt;/Cite&gt;&lt;/EndNote&gt;</w:instrText>
        </w:r>
        <w:r w:rsidR="002D6F18" w:rsidRPr="0053128A">
          <w:rPr>
            <w:vertAlign w:val="superscript"/>
          </w:rPr>
          <w:fldChar w:fldCharType="separate"/>
        </w:r>
        <w:r w:rsidR="002D6F18">
          <w:rPr>
            <w:noProof/>
            <w:vertAlign w:val="superscript"/>
          </w:rPr>
          <w:t>182</w:t>
        </w:r>
        <w:r w:rsidR="002D6F18" w:rsidRPr="0053128A">
          <w:rPr>
            <w:vertAlign w:val="superscript"/>
          </w:rPr>
          <w:fldChar w:fldCharType="end"/>
        </w:r>
      </w:hyperlink>
      <w:r w:rsidRPr="00B059E6">
        <w:t xml:space="preserve"> </w:t>
      </w:r>
      <w:r w:rsidRPr="00B768A1">
        <w:rPr>
          <w:rStyle w:val="EndnoteReference"/>
          <w:vertAlign w:val="baseline"/>
        </w:rPr>
        <w:t xml:space="preserve">A reduction in suicide stigma has also been found through </w:t>
      </w:r>
      <w:r w:rsidRPr="00B768A1">
        <w:t>accurate and balanced media representation of people who experience suicidal thoughts and behaviours (</w:t>
      </w:r>
      <w:r w:rsidR="681FEB7C">
        <w:t>action ko</w:t>
      </w:r>
      <w:r w:rsidR="7ED1A578" w:rsidRPr="498A3250">
        <w:t>6</w:t>
      </w:r>
      <w:r w:rsidRPr="00B768A1">
        <w:t>.1</w:t>
      </w:r>
      <w:r w:rsidR="3B52B2B0" w:rsidRPr="498A3250">
        <w:t>b</w:t>
      </w:r>
      <w:r w:rsidRPr="00B768A1">
        <w:t>).</w:t>
      </w:r>
      <w:hyperlink w:anchor="_ENREF_183" w:tooltip="T, 2010 #218" w:history="1">
        <w:r w:rsidR="002D6F18">
          <w:fldChar w:fldCharType="begin"/>
        </w:r>
        <w:r w:rsidR="002D6F18">
          <w:instrText xml:space="preserve"> ADDIN EN.CITE &lt;EndNote&gt;&lt;Cite&gt;&lt;Author&gt;T&lt;/Author&gt;&lt;Year&gt;2010&lt;/Year&gt;&lt;RecNum&gt;218&lt;/RecNum&gt;&lt;DisplayText&gt;&lt;style face="superscript"&gt;183&lt;/style&gt;&lt;/DisplayText&gt;&lt;record&gt;&lt;rec-number&gt;218&lt;/rec-number&gt;&lt;foreign-keys&gt;&lt;key app="EN" db-id="rsettzd2isasdweewww55s9lffasxav0d0ft" timestamp="1700699469" guid="665f0b7c-41cf-4b03-bd53-a6621e48511f"&gt;218&lt;/key&gt;&lt;/foreign-keys&gt;&lt;ref-type name="Journal Article"&gt;17&lt;/ref-type&gt;&lt;contributors&gt;&lt;authors&gt;&lt;author&gt;Niederkrotenthaler T&lt;/author&gt;&lt;author&gt;Voracek M&lt;/author&gt;&lt;author&gt;Herberth A&lt;/author&gt;&lt;author&gt;Till B&lt;/author&gt;&lt;author&gt;Strauss M&lt;/author&gt;&lt;author&gt;Etzersdorfer E&lt;/author&gt;&lt;author&gt;Eisenwort B&lt;/author&gt;&lt;author&gt;Sonneck G&lt;/author&gt;&lt;/authors&gt;&lt;/contributors&gt;&lt;titles&gt;&lt;title&gt;Papageno v Werther Effect&lt;/title&gt;&lt;secondary-title&gt;BMJ: British Medical Journal (Online)&lt;/secondary-title&gt;&lt;/titles&gt;&lt;periodical&gt;&lt;full-title&gt;BMJ: British Medical Journal (Online)&lt;/full-title&gt;&lt;/periodical&gt;&lt;dates&gt;&lt;year&gt;2010&lt;/year&gt;&lt;/dates&gt;&lt;urls&gt;&lt;/urls&gt;&lt;electronic-resource-num&gt;DOI: 10.1136/bmj.c5841&lt;/electronic-resource-num&gt;&lt;/record&gt;&lt;/Cite&gt;&lt;/EndNote&gt;</w:instrText>
        </w:r>
        <w:r w:rsidR="002D6F18">
          <w:fldChar w:fldCharType="separate"/>
        </w:r>
        <w:r w:rsidR="002D6F18" w:rsidRPr="00C559B5">
          <w:rPr>
            <w:noProof/>
            <w:vertAlign w:val="superscript"/>
          </w:rPr>
          <w:t>183</w:t>
        </w:r>
        <w:r w:rsidR="002D6F18">
          <w:fldChar w:fldCharType="end"/>
        </w:r>
      </w:hyperlink>
      <w:r w:rsidRPr="00B768A1">
        <w:t xml:space="preserve"> </w:t>
      </w:r>
    </w:p>
    <w:p w14:paraId="63E5F762" w14:textId="280CF5E3" w:rsidR="00ED75F2" w:rsidRPr="00B768A1" w:rsidRDefault="0718247D" w:rsidP="00634A83">
      <w:r>
        <w:t>Reducing suicide-related stigma among service providers can be achieved through education</w:t>
      </w:r>
      <w:hyperlink w:anchor="_ENREF_180" w:tooltip="PW, 2005 #960" w:history="1">
        <w:r w:rsidR="002D6F18" w:rsidRPr="00FE5B2A">
          <w:rPr>
            <w:vertAlign w:val="superscript"/>
          </w:rPr>
          <w:fldChar w:fldCharType="begin"/>
        </w:r>
        <w:r w:rsidR="002D6F18">
          <w:rPr>
            <w:vertAlign w:val="superscript"/>
          </w:rPr>
          <w:instrText xml:space="preserve"> ADDIN EN.CITE &lt;EndNote&gt;&lt;Cite&gt;&lt;Author&gt;PW&lt;/Author&gt;&lt;Year&gt;2005&lt;/Year&gt;&lt;RecNum&gt;960&lt;/RecNum&gt;&lt;DisplayText&gt;&lt;style face="superscript"&gt;180&lt;/style&gt;&lt;/DisplayText&gt;&lt;record&gt;&lt;rec-number&gt;960&lt;/rec-number&gt;&lt;foreign-keys&gt;&lt;key app="EN" db-id="rsettzd2isasdweewww55s9lffasxav0d0ft" timestamp="1707862928" guid="c0beef91-241f-432a-a4dc-bf1ecc38da46"&gt;960&lt;/key&gt;&lt;/foreign-keys&gt;&lt;ref-type name="Book"&gt;6&lt;/ref-type&gt;&lt;contributors&gt;&lt;authors&gt;&lt;author&gt;Corrigan PW&lt;/author&gt;&lt;/authors&gt;&lt;/contributors&gt;&lt;titles&gt;&lt;title&gt;On the Stigma of Mental Illness: Practical Strategies for Research and Social Change&lt;/title&gt;&lt;/titles&gt;&lt;dates&gt;&lt;year&gt;2005&lt;/year&gt;&lt;/dates&gt;&lt;pub-location&gt;Washington, DC, United States of America&lt;/pub-location&gt;&lt;publisher&gt;American Psychological Association&lt;/publisher&gt;&lt;urls&gt;&lt;/urls&gt;&lt;/record&gt;&lt;/Cite&gt;&lt;/EndNote&gt;</w:instrText>
        </w:r>
        <w:r w:rsidR="002D6F18" w:rsidRPr="00FE5B2A">
          <w:rPr>
            <w:vertAlign w:val="superscript"/>
          </w:rPr>
          <w:fldChar w:fldCharType="separate"/>
        </w:r>
        <w:r w:rsidR="002D6F18">
          <w:rPr>
            <w:noProof/>
            <w:vertAlign w:val="superscript"/>
          </w:rPr>
          <w:t>180</w:t>
        </w:r>
        <w:r w:rsidR="002D6F18" w:rsidRPr="00FE5B2A">
          <w:rPr>
            <w:vertAlign w:val="superscript"/>
          </w:rPr>
          <w:fldChar w:fldCharType="end"/>
        </w:r>
      </w:hyperlink>
      <w:r w:rsidR="00FE5B2A" w:rsidRPr="00FE5B2A">
        <w:rPr>
          <w:vertAlign w:val="superscript"/>
        </w:rPr>
        <w:t>,</w:t>
      </w:r>
      <w:hyperlink w:anchor="_ENREF_181" w:tooltip="HF, 2012 #215" w:history="1">
        <w:r w:rsidR="002D6F18" w:rsidRPr="00FE5B2A">
          <w:rPr>
            <w:vertAlign w:val="superscript"/>
          </w:rPr>
          <w:fldChar w:fldCharType="begin"/>
        </w:r>
        <w:r w:rsidR="002D6F18">
          <w:rPr>
            <w:vertAlign w:val="superscript"/>
          </w:rPr>
          <w:instrText xml:space="preserve"> ADDIN EN.CITE &lt;EndNote&gt;&lt;Cite&gt;&lt;Author&gt;HF&lt;/Author&gt;&lt;Year&gt;2012&lt;/Year&gt;&lt;RecNum&gt;215&lt;/RecNum&gt;&lt;DisplayText&gt;&lt;style face="superscript"&gt;181&lt;/style&gt;&lt;/DisplayText&gt;&lt;record&gt;&lt;rec-number&gt;215&lt;/rec-number&gt;&lt;foreign-keys&gt;&lt;key app="EN" db-id="rsettzd2isasdweewww55s9lffasxav0d0ft" timestamp="1700699469" guid="5f9d3717-7061-430f-bbb3-516310c4f795"&gt;215&lt;/key&gt;&lt;/foreign-keys&gt;&lt;ref-type name="Journal Article"&gt;17&lt;/ref-type&gt;&lt;contributors&gt;&lt;authors&gt;&lt;author&gt;Dalky HF&lt;/author&gt;&lt;/authors&gt;&lt;/contributors&gt;&lt;titles&gt;&lt;title&gt;Mental Illness Stigma Reduction Interventions: Review of Intervention Trials&lt;/title&gt;&lt;secondary-title&gt;Western Journal of Nursing Research&lt;/secondary-title&gt;&lt;/titles&gt;&lt;periodical&gt;&lt;full-title&gt;Western Journal of Nursing Research&lt;/full-title&gt;&lt;/periodical&gt;&lt;dates&gt;&lt;year&gt;2012&lt;/year&gt;&lt;/dates&gt;&lt;urls&gt;&lt;/urls&gt;&lt;electronic-resource-num&gt;DOI: 10.1177/0193945911400638&lt;/electronic-resource-num&gt;&lt;/record&gt;&lt;/Cite&gt;&lt;/EndNote&gt;</w:instrText>
        </w:r>
        <w:r w:rsidR="002D6F18" w:rsidRPr="00FE5B2A">
          <w:rPr>
            <w:vertAlign w:val="superscript"/>
          </w:rPr>
          <w:fldChar w:fldCharType="separate"/>
        </w:r>
        <w:r w:rsidR="002D6F18">
          <w:rPr>
            <w:noProof/>
            <w:vertAlign w:val="superscript"/>
          </w:rPr>
          <w:t>181</w:t>
        </w:r>
        <w:r w:rsidR="002D6F18" w:rsidRPr="00FE5B2A">
          <w:rPr>
            <w:vertAlign w:val="superscript"/>
          </w:rPr>
          <w:fldChar w:fldCharType="end"/>
        </w:r>
      </w:hyperlink>
      <w:r w:rsidR="00FE5B2A" w:rsidRPr="00FE5B2A">
        <w:rPr>
          <w:vertAlign w:val="superscript"/>
        </w:rPr>
        <w:t>,</w:t>
      </w:r>
      <w:hyperlink w:anchor="_ENREF_182" w:tooltip="AJ, 2018 #216" w:history="1">
        <w:r w:rsidR="002D6F18" w:rsidRPr="00FE5B2A">
          <w:rPr>
            <w:vertAlign w:val="superscript"/>
          </w:rPr>
          <w:fldChar w:fldCharType="begin"/>
        </w:r>
        <w:r w:rsidR="002D6F18">
          <w:rPr>
            <w:vertAlign w:val="superscript"/>
          </w:rPr>
          <w:instrText xml:space="preserve"> ADDIN EN.CITE &lt;EndNote&gt;&lt;Cite&gt;&lt;Author&gt;AJ&lt;/Author&gt;&lt;Year&gt;2018&lt;/Year&gt;&lt;RecNum&gt;216&lt;/RecNum&gt;&lt;DisplayText&gt;&lt;style face="superscript"&gt;182&lt;/style&gt;&lt;/DisplayText&gt;&lt;record&gt;&lt;rec-number&gt;216&lt;/rec-number&gt;&lt;foreign-keys&gt;&lt;key app="EN" db-id="rsettzd2isasdweewww55s9lffasxav0d0ft" timestamp="1700699469" guid="8f7f3887-479f-4264-b749-b03da0596f07"&gt;216&lt;/key&gt;&lt;/foreign-keys&gt;&lt;ref-type name="Journal Article"&gt;17&lt;/ref-type&gt;&lt;contributors&gt;&lt;authors&gt;&lt;author&gt;Morgan AJ&lt;/author&gt;&lt;author&gt;Reavley NJ&lt;/author&gt;&lt;author&gt;Ross A&lt;/author&gt;&lt;author&gt;San Too L&lt;/author&gt;&lt;author&gt;Jorm AF&lt;/author&gt;&lt;/authors&gt;&lt;/contributors&gt;&lt;titles&gt;&lt;title&gt;Interventions to Reduce Stigma Towards People with Severe Mental Illness: Systematic Review and Meta-Analysis&lt;/title&gt;&lt;secondary-title&gt;Journal of Psychiatric Research&lt;/secondary-title&gt;&lt;/titles&gt;&lt;periodical&gt;&lt;full-title&gt;Journal of Psychiatric Research&lt;/full-title&gt;&lt;/periodical&gt;&lt;dates&gt;&lt;year&gt;2018&lt;/year&gt;&lt;/dates&gt;&lt;urls&gt;&lt;/urls&gt;&lt;electronic-resource-num&gt;DOI: 10.1016/j.jpsychires.2018.05.017&lt;/electronic-resource-num&gt;&lt;/record&gt;&lt;/Cite&gt;&lt;/EndNote&gt;</w:instrText>
        </w:r>
        <w:r w:rsidR="002D6F18" w:rsidRPr="00FE5B2A">
          <w:rPr>
            <w:vertAlign w:val="superscript"/>
          </w:rPr>
          <w:fldChar w:fldCharType="separate"/>
        </w:r>
        <w:r w:rsidR="002D6F18">
          <w:rPr>
            <w:noProof/>
            <w:vertAlign w:val="superscript"/>
          </w:rPr>
          <w:t>182</w:t>
        </w:r>
        <w:r w:rsidR="002D6F18" w:rsidRPr="00FE5B2A">
          <w:rPr>
            <w:vertAlign w:val="superscript"/>
          </w:rPr>
          <w:fldChar w:fldCharType="end"/>
        </w:r>
      </w:hyperlink>
      <w:r>
        <w:t xml:space="preserve"> during pre-service and ongoing professional development (action ko</w:t>
      </w:r>
      <w:r w:rsidR="3B971D0A">
        <w:t>6</w:t>
      </w:r>
      <w:r>
        <w:t>.1</w:t>
      </w:r>
      <w:r w:rsidR="46E55EDF">
        <w:t>c</w:t>
      </w:r>
      <w:r>
        <w:t xml:space="preserve">). Ideally the content is co-designed and co-facilitated by people with lived or living experience to </w:t>
      </w:r>
      <w:r w:rsidR="2ED68EB5">
        <w:t>it</w:t>
      </w:r>
      <w:r>
        <w:t xml:space="preserve"> is effective and challenges stereotypes.</w:t>
      </w:r>
      <w:hyperlink w:anchor="_ENREF_184" w:tooltip="N, 2015 #217" w:history="1">
        <w:r w:rsidR="002D6F18">
          <w:fldChar w:fldCharType="begin"/>
        </w:r>
        <w:r w:rsidR="002D6F18">
          <w:instrText xml:space="preserve"> ADDIN EN.CITE &lt;EndNote&gt;&lt;Cite&gt;&lt;Author&gt;N&lt;/Author&gt;&lt;Year&gt;2015&lt;/Year&gt;&lt;RecNum&gt;217&lt;/RecNum&gt;&lt;DisplayText&gt;&lt;style face="superscript"&gt;184&lt;/style&gt;&lt;/DisplayText&gt;&lt;record&gt;&lt;rec-number&gt;217&lt;/rec-number&gt;&lt;foreign-keys&gt;&lt;key app="EN" db-id="rsettzd2isasdweewww55s9lffasxav0d0ft" timestamp="1700699469" guid="694a7837-dac2-4a5b-9187-d2812b6ff0ec"&gt;217&lt;/key&gt;&lt;/foreign-keys&gt;&lt;ref-type name="Journal Article"&gt;17&lt;/ref-type&gt;&lt;contributors&gt;&lt;authors&gt;&lt;author&gt;Mehta N&lt;/author&gt;&lt;author&gt;Clement S&lt;/author&gt;&lt;author&gt;Marcus E&lt;/author&gt;&lt;author&gt;Stona AC&lt;/author&gt;&lt;author&gt;Bezborodovs N&lt;/author&gt;&lt;author&gt;Evans-Lacko S&lt;/author&gt;&lt;author&gt;Palacios J&lt;/author&gt;&lt;author&gt;Docherty M&lt;/author&gt;&lt;author&gt;Barley E&lt;/author&gt;&lt;author&gt;Rose D&lt;/author&gt;&lt;author&gt;Koschorke M&lt;/author&gt;&lt;author&gt;Shidhaye R&lt;/author&gt;&lt;author&gt;Henderson C&lt;/author&gt;&lt;author&gt;Thornicroft G&lt;/author&gt;&lt;/authors&gt;&lt;/contributors&gt;&lt;titles&gt;&lt;title&gt;Evidence for Effective Interventions to Reduce Mental Health-Related Stigma and Discrimination in the Medium and Long Term: Systematic Review&lt;/title&gt;&lt;secondary-title&gt;The British Journal of Psychiatry&lt;/secondary-title&gt;&lt;/titles&gt;&lt;periodical&gt;&lt;full-title&gt;The British Journal of Psychiatry&lt;/full-title&gt;&lt;/periodical&gt;&lt;dates&gt;&lt;year&gt;2015&lt;/year&gt;&lt;/dates&gt;&lt;urls&gt;&lt;/urls&gt;&lt;electronic-resource-num&gt;DOI: 10.1192/bjp.bp.114.151944&lt;/electronic-resource-num&gt;&lt;/record&gt;&lt;/Cite&gt;&lt;/EndNote&gt;</w:instrText>
        </w:r>
        <w:r w:rsidR="002D6F18">
          <w:fldChar w:fldCharType="separate"/>
        </w:r>
        <w:r w:rsidR="002D6F18" w:rsidRPr="00C559B5">
          <w:rPr>
            <w:noProof/>
            <w:vertAlign w:val="superscript"/>
          </w:rPr>
          <w:t>184</w:t>
        </w:r>
        <w:r w:rsidR="002D6F18">
          <w:fldChar w:fldCharType="end"/>
        </w:r>
      </w:hyperlink>
      <w:r>
        <w:t xml:space="preserve"> </w:t>
      </w:r>
    </w:p>
    <w:p w14:paraId="66D8EC8A" w14:textId="1DA603D7" w:rsidR="00FA01F3" w:rsidRDefault="4940876B" w:rsidP="00634A83">
      <w:r w:rsidRPr="00B768A1">
        <w:t xml:space="preserve">The most effective way to reduce self-stigma related to suicide is to reduce structural and public stigma. </w:t>
      </w:r>
      <w:r w:rsidR="28BD8301" w:rsidRPr="00B768A1">
        <w:t>Nevertheless</w:t>
      </w:r>
      <w:r w:rsidRPr="00B768A1">
        <w:t>, emerging evidence related to self-stigma about mental ill</w:t>
      </w:r>
      <w:r w:rsidR="32D0B929" w:rsidRPr="00B768A1">
        <w:t xml:space="preserve"> </w:t>
      </w:r>
      <w:r w:rsidRPr="00B768A1">
        <w:t>health could be drawn on to inform pilot programs for individuals, groups, and families, carers and kin</w:t>
      </w:r>
      <w:r w:rsidR="50BF4AF2" w:rsidRPr="00B768A1">
        <w:t xml:space="preserve"> (</w:t>
      </w:r>
      <w:r w:rsidR="681FEB7C">
        <w:t>action ko</w:t>
      </w:r>
      <w:r w:rsidR="21AC471B">
        <w:t>6</w:t>
      </w:r>
      <w:r w:rsidR="50BF4AF2" w:rsidRPr="00B768A1">
        <w:t>.1d)</w:t>
      </w:r>
      <w:r w:rsidRPr="00B768A1">
        <w:t>. There are promising peer support group-based approaches about changing attitudes and promoting acceptance</w:t>
      </w:r>
      <w:r w:rsidR="44319BD0" w:rsidRPr="00B768A1">
        <w:t>,</w:t>
      </w:r>
      <w:r w:rsidRPr="00B768A1">
        <w:t xml:space="preserve"> as well as one-on-one interventions such as </w:t>
      </w:r>
      <w:r w:rsidR="44319BD0" w:rsidRPr="00B768A1">
        <w:t>a</w:t>
      </w:r>
      <w:r w:rsidRPr="00B768A1">
        <w:t xml:space="preserve">cceptance </w:t>
      </w:r>
      <w:r w:rsidR="44319BD0" w:rsidRPr="00B768A1">
        <w:t>c</w:t>
      </w:r>
      <w:r w:rsidRPr="00B768A1">
        <w:t xml:space="preserve">ommitment </w:t>
      </w:r>
      <w:r w:rsidR="44319BD0" w:rsidRPr="00B768A1">
        <w:t>t</w:t>
      </w:r>
      <w:r w:rsidRPr="00B768A1">
        <w:t xml:space="preserve">herapy and </w:t>
      </w:r>
      <w:r w:rsidR="44319BD0" w:rsidRPr="00B768A1">
        <w:t>c</w:t>
      </w:r>
      <w:r w:rsidRPr="00B768A1">
        <w:t xml:space="preserve">ognitive </w:t>
      </w:r>
      <w:r w:rsidR="44319BD0" w:rsidRPr="00B768A1">
        <w:t>b</w:t>
      </w:r>
      <w:r w:rsidRPr="00B768A1">
        <w:t xml:space="preserve">ehavioural </w:t>
      </w:r>
      <w:r w:rsidR="44319BD0" w:rsidRPr="00B768A1">
        <w:t>t</w:t>
      </w:r>
      <w:r w:rsidRPr="00B768A1">
        <w:t>herapy.</w:t>
      </w:r>
      <w:hyperlink w:anchor="_ENREF_185" w:tooltip="A, 2011 #1029" w:history="1">
        <w:r w:rsidR="002D6F18">
          <w:fldChar w:fldCharType="begin"/>
        </w:r>
        <w:r w:rsidR="002D6F18">
          <w:instrText xml:space="preserve"> ADDIN EN.CITE &lt;EndNote&gt;&lt;Cite&gt;&lt;Author&gt;A&lt;/Author&gt;&lt;Year&gt;2011&lt;/Year&gt;&lt;RecNum&gt;1029&lt;/RecNum&gt;&lt;DisplayText&gt;&lt;style face="superscript"&gt;185&lt;/style&gt;&lt;/DisplayText&gt;&lt;record&gt;&lt;rec-number&gt;1029&lt;/rec-number&gt;&lt;foreign-keys&gt;&lt;key app="EN" db-id="rsettzd2isasdweewww55s9lffasxav0d0ft" timestamp="1720488473" guid="79979b80-b5e7-494c-91e3-c45a9b4608a3"&gt;1029&lt;/key&gt;&lt;/foreign-keys&gt;&lt;ref-type name="Journal Article"&gt;17&lt;/ref-type&gt;&lt;contributors&gt;&lt;authors&gt;&lt;author&gt;Ruddle A&lt;/author&gt;&lt;author&gt;Mason O&lt;/author&gt;&lt;author&gt;Wykes T&lt;/author&gt;&lt;/authors&gt;&lt;/contributors&gt;&lt;auth-address&gt;North Croydon CMHT, Croydon, UK. anna.ruddle@slam.nhs.uk&lt;/auth-address&gt;&lt;titles&gt;&lt;title&gt;A review of hearing voices groups: evidence and mechanisms of change&lt;/title&gt;&lt;secondary-title&gt;Clin Psychol Rev&lt;/secondary-title&gt;&lt;/titles&gt;&lt;periodical&gt;&lt;full-title&gt;Clin Psychol Rev&lt;/full-title&gt;&lt;/periodical&gt;&lt;pages&gt;757-66&lt;/pages&gt;&lt;volume&gt;31&lt;/volume&gt;&lt;number&gt;5&lt;/number&gt;&lt;edition&gt;2011/04/23&lt;/edition&gt;&lt;keywords&gt;&lt;keyword&gt;Adaptation, Psychological&lt;/keyword&gt;&lt;keyword&gt;*Cognitive Behavioral Therapy&lt;/keyword&gt;&lt;keyword&gt;Hallucinations/psychology/*therapy&lt;/keyword&gt;&lt;keyword&gt;Humans&lt;/keyword&gt;&lt;keyword&gt;*Self-Help Groups&lt;/keyword&gt;&lt;/keywords&gt;&lt;dates&gt;&lt;year&gt;2011&lt;/year&gt;&lt;pub-dates&gt;&lt;date&gt;Jul&lt;/date&gt;&lt;/pub-dates&gt;&lt;/dates&gt;&lt;isbn&gt;0272-7358&lt;/isbn&gt;&lt;accession-num&gt;21510914&lt;/accession-num&gt;&lt;urls&gt;&lt;/urls&gt;&lt;electronic-resource-num&gt;10.1016/j.cpr.2011.03.010&lt;/electronic-resource-num&gt;&lt;remote-database-provider&gt;NLM&lt;/remote-database-provider&gt;&lt;language&gt;eng&lt;/language&gt;&lt;/record&gt;&lt;/Cite&gt;&lt;/EndNote&gt;</w:instrText>
        </w:r>
        <w:r w:rsidR="002D6F18">
          <w:fldChar w:fldCharType="separate"/>
        </w:r>
        <w:r w:rsidR="002D6F18" w:rsidRPr="00C559B5">
          <w:rPr>
            <w:noProof/>
            <w:vertAlign w:val="superscript"/>
          </w:rPr>
          <w:t>185</w:t>
        </w:r>
        <w:r w:rsidR="002D6F18">
          <w:fldChar w:fldCharType="end"/>
        </w:r>
      </w:hyperlink>
    </w:p>
    <w:p w14:paraId="1AE5DAB7" w14:textId="749FC3F0" w:rsidR="00792742" w:rsidRPr="00B768A1" w:rsidRDefault="799FE31A" w:rsidP="00634A83">
      <w:r>
        <w:t xml:space="preserve">The recommended actions to </w:t>
      </w:r>
      <w:r w:rsidR="0051600B">
        <w:t xml:space="preserve">reduce suicide-related stigma </w:t>
      </w:r>
      <w:r w:rsidRPr="00F833FC">
        <w:rPr>
          <w:color w:val="221C23"/>
        </w:rPr>
        <w:t xml:space="preserve">are </w:t>
      </w:r>
      <w:r>
        <w:t>described in</w:t>
      </w:r>
      <w:r w:rsidR="00C146BA">
        <w:t xml:space="preserve"> </w:t>
      </w:r>
      <w:r w:rsidR="00C146BA">
        <w:fldChar w:fldCharType="begin"/>
      </w:r>
      <w:r w:rsidR="00C146BA">
        <w:instrText xml:space="preserve"> REF _Ref164869891 \h </w:instrText>
      </w:r>
      <w:r w:rsidR="00C146BA">
        <w:fldChar w:fldCharType="separate"/>
      </w:r>
      <w:r w:rsidR="009F12B4">
        <w:t xml:space="preserve">Table </w:t>
      </w:r>
      <w:r w:rsidR="009F12B4">
        <w:rPr>
          <w:noProof/>
        </w:rPr>
        <w:t>15</w:t>
      </w:r>
      <w:r w:rsidR="00C146BA">
        <w:fldChar w:fldCharType="end"/>
      </w:r>
      <w:r w:rsidR="007925C4">
        <w:t>.</w:t>
      </w:r>
    </w:p>
    <w:p w14:paraId="02058555" w14:textId="71749FAF" w:rsidR="00D02231" w:rsidRPr="00B768A1" w:rsidRDefault="00D02231" w:rsidP="00634A83">
      <w:pPr>
        <w:pStyle w:val="BT-Beigebox-Heading"/>
      </w:pPr>
      <w:r>
        <w:t>Activity to build on</w:t>
      </w:r>
    </w:p>
    <w:p w14:paraId="6BA4E2A0" w14:textId="504D31DA" w:rsidR="00C1133A" w:rsidRDefault="6CB4B878" w:rsidP="00634A83">
      <w:pPr>
        <w:pStyle w:val="BT-Beigebox"/>
      </w:pPr>
      <w:r w:rsidRPr="00B768A1">
        <w:t>Alive and Kicking Goals! is a program from the Mens Outreach Service Aboriginal Corporation based in the Kimberley, Western Australia. It aims to reduce the high suicide rate among Aboriginal and Torres Strait Islander youth in and around Broome by reducing stigma and increasing help-seeking</w:t>
      </w:r>
      <w:r w:rsidR="15DF0522" w:rsidRPr="00B768A1">
        <w:t xml:space="preserve">. The initiative </w:t>
      </w:r>
      <w:r w:rsidRPr="00B768A1">
        <w:t>train</w:t>
      </w:r>
      <w:r w:rsidR="15DF0522" w:rsidRPr="00B768A1">
        <w:t>s</w:t>
      </w:r>
      <w:r w:rsidRPr="00B768A1">
        <w:t xml:space="preserve"> youth leaders to deliver peer education workshops and </w:t>
      </w:r>
      <w:r w:rsidR="51B53BA0" w:rsidRPr="00B768A1">
        <w:t xml:space="preserve">provide </w:t>
      </w:r>
      <w:r w:rsidRPr="00B768A1">
        <w:t>one-on-one mentoring.</w:t>
      </w:r>
      <w:hyperlink w:anchor="_ENREF_186" w:tooltip="Service, 2023 #427" w:history="1">
        <w:r w:rsidR="002D6F18">
          <w:fldChar w:fldCharType="begin"/>
        </w:r>
        <w:r w:rsidR="002D6F18">
          <w:instrText xml:space="preserve"> ADDIN EN.CITE &lt;EndNote&gt;&lt;Cite&gt;&lt;Author&gt;Service&lt;/Author&gt;&lt;Year&gt;2023&lt;/Year&gt;&lt;RecNum&gt;427&lt;/RecNum&gt;&lt;DisplayText&gt;&lt;style face="superscript"&gt;186&lt;/style&gt;&lt;/DisplayText&gt;&lt;record&gt;&lt;rec-number&gt;427&lt;/rec-number&gt;&lt;foreign-keys&gt;&lt;key app="EN" db-id="rsettzd2isasdweewww55s9lffasxav0d0ft" timestamp="1700699473" guid="747f124b-269f-426b-8280-28e4397ca4d9"&gt;427&lt;/key&gt;&lt;/foreign-keys&gt;&lt;ref-type name="Web Page"&gt;12&lt;/ref-type&gt;&lt;contributors&gt;&lt;authors&gt;&lt;author&gt;Mens Outreach Service Aboriginal Corporation and Family Outreach Service&lt;/author&gt;&lt;/authors&gt;&lt;/contributors&gt;&lt;titles&gt;&lt;title&gt;ALIVE &amp;amp; Kicking Goals!&lt;/title&gt;&lt;/titles&gt;&lt;dates&gt;&lt;year&gt;2023&lt;/year&gt;&lt;/dates&gt;&lt;publisher&gt;MOSAC&lt;/publisher&gt;&lt;work-type&gt;Internet&lt;/work-type&gt;&lt;urls&gt;&lt;related-urls&gt;&lt;url&gt;https://mensoutreach.org.au/alive-kicking-goals/&lt;/url&gt;&lt;/related-urls&gt;&lt;/urls&gt;&lt;custom1&gt;2023&lt;/custom1&gt;&lt;custom2&gt;November 02&lt;/custom2&gt;&lt;/record&gt;&lt;/Cite&gt;&lt;/EndNote&gt;</w:instrText>
        </w:r>
        <w:r w:rsidR="002D6F18">
          <w:fldChar w:fldCharType="separate"/>
        </w:r>
        <w:r w:rsidR="002D6F18" w:rsidRPr="00C559B5">
          <w:rPr>
            <w:noProof/>
            <w:vertAlign w:val="superscript"/>
          </w:rPr>
          <w:t>186</w:t>
        </w:r>
        <w:r w:rsidR="002D6F18">
          <w:fldChar w:fldCharType="end"/>
        </w:r>
      </w:hyperlink>
    </w:p>
    <w:p w14:paraId="652F8ADD" w14:textId="216FAEFF" w:rsidR="00792742" w:rsidRPr="00B768A1" w:rsidRDefault="00792742" w:rsidP="00745B34">
      <w:pPr>
        <w:pStyle w:val="Caption"/>
      </w:pPr>
      <w:bookmarkStart w:id="88" w:name="_Ref162236870"/>
      <w:bookmarkStart w:id="89" w:name="_Ref164869891"/>
      <w:r>
        <w:t xml:space="preserve">Table </w:t>
      </w:r>
      <w:bookmarkEnd w:id="88"/>
      <w:r w:rsidR="00F823CC">
        <w:fldChar w:fldCharType="begin"/>
      </w:r>
      <w:r w:rsidR="00F823CC">
        <w:instrText xml:space="preserve"> SEQ Table \* ARABIC  \* MERGEFORMAT </w:instrText>
      </w:r>
      <w:r w:rsidR="00F823CC">
        <w:fldChar w:fldCharType="separate"/>
      </w:r>
      <w:r w:rsidR="009F12B4">
        <w:rPr>
          <w:noProof/>
        </w:rPr>
        <w:t>15</w:t>
      </w:r>
      <w:r w:rsidR="00F823CC">
        <w:fldChar w:fldCharType="end"/>
      </w:r>
      <w:bookmarkEnd w:id="89"/>
      <w:r>
        <w:t xml:space="preserve">: Recommended actions for Support objective </w:t>
      </w:r>
      <w:r w:rsidR="76F0DB28">
        <w:t>6</w:t>
      </w:r>
      <w:r>
        <w:t>.1: Reduce suicide stigma</w:t>
      </w:r>
    </w:p>
    <w:tbl>
      <w:tblPr>
        <w:tblStyle w:val="TableGrid"/>
        <w:tblW w:w="5000" w:type="pct"/>
        <w:tblLook w:val="0420" w:firstRow="1" w:lastRow="0" w:firstColumn="0" w:lastColumn="0" w:noHBand="0" w:noVBand="1"/>
        <w:tblCaption w:val="Recommended actions for Support objective 3.1: Reduce suicide stigma"/>
        <w:tblDescription w:val="Describes actions ko3.1a to ko3.1d.&#10;"/>
      </w:tblPr>
      <w:tblGrid>
        <w:gridCol w:w="1272"/>
        <w:gridCol w:w="7799"/>
      </w:tblGrid>
      <w:tr w:rsidR="00996915" w:rsidRPr="001D73D3" w14:paraId="7E9AABCF" w14:textId="77777777" w:rsidTr="00996915">
        <w:trPr>
          <w:cnfStyle w:val="100000000000" w:firstRow="1" w:lastRow="0" w:firstColumn="0" w:lastColumn="0" w:oddVBand="0" w:evenVBand="0" w:oddHBand="0" w:evenHBand="0" w:firstRowFirstColumn="0" w:firstRowLastColumn="0" w:lastRowFirstColumn="0" w:lastRowLastColumn="0"/>
          <w:trHeight w:val="300"/>
          <w:tblHeader/>
        </w:trPr>
        <w:tc>
          <w:tcPr>
            <w:tcW w:w="1272" w:type="dxa"/>
            <w:tcBorders>
              <w:top w:val="nil"/>
              <w:left w:val="nil"/>
              <w:bottom w:val="nil"/>
              <w:right w:val="nil"/>
            </w:tcBorders>
            <w:shd w:val="clear" w:color="auto" w:fill="3F9782"/>
          </w:tcPr>
          <w:p w14:paraId="66F28889" w14:textId="6E15D3A9" w:rsidR="00996915" w:rsidRPr="00247E24" w:rsidRDefault="00996915" w:rsidP="00996915">
            <w:pPr>
              <w:pStyle w:val="NMHCTableHeaderRow"/>
            </w:pPr>
            <w:r w:rsidRPr="00247E24">
              <w:t>Action</w:t>
            </w:r>
          </w:p>
        </w:tc>
        <w:tc>
          <w:tcPr>
            <w:tcW w:w="7800" w:type="dxa"/>
            <w:tcBorders>
              <w:top w:val="nil"/>
              <w:left w:val="nil"/>
              <w:bottom w:val="nil"/>
              <w:right w:val="nil"/>
            </w:tcBorders>
            <w:shd w:val="clear" w:color="auto" w:fill="3F9782"/>
            <w:tcMar>
              <w:top w:w="28" w:type="dxa"/>
              <w:bottom w:w="28" w:type="dxa"/>
            </w:tcMar>
          </w:tcPr>
          <w:p w14:paraId="016CEAE1" w14:textId="3D855A7D" w:rsidR="00996915" w:rsidRPr="00247E24" w:rsidRDefault="00996915" w:rsidP="00996915">
            <w:pPr>
              <w:pStyle w:val="NMHCTableHeaderRow"/>
            </w:pPr>
            <w:r w:rsidRPr="00247E24">
              <w:t>Description</w:t>
            </w:r>
          </w:p>
        </w:tc>
      </w:tr>
      <w:tr w:rsidR="00996915" w:rsidRPr="00B768A1" w14:paraId="50C6C604" w14:textId="77777777" w:rsidTr="00996915">
        <w:trPr>
          <w:trHeight w:val="300"/>
        </w:trPr>
        <w:tc>
          <w:tcPr>
            <w:tcW w:w="1272" w:type="dxa"/>
            <w:tcBorders>
              <w:top w:val="nil"/>
            </w:tcBorders>
          </w:tcPr>
          <w:p w14:paraId="028FECAD" w14:textId="46C3C784" w:rsidR="00996915" w:rsidRPr="00B768A1" w:rsidRDefault="00996915" w:rsidP="00634A83">
            <w:r>
              <w:t>ko6</w:t>
            </w:r>
            <w:r w:rsidRPr="00B768A1">
              <w:rPr>
                <w:bCs/>
              </w:rPr>
              <w:t>.</w:t>
            </w:r>
            <w:r>
              <w:t>1a</w:t>
            </w:r>
          </w:p>
        </w:tc>
        <w:tc>
          <w:tcPr>
            <w:tcW w:w="7800" w:type="dxa"/>
            <w:tcBorders>
              <w:top w:val="nil"/>
            </w:tcBorders>
            <w:tcMar>
              <w:top w:w="28" w:type="dxa"/>
              <w:bottom w:w="28" w:type="dxa"/>
            </w:tcMar>
          </w:tcPr>
          <w:p w14:paraId="09438EAE" w14:textId="2E739142" w:rsidR="00996915" w:rsidRPr="00B768A1" w:rsidRDefault="00996915" w:rsidP="00634A83">
            <w:r w:rsidRPr="00B768A1">
              <w:t xml:space="preserve">Invest in communication campaigns to reduce stigma about suicide, informed by the best available evidence. </w:t>
            </w:r>
          </w:p>
        </w:tc>
      </w:tr>
      <w:tr w:rsidR="00996915" w:rsidRPr="00B768A1" w14:paraId="4A9FF341" w14:textId="77777777" w:rsidTr="00996915">
        <w:trPr>
          <w:trHeight w:val="300"/>
        </w:trPr>
        <w:tc>
          <w:tcPr>
            <w:tcW w:w="1272" w:type="dxa"/>
          </w:tcPr>
          <w:p w14:paraId="75AAC959" w14:textId="0AA56C4A" w:rsidR="00996915" w:rsidRPr="00B768A1" w:rsidRDefault="00996915" w:rsidP="00634A83">
            <w:r>
              <w:t>ko6</w:t>
            </w:r>
            <w:r w:rsidRPr="00B768A1">
              <w:rPr>
                <w:bCs/>
              </w:rPr>
              <w:t>.</w:t>
            </w:r>
            <w:r>
              <w:t>1b</w:t>
            </w:r>
          </w:p>
        </w:tc>
        <w:tc>
          <w:tcPr>
            <w:tcW w:w="7800" w:type="dxa"/>
            <w:tcMar>
              <w:top w:w="28" w:type="dxa"/>
              <w:bottom w:w="28" w:type="dxa"/>
            </w:tcMar>
          </w:tcPr>
          <w:p w14:paraId="33FB5013" w14:textId="3D3944AA" w:rsidR="00996915" w:rsidRPr="00B768A1" w:rsidRDefault="00996915" w:rsidP="00634A83">
            <w:r w:rsidRPr="00B768A1">
              <w:t>Build on work already being done in relation to mental ill health by co-designing updated guidance and accountability about non-stigmatising representations of suicide in traditional and online media.</w:t>
            </w:r>
          </w:p>
        </w:tc>
      </w:tr>
      <w:tr w:rsidR="00996915" w14:paraId="2831871C" w14:textId="77777777" w:rsidTr="00996915">
        <w:trPr>
          <w:trHeight w:val="300"/>
        </w:trPr>
        <w:tc>
          <w:tcPr>
            <w:tcW w:w="1272" w:type="dxa"/>
          </w:tcPr>
          <w:p w14:paraId="69CB3C3C" w14:textId="45B7E948" w:rsidR="00996915" w:rsidRDefault="00996915" w:rsidP="00634A83">
            <w:pPr>
              <w:rPr>
                <w:rFonts w:cstheme="minorBidi"/>
              </w:rPr>
            </w:pPr>
            <w:r>
              <w:t>ko6.1c</w:t>
            </w:r>
          </w:p>
        </w:tc>
        <w:tc>
          <w:tcPr>
            <w:tcW w:w="7800" w:type="dxa"/>
          </w:tcPr>
          <w:p w14:paraId="2F039094" w14:textId="0B2D2F19" w:rsidR="00996915" w:rsidRDefault="00996915" w:rsidP="00634A83">
            <w:r>
              <w:t>To reduce suicide stigma among health and non-health support service providers:</w:t>
            </w:r>
          </w:p>
          <w:p w14:paraId="1A9BD6EA" w14:textId="57E43224" w:rsidR="00996915" w:rsidRDefault="00996915" w:rsidP="00634A83">
            <w:pPr>
              <w:pStyle w:val="ListParagraph"/>
              <w:numPr>
                <w:ilvl w:val="0"/>
                <w:numId w:val="67"/>
              </w:numPr>
            </w:pPr>
            <w:r>
              <w:t>strengthen professional undergraduate and postgraduate curricula and ongoing professional development programs by integrating stigma-specific content</w:t>
            </w:r>
          </w:p>
          <w:p w14:paraId="7998136D" w14:textId="1DA4EE04" w:rsidR="00996915" w:rsidRDefault="00996915" w:rsidP="00634A83">
            <w:pPr>
              <w:pStyle w:val="ListParagraph"/>
              <w:numPr>
                <w:ilvl w:val="0"/>
                <w:numId w:val="67"/>
              </w:numPr>
            </w:pPr>
            <w:r>
              <w:t>expand training programs that have evidence of effectiveness in reducing stigma and discrimination.</w:t>
            </w:r>
          </w:p>
        </w:tc>
      </w:tr>
      <w:tr w:rsidR="00996915" w:rsidRPr="00B768A1" w14:paraId="551DE886" w14:textId="77777777" w:rsidTr="00996915">
        <w:trPr>
          <w:trHeight w:val="300"/>
        </w:trPr>
        <w:tc>
          <w:tcPr>
            <w:tcW w:w="1272" w:type="dxa"/>
          </w:tcPr>
          <w:p w14:paraId="6136ED32" w14:textId="45E92629" w:rsidR="00996915" w:rsidRPr="00B768A1" w:rsidRDefault="00996915" w:rsidP="00634A83">
            <w:pPr>
              <w:rPr>
                <w:b/>
              </w:rPr>
            </w:pPr>
            <w:r>
              <w:t>ko6</w:t>
            </w:r>
            <w:r w:rsidRPr="00B768A1">
              <w:t>.1d</w:t>
            </w:r>
          </w:p>
        </w:tc>
        <w:tc>
          <w:tcPr>
            <w:tcW w:w="7800" w:type="dxa"/>
            <w:tcMar>
              <w:top w:w="28" w:type="dxa"/>
              <w:bottom w:w="28" w:type="dxa"/>
            </w:tcMar>
          </w:tcPr>
          <w:p w14:paraId="748D50BB" w14:textId="33AF2C85" w:rsidR="00996915" w:rsidRPr="00B768A1" w:rsidRDefault="00996915" w:rsidP="00634A83">
            <w:r w:rsidRPr="00B768A1">
              <w:t>Fund development and evaluation of individual and group programs that help to build self-compassion, hope and stigma-resistance with a view to developing guidelines for best-practice approaches for reducing self-stigma as the evidence base grows.</w:t>
            </w:r>
          </w:p>
        </w:tc>
      </w:tr>
    </w:tbl>
    <w:p w14:paraId="72E20CAE" w14:textId="71F432ED" w:rsidR="2CFB4529" w:rsidRDefault="0CE3DD22" w:rsidP="00D81ABA">
      <w:pPr>
        <w:pStyle w:val="heading3support"/>
      </w:pPr>
      <w:r>
        <w:t>6</w:t>
      </w:r>
      <w:r w:rsidR="00FA01F3" w:rsidRPr="00B768A1">
        <w:t xml:space="preserve">.2 </w:t>
      </w:r>
      <w:r w:rsidR="008741A7" w:rsidRPr="008741A7">
        <w:t xml:space="preserve">Reduce </w:t>
      </w:r>
      <w:r w:rsidR="00403ADA">
        <w:t xml:space="preserve">knowledge of and </w:t>
      </w:r>
      <w:r w:rsidR="008741A7" w:rsidRPr="008741A7">
        <w:t>access to means of suicidal self-harm</w:t>
      </w:r>
    </w:p>
    <w:p w14:paraId="02CBD7B2" w14:textId="036D7358" w:rsidR="00A23146" w:rsidRPr="00D81ABA" w:rsidRDefault="00E37F51" w:rsidP="00634A83">
      <w:pPr>
        <w:rPr>
          <w:rStyle w:val="EndnoteReference"/>
        </w:rPr>
      </w:pPr>
      <w:r>
        <w:rPr>
          <w:rStyle w:val="normaltextrun"/>
        </w:rPr>
        <w:t>I</w:t>
      </w:r>
      <w:r w:rsidRPr="00D81ABA">
        <w:rPr>
          <w:rStyle w:val="normaltextrun"/>
        </w:rPr>
        <w:t>n some cases, escalation to a suicide attempt can occur very suddenly, meaning opportunities to engage people with supports may be limited.</w:t>
      </w:r>
      <w:hyperlink w:anchor="_ENREF_187" w:tooltip="K, 2015 #220" w:history="1">
        <w:r w:rsidR="002D6F18" w:rsidRPr="00FE5B2A">
          <w:rPr>
            <w:rStyle w:val="normaltextrun"/>
            <w:vertAlign w:val="superscript"/>
          </w:rPr>
          <w:fldChar w:fldCharType="begin"/>
        </w:r>
        <w:r w:rsidR="002D6F18">
          <w:rPr>
            <w:rStyle w:val="normaltextrun"/>
            <w:vertAlign w:val="superscript"/>
          </w:rPr>
          <w:instrText xml:space="preserve"> ADDIN EN.CITE &lt;EndNote&gt;&lt;Cite&gt;&lt;Author&gt;K&lt;/Author&gt;&lt;Year&gt;2015&lt;/Year&gt;&lt;RecNum&gt;220&lt;/RecNum&gt;&lt;DisplayText&gt;&lt;style face="superscript"&gt;187&lt;/style&gt;&lt;/DisplayText&gt;&lt;record&gt;&lt;rec-number&gt;220&lt;/rec-number&gt;&lt;foreign-keys&gt;&lt;key app="EN" db-id="rsettzd2isasdweewww55s9lffasxav0d0ft" timestamp="1700699469" guid="438cf107-b576-4943-81bb-9155421e3782"&gt;220&lt;/key&gt;&lt;/foreign-keys&gt;&lt;ref-type name="Journal Article"&gt;17&lt;/ref-type&gt;&lt;contributors&gt;&lt;authors&gt;&lt;author&gt;Otsuka K&lt;/author&gt;&lt;author&gt;Nakamura H&lt;/author&gt;&lt;author&gt;Kudo K&lt;/author&gt;&lt;author&gt;Endo J&lt;/author&gt;&lt;author&gt;Sanjo K&lt;/author&gt;&lt;author&gt;Fukumoto K&lt;/author&gt;&lt;author&gt;Hoshi K&lt;/author&gt;&lt;author&gt;Yagi J&lt;/author&gt;&lt;author&gt;Sakai A&lt;/author&gt;&lt;/authors&gt;&lt;/contributors&gt;&lt;titles&gt;&lt;title&gt;The Characteristics of the Suicide Attempter According to the Onset Time of the Suicidal Ideation&lt;/title&gt;&lt;secondary-title&gt;Annals of General Psychiatry&lt;/secondary-title&gt;&lt;/titles&gt;&lt;periodical&gt;&lt;full-title&gt;Annals of General Psychiatry&lt;/full-title&gt;&lt;/periodical&gt;&lt;dates&gt;&lt;year&gt;2015&lt;/year&gt;&lt;/dates&gt;&lt;urls&gt;&lt;/urls&gt;&lt;electronic-resource-num&gt;DOI: 10.1186/s12991-015-0087-6&lt;/electronic-resource-num&gt;&lt;/record&gt;&lt;/Cite&gt;&lt;/EndNote&gt;</w:instrText>
        </w:r>
        <w:r w:rsidR="002D6F18" w:rsidRPr="00FE5B2A">
          <w:rPr>
            <w:rStyle w:val="normaltextrun"/>
            <w:vertAlign w:val="superscript"/>
          </w:rPr>
          <w:fldChar w:fldCharType="separate"/>
        </w:r>
        <w:r w:rsidR="002D6F18">
          <w:rPr>
            <w:rStyle w:val="normaltextrun"/>
            <w:noProof/>
            <w:vertAlign w:val="superscript"/>
          </w:rPr>
          <w:t>187</w:t>
        </w:r>
        <w:r w:rsidR="002D6F18" w:rsidRPr="00FE5B2A">
          <w:rPr>
            <w:rStyle w:val="normaltextrun"/>
            <w:vertAlign w:val="superscript"/>
          </w:rPr>
          <w:fldChar w:fldCharType="end"/>
        </w:r>
      </w:hyperlink>
      <w:r w:rsidR="00FE5B2A" w:rsidRPr="00FE5B2A">
        <w:rPr>
          <w:rStyle w:val="normaltextrun"/>
          <w:vertAlign w:val="superscript"/>
        </w:rPr>
        <w:t>,</w:t>
      </w:r>
      <w:hyperlink w:anchor="_ENREF_188" w:tooltip="L, 2021 #182" w:history="1">
        <w:r w:rsidR="002D6F18" w:rsidRPr="00FE5B2A">
          <w:rPr>
            <w:rStyle w:val="normaltextrun"/>
            <w:vertAlign w:val="superscript"/>
          </w:rPr>
          <w:fldChar w:fldCharType="begin"/>
        </w:r>
        <w:r w:rsidR="002D6F18">
          <w:rPr>
            <w:rStyle w:val="normaltextrun"/>
            <w:vertAlign w:val="superscript"/>
          </w:rPr>
          <w:instrText xml:space="preserve"> ADDIN EN.CITE &lt;EndNote&gt;&lt;Cite&gt;&lt;Author&gt;L&lt;/Author&gt;&lt;Year&gt;2021&lt;/Year&gt;&lt;RecNum&gt;182&lt;/RecNum&gt;&lt;DisplayText&gt;&lt;style face="superscript"&gt;188&lt;/style&gt;&lt;/DisplayText&gt;&lt;record&gt;&lt;rec-number&gt;182&lt;/rec-number&gt;&lt;foreign-keys&gt;&lt;key app="EN" db-id="rsettzd2isasdweewww55s9lffasxav0d0ft" timestamp="1700699469" guid="37c93e14-ca2d-4c8f-8204-471cd221c29b"&gt;182&lt;/key&gt;&lt;/foreign-keys&gt;&lt;ref-type name="Journal Article"&gt;17&lt;/ref-type&gt;&lt;contributors&gt;&lt;authors&gt;&lt;author&gt;Paashaus L&lt;/author&gt;&lt;author&gt;Forkmann T&lt;/author&gt;&lt;author&gt;Glaesmer H&lt;/author&gt;&lt;author&gt;Juckel G&lt;/author&gt;&lt;author&gt;Rath D&lt;/author&gt;&lt;author&gt;Schönfelder A&lt;/author&gt;&lt;author&gt;Teismann T&lt;/author&gt;&lt;/authors&gt;&lt;/contributors&gt;&lt;titles&gt;&lt;title&gt;From Decision to Action: Suicidal History and Time Between Decision to Die and Actual Suicide Attempt&lt;/title&gt;&lt;secondary-title&gt;Clinical Psychology &amp;amp; Psychotherapy&lt;/secondary-title&gt;&lt;/titles&gt;&lt;periodical&gt;&lt;full-title&gt;Clinical Psychology &amp;amp; Psychotherapy&lt;/full-title&gt;&lt;/periodical&gt;&lt;dates&gt;&lt;year&gt;2021&lt;/year&gt;&lt;/dates&gt;&lt;urls&gt;&lt;/urls&gt;&lt;electronic-resource-num&gt;DOI: 10.1002/cpp.2580&lt;/electronic-resource-num&gt;&lt;/record&gt;&lt;/Cite&gt;&lt;/EndNote&gt;</w:instrText>
        </w:r>
        <w:r w:rsidR="002D6F18" w:rsidRPr="00FE5B2A">
          <w:rPr>
            <w:rStyle w:val="normaltextrun"/>
            <w:vertAlign w:val="superscript"/>
          </w:rPr>
          <w:fldChar w:fldCharType="separate"/>
        </w:r>
        <w:r w:rsidR="002D6F18">
          <w:rPr>
            <w:rStyle w:val="normaltextrun"/>
            <w:noProof/>
            <w:vertAlign w:val="superscript"/>
          </w:rPr>
          <w:t>188</w:t>
        </w:r>
        <w:r w:rsidR="002D6F18" w:rsidRPr="00FE5B2A">
          <w:rPr>
            <w:rStyle w:val="normaltextrun"/>
            <w:vertAlign w:val="superscript"/>
          </w:rPr>
          <w:fldChar w:fldCharType="end"/>
        </w:r>
      </w:hyperlink>
      <w:r w:rsidR="00FE5B2A" w:rsidRPr="00FE5B2A">
        <w:rPr>
          <w:rStyle w:val="normaltextrun"/>
          <w:vertAlign w:val="superscript"/>
        </w:rPr>
        <w:t>,</w:t>
      </w:r>
      <w:hyperlink w:anchor="_ENREF_189" w:tooltip="EA, 2009 #183" w:history="1">
        <w:r w:rsidR="002D6F18" w:rsidRPr="00FE5B2A">
          <w:rPr>
            <w:rStyle w:val="normaltextrun"/>
            <w:vertAlign w:val="superscript"/>
          </w:rPr>
          <w:fldChar w:fldCharType="begin"/>
        </w:r>
        <w:r w:rsidR="002D6F18">
          <w:rPr>
            <w:rStyle w:val="normaltextrun"/>
            <w:vertAlign w:val="superscript"/>
          </w:rPr>
          <w:instrText xml:space="preserve"> ADDIN EN.CITE &lt;EndNote&gt;&lt;Cite&gt;&lt;Author&gt;EA&lt;/Author&gt;&lt;Year&gt;2009&lt;/Year&gt;&lt;RecNum&gt;183&lt;/RecNum&gt;&lt;DisplayText&gt;&lt;style face="superscript"&gt;189&lt;/style&gt;&lt;/DisplayText&gt;&lt;record&gt;&lt;rec-number&gt;183&lt;/rec-number&gt;&lt;foreign-keys&gt;&lt;key app="EN" db-id="rsettzd2isasdweewww55s9lffasxav0d0ft" timestamp="1700699469" guid="65672602-a641-4f5c-b4b7-d16e7c7297d6"&gt;183&lt;/key&gt;&lt;/foreign-keys&gt;&lt;ref-type name="Journal Article"&gt;17&lt;/ref-type&gt;&lt;contributors&gt;&lt;authors&gt;&lt;author&gt;Deisenhammer EA&lt;/author&gt;&lt;author&gt;Ing CM&lt;/author&gt;&lt;author&gt;Strauss R&lt;/author&gt;&lt;author&gt;Kemmler G&lt;/author&gt;&lt;author&gt;Hinterhube H&lt;/author&gt;&lt;author&gt;Weiss EM&lt;/author&gt;&lt;/authors&gt;&lt;/contributors&gt;&lt;titles&gt;&lt;title&gt;The Duration of the Suicidal Process: How Much Time is Left for Intervention Between Consideration and Accomplishment of a Suicide Attempt?&lt;/title&gt;&lt;secondary-title&gt;Journal of Clinical Psychiatry&lt;/secondary-title&gt;&lt;/titles&gt;&lt;periodical&gt;&lt;full-title&gt;Journal of Clinical Psychiatry&lt;/full-title&gt;&lt;/periodical&gt;&lt;dates&gt;&lt;year&gt;2009&lt;/year&gt;&lt;/dates&gt;&lt;urls&gt;&lt;/urls&gt;&lt;electronic-resource-num&gt;DOI: 10.4088/JCP.07m03904&lt;/electronic-resource-num&gt;&lt;/record&gt;&lt;/Cite&gt;&lt;/EndNote&gt;</w:instrText>
        </w:r>
        <w:r w:rsidR="002D6F18" w:rsidRPr="00FE5B2A">
          <w:rPr>
            <w:rStyle w:val="normaltextrun"/>
            <w:vertAlign w:val="superscript"/>
          </w:rPr>
          <w:fldChar w:fldCharType="separate"/>
        </w:r>
        <w:r w:rsidR="002D6F18">
          <w:rPr>
            <w:rStyle w:val="normaltextrun"/>
            <w:noProof/>
            <w:vertAlign w:val="superscript"/>
          </w:rPr>
          <w:t>189</w:t>
        </w:r>
        <w:r w:rsidR="002D6F18" w:rsidRPr="00FE5B2A">
          <w:rPr>
            <w:rStyle w:val="normaltextrun"/>
            <w:vertAlign w:val="superscript"/>
          </w:rPr>
          <w:fldChar w:fldCharType="end"/>
        </w:r>
      </w:hyperlink>
      <w:r w:rsidR="00FE5B2A" w:rsidRPr="00FE5B2A">
        <w:rPr>
          <w:rStyle w:val="normaltextrun"/>
          <w:vertAlign w:val="superscript"/>
        </w:rPr>
        <w:t>,</w:t>
      </w:r>
      <w:hyperlink w:anchor="_ENREF_190" w:tooltip="MK, 2008 #184" w:history="1">
        <w:r w:rsidR="002D6F18" w:rsidRPr="00FE5B2A">
          <w:rPr>
            <w:rStyle w:val="normaltextrun"/>
            <w:vertAlign w:val="superscript"/>
          </w:rPr>
          <w:fldChar w:fldCharType="begin"/>
        </w:r>
        <w:r w:rsidR="002D6F18">
          <w:rPr>
            <w:rStyle w:val="normaltextrun"/>
            <w:vertAlign w:val="superscript"/>
          </w:rPr>
          <w:instrText xml:space="preserve"> ADDIN EN.CITE &lt;EndNote&gt;&lt;Cite&gt;&lt;Author&gt;MK&lt;/Author&gt;&lt;Year&gt;2008&lt;/Year&gt;&lt;RecNum&gt;184&lt;/RecNum&gt;&lt;DisplayText&gt;&lt;style face="superscript"&gt;190&lt;/style&gt;&lt;/DisplayText&gt;&lt;record&gt;&lt;rec-number&gt;184&lt;/rec-number&gt;&lt;foreign-keys&gt;&lt;key app="EN" db-id="rsettzd2isasdweewww55s9lffasxav0d0ft" timestamp="1700699469" guid="f7645dab-c68f-4e09-af2f-e6f2f17deaf9"&gt;184&lt;/key&gt;&lt;/foreign-keys&gt;&lt;ref-type name="Journal Article"&gt;17&lt;/ref-type&gt;&lt;contributors&gt;&lt;authors&gt;&lt;author&gt;Nock MK&lt;/author&gt;&lt;author&gt;Borges G&lt;/author&gt;&lt;author&gt;Bromet EJ&lt;/author&gt;&lt;author&gt;Alonso J&lt;/author&gt;&lt;author&gt;Angermeyer M&lt;/author&gt;&lt;author&gt;Beautrais A&lt;/author&gt;&lt;author&gt;Bruffaerts R&lt;/author&gt;&lt;author&gt;Chiu WT&lt;/author&gt;&lt;author&gt;De Girolamo G&lt;/author&gt;&lt;author&gt;Gluzman S&lt;/author&gt;&lt;author&gt;de Graaf R&lt;/author&gt;&lt;author&gt;Gureje O&lt;/author&gt;&lt;author&gt;Haro JM&lt;/author&gt;&lt;author&gt;Huang Y&lt;/author&gt;&lt;author&gt;Karam E&lt;/author&gt;&lt;author&gt;Kessler RC&lt;/author&gt;&lt;author&gt;Lepine JP&lt;/author&gt;&lt;author&gt;Levinson D&lt;/author&gt;&lt;author&gt;Madina-Mora ME&lt;/author&gt;&lt;author&gt;Ono Y&lt;/author&gt;&lt;author&gt;Posada-Villa J&lt;/author&gt;&lt;author&gt;Williams D&lt;/author&gt;&lt;/authors&gt;&lt;/contributors&gt;&lt;titles&gt;&lt;title&gt;Cross-National Prevalence and Risk Factors for Suicidal Ideation, Plans and Attempts&lt;/title&gt;&lt;secondary-title&gt;The British Journal of Psychiatry&lt;/secondary-title&gt;&lt;/titles&gt;&lt;periodical&gt;&lt;full-title&gt;The British Journal of Psychiatry&lt;/full-title&gt;&lt;/periodical&gt;&lt;dates&gt;&lt;year&gt;2008&lt;/year&gt;&lt;/dates&gt;&lt;urls&gt;&lt;/urls&gt;&lt;electronic-resource-num&gt;DOI: 10.1192/bjp.bp.107.040113&lt;/electronic-resource-num&gt;&lt;/record&gt;&lt;/Cite&gt;&lt;/EndNote&gt;</w:instrText>
        </w:r>
        <w:r w:rsidR="002D6F18" w:rsidRPr="00FE5B2A">
          <w:rPr>
            <w:rStyle w:val="normaltextrun"/>
            <w:vertAlign w:val="superscript"/>
          </w:rPr>
          <w:fldChar w:fldCharType="separate"/>
        </w:r>
        <w:r w:rsidR="002D6F18">
          <w:rPr>
            <w:rStyle w:val="normaltextrun"/>
            <w:noProof/>
            <w:vertAlign w:val="superscript"/>
          </w:rPr>
          <w:t>190</w:t>
        </w:r>
        <w:r w:rsidR="002D6F18" w:rsidRPr="00FE5B2A">
          <w:rPr>
            <w:rStyle w:val="normaltextrun"/>
            <w:vertAlign w:val="superscript"/>
          </w:rPr>
          <w:fldChar w:fldCharType="end"/>
        </w:r>
      </w:hyperlink>
      <w:r w:rsidR="00FE5B2A">
        <w:rPr>
          <w:rStyle w:val="normaltextrun"/>
        </w:rPr>
        <w:t xml:space="preserve"> </w:t>
      </w:r>
      <w:r w:rsidR="072A830B" w:rsidRPr="00D81ABA">
        <w:rPr>
          <w:rStyle w:val="normaltextrun"/>
        </w:rPr>
        <w:t xml:space="preserve">Reducing knowledge of, and access to, means of suicide increases the opportunity </w:t>
      </w:r>
      <w:r w:rsidR="2F111EBD" w:rsidRPr="00D81ABA">
        <w:rPr>
          <w:rStyle w:val="normaltextrun"/>
        </w:rPr>
        <w:t xml:space="preserve">for people experiencing suicidal thoughts </w:t>
      </w:r>
      <w:r w:rsidR="072A830B" w:rsidRPr="00D81ABA">
        <w:rPr>
          <w:rStyle w:val="normaltextrun"/>
        </w:rPr>
        <w:t>to conne</w:t>
      </w:r>
      <w:r w:rsidR="11F62311" w:rsidRPr="00D81ABA">
        <w:rPr>
          <w:rStyle w:val="normaltextrun"/>
        </w:rPr>
        <w:t>ct with support</w:t>
      </w:r>
      <w:r w:rsidR="23A175E0" w:rsidRPr="00D81ABA">
        <w:rPr>
          <w:rStyle w:val="normaltextrun"/>
        </w:rPr>
        <w:t xml:space="preserve"> by preventing or delaying suicidal self-harm.</w:t>
      </w:r>
      <w:hyperlink w:anchor="_ENREF_191" w:tooltip="Organization, 2014 #219" w:history="1">
        <w:r w:rsidR="002D6F18" w:rsidRPr="00FE5B2A">
          <w:rPr>
            <w:rStyle w:val="normaltextrun"/>
            <w:vertAlign w:val="superscript"/>
          </w:rPr>
          <w:fldChar w:fldCharType="begin"/>
        </w:r>
        <w:r w:rsidR="002D6F18">
          <w:rPr>
            <w:rStyle w:val="normaltextrun"/>
            <w:vertAlign w:val="superscript"/>
          </w:rPr>
          <w:instrText xml:space="preserve"> ADDIN EN.CITE &lt;EndNote&gt;&lt;Cite&gt;&lt;Author&gt;Organization&lt;/Author&gt;&lt;Year&gt;2014&lt;/Year&gt;&lt;RecNum&gt;219&lt;/RecNum&gt;&lt;DisplayText&gt;&lt;style face="superscript"&gt;191&lt;/style&gt;&lt;/DisplayText&gt;&lt;record&gt;&lt;rec-number&gt;219&lt;/rec-number&gt;&lt;foreign-keys&gt;&lt;key app="EN" db-id="rsettzd2isasdweewww55s9lffasxav0d0ft" timestamp="1700699469" guid="8678ae40-b072-4dcf-a20a-f25ab8cc3f02"&gt;219&lt;/key&gt;&lt;/foreign-keys&gt;&lt;ref-type name="Web Page"&gt;12&lt;/ref-type&gt;&lt;contributors&gt;&lt;authors&gt;&lt;author&gt;World Health Organization&lt;/author&gt;&lt;/authors&gt;&lt;/contributors&gt;&lt;titles&gt;&lt;title&gt;Preventing Suicide: A Global Imperative&lt;/title&gt;&lt;/titles&gt;&lt;dates&gt;&lt;year&gt;2014&lt;/year&gt;&lt;/dates&gt;&lt;publisher&gt;WHO&lt;/publisher&gt;&lt;work-type&gt;Internet&lt;/work-type&gt;&lt;urls&gt;&lt;related-urls&gt;&lt;url&gt;https://www.who.int/publications/i/item/9789241564779&lt;/url&gt;&lt;/related-urls&gt;&lt;/urls&gt;&lt;custom1&gt;2023&lt;/custom1&gt;&lt;custom2&gt;October 31&lt;/custom2&gt;&lt;/record&gt;&lt;/Cite&gt;&lt;/EndNote&gt;</w:instrText>
        </w:r>
        <w:r w:rsidR="002D6F18" w:rsidRPr="00FE5B2A">
          <w:rPr>
            <w:rStyle w:val="normaltextrun"/>
            <w:vertAlign w:val="superscript"/>
          </w:rPr>
          <w:fldChar w:fldCharType="separate"/>
        </w:r>
        <w:r w:rsidR="002D6F18">
          <w:rPr>
            <w:rStyle w:val="normaltextrun"/>
            <w:noProof/>
            <w:vertAlign w:val="superscript"/>
          </w:rPr>
          <w:t>191</w:t>
        </w:r>
        <w:r w:rsidR="002D6F18" w:rsidRPr="00FE5B2A">
          <w:rPr>
            <w:rStyle w:val="normaltextrun"/>
            <w:vertAlign w:val="superscript"/>
          </w:rPr>
          <w:fldChar w:fldCharType="end"/>
        </w:r>
      </w:hyperlink>
      <w:r w:rsidR="00FE5B2A" w:rsidRPr="00FE5B2A">
        <w:rPr>
          <w:rStyle w:val="normaltextrun"/>
          <w:vertAlign w:val="superscript"/>
        </w:rPr>
        <w:t>,</w:t>
      </w:r>
      <w:hyperlink w:anchor="_ENREF_192" w:tooltip="PSF, 2012 #186" w:history="1">
        <w:r w:rsidR="002D6F18" w:rsidRPr="00FE5B2A">
          <w:rPr>
            <w:rStyle w:val="normaltextrun"/>
            <w:vertAlign w:val="superscript"/>
          </w:rPr>
          <w:fldChar w:fldCharType="begin"/>
        </w:r>
        <w:r w:rsidR="002D6F18">
          <w:rPr>
            <w:rStyle w:val="normaltextrun"/>
            <w:vertAlign w:val="superscript"/>
          </w:rPr>
          <w:instrText xml:space="preserve"> ADDIN EN.CITE &lt;EndNote&gt;&lt;Cite&gt;&lt;Author&gt;PSF&lt;/Author&gt;&lt;Year&gt;2012&lt;/Year&gt;&lt;RecNum&gt;186&lt;/RecNum&gt;&lt;DisplayText&gt;&lt;style face="superscript"&gt;192&lt;/style&gt;&lt;/DisplayText&gt;&lt;record&gt;&lt;rec-number&gt;186&lt;/rec-number&gt;&lt;foreign-keys&gt;&lt;key app="EN" db-id="rsettzd2isasdweewww55s9lffasxav0d0ft" timestamp="1700699469" guid="fa1395f4-fbbc-4e8a-90f2-3bb86ca90cd0"&gt;186&lt;/key&gt;&lt;/foreign-keys&gt;&lt;ref-type name="Journal Article"&gt;17&lt;/ref-type&gt;&lt;contributors&gt;&lt;authors&gt;&lt;author&gt;Yip PSF&lt;/author&gt;&lt;author&gt;Caine E&lt;/author&gt;&lt;author&gt;Yousuf S&lt;/author&gt;&lt;author&gt;Chang SS&lt;/author&gt;&lt;author&gt;Wu KCC&lt;/author&gt;&lt;author&gt;Chen YY&lt;/author&gt;&lt;/authors&gt;&lt;/contributors&gt;&lt;titles&gt;&lt;title&gt;Means Restriction for Suicide Prevention&lt;/title&gt;&lt;secondary-title&gt;The Lancet&lt;/secondary-title&gt;&lt;/titles&gt;&lt;periodical&gt;&lt;full-title&gt;The Lancet&lt;/full-title&gt;&lt;/periodical&gt;&lt;dates&gt;&lt;year&gt;2012&lt;/year&gt;&lt;/dates&gt;&lt;urls&gt;&lt;/urls&gt;&lt;electronic-resource-num&gt;DOI: 10.1016/S0140-6736(12)60521-2&lt;/electronic-resource-num&gt;&lt;/record&gt;&lt;/Cite&gt;&lt;/EndNote&gt;</w:instrText>
        </w:r>
        <w:r w:rsidR="002D6F18" w:rsidRPr="00FE5B2A">
          <w:rPr>
            <w:rStyle w:val="normaltextrun"/>
            <w:vertAlign w:val="superscript"/>
          </w:rPr>
          <w:fldChar w:fldCharType="separate"/>
        </w:r>
        <w:r w:rsidR="002D6F18">
          <w:rPr>
            <w:rStyle w:val="normaltextrun"/>
            <w:noProof/>
            <w:vertAlign w:val="superscript"/>
          </w:rPr>
          <w:t>192</w:t>
        </w:r>
        <w:r w:rsidR="002D6F18" w:rsidRPr="00FE5B2A">
          <w:rPr>
            <w:rStyle w:val="normaltextrun"/>
            <w:vertAlign w:val="superscript"/>
          </w:rPr>
          <w:fldChar w:fldCharType="end"/>
        </w:r>
      </w:hyperlink>
      <w:r w:rsidR="46DA82B4" w:rsidRPr="00D81ABA">
        <w:rPr>
          <w:rStyle w:val="EndnoteReference"/>
        </w:rPr>
        <w:t xml:space="preserve"> </w:t>
      </w:r>
      <w:r w:rsidR="63A7DEE8" w:rsidRPr="00D81ABA">
        <w:rPr>
          <w:rStyle w:val="normaltextrun"/>
        </w:rPr>
        <w:t>Reducing access to the most available and lethal means of suicide is</w:t>
      </w:r>
      <w:r w:rsidR="5B43A831" w:rsidRPr="00D81ABA">
        <w:rPr>
          <w:rStyle w:val="normaltextrun"/>
        </w:rPr>
        <w:t xml:space="preserve"> recognised as an</w:t>
      </w:r>
      <w:r w:rsidR="63A7DEE8" w:rsidRPr="00D81ABA">
        <w:rPr>
          <w:rStyle w:val="normaltextrun"/>
        </w:rPr>
        <w:t xml:space="preserve"> effective</w:t>
      </w:r>
      <w:r w:rsidR="46E6F44B" w:rsidRPr="00D81ABA">
        <w:rPr>
          <w:rStyle w:val="normaltextrun"/>
        </w:rPr>
        <w:t xml:space="preserve"> way to </w:t>
      </w:r>
      <w:r w:rsidR="63A7DEE8" w:rsidRPr="00D81ABA">
        <w:rPr>
          <w:rStyle w:val="normaltextrun"/>
        </w:rPr>
        <w:t>lower suicide rates.</w:t>
      </w:r>
      <w:hyperlink w:anchor="_ENREF_192" w:tooltip="PSF, 2012 #186" w:history="1">
        <w:r w:rsidR="002D6F18">
          <w:rPr>
            <w:rStyle w:val="normaltextrun"/>
          </w:rPr>
          <w:fldChar w:fldCharType="begin"/>
        </w:r>
        <w:r w:rsidR="002D6F18">
          <w:rPr>
            <w:rStyle w:val="normaltextrun"/>
          </w:rPr>
          <w:instrText xml:space="preserve"> ADDIN EN.CITE &lt;EndNote&gt;&lt;Cite&gt;&lt;Author&gt;PSF&lt;/Author&gt;&lt;Year&gt;2012&lt;/Year&gt;&lt;RecNum&gt;186&lt;/RecNum&gt;&lt;DisplayText&gt;&lt;style face="superscript"&gt;192&lt;/style&gt;&lt;/DisplayText&gt;&lt;record&gt;&lt;rec-number&gt;186&lt;/rec-number&gt;&lt;foreign-keys&gt;&lt;key app="EN" db-id="rsettzd2isasdweewww55s9lffasxav0d0ft" timestamp="1700699469" guid="fa1395f4-fbbc-4e8a-90f2-3bb86ca90cd0"&gt;186&lt;/key&gt;&lt;/foreign-keys&gt;&lt;ref-type name="Journal Article"&gt;17&lt;/ref-type&gt;&lt;contributors&gt;&lt;authors&gt;&lt;author&gt;Yip PSF&lt;/author&gt;&lt;author&gt;Caine E&lt;/author&gt;&lt;author&gt;Yousuf S&lt;/author&gt;&lt;author&gt;Chang SS&lt;/author&gt;&lt;author&gt;Wu KCC&lt;/author&gt;&lt;author&gt;Chen YY&lt;/author&gt;&lt;/authors&gt;&lt;/contributors&gt;&lt;titles&gt;&lt;title&gt;Means Restriction for Suicide Prevention&lt;/title&gt;&lt;secondary-title&gt;The Lancet&lt;/secondary-title&gt;&lt;/titles&gt;&lt;periodical&gt;&lt;full-title&gt;The Lancet&lt;/full-title&gt;&lt;/periodical&gt;&lt;dates&gt;&lt;year&gt;2012&lt;/year&gt;&lt;/dates&gt;&lt;urls&gt;&lt;/urls&gt;&lt;electronic-resource-num&gt;DOI: 10.1016/S0140-6736(12)60521-2&lt;/electronic-resource-num&gt;&lt;/record&gt;&lt;/Cite&gt;&lt;/EndNote&gt;</w:instrText>
        </w:r>
        <w:r w:rsidR="002D6F18">
          <w:rPr>
            <w:rStyle w:val="normaltextrun"/>
          </w:rPr>
          <w:fldChar w:fldCharType="separate"/>
        </w:r>
        <w:r w:rsidR="002D6F18" w:rsidRPr="00C559B5">
          <w:rPr>
            <w:rStyle w:val="normaltextrun"/>
            <w:noProof/>
            <w:vertAlign w:val="superscript"/>
          </w:rPr>
          <w:t>192</w:t>
        </w:r>
        <w:r w:rsidR="002D6F18">
          <w:rPr>
            <w:rStyle w:val="normaltextrun"/>
          </w:rPr>
          <w:fldChar w:fldCharType="end"/>
        </w:r>
      </w:hyperlink>
    </w:p>
    <w:p w14:paraId="023853D3" w14:textId="7E5B230F" w:rsidR="00A23146" w:rsidRPr="00D81ABA" w:rsidRDefault="49A2B361" w:rsidP="00634A83">
      <w:pPr>
        <w:rPr>
          <w:rStyle w:val="eop"/>
          <w:color w:val="231C24"/>
        </w:rPr>
      </w:pPr>
      <w:r w:rsidRPr="00D81ABA">
        <w:rPr>
          <w:rStyle w:val="normaltextrun"/>
        </w:rPr>
        <w:t xml:space="preserve">Responsible media reporting guidelines and the removal of harmful suicide-related content from online platforms </w:t>
      </w:r>
      <w:r w:rsidR="008753C4">
        <w:rPr>
          <w:rStyle w:val="normaltextrun"/>
        </w:rPr>
        <w:t>can</w:t>
      </w:r>
      <w:r w:rsidRPr="00D81ABA">
        <w:rPr>
          <w:rStyle w:val="normaltextrun"/>
        </w:rPr>
        <w:t xml:space="preserve"> reduce knowledge of means of suicide within the community.</w:t>
      </w:r>
      <w:hyperlink w:anchor="_ENREF_193" w:tooltip="K, 2002 #185" w:history="1">
        <w:r w:rsidR="002D6F18">
          <w:rPr>
            <w:rStyle w:val="normaltextrun"/>
          </w:rPr>
          <w:fldChar w:fldCharType="begin"/>
        </w:r>
        <w:r w:rsidR="002D6F18">
          <w:rPr>
            <w:rStyle w:val="normaltextrun"/>
          </w:rPr>
          <w:instrText xml:space="preserve"> ADDIN EN.CITE &lt;EndNote&gt;&lt;Cite&gt;&lt;Author&gt;K&lt;/Author&gt;&lt;Year&gt;2002&lt;/Year&gt;&lt;RecNum&gt;185&lt;/RecNum&gt;&lt;DisplayText&gt;&lt;style face="superscript"&gt;193&lt;/style&gt;&lt;/DisplayText&gt;&lt;record&gt;&lt;rec-number&gt;185&lt;/rec-number&gt;&lt;foreign-keys&gt;&lt;key app="EN" db-id="rsettzd2isasdweewww55s9lffasxav0d0ft" timestamp="1700699469" guid="d803547b-d231-4b24-9cf8-07cf56440c4d"&gt;185&lt;/key&gt;&lt;/foreign-keys&gt;&lt;ref-type name="Journal Article"&gt;17&lt;/ref-type&gt;&lt;contributors&gt;&lt;authors&gt;&lt;author&gt;Hawton K&lt;/author&gt;&lt;author&gt;Williams K&lt;/author&gt;&lt;/authors&gt;&lt;/contributors&gt;&lt;titles&gt;&lt;title&gt;Influences of the Media on Suicide: Researchers, Policy Makers, and Media Personnel need to Collaborate on Guidelines&lt;/title&gt;&lt;/titles&gt;&lt;dates&gt;&lt;year&gt;2002&lt;/year&gt;&lt;/dates&gt;&lt;publisher&gt;BMJ&lt;/publisher&gt;&lt;urls&gt;&lt;/urls&gt;&lt;electronic-resource-num&gt;DOI: 10.1136/bmj.325.7377.1374&lt;/electronic-resource-num&gt;&lt;/record&gt;&lt;/Cite&gt;&lt;/EndNote&gt;</w:instrText>
        </w:r>
        <w:r w:rsidR="002D6F18">
          <w:rPr>
            <w:rStyle w:val="normaltextrun"/>
          </w:rPr>
          <w:fldChar w:fldCharType="separate"/>
        </w:r>
        <w:r w:rsidR="002D6F18" w:rsidRPr="00C559B5">
          <w:rPr>
            <w:rStyle w:val="normaltextrun"/>
            <w:noProof/>
            <w:vertAlign w:val="superscript"/>
          </w:rPr>
          <w:t>193</w:t>
        </w:r>
        <w:r w:rsidR="002D6F18">
          <w:rPr>
            <w:rStyle w:val="normaltextrun"/>
          </w:rPr>
          <w:fldChar w:fldCharType="end"/>
        </w:r>
      </w:hyperlink>
      <w:r w:rsidRPr="00D81ABA">
        <w:rPr>
          <w:rStyle w:val="superscript"/>
          <w:vertAlign w:val="superscript"/>
        </w:rPr>
        <w:t xml:space="preserve"> </w:t>
      </w:r>
      <w:r w:rsidRPr="00D81ABA">
        <w:rPr>
          <w:rStyle w:val="normaltextrun"/>
        </w:rPr>
        <w:t>While guidelines already exist in Australia, further work is required to reduce exposure to harmful suicide-related content, particularly online content from sources outside of Australia.</w:t>
      </w:r>
      <w:hyperlink w:anchor="_ENREF_1" w:tooltip="Everymind, 2020 #970" w:history="1">
        <w:r w:rsidR="002D6F18">
          <w:rPr>
            <w:rStyle w:val="normaltextrun"/>
          </w:rPr>
          <w:fldChar w:fldCharType="begin"/>
        </w:r>
        <w:r w:rsidR="002D6F18">
          <w:rPr>
            <w:rStyle w:val="normaltextrun"/>
          </w:rPr>
          <w:instrText xml:space="preserve"> ADDIN EN.CITE &lt;EndNote&gt;&lt;Cite&gt;&lt;Author&gt;Everymind&lt;/Author&gt;&lt;Year&gt;2020&lt;/Year&gt;&lt;RecNum&gt;970&lt;/RecNum&gt;&lt;DisplayText&gt;&lt;style face="superscript"&gt;1&lt;/style&gt;&lt;/DisplayText&gt;&lt;record&gt;&lt;rec-number&gt;970&lt;/rec-number&gt;&lt;foreign-keys&gt;&lt;key app="EN" db-id="rsettzd2isasdweewww55s9lffasxav0d0ft" timestamp="1720064941" guid="6a81ca21-8cdc-4901-adad-2ef6498a8576"&gt;970&lt;/key&gt;&lt;/foreign-keys&gt;&lt;ref-type name="Book"&gt;6&lt;/ref-type&gt;&lt;contributors&gt;&lt;authors&gt;&lt;author&gt;Everymind&lt;/author&gt;&lt;/authors&gt;&lt;/contributors&gt;&lt;titles&gt;&lt;title&gt;Reporting suicide and mental ill health: A Mindframe resource for media professionals&lt;/title&gt;&lt;/titles&gt;&lt;dates&gt;&lt;year&gt;2020&lt;/year&gt;&lt;/dates&gt;&lt;pub-location&gt;Newcastle, Australia &lt;/pub-location&gt;&lt;isbn&gt;978-0-6489212-1-9&lt;/isbn&gt;&lt;urls&gt;&lt;/urls&gt;&lt;/record&gt;&lt;/Cite&gt;&lt;/EndNote&gt;</w:instrText>
        </w:r>
        <w:r w:rsidR="002D6F18">
          <w:rPr>
            <w:rStyle w:val="normaltextrun"/>
          </w:rPr>
          <w:fldChar w:fldCharType="separate"/>
        </w:r>
        <w:r w:rsidR="002D6F18" w:rsidRPr="00E25362">
          <w:rPr>
            <w:rStyle w:val="normaltextrun"/>
            <w:noProof/>
            <w:vertAlign w:val="superscript"/>
          </w:rPr>
          <w:t>1</w:t>
        </w:r>
        <w:r w:rsidR="002D6F18">
          <w:rPr>
            <w:rStyle w:val="normaltextrun"/>
          </w:rPr>
          <w:fldChar w:fldCharType="end"/>
        </w:r>
      </w:hyperlink>
      <w:r w:rsidR="009F2417" w:rsidRPr="006A785D">
        <w:rPr>
          <w:rStyle w:val="normaltextrun"/>
          <w:vertAlign w:val="superscript"/>
        </w:rPr>
        <w:t>,</w:t>
      </w:r>
      <w:hyperlink w:anchor="_ENREF_194" w:tooltip="P, 2023 #1085" w:history="1">
        <w:r w:rsidR="002D6F18">
          <w:rPr>
            <w:rStyle w:val="normaltextrun"/>
          </w:rPr>
          <w:fldChar w:fldCharType="begin"/>
        </w:r>
        <w:r w:rsidR="002D6F18">
          <w:rPr>
            <w:rStyle w:val="normaltextrun"/>
          </w:rPr>
          <w:instrText xml:space="preserve"> ADDIN EN.CITE &lt;EndNote&gt;&lt;Cite&gt;&lt;Author&gt;P&lt;/Author&gt;&lt;Year&gt;2023&lt;/Year&gt;&lt;RecNum&gt;1085&lt;/RecNum&gt;&lt;DisplayText&gt;&lt;style face="superscript"&gt;194&lt;/style&gt;&lt;/DisplayText&gt;&lt;record&gt;&lt;rec-number&gt;1085&lt;/rec-number&gt;&lt;foreign-keys&gt;&lt;key app="EN" db-id="rsettzd2isasdweewww55s9lffasxav0d0ft" timestamp="1720497439" guid="f1a3cf08-39da-4e6a-ba55-9e4b3b6423f2"&gt;1085&lt;/key&gt;&lt;/foreign-keys&gt;&lt;ref-type name="Web Page"&gt;12&lt;/ref-type&gt;&lt;contributors&gt;&lt;authors&gt;&lt;author&gt;Thorn P &lt;/author&gt;&lt;author&gt;McKay S &lt;/author&gt;&lt;author&gt;Hemming L &lt;/author&gt;&lt;author&gt;Reavley N &lt;/author&gt;&lt;author&gt;La Sala L &lt;/author&gt;&lt;author&gt;Sabo A &lt;/author&gt;&lt;author&gt;McCormack T &lt;/author&gt;&lt;author&gt;Battersby-Coulter R &lt;/author&gt;&lt;author&gt;Cooper C&lt;/author&gt;&lt;author&gt;Lamblin M&lt;/author&gt;&lt;author&gt;Robinson J&lt;/author&gt;&lt;/authors&gt;&lt;/contributors&gt;&lt;titles&gt;&lt;title&gt; #chatsafe: a young person’s guide to communicating safely online about self-harm and suicide. Edition two&lt;/title&gt;&lt;/titles&gt;&lt;dates&gt;&lt;year&gt;2023&lt;/year&gt;&lt;/dates&gt;&lt;pub-location&gt;Melbourne, Australia &lt;/pub-location&gt;&lt;publisher&gt;Orygen&lt;/publisher&gt;&lt;work-type&gt;Internet&lt;/work-type&gt;&lt;urls&gt;&lt;related-urls&gt;&lt;url&gt;https://www.orygen.org.au/chatsafe&lt;/url&gt;&lt;/related-urls&gt;&lt;/urls&gt;&lt;custom1&gt;2024&lt;/custom1&gt;&lt;custom2&gt;March 06&lt;/custom2&gt;&lt;/record&gt;&lt;/Cite&gt;&lt;/EndNote&gt;</w:instrText>
        </w:r>
        <w:r w:rsidR="002D6F18">
          <w:rPr>
            <w:rStyle w:val="normaltextrun"/>
          </w:rPr>
          <w:fldChar w:fldCharType="separate"/>
        </w:r>
        <w:r w:rsidR="002D6F18" w:rsidRPr="00C559B5">
          <w:rPr>
            <w:rStyle w:val="normaltextrun"/>
            <w:noProof/>
            <w:vertAlign w:val="superscript"/>
          </w:rPr>
          <w:t>194</w:t>
        </w:r>
        <w:r w:rsidR="002D6F18">
          <w:rPr>
            <w:rStyle w:val="normaltextrun"/>
          </w:rPr>
          <w:fldChar w:fldCharType="end"/>
        </w:r>
      </w:hyperlink>
      <w:r w:rsidRPr="00D81ABA">
        <w:rPr>
          <w:rStyle w:val="normaltextrun"/>
          <w:vertAlign w:val="superscript"/>
        </w:rPr>
        <w:t xml:space="preserve"> </w:t>
      </w:r>
      <w:r w:rsidRPr="00D81ABA">
        <w:rPr>
          <w:rStyle w:val="normaltextrun"/>
        </w:rPr>
        <w:t>Online safety can be improved by mechanisms to make online services and platforms responsible for minimising the risk of people being exposed to harmful content, and to enhance user choice and control over the content they receive. Emerging technologies such as artificial intelligence have potential to progress efforts to reduce knowledge of means of suicide in the community (action ko</w:t>
      </w:r>
      <w:r w:rsidR="1139DC2F" w:rsidRPr="00D81ABA">
        <w:rPr>
          <w:rStyle w:val="normaltextrun"/>
        </w:rPr>
        <w:t>6</w:t>
      </w:r>
      <w:r w:rsidRPr="00D81ABA">
        <w:rPr>
          <w:rStyle w:val="normaltextrun"/>
        </w:rPr>
        <w:t>.2</w:t>
      </w:r>
      <w:r w:rsidR="06AD37DE" w:rsidRPr="00D81ABA">
        <w:rPr>
          <w:rStyle w:val="normaltextrun"/>
        </w:rPr>
        <w:t>a</w:t>
      </w:r>
      <w:r w:rsidRPr="00D81ABA">
        <w:rPr>
          <w:rStyle w:val="normaltextrun"/>
        </w:rPr>
        <w:t xml:space="preserve">). </w:t>
      </w:r>
    </w:p>
    <w:p w14:paraId="44D90DAB" w14:textId="6833F671" w:rsidR="00403ADA" w:rsidRPr="00D81ABA" w:rsidRDefault="06AD37DE" w:rsidP="00634A83">
      <w:pPr>
        <w:rPr>
          <w:sz w:val="18"/>
          <w:szCs w:val="18"/>
        </w:rPr>
      </w:pPr>
      <w:r w:rsidRPr="00D81ABA">
        <w:rPr>
          <w:rStyle w:val="normaltextrun"/>
        </w:rPr>
        <w:t>Data surveillance systems can help identify common suicide methods and locations so that preventative infrastructure and support systems can be put in place. The Australian Government has established the National Suicide and Self-harm Monitoring System</w:t>
      </w:r>
      <w:hyperlink w:anchor="_ENREF_195" w:tooltip="Welfare, 2023 #957" w:history="1">
        <w:r w:rsidR="002D6F18">
          <w:rPr>
            <w:rStyle w:val="normaltextrun"/>
          </w:rPr>
          <w:fldChar w:fldCharType="begin"/>
        </w:r>
        <w:r w:rsidR="002D6F18">
          <w:rPr>
            <w:rStyle w:val="normaltextrun"/>
          </w:rPr>
          <w:instrText xml:space="preserve"> ADDIN EN.CITE &lt;EndNote&gt;&lt;Cite&gt;&lt;Author&gt;Welfare&lt;/Author&gt;&lt;Year&gt;2023&lt;/Year&gt;&lt;RecNum&gt;957&lt;/RecNum&gt;&lt;DisplayText&gt;&lt;style face="superscript"&gt;195&lt;/style&gt;&lt;/DisplayText&gt;&lt;record&gt;&lt;rec-number&gt;957&lt;/rec-number&gt;&lt;foreign-keys&gt;&lt;key app="EN" db-id="rsettzd2isasdweewww55s9lffasxav0d0ft" timestamp="1707862928" guid="0cdfb0ac-6343-49f5-9c2d-99403f0eb7fb"&gt;957&lt;/key&gt;&lt;/foreign-keys&gt;&lt;ref-type name="Web Page"&gt;12&lt;/ref-type&gt;&lt;contributors&gt;&lt;authors&gt;&lt;author&gt;Australian Institute of Health and Welfare&lt;/author&gt;&lt;/authors&gt;&lt;/contributors&gt;&lt;titles&gt;&lt;title&gt;The National Suicide and Self-Harm Monitoring System&lt;/title&gt;&lt;/titles&gt;&lt;dates&gt;&lt;year&gt;2023&lt;/year&gt;&lt;/dates&gt;&lt;publisher&gt;AIHW&lt;/publisher&gt;&lt;work-type&gt;Internet&lt;/work-type&gt;&lt;urls&gt;&lt;related-urls&gt;&lt;url&gt;https://www.aihw.gov.au/suicide-self-harm-monitoring&lt;/url&gt;&lt;/related-urls&gt;&lt;/urls&gt;&lt;custom1&gt;2023&lt;/custom1&gt;&lt;custom2&gt;October 30&lt;/custom2&gt;&lt;/record&gt;&lt;/Cite&gt;&lt;/EndNote&gt;</w:instrText>
        </w:r>
        <w:r w:rsidR="002D6F18">
          <w:rPr>
            <w:rStyle w:val="normaltextrun"/>
          </w:rPr>
          <w:fldChar w:fldCharType="separate"/>
        </w:r>
        <w:r w:rsidR="002D6F18" w:rsidRPr="00C559B5">
          <w:rPr>
            <w:rStyle w:val="normaltextrun"/>
            <w:noProof/>
            <w:vertAlign w:val="superscript"/>
          </w:rPr>
          <w:t>195</w:t>
        </w:r>
        <w:r w:rsidR="002D6F18">
          <w:rPr>
            <w:rStyle w:val="normaltextrun"/>
          </w:rPr>
          <w:fldChar w:fldCharType="end"/>
        </w:r>
      </w:hyperlink>
      <w:r w:rsidRPr="00D81ABA">
        <w:rPr>
          <w:rStyle w:val="normaltextrun"/>
        </w:rPr>
        <w:t xml:space="preserve"> to collect data, identify emerging trends, identify at-risk groups, and inform programs and policies to prevent suicide. The ability to respond to emerging trends in a timely way is optimised when data surveillance systems collect and report data in as close to real time as possible.</w:t>
      </w:r>
      <w:hyperlink w:anchor="_ENREF_191" w:tooltip="Organization, 2014 #219" w:history="1">
        <w:r w:rsidR="002D6F18">
          <w:rPr>
            <w:rStyle w:val="normaltextrun"/>
          </w:rPr>
          <w:fldChar w:fldCharType="begin"/>
        </w:r>
        <w:r w:rsidR="002D6F18">
          <w:rPr>
            <w:rStyle w:val="normaltextrun"/>
          </w:rPr>
          <w:instrText xml:space="preserve"> ADDIN EN.CITE &lt;EndNote&gt;&lt;Cite&gt;&lt;Author&gt;Organization&lt;/Author&gt;&lt;Year&gt;2014&lt;/Year&gt;&lt;RecNum&gt;642&lt;/RecNum&gt;&lt;DisplayText&gt;&lt;style face="superscript"&gt;191&lt;/style&gt;&lt;/DisplayText&gt;&lt;record&gt;&lt;rec-number&gt;642&lt;/rec-number&gt;&lt;foreign-keys&gt;&lt;key app="EN" db-id="rsettzd2isasdweewww55s9lffasxav0d0ft" timestamp="1707862923" guid="0cfcec87-7805-4f83-bc3d-ffb331d31c85"&gt;642&lt;/key&gt;&lt;/foreign-keys&gt;&lt;ref-type name="Web Page"&gt;12&lt;/ref-type&gt;&lt;contributors&gt;&lt;authors&gt;&lt;author&gt;World Health Organization&lt;/author&gt;&lt;/authors&gt;&lt;/contributors&gt;&lt;titles&gt;&lt;title&gt;Preventing Suicide: A Global Imperative&lt;/title&gt;&lt;/titles&gt;&lt;dates&gt;&lt;year&gt;2014&lt;/year&gt;&lt;/dates&gt;&lt;publisher&gt;WHO&lt;/publisher&gt;&lt;work-type&gt;Internet&lt;/work-type&gt;&lt;urls&gt;&lt;related-urls&gt;&lt;url&gt;https://www.who.int/publications/i/item/9789241564779&lt;/url&gt;&lt;/related-urls&gt;&lt;/urls&gt;&lt;custom1&gt;2023&lt;/custom1&gt;&lt;custom2&gt;October 31&lt;/custom2&gt;&lt;/record&gt;&lt;/Cite&gt;&lt;/EndNote&gt;</w:instrText>
        </w:r>
        <w:r w:rsidR="002D6F18">
          <w:rPr>
            <w:rStyle w:val="normaltextrun"/>
          </w:rPr>
          <w:fldChar w:fldCharType="separate"/>
        </w:r>
        <w:r w:rsidR="002D6F18" w:rsidRPr="00C559B5">
          <w:rPr>
            <w:rStyle w:val="normaltextrun"/>
            <w:noProof/>
            <w:vertAlign w:val="superscript"/>
          </w:rPr>
          <w:t>191</w:t>
        </w:r>
        <w:r w:rsidR="002D6F18">
          <w:rPr>
            <w:rStyle w:val="normaltextrun"/>
          </w:rPr>
          <w:fldChar w:fldCharType="end"/>
        </w:r>
      </w:hyperlink>
      <w:r w:rsidRPr="00D81ABA">
        <w:rPr>
          <w:rStyle w:val="normaltextrun"/>
        </w:rPr>
        <w:t xml:space="preserve"> By achieving improved timeliness and data coverage, the National Suicide and Self-harm Monitoring System</w:t>
      </w:r>
      <w:r w:rsidRPr="48215A0F">
        <w:rPr>
          <w:rStyle w:val="normaltextrun"/>
          <w:i/>
          <w:iCs/>
        </w:rPr>
        <w:t xml:space="preserve"> </w:t>
      </w:r>
      <w:r w:rsidRPr="00D81ABA">
        <w:rPr>
          <w:rStyle w:val="normaltextrun"/>
        </w:rPr>
        <w:t>has the potential to deliver a national approach to means restriction (action ko6.2b).</w:t>
      </w:r>
      <w:hyperlink w:anchor="_ENREF_196" w:tooltip="A, 2022 #428" w:history="1">
        <w:r w:rsidR="002D6F18">
          <w:rPr>
            <w:rStyle w:val="normaltextrun"/>
          </w:rPr>
          <w:fldChar w:fldCharType="begin"/>
        </w:r>
        <w:r w:rsidR="002D6F18">
          <w:rPr>
            <w:rStyle w:val="normaltextrun"/>
          </w:rPr>
          <w:instrText xml:space="preserve"> ADDIN EN.CITE &lt;EndNote&gt;&lt;Cite&gt;&lt;Author&gt;A&lt;/Author&gt;&lt;Year&gt;2022&lt;/Year&gt;&lt;RecNum&gt;696&lt;/RecNum&gt;&lt;DisplayText&gt;&lt;style face="superscript"&gt;196&lt;/style&gt;&lt;/DisplayText&gt;&lt;record&gt;&lt;rec-number&gt;696&lt;/rec-number&gt;&lt;foreign-keys&gt;&lt;key app="EN" db-id="rsettzd2isasdweewww55s9lffasxav0d0ft" timestamp="1707862924" guid="dad4990a-7858-4272-8cda-3022eb3766bc"&gt;696&lt;/key&gt;&lt;/foreign-keys&gt;&lt;ref-type name="Web Page"&gt;12&lt;/ref-type&gt;&lt;contributors&gt;&lt;authors&gt;&lt;author&gt;Flego A&lt;/author&gt;&lt;author&gt;Dempster G&lt;/author&gt;&lt;author&gt;Cutler T&lt;/author&gt;&lt;author&gt;Robinson J&lt;/author&gt;&lt;author&gt;Perkis J&lt;/author&gt;&lt;/authors&gt;&lt;/contributors&gt;&lt;titles&gt;&lt;title&gt;Evaluation of the National Suicide and Self-Harm Monitoring Project and System: Final Report&lt;/title&gt;&lt;/titles&gt;&lt;dates&gt;&lt;year&gt;2022&lt;/year&gt;&lt;/dates&gt;&lt;publisher&gt;AIHW&lt;/publisher&gt;&lt;work-type&gt;Internet&lt;/work-type&gt;&lt;urls&gt;&lt;related-urls&gt;&lt;url&gt;https://www.aihw.gov.au/getmedia/3913189d-ee80-4dcb-bbf2-ed1cb2104e3a/NSSHMS-Evaluation_Final-report_UoM_280622.pdf.aspx&lt;/url&gt;&lt;/related-urls&gt;&lt;/urls&gt;&lt;custom1&gt;2023&lt;/custom1&gt;&lt;custom2&gt;November 02&lt;/custom2&gt;&lt;/record&gt;&lt;/Cite&gt;&lt;/EndNote&gt;</w:instrText>
        </w:r>
        <w:r w:rsidR="002D6F18">
          <w:rPr>
            <w:rStyle w:val="normaltextrun"/>
          </w:rPr>
          <w:fldChar w:fldCharType="separate"/>
        </w:r>
        <w:r w:rsidR="002D6F18" w:rsidRPr="00C559B5">
          <w:rPr>
            <w:rStyle w:val="normaltextrun"/>
            <w:noProof/>
            <w:vertAlign w:val="superscript"/>
          </w:rPr>
          <w:t>196</w:t>
        </w:r>
        <w:r w:rsidR="002D6F18">
          <w:rPr>
            <w:rStyle w:val="normaltextrun"/>
          </w:rPr>
          <w:fldChar w:fldCharType="end"/>
        </w:r>
      </w:hyperlink>
    </w:p>
    <w:p w14:paraId="7E6AB1F2" w14:textId="0E440339" w:rsidR="00403ADA" w:rsidRPr="00D81ABA" w:rsidRDefault="00403ADA" w:rsidP="00634A83">
      <w:pPr>
        <w:rPr>
          <w:rStyle w:val="eop"/>
          <w:color w:val="231C24"/>
        </w:rPr>
      </w:pPr>
      <w:r w:rsidRPr="00D81ABA">
        <w:rPr>
          <w:rStyle w:val="normaltextrun"/>
          <w:color w:val="231C24"/>
        </w:rPr>
        <w:t xml:space="preserve">The recommended actions to </w:t>
      </w:r>
      <w:r w:rsidR="00296FCA">
        <w:rPr>
          <w:rStyle w:val="normaltextrun"/>
          <w:color w:val="231C24"/>
        </w:rPr>
        <w:t>reduce knowledge and access to mean</w:t>
      </w:r>
      <w:r w:rsidR="00296FCA" w:rsidRPr="00D81ABA">
        <w:rPr>
          <w:rStyle w:val="normaltextrun"/>
          <w:color w:val="231C24"/>
        </w:rPr>
        <w:t xml:space="preserve">s </w:t>
      </w:r>
      <w:r w:rsidRPr="00D81ABA">
        <w:rPr>
          <w:rStyle w:val="normaltextrun"/>
          <w:color w:val="231C24"/>
        </w:rPr>
        <w:t>are described in</w:t>
      </w:r>
      <w:r w:rsidR="00C146BA">
        <w:rPr>
          <w:rStyle w:val="normaltextrun"/>
          <w:color w:val="231C24"/>
        </w:rPr>
        <w:t xml:space="preserve"> </w:t>
      </w:r>
      <w:r w:rsidR="00C146BA">
        <w:rPr>
          <w:rStyle w:val="normaltextrun"/>
          <w:color w:val="231C24"/>
        </w:rPr>
        <w:fldChar w:fldCharType="begin"/>
      </w:r>
      <w:r w:rsidR="00C146BA">
        <w:rPr>
          <w:rStyle w:val="normaltextrun"/>
          <w:color w:val="231C24"/>
        </w:rPr>
        <w:instrText xml:space="preserve"> REF _Ref164869905 \h </w:instrText>
      </w:r>
      <w:r w:rsidR="00C146BA">
        <w:rPr>
          <w:rStyle w:val="normaltextrun"/>
          <w:color w:val="231C24"/>
        </w:rPr>
      </w:r>
      <w:r w:rsidR="00C146BA">
        <w:rPr>
          <w:rStyle w:val="normaltextrun"/>
          <w:color w:val="231C24"/>
        </w:rPr>
        <w:fldChar w:fldCharType="separate"/>
      </w:r>
      <w:r w:rsidR="009F12B4">
        <w:t xml:space="preserve">Table </w:t>
      </w:r>
      <w:r w:rsidR="009F12B4">
        <w:rPr>
          <w:noProof/>
        </w:rPr>
        <w:t>16</w:t>
      </w:r>
      <w:r w:rsidR="00C146BA">
        <w:rPr>
          <w:rStyle w:val="normaltextrun"/>
          <w:color w:val="231C24"/>
        </w:rPr>
        <w:fldChar w:fldCharType="end"/>
      </w:r>
      <w:r w:rsidRPr="00D81ABA">
        <w:rPr>
          <w:rStyle w:val="normaltextrun"/>
          <w:color w:val="231C24"/>
        </w:rPr>
        <w:t>.</w:t>
      </w:r>
      <w:r w:rsidRPr="00D81ABA">
        <w:rPr>
          <w:rStyle w:val="eop"/>
          <w:color w:val="231C24"/>
        </w:rPr>
        <w:t> </w:t>
      </w:r>
    </w:p>
    <w:p w14:paraId="2357FEA6" w14:textId="77777777" w:rsidR="007D0AF9" w:rsidRPr="007D0AF9" w:rsidRDefault="007D0AF9" w:rsidP="00634A83">
      <w:pPr>
        <w:pStyle w:val="BT-Beigebox-Heading"/>
        <w:rPr>
          <w:rFonts w:ascii="Segoe UI" w:hAnsi="Segoe UI"/>
          <w:sz w:val="18"/>
          <w:szCs w:val="18"/>
        </w:rPr>
      </w:pPr>
      <w:r w:rsidRPr="007D0AF9">
        <w:rPr>
          <w:shd w:val="clear" w:color="auto" w:fill="EFEBDA"/>
        </w:rPr>
        <w:t>Activity to build on</w:t>
      </w:r>
      <w:r w:rsidRPr="007D0AF9">
        <w:t> </w:t>
      </w:r>
    </w:p>
    <w:p w14:paraId="4B29B66D" w14:textId="012B87A8" w:rsidR="006A5DB5" w:rsidRDefault="354E64BC" w:rsidP="00381701">
      <w:pPr>
        <w:pStyle w:val="BT-Beigebox"/>
        <w:rPr>
          <w:sz w:val="20"/>
          <w:szCs w:val="20"/>
        </w:rPr>
      </w:pPr>
      <w:r>
        <w:t>The media play an important role in shaping social attitudes and perceptions of suicide. Media professionals often face decisions about whether to report suicide and how to refer to suicide safely. The Mindframe guidelines</w:t>
      </w:r>
      <w:hyperlink w:anchor="_ENREF_1" w:tooltip="Everymind, 2020 #970" w:history="1">
        <w:r w:rsidR="002D6F18">
          <w:fldChar w:fldCharType="begin"/>
        </w:r>
        <w:r w:rsidR="002D6F18">
          <w:instrText xml:space="preserve"> ADDIN EN.CITE &lt;EndNote&gt;&lt;Cite&gt;&lt;Author&gt;Everymind&lt;/Author&gt;&lt;Year&gt;2020&lt;/Year&gt;&lt;RecNum&gt;970&lt;/RecNum&gt;&lt;DisplayText&gt;&lt;style face="superscript"&gt;1&lt;/style&gt;&lt;/DisplayText&gt;&lt;record&gt;&lt;rec-number&gt;970&lt;/rec-number&gt;&lt;foreign-keys&gt;&lt;key app="EN" db-id="rsettzd2isasdweewww55s9lffasxav0d0ft" timestamp="1720064941" guid="6a81ca21-8cdc-4901-adad-2ef6498a8576"&gt;970&lt;/key&gt;&lt;/foreign-keys&gt;&lt;ref-type name="Book"&gt;6&lt;/ref-type&gt;&lt;contributors&gt;&lt;authors&gt;&lt;author&gt;Everymind&lt;/author&gt;&lt;/authors&gt;&lt;/contributors&gt;&lt;titles&gt;&lt;title&gt;Reporting suicide and mental ill health: A Mindframe resource for media professionals&lt;/title&gt;&lt;/titles&gt;&lt;dates&gt;&lt;year&gt;2020&lt;/year&gt;&lt;/dates&gt;&lt;pub-location&gt;Newcastle, Australia &lt;/pub-location&gt;&lt;isbn&gt;978-0-6489212-1-9&lt;/isbn&gt;&lt;urls&gt;&lt;/urls&gt;&lt;/record&gt;&lt;/Cite&gt;&lt;/EndNote&gt;</w:instrText>
        </w:r>
        <w:r w:rsidR="002D6F18">
          <w:fldChar w:fldCharType="separate"/>
        </w:r>
        <w:r w:rsidR="002D6F18" w:rsidRPr="00E25362">
          <w:rPr>
            <w:noProof/>
            <w:vertAlign w:val="superscript"/>
          </w:rPr>
          <w:t>1</w:t>
        </w:r>
        <w:r w:rsidR="002D6F18">
          <w:fldChar w:fldCharType="end"/>
        </w:r>
      </w:hyperlink>
      <w:r>
        <w:t xml:space="preserve"> assist media professionals to communicate about suicide safely and accurately in a way that both reduces stigma around suicide and reduces the knowledge of means of suicide within the community. </w:t>
      </w:r>
    </w:p>
    <w:p w14:paraId="48E2C9EB" w14:textId="3932E3E3" w:rsidR="007D0AF9" w:rsidRDefault="2A442D3E" w:rsidP="00745B34">
      <w:pPr>
        <w:pStyle w:val="Caption"/>
      </w:pPr>
      <w:bookmarkStart w:id="90" w:name="_Ref164869905"/>
      <w:r>
        <w:t xml:space="preserve">Table </w:t>
      </w:r>
      <w:r w:rsidR="00F823CC" w:rsidRPr="48215A0F">
        <w:fldChar w:fldCharType="begin"/>
      </w:r>
      <w:r w:rsidR="00F823CC">
        <w:instrText>SEQ Table \* ARABIC  \* MERGEFORMAT</w:instrText>
      </w:r>
      <w:r w:rsidR="00F823CC" w:rsidRPr="48215A0F">
        <w:fldChar w:fldCharType="separate"/>
      </w:r>
      <w:r w:rsidR="009F12B4">
        <w:rPr>
          <w:noProof/>
        </w:rPr>
        <w:t>16</w:t>
      </w:r>
      <w:r w:rsidR="00F823CC" w:rsidRPr="48215A0F">
        <w:rPr>
          <w:noProof/>
        </w:rPr>
        <w:fldChar w:fldCharType="end"/>
      </w:r>
      <w:bookmarkEnd w:id="90"/>
      <w:r w:rsidR="4AFA6642">
        <w:t xml:space="preserve">: Recommended actions for </w:t>
      </w:r>
      <w:r w:rsidR="14805BC2">
        <w:t xml:space="preserve">Support </w:t>
      </w:r>
      <w:r w:rsidR="4AFA6642">
        <w:t xml:space="preserve">objective </w:t>
      </w:r>
      <w:r w:rsidR="70E4ECA7">
        <w:t>6</w:t>
      </w:r>
      <w:r w:rsidR="4AFA6642">
        <w:t xml:space="preserve">.2: Reduce </w:t>
      </w:r>
      <w:r w:rsidR="5D7AC8D5">
        <w:t xml:space="preserve">knowledge of and </w:t>
      </w:r>
      <w:r w:rsidR="4AFA6642">
        <w:t>access to means of suicidal self-harm </w:t>
      </w:r>
    </w:p>
    <w:tbl>
      <w:tblPr>
        <w:tblStyle w:val="TableGrid"/>
        <w:tblW w:w="9072" w:type="dxa"/>
        <w:tblLook w:val="04A0" w:firstRow="1" w:lastRow="0" w:firstColumn="1" w:lastColumn="0" w:noHBand="0" w:noVBand="1"/>
        <w:tblCaption w:val="Recommended actions for Prevention objective 2.2: Reduce access to means of suicidal self-harm"/>
      </w:tblPr>
      <w:tblGrid>
        <w:gridCol w:w="1260"/>
        <w:gridCol w:w="7812"/>
      </w:tblGrid>
      <w:tr w:rsidR="00996915" w:rsidRPr="007D0AF9" w14:paraId="44FF5FF4" w14:textId="77777777" w:rsidTr="00D81AB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0" w:type="dxa"/>
            <w:tcBorders>
              <w:top w:val="nil"/>
              <w:left w:val="nil"/>
              <w:bottom w:val="nil"/>
              <w:right w:val="nil"/>
            </w:tcBorders>
            <w:shd w:val="clear" w:color="auto" w:fill="3F9782"/>
            <w:hideMark/>
          </w:tcPr>
          <w:p w14:paraId="3F6907C0" w14:textId="77777777" w:rsidR="00996915" w:rsidRPr="00F833FC" w:rsidRDefault="00996915" w:rsidP="00634A83">
            <w:r w:rsidRPr="00F833FC">
              <w:t>Action </w:t>
            </w:r>
          </w:p>
        </w:tc>
        <w:tc>
          <w:tcPr>
            <w:tcW w:w="7812" w:type="dxa"/>
            <w:tcBorders>
              <w:top w:val="nil"/>
              <w:left w:val="nil"/>
              <w:bottom w:val="nil"/>
              <w:right w:val="nil"/>
            </w:tcBorders>
            <w:shd w:val="clear" w:color="auto" w:fill="3F9782"/>
            <w:vAlign w:val="center"/>
            <w:hideMark/>
          </w:tcPr>
          <w:p w14:paraId="3B5B3741" w14:textId="77777777" w:rsidR="00996915" w:rsidRPr="00F833FC" w:rsidRDefault="00996915" w:rsidP="00634A83">
            <w:pPr>
              <w:cnfStyle w:val="100000000000" w:firstRow="1" w:lastRow="0" w:firstColumn="0" w:lastColumn="0" w:oddVBand="0" w:evenVBand="0" w:oddHBand="0" w:evenHBand="0" w:firstRowFirstColumn="0" w:firstRowLastColumn="0" w:lastRowFirstColumn="0" w:lastRowLastColumn="0"/>
            </w:pPr>
            <w:r w:rsidRPr="00F833FC">
              <w:t>Description </w:t>
            </w:r>
          </w:p>
        </w:tc>
      </w:tr>
      <w:tr w:rsidR="00996915" w:rsidRPr="007D0AF9" w14:paraId="154E2731" w14:textId="77777777" w:rsidTr="00A771EF">
        <w:trPr>
          <w:trHeight w:val="300"/>
        </w:trPr>
        <w:tc>
          <w:tcPr>
            <w:cnfStyle w:val="001000000000" w:firstRow="0" w:lastRow="0" w:firstColumn="1" w:lastColumn="0" w:oddVBand="0" w:evenVBand="0" w:oddHBand="0" w:evenHBand="0" w:firstRowFirstColumn="0" w:firstRowLastColumn="0" w:lastRowFirstColumn="0" w:lastRowLastColumn="0"/>
            <w:tcW w:w="1260" w:type="dxa"/>
            <w:tcBorders>
              <w:top w:val="nil"/>
            </w:tcBorders>
          </w:tcPr>
          <w:p w14:paraId="4CB9E857" w14:textId="6FFDAC24" w:rsidR="00996915" w:rsidRPr="00A771EF" w:rsidRDefault="00996915" w:rsidP="00634A83">
            <w:pPr>
              <w:rPr>
                <w:b w:val="0"/>
                <w:bCs/>
              </w:rPr>
            </w:pPr>
            <w:r w:rsidRPr="00A771EF">
              <w:rPr>
                <w:b w:val="0"/>
                <w:bCs/>
              </w:rPr>
              <w:t>ko6.2a </w:t>
            </w:r>
          </w:p>
        </w:tc>
        <w:tc>
          <w:tcPr>
            <w:tcW w:w="7812" w:type="dxa"/>
            <w:tcBorders>
              <w:top w:val="nil"/>
            </w:tcBorders>
          </w:tcPr>
          <w:p w14:paraId="1313235B" w14:textId="0CF4606B" w:rsidR="00996915" w:rsidRPr="00556F0E" w:rsidRDefault="00996915" w:rsidP="00381701">
            <w:pPr>
              <w:cnfStyle w:val="000000000000" w:firstRow="0" w:lastRow="0" w:firstColumn="0" w:lastColumn="0" w:oddVBand="0" w:evenVBand="0" w:oddHBand="0" w:evenHBand="0" w:firstRowFirstColumn="0" w:firstRowLastColumn="0" w:lastRowFirstColumn="0" w:lastRowLastColumn="0"/>
            </w:pPr>
            <w:r w:rsidRPr="00F05E9C">
              <w:t>Continue to invest in and evaluate efforts to reduce the publication of and exposure to details of suicide methods and material or activity that promotes or encourages suicide</w:t>
            </w:r>
            <w:r w:rsidR="00925F13">
              <w:t xml:space="preserve"> </w:t>
            </w:r>
            <w:r w:rsidRPr="00F05E9C">
              <w:t>in traditional and online media</w:t>
            </w:r>
            <w:r w:rsidR="00925F13">
              <w:t xml:space="preserve">, and </w:t>
            </w:r>
            <w:r w:rsidRPr="00556F0E">
              <w:t>on online services and platforms.</w:t>
            </w:r>
            <w:r w:rsidRPr="00F05E9C">
              <w:rPr>
                <w:color w:val="231C24" w:themeColor="text1"/>
                <w:szCs w:val="20"/>
              </w:rPr>
              <w:t> </w:t>
            </w:r>
          </w:p>
        </w:tc>
      </w:tr>
      <w:tr w:rsidR="00996915" w:rsidRPr="007D0AF9" w14:paraId="3F7ABB18" w14:textId="77777777" w:rsidTr="00A771EF">
        <w:trPr>
          <w:trHeight w:val="300"/>
        </w:trPr>
        <w:tc>
          <w:tcPr>
            <w:cnfStyle w:val="001000000000" w:firstRow="0" w:lastRow="0" w:firstColumn="1" w:lastColumn="0" w:oddVBand="0" w:evenVBand="0" w:oddHBand="0" w:evenHBand="0" w:firstRowFirstColumn="0" w:firstRowLastColumn="0" w:lastRowFirstColumn="0" w:lastRowLastColumn="0"/>
            <w:tcW w:w="1260" w:type="dxa"/>
            <w:hideMark/>
          </w:tcPr>
          <w:p w14:paraId="1410FAD2" w14:textId="018CEB1D" w:rsidR="00996915" w:rsidRPr="00A771EF" w:rsidRDefault="00996915" w:rsidP="00634A83">
            <w:pPr>
              <w:rPr>
                <w:b w:val="0"/>
                <w:bCs/>
              </w:rPr>
            </w:pPr>
            <w:r w:rsidRPr="00A771EF">
              <w:rPr>
                <w:b w:val="0"/>
                <w:bCs/>
              </w:rPr>
              <w:t>ko6.2b</w:t>
            </w:r>
          </w:p>
        </w:tc>
        <w:tc>
          <w:tcPr>
            <w:tcW w:w="7812" w:type="dxa"/>
            <w:hideMark/>
          </w:tcPr>
          <w:p w14:paraId="6A730255" w14:textId="77777777" w:rsidR="00996915" w:rsidRPr="00F833FC" w:rsidRDefault="00996915" w:rsidP="00634A83">
            <w:pPr>
              <w:cnfStyle w:val="000000000000" w:firstRow="0" w:lastRow="0" w:firstColumn="0" w:lastColumn="0" w:oddVBand="0" w:evenVBand="0" w:oddHBand="0" w:evenHBand="0" w:firstRowFirstColumn="0" w:firstRowLastColumn="0" w:lastRowFirstColumn="0" w:lastRowLastColumn="0"/>
            </w:pPr>
            <w:r w:rsidRPr="00F833FC">
              <w:t>Develop a national, coordinated and systematic approach to identifying and addressing emerging trends, means and locations of concern for suicide. This approach will consider how these trends may present differently across cultural groups. </w:t>
            </w:r>
          </w:p>
        </w:tc>
      </w:tr>
    </w:tbl>
    <w:p w14:paraId="0507876A" w14:textId="7F71B557" w:rsidR="00FA01F3" w:rsidRPr="00B768A1" w:rsidRDefault="0CE3DD22" w:rsidP="00D81ABA">
      <w:pPr>
        <w:pStyle w:val="heading3support"/>
      </w:pPr>
      <w:r>
        <w:t>6</w:t>
      </w:r>
      <w:r w:rsidR="00FA01F3">
        <w:t>.</w:t>
      </w:r>
      <w:r w:rsidR="008741A7">
        <w:t>3</w:t>
      </w:r>
      <w:r w:rsidR="00FA01F3">
        <w:t xml:space="preserve"> </w:t>
      </w:r>
      <w:r w:rsidR="00FA01F3" w:rsidRPr="00B768A1">
        <w:t>Build suicide prevention capability</w:t>
      </w:r>
    </w:p>
    <w:p w14:paraId="0CE2B1EC" w14:textId="229C6CCA" w:rsidR="00FA01F3" w:rsidRPr="00D81ABA" w:rsidRDefault="58239BF5" w:rsidP="00634A83">
      <w:r>
        <w:t>An</w:t>
      </w:r>
      <w:r w:rsidR="4940876B" w:rsidRPr="00D81ABA">
        <w:t xml:space="preserve"> </w:t>
      </w:r>
      <w:r w:rsidR="0DEDD4BB" w:rsidRPr="00D81ABA">
        <w:t xml:space="preserve">approach </w:t>
      </w:r>
      <w:r w:rsidR="24A70901" w:rsidRPr="00D81ABA">
        <w:t>that ca</w:t>
      </w:r>
      <w:r w:rsidR="3212403A" w:rsidRPr="00D81ABA">
        <w:t>n</w:t>
      </w:r>
      <w:r w:rsidR="4940876B" w:rsidRPr="00D81ABA">
        <w:t xml:space="preserve"> overcome barriers</w:t>
      </w:r>
      <w:r w:rsidR="741D0107" w:rsidRPr="00D81ABA">
        <w:t xml:space="preserve"> and increase opportunities to connect people with support</w:t>
      </w:r>
      <w:r w:rsidR="1C56F2C5" w:rsidRPr="00D81ABA">
        <w:t xml:space="preserve"> is to broaden suicide prevention capability </w:t>
      </w:r>
      <w:r w:rsidR="1C56F2C5" w:rsidRPr="00D81ABA">
        <w:rPr>
          <w:rFonts w:eastAsia="Century Gothic"/>
        </w:rPr>
        <w:t>beyond traditional health services and into community settings. This enables community members and non-health services to be able to identify people who might be struggling and ‘reach-in’ to provide immediate and compassionate responses as well as connect them with relevant supports (action ko</w:t>
      </w:r>
      <w:r w:rsidR="1139DC2F" w:rsidRPr="00D81ABA">
        <w:rPr>
          <w:rFonts w:eastAsia="Century Gothic"/>
        </w:rPr>
        <w:t>6</w:t>
      </w:r>
      <w:r w:rsidR="1C56F2C5" w:rsidRPr="00D81ABA">
        <w:rPr>
          <w:rFonts w:eastAsia="Century Gothic"/>
        </w:rPr>
        <w:t>.</w:t>
      </w:r>
      <w:r w:rsidR="1139DC2F" w:rsidRPr="00D81ABA">
        <w:rPr>
          <w:rFonts w:eastAsia="Century Gothic"/>
        </w:rPr>
        <w:t>3</w:t>
      </w:r>
      <w:r w:rsidR="1C56F2C5" w:rsidRPr="00D81ABA">
        <w:rPr>
          <w:rFonts w:eastAsia="Century Gothic"/>
        </w:rPr>
        <w:t>a).</w:t>
      </w:r>
      <w:hyperlink w:anchor="_ENREF_197" w:tooltip="M, 2019 #20" w:history="1">
        <w:r w:rsidR="002D6F18" w:rsidRPr="009F2417">
          <w:rPr>
            <w:rFonts w:eastAsia="Century Gothic"/>
            <w:vertAlign w:val="superscript"/>
          </w:rPr>
          <w:fldChar w:fldCharType="begin"/>
        </w:r>
        <w:r w:rsidR="002D6F18">
          <w:rPr>
            <w:rFonts w:eastAsia="Century Gothic"/>
            <w:vertAlign w:val="superscript"/>
          </w:rPr>
          <w:instrText xml:space="preserve"> ADDIN EN.CITE &lt;EndNote&gt;&lt;Cite&gt;&lt;Author&gt;M&lt;/Author&gt;&lt;Year&gt;2019&lt;/Year&gt;&lt;RecNum&gt;20&lt;/RecNum&gt;&lt;DisplayText&gt;&lt;style face="superscript"&gt;197&lt;/style&gt;&lt;/DisplayText&gt;&lt;record&gt;&lt;rec-number&gt;20&lt;/rec-number&gt;&lt;foreign-keys&gt;&lt;key app="EN" db-id="rsettzd2isasdweewww55s9lffasxav0d0ft" timestamp="1700699466" guid="1da181c3-d68d-4135-b623-283be97dd773"&gt;20&lt;/key&gt;&lt;/foreign-keys&gt;&lt;ref-type name="Journal Article"&gt;17&lt;/ref-type&gt;&lt;contributors&gt;&lt;authors&gt;&lt;author&gt;Torok M&lt;/author&gt;&lt;author&gt;Calear AL&lt;/author&gt;&lt;author&gt;Smart A&lt;/author&gt;&lt;author&gt;Nicolopoulos A&lt;/author&gt;&lt;author&gt;Wong Q&lt;/author&gt;&lt;/authors&gt;&lt;/contributors&gt;&lt;titles&gt;&lt;title&gt;Preventing Adolescent Suicide: A Systematic Review of the Effectiveness and Change Mechanisms of Suicide Prevention Gatekeeping Training Programs for Teachers and Parents&lt;/title&gt;&lt;secondary-title&gt;Journal of Adolescence&lt;/secondary-title&gt;&lt;/titles&gt;&lt;periodical&gt;&lt;full-title&gt;Journal of Adolescence&lt;/full-title&gt;&lt;/periodical&gt;&lt;dates&gt;&lt;year&gt;2019&lt;/year&gt;&lt;/dates&gt;&lt;urls&gt;&lt;/urls&gt;&lt;electronic-resource-num&gt;DOI: 10.1016/j.adolescence.2019.04.005&lt;/electronic-resource-num&gt;&lt;/record&gt;&lt;/Cite&gt;&lt;/EndNote&gt;</w:instrText>
        </w:r>
        <w:r w:rsidR="002D6F18" w:rsidRPr="009F2417">
          <w:rPr>
            <w:rFonts w:eastAsia="Century Gothic"/>
            <w:vertAlign w:val="superscript"/>
          </w:rPr>
          <w:fldChar w:fldCharType="separate"/>
        </w:r>
        <w:r w:rsidR="002D6F18">
          <w:rPr>
            <w:rFonts w:eastAsia="Century Gothic"/>
            <w:noProof/>
            <w:vertAlign w:val="superscript"/>
          </w:rPr>
          <w:t>197</w:t>
        </w:r>
        <w:r w:rsidR="002D6F18" w:rsidRPr="009F2417">
          <w:rPr>
            <w:rFonts w:eastAsia="Century Gothic"/>
            <w:vertAlign w:val="superscript"/>
          </w:rPr>
          <w:fldChar w:fldCharType="end"/>
        </w:r>
      </w:hyperlink>
      <w:r w:rsidR="009F2417" w:rsidRPr="009F2417">
        <w:rPr>
          <w:rFonts w:eastAsia="Century Gothic"/>
          <w:vertAlign w:val="superscript"/>
        </w:rPr>
        <w:t>,</w:t>
      </w:r>
      <w:hyperlink w:anchor="_ENREF_198" w:tooltip="G, 2021 #18" w:history="1">
        <w:r w:rsidR="002D6F18" w:rsidRPr="009F2417">
          <w:rPr>
            <w:rFonts w:eastAsia="Century Gothic"/>
            <w:vertAlign w:val="superscript"/>
          </w:rPr>
          <w:fldChar w:fldCharType="begin"/>
        </w:r>
        <w:r w:rsidR="002D6F18">
          <w:rPr>
            <w:rFonts w:eastAsia="Century Gothic"/>
            <w:vertAlign w:val="superscript"/>
          </w:rPr>
          <w:instrText xml:space="preserve"> ADDIN EN.CITE &lt;EndNote&gt;&lt;Cite&gt;&lt;Author&gt;G&lt;/Author&gt;&lt;Year&gt;2021&lt;/Year&gt;&lt;RecNum&gt;18&lt;/RecNum&gt;&lt;DisplayText&gt;&lt;style face="superscript"&gt;198&lt;/style&gt;&lt;/DisplayText&gt;&lt;record&gt;&lt;rec-number&gt;18&lt;/rec-number&gt;&lt;foreign-keys&gt;&lt;key app="EN" db-id="rsettzd2isasdweewww55s9lffasxav0d0ft" timestamp="1700699466" guid="66984abf-2883-4dc8-b176-d4cde987de81"&gt;18&lt;/key&gt;&lt;/foreign-keys&gt;&lt;ref-type name="Journal Article"&gt;17&lt;/ref-type&gt;&lt;contributors&gt;&lt;authors&gt;&lt;author&gt;Holmes G&lt;/author&gt;&lt;author&gt;Clacy A&lt;/author&gt;&lt;author&gt;Hermens DF&lt;/author&gt;&lt;author&gt;Lagopoulos J&lt;/author&gt;&lt;/authors&gt;&lt;/contributors&gt;&lt;titles&gt;&lt;title&gt;The Long-Term Efficacy of Suicide Prevention Gatekeeper Training: A Systematic Review&lt;/title&gt;&lt;secondary-title&gt;Archives of Suicide Research.&lt;/secondary-title&gt;&lt;alt-title&gt;Archives of Suicide Research&lt;/alt-title&gt;&lt;/titles&gt;&lt;periodical&gt;&lt;full-title&gt;Archives of Suicide Research.&lt;/full-title&gt;&lt;abbr-1&gt;Archives of Suicide Research&lt;/abbr-1&gt;&lt;/periodical&gt;&lt;alt-periodical&gt;&lt;full-title&gt;Archives of Suicide Research.&lt;/full-title&gt;&lt;abbr-1&gt;Archives of Suicide Research&lt;/abbr-1&gt;&lt;/alt-periodical&gt;&lt;dates&gt;&lt;year&gt;2021&lt;/year&gt;&lt;/dates&gt;&lt;urls&gt;&lt;/urls&gt;&lt;electronic-resource-num&gt;DOI: 10.1080/13811118.2019.1690608&lt;/electronic-resource-num&gt;&lt;/record&gt;&lt;/Cite&gt;&lt;/EndNote&gt;</w:instrText>
        </w:r>
        <w:r w:rsidR="002D6F18" w:rsidRPr="009F2417">
          <w:rPr>
            <w:rFonts w:eastAsia="Century Gothic"/>
            <w:vertAlign w:val="superscript"/>
          </w:rPr>
          <w:fldChar w:fldCharType="separate"/>
        </w:r>
        <w:r w:rsidR="002D6F18">
          <w:rPr>
            <w:rFonts w:eastAsia="Century Gothic"/>
            <w:noProof/>
            <w:vertAlign w:val="superscript"/>
          </w:rPr>
          <w:t>198</w:t>
        </w:r>
        <w:r w:rsidR="002D6F18" w:rsidRPr="009F2417">
          <w:rPr>
            <w:rFonts w:eastAsia="Century Gothic"/>
            <w:vertAlign w:val="superscript"/>
          </w:rPr>
          <w:fldChar w:fldCharType="end"/>
        </w:r>
      </w:hyperlink>
    </w:p>
    <w:p w14:paraId="4E36B97E" w14:textId="3F6BD429" w:rsidR="7A1B1B35" w:rsidRDefault="42E6BBEA" w:rsidP="00634A83">
      <w:pPr>
        <w:rPr>
          <w:vertAlign w:val="superscript"/>
        </w:rPr>
      </w:pPr>
      <w:r w:rsidRPr="00F833FC">
        <w:t>Many people who experience suicidal distress are likely to talk to family members or friends before reaching out for</w:t>
      </w:r>
      <w:r w:rsidR="69134CA2" w:rsidRPr="59485962">
        <w:t xml:space="preserve"> more formal</w:t>
      </w:r>
      <w:r w:rsidRPr="00F833FC">
        <w:t xml:space="preserve"> support</w:t>
      </w:r>
      <w:r w:rsidRPr="59485962">
        <w:t>. Build</w:t>
      </w:r>
      <w:r>
        <w:t xml:space="preserve">ing the capability of community members, especially people who are part of populations disproportionately impacted by suicide, to identify people who are experiencing suicidal distress, respond compassionately, and offer connection to </w:t>
      </w:r>
      <w:r w:rsidR="6578B33E" w:rsidRPr="59485962">
        <w:t>formal</w:t>
      </w:r>
      <w:r>
        <w:t xml:space="preserve"> supports can overcome barriers to service access faced by these populations (action ko</w:t>
      </w:r>
      <w:r w:rsidR="1139DC2F">
        <w:t>6</w:t>
      </w:r>
      <w:r>
        <w:t>.</w:t>
      </w:r>
      <w:r w:rsidR="1139DC2F">
        <w:t>3</w:t>
      </w:r>
      <w:r>
        <w:t>b).</w:t>
      </w:r>
      <w:hyperlink w:anchor="_ENREF_199" w:tooltip="JJ, 2021 #307" w:history="1">
        <w:r w:rsidR="002D6F18" w:rsidRPr="009F2417">
          <w:rPr>
            <w:vertAlign w:val="superscript"/>
          </w:rPr>
          <w:fldChar w:fldCharType="begin"/>
        </w:r>
        <w:r w:rsidR="002D6F18">
          <w:rPr>
            <w:vertAlign w:val="superscript"/>
          </w:rPr>
          <w:instrText xml:space="preserve"> ADDIN EN.CITE &lt;EndNote&gt;&lt;Cite&gt;&lt;Author&gt;JJ&lt;/Author&gt;&lt;Year&gt;2021&lt;/Year&gt;&lt;RecNum&gt;307&lt;/RecNum&gt;&lt;DisplayText&gt;&lt;style face="superscript"&gt;199&lt;/style&gt;&lt;/DisplayText&gt;&lt;record&gt;&lt;rec-number&gt;307&lt;/rec-number&gt;&lt;foreign-keys&gt;&lt;key app="EN" db-id="rsettzd2isasdweewww55s9lffasxav0d0ft" timestamp="1700699471" guid="0f8d2def-cd15-4c67-b209-46e01ebf838b"&gt;307&lt;/key&gt;&lt;/foreign-keys&gt;&lt;ref-type name="Journal Article"&gt;17&lt;/ref-type&gt;&lt;contributors&gt;&lt;authors&gt;&lt;author&gt;Mann JJ&lt;/author&gt;&lt;author&gt;Michel CA&lt;/author&gt;&lt;author&gt;Auerbach RP&lt;/author&gt;&lt;/authors&gt;&lt;/contributors&gt;&lt;titles&gt;&lt;title&gt;Improving Suicide Prevention Through Evidence-Based Strategies: A Systematic Review&lt;/title&gt;&lt;secondary-title&gt;American Journal of Psychiatry&lt;/secondary-title&gt;&lt;/titles&gt;&lt;periodical&gt;&lt;full-title&gt;American Journal of Psychiatry&lt;/full-title&gt;&lt;/periodical&gt;&lt;dates&gt;&lt;year&gt;2021&lt;/year&gt;&lt;/dates&gt;&lt;urls&gt;&lt;/urls&gt;&lt;electronic-resource-num&gt;DOI: 10.1176/appi.ajp.2020.20060864&lt;/electronic-resource-num&gt;&lt;/record&gt;&lt;/Cite&gt;&lt;/EndNote&gt;</w:instrText>
        </w:r>
        <w:r w:rsidR="002D6F18" w:rsidRPr="009F2417">
          <w:rPr>
            <w:vertAlign w:val="superscript"/>
          </w:rPr>
          <w:fldChar w:fldCharType="separate"/>
        </w:r>
        <w:r w:rsidR="002D6F18">
          <w:rPr>
            <w:noProof/>
            <w:vertAlign w:val="superscript"/>
          </w:rPr>
          <w:t>199</w:t>
        </w:r>
        <w:r w:rsidR="002D6F18" w:rsidRPr="009F2417">
          <w:rPr>
            <w:vertAlign w:val="superscript"/>
          </w:rPr>
          <w:fldChar w:fldCharType="end"/>
        </w:r>
      </w:hyperlink>
      <w:r w:rsidR="009F2417" w:rsidRPr="009F2417">
        <w:rPr>
          <w:vertAlign w:val="superscript"/>
        </w:rPr>
        <w:t>,</w:t>
      </w:r>
      <w:hyperlink w:anchor="_ENREF_200" w:tooltip="NW, 2021 #38" w:history="1">
        <w:r w:rsidR="002D6F18" w:rsidRPr="009F2417">
          <w:rPr>
            <w:vertAlign w:val="superscript"/>
          </w:rPr>
          <w:fldChar w:fldCharType="begin"/>
        </w:r>
        <w:r w:rsidR="002D6F18">
          <w:rPr>
            <w:vertAlign w:val="superscript"/>
          </w:rPr>
          <w:instrText xml:space="preserve"> ADDIN EN.CITE &lt;EndNote&gt;&lt;Cite&gt;&lt;Author&gt;NW&lt;/Author&gt;&lt;Year&gt;2021&lt;/Year&gt;&lt;RecNum&gt;38&lt;/RecNum&gt;&lt;DisplayText&gt;&lt;style face="superscript"&gt;200&lt;/style&gt;&lt;/DisplayText&gt;&lt;record&gt;&lt;rec-number&gt;38&lt;/rec-number&gt;&lt;foreign-keys&gt;&lt;key app="EN" db-id="rsettzd2isasdweewww55s9lffasxav0d0ft" timestamp="1700699466" guid="8b12b083-7760-4115-9d94-e89a810633b5"&gt;38&lt;/key&gt;&lt;/foreign-keys&gt;&lt;ref-type name="Journal Article"&gt;17&lt;/ref-type&gt;&lt;contributors&gt;&lt;authors&gt;&lt;author&gt;Bowersox NW&lt;/author&gt;&lt;author&gt;Jagusch J&lt;/author&gt;&lt;author&gt;Garlick J&lt;/author&gt;&lt;author&gt;Chen JI&lt;/author&gt;&lt;author&gt;Pfeiffer PN&lt;/author&gt;&lt;/authors&gt;&lt;/contributors&gt;&lt;titles&gt;&lt;title&gt;Peer-Based Interventions Targeting Suicide Prevention: A Scoping Review&lt;/title&gt;&lt;secondary-title&gt;American Journal of Community Psychology&lt;/secondary-title&gt;&lt;/titles&gt;&lt;periodical&gt;&lt;full-title&gt;American Journal of Community Psychology&lt;/full-title&gt;&lt;/periodical&gt;&lt;dates&gt;&lt;year&gt;2021&lt;/year&gt;&lt;/dates&gt;&lt;urls&gt;&lt;/urls&gt;&lt;electronic-resource-num&gt;DOI: 10.1002/ajcp.12510&lt;/electronic-resource-num&gt;&lt;/record&gt;&lt;/Cite&gt;&lt;/EndNote&gt;</w:instrText>
        </w:r>
        <w:r w:rsidR="002D6F18" w:rsidRPr="009F2417">
          <w:rPr>
            <w:vertAlign w:val="superscript"/>
          </w:rPr>
          <w:fldChar w:fldCharType="separate"/>
        </w:r>
        <w:r w:rsidR="002D6F18">
          <w:rPr>
            <w:noProof/>
            <w:vertAlign w:val="superscript"/>
          </w:rPr>
          <w:t>200</w:t>
        </w:r>
        <w:r w:rsidR="002D6F18" w:rsidRPr="009F2417">
          <w:rPr>
            <w:vertAlign w:val="superscript"/>
          </w:rPr>
          <w:fldChar w:fldCharType="end"/>
        </w:r>
      </w:hyperlink>
    </w:p>
    <w:p w14:paraId="6FD057FD" w14:textId="2C658C4F" w:rsidR="00FA01F3" w:rsidRPr="00B768A1" w:rsidRDefault="3E27D2C7" w:rsidP="00634A83">
      <w:pPr>
        <w:rPr>
          <w:vertAlign w:val="superscript"/>
        </w:rPr>
      </w:pPr>
      <w:r w:rsidRPr="00B768A1">
        <w:t>S</w:t>
      </w:r>
      <w:r w:rsidR="4940876B" w:rsidRPr="00B768A1">
        <w:t xml:space="preserve">uicide prevention capability </w:t>
      </w:r>
      <w:r w:rsidRPr="00B768A1">
        <w:t xml:space="preserve">should </w:t>
      </w:r>
      <w:r w:rsidR="4660CCF3">
        <w:t xml:space="preserve">also </w:t>
      </w:r>
      <w:r w:rsidRPr="00B768A1">
        <w:t xml:space="preserve">be </w:t>
      </w:r>
      <w:r w:rsidR="73D811A1" w:rsidRPr="00B768A1">
        <w:t xml:space="preserve">developed </w:t>
      </w:r>
      <w:r w:rsidRPr="00B768A1">
        <w:t xml:space="preserve">in </w:t>
      </w:r>
      <w:r w:rsidR="7798698D" w:rsidRPr="00B768A1">
        <w:t>service</w:t>
      </w:r>
      <w:r w:rsidR="77FADA05" w:rsidRPr="00B768A1">
        <w:t xml:space="preserve"> </w:t>
      </w:r>
      <w:r w:rsidR="7798698D" w:rsidRPr="00B768A1">
        <w:t>s</w:t>
      </w:r>
      <w:r w:rsidR="77FADA05" w:rsidRPr="00B768A1">
        <w:t>ettings</w:t>
      </w:r>
      <w:r w:rsidR="2D52BCB9" w:rsidRPr="00B768A1">
        <w:t xml:space="preserve"> </w:t>
      </w:r>
      <w:r w:rsidR="4940876B" w:rsidRPr="00B768A1">
        <w:t>that provide support around social determinants of health</w:t>
      </w:r>
      <w:r w:rsidR="5629C86B" w:rsidRPr="00B768A1">
        <w:t>,</w:t>
      </w:r>
      <w:r w:rsidR="4940876B" w:rsidRPr="00B768A1">
        <w:t xml:space="preserve"> including legal, financial, employment, relationship and social support services</w:t>
      </w:r>
      <w:r w:rsidR="0F9A7BC8" w:rsidRPr="00B768A1">
        <w:t>,</w:t>
      </w:r>
      <w:r w:rsidR="4940876B" w:rsidRPr="00B768A1">
        <w:t xml:space="preserve"> and aged care providers. </w:t>
      </w:r>
      <w:r w:rsidR="7D64B20E" w:rsidRPr="00B768A1">
        <w:t xml:space="preserve">Staff in education settings, such as schools and universities, </w:t>
      </w:r>
      <w:r w:rsidR="0EDE644E" w:rsidRPr="00B768A1">
        <w:t xml:space="preserve">can </w:t>
      </w:r>
      <w:r w:rsidR="37F722C4" w:rsidRPr="00B768A1">
        <w:t>be upskilled t</w:t>
      </w:r>
      <w:r w:rsidR="4940876B" w:rsidRPr="00B768A1">
        <w:t>o reach young people.</w:t>
      </w:r>
      <w:hyperlink w:anchor="_ENREF_201" w:tooltip="J, 2016 #1141" w:history="1">
        <w:r w:rsidR="002D6F18">
          <w:fldChar w:fldCharType="begin"/>
        </w:r>
        <w:r w:rsidR="002D6F18">
          <w:instrText xml:space="preserve"> ADDIN EN.CITE &lt;EndNote&gt;&lt;Cite&gt;&lt;Author&gt;J&lt;/Author&gt;&lt;Year&gt;2016&lt;/Year&gt;&lt;RecNum&gt;1141&lt;/RecNum&gt;&lt;DisplayText&gt;&lt;style face="superscript"&gt;201&lt;/style&gt;&lt;/DisplayText&gt;&lt;record&gt;&lt;rec-number&gt;1141&lt;/rec-number&gt;&lt;foreign-keys&gt;&lt;key app="EN" db-id="rsettzd2isasdweewww55s9lffasxav0d0ft" timestamp="1721620933" guid="e4d8b673-117e-43a0-a744-5d0547515c7a"&gt;1141&lt;/key&gt;&lt;/foreign-keys&gt;&lt;ref-type name="Web Page"&gt;12&lt;/ref-type&gt;&lt;contributors&gt;&lt;authors&gt;&lt;author&gt;Robinson J&lt;/author&gt;&lt;author&gt;Bailey E&lt;/author&gt;&lt;author&gt;Browne V&lt;/author&gt;&lt;author&gt;Cox G&lt;/author&gt;&lt;author&gt;Hooper C&lt;/author&gt;&lt;/authors&gt;&lt;/contributors&gt;&lt;titles&gt;&lt;title&gt;Raising the bar for youth suicide prevention&lt;/title&gt;&lt;/titles&gt;&lt;dates&gt;&lt;year&gt;2016&lt;/year&gt;&lt;/dates&gt;&lt;pub-location&gt;Melbourne &lt;/pub-location&gt;&lt;publisher&gt;Orygen, The National Centre of Excellence in Youth Mental Health&lt;/publisher&gt;&lt;isbn&gt;978-1-920718-41-1&lt;/isbn&gt;&lt;urls&gt;&lt;related-urls&gt;&lt;url&gt;https://www.orygen.org.au/Orygen-Institute/Policy-Reports/Raising-the-bar-for-youth-suicide-prevention#:~:text=Titled%20&amp;apos;Raising%20the%20bar%20for,partnership%20with%20young%20people%20themselves.&lt;/url&gt;&lt;/related-urls&gt;&lt;/urls&gt;&lt;custom1&gt;2023&lt;/custom1&gt;&lt;custom2&gt;October 30&lt;/custom2&gt;&lt;/record&gt;&lt;/Cite&gt;&lt;/EndNote&gt;</w:instrText>
        </w:r>
        <w:r w:rsidR="002D6F18">
          <w:fldChar w:fldCharType="separate"/>
        </w:r>
        <w:r w:rsidR="002D6F18" w:rsidRPr="00C559B5">
          <w:rPr>
            <w:noProof/>
            <w:vertAlign w:val="superscript"/>
          </w:rPr>
          <w:t>201</w:t>
        </w:r>
        <w:r w:rsidR="002D6F18">
          <w:fldChar w:fldCharType="end"/>
        </w:r>
      </w:hyperlink>
      <w:r w:rsidR="009F2417" w:rsidRPr="009F2417">
        <w:rPr>
          <w:vertAlign w:val="superscript"/>
        </w:rPr>
        <w:t>,</w:t>
      </w:r>
      <w:hyperlink w:anchor="_ENREF_202" w:tooltip="JL, 2023 #196" w:history="1">
        <w:r w:rsidR="002D6F18" w:rsidRPr="009F2417">
          <w:rPr>
            <w:vertAlign w:val="superscript"/>
          </w:rPr>
          <w:fldChar w:fldCharType="begin"/>
        </w:r>
        <w:r w:rsidR="002D6F18">
          <w:rPr>
            <w:vertAlign w:val="superscript"/>
          </w:rPr>
          <w:instrText xml:space="preserve"> ADDIN EN.CITE &lt;EndNote&gt;&lt;Cite&gt;&lt;Author&gt;JL&lt;/Author&gt;&lt;Year&gt;2023&lt;/Year&gt;&lt;RecNum&gt;196&lt;/RecNum&gt;&lt;DisplayText&gt;&lt;style face="superscript"&gt;202&lt;/style&gt;&lt;/DisplayText&gt;&lt;record&gt;&lt;rec-number&gt;196&lt;/rec-number&gt;&lt;foreign-keys&gt;&lt;key app="EN" db-id="rsettzd2isasdweewww55s9lffasxav0d0ft" timestamp="1700699469" guid="da029fe4-23ff-4118-858a-dd7a6f37b757"&gt;196&lt;/key&gt;&lt;/foreign-keys&gt;&lt;ref-type name="Journal Article"&gt;17&lt;/ref-type&gt;&lt;contributors&gt;&lt;authors&gt;&lt;author&gt;Hughes JL&lt;/author&gt;&lt;author&gt;Ackerman JP&lt;/author&gt;&lt;author&gt;Adrian MC&lt;/author&gt;&lt;author&gt;Campo JV&lt;/author&gt;&lt;author&gt;Bridge JA&lt;/author&gt;&lt;/authors&gt;&lt;/contributors&gt;&lt;titles&gt;&lt;title&gt;Suicide in Young People: Screening, Risk Assessment, and Intervention&lt;/title&gt;&lt;secondary-title&gt;BMJ&lt;/secondary-title&gt;&lt;/titles&gt;&lt;periodical&gt;&lt;full-title&gt;BMJ&lt;/full-title&gt;&lt;/periodical&gt;&lt;dates&gt;&lt;year&gt;2023&lt;/year&gt;&lt;/dates&gt;&lt;urls&gt;&lt;/urls&gt;&lt;electronic-resource-num&gt;DOI: 10.1136/bmj-2022-070630&lt;/electronic-resource-num&gt;&lt;/record&gt;&lt;/Cite&gt;&lt;/EndNote&gt;</w:instrText>
        </w:r>
        <w:r w:rsidR="002D6F18" w:rsidRPr="009F2417">
          <w:rPr>
            <w:vertAlign w:val="superscript"/>
          </w:rPr>
          <w:fldChar w:fldCharType="separate"/>
        </w:r>
        <w:r w:rsidR="002D6F18">
          <w:rPr>
            <w:noProof/>
            <w:vertAlign w:val="superscript"/>
          </w:rPr>
          <w:t>202</w:t>
        </w:r>
        <w:r w:rsidR="002D6F18" w:rsidRPr="009F2417">
          <w:rPr>
            <w:vertAlign w:val="superscript"/>
          </w:rPr>
          <w:fldChar w:fldCharType="end"/>
        </w:r>
      </w:hyperlink>
      <w:r w:rsidR="4A4AAC6F" w:rsidRPr="00B768A1">
        <w:rPr>
          <w:vertAlign w:val="superscript"/>
        </w:rPr>
        <w:t xml:space="preserve"> </w:t>
      </w:r>
      <w:r w:rsidR="4A4AAC6F" w:rsidRPr="48215A0F">
        <w:t xml:space="preserve"> </w:t>
      </w:r>
      <w:r w:rsidR="4940876B" w:rsidRPr="00B768A1">
        <w:rPr>
          <w:vertAlign w:val="superscript"/>
        </w:rPr>
        <w:t xml:space="preserve"> </w:t>
      </w:r>
      <w:r w:rsidR="6360115D" w:rsidRPr="48215A0F">
        <w:rPr>
          <w:vertAlign w:val="superscript"/>
        </w:rPr>
        <w:t xml:space="preserve">   </w:t>
      </w:r>
      <w:r w:rsidR="6360115D" w:rsidRPr="48215A0F">
        <w:t xml:space="preserve"> </w:t>
      </w:r>
    </w:p>
    <w:p w14:paraId="26CC7A06" w14:textId="5A0B15A2" w:rsidR="00FA01F3" w:rsidRPr="00B768A1" w:rsidRDefault="34A57AD2" w:rsidP="00634A83">
      <w:r w:rsidRPr="00B768A1">
        <w:t>P</w:t>
      </w:r>
      <w:r w:rsidR="4940876B" w:rsidRPr="00B768A1">
        <w:t xml:space="preserve">romising results </w:t>
      </w:r>
      <w:r w:rsidRPr="00B768A1">
        <w:t xml:space="preserve">have been achieved </w:t>
      </w:r>
      <w:r w:rsidR="4940876B" w:rsidRPr="00B768A1">
        <w:t xml:space="preserve">internationally </w:t>
      </w:r>
      <w:r w:rsidR="3D75711B" w:rsidRPr="00B768A1">
        <w:t xml:space="preserve">using </w:t>
      </w:r>
      <w:r w:rsidR="4940876B" w:rsidRPr="00B768A1">
        <w:t>short-term support models that build the suicide prevention capability of non-health support services and establish a direct referral pathway to a short-term support service.</w:t>
      </w:r>
      <w:hyperlink w:anchor="_ENREF_203" w:tooltip="Government, 2022 #1087" w:history="1">
        <w:r w:rsidR="002D6F18">
          <w:fldChar w:fldCharType="begin"/>
        </w:r>
        <w:r w:rsidR="002D6F18">
          <w:instrText xml:space="preserve"> ADDIN EN.CITE &lt;EndNote&gt;&lt;Cite&gt;&lt;Author&gt;Government&lt;/Author&gt;&lt;Year&gt;2022&lt;/Year&gt;&lt;RecNum&gt;1087&lt;/RecNum&gt;&lt;DisplayText&gt;&lt;style face="superscript"&gt;203&lt;/style&gt;&lt;/DisplayText&gt;&lt;record&gt;&lt;rec-number&gt;1087&lt;/rec-number&gt;&lt;foreign-keys&gt;&lt;key app="EN" db-id="rsettzd2isasdweewww55s9lffasxav0d0ft" timestamp="1720501872" guid="4a680ad0-5eca-4e08-bee7-960204c93d20"&gt;1087&lt;/key&gt;&lt;/foreign-keys&gt;&lt;ref-type name="Web Page"&gt;12&lt;/ref-type&gt;&lt;contributors&gt;&lt;authors&gt;&lt;author&gt;Scottish Government&lt;/author&gt;&lt;/authors&gt;&lt;/contributors&gt;&lt;titles&gt;&lt;title&gt;Evaluation of the Distress Brief Intervention pilot programme&lt;/title&gt;&lt;/titles&gt;&lt;dates&gt;&lt;year&gt;2022&lt;/year&gt;&lt;/dates&gt;&lt;publisher&gt;Scottish Government&lt;/publisher&gt;&lt;work-type&gt;Internet&lt;/work-type&gt;&lt;urls&gt;&lt;related-urls&gt;&lt;url&gt;https://www.gov.scot/publications/evaluation-distress-brief-intervention-pilot-programme/documents/&lt;/url&gt;&lt;/related-urls&gt;&lt;/urls&gt;&lt;custom1&gt;2023&lt;/custom1&gt;&lt;custom2&gt;November 21&lt;/custom2&gt;&lt;/record&gt;&lt;/Cite&gt;&lt;/EndNote&gt;</w:instrText>
        </w:r>
        <w:r w:rsidR="002D6F18">
          <w:fldChar w:fldCharType="separate"/>
        </w:r>
        <w:r w:rsidR="002D6F18" w:rsidRPr="00C559B5">
          <w:rPr>
            <w:noProof/>
            <w:vertAlign w:val="superscript"/>
          </w:rPr>
          <w:t>203</w:t>
        </w:r>
        <w:r w:rsidR="002D6F18">
          <w:fldChar w:fldCharType="end"/>
        </w:r>
      </w:hyperlink>
      <w:r w:rsidR="4940876B" w:rsidRPr="00B768A1">
        <w:t xml:space="preserve"> </w:t>
      </w:r>
      <w:r w:rsidR="1AE25B00" w:rsidRPr="00B768A1">
        <w:t>This model is being t</w:t>
      </w:r>
      <w:r w:rsidR="4940876B" w:rsidRPr="00B768A1">
        <w:t>rial</w:t>
      </w:r>
      <w:r w:rsidR="1AE25B00" w:rsidRPr="00B768A1">
        <w:t>led</w:t>
      </w:r>
      <w:r w:rsidR="4940876B" w:rsidRPr="00B768A1">
        <w:t xml:space="preserve"> through Distress Brief </w:t>
      </w:r>
      <w:r w:rsidR="0C499CAB">
        <w:t>S</w:t>
      </w:r>
      <w:r w:rsidR="1B20664A" w:rsidRPr="00B768A1">
        <w:t>upport</w:t>
      </w:r>
      <w:r w:rsidR="4940876B" w:rsidRPr="00B768A1">
        <w:t xml:space="preserve"> services </w:t>
      </w:r>
      <w:r w:rsidR="145DD1FA" w:rsidRPr="00B768A1">
        <w:t>u</w:t>
      </w:r>
      <w:r w:rsidR="4940876B" w:rsidRPr="00B768A1">
        <w:t xml:space="preserve">nder some of the bilateral agreements of the </w:t>
      </w:r>
      <w:r w:rsidR="4940876B" w:rsidRPr="48215A0F">
        <w:rPr>
          <w:i/>
          <w:iCs/>
        </w:rPr>
        <w:t>National Mental Health and Suicide Prevention Agreement</w:t>
      </w:r>
      <w:r w:rsidR="4940876B" w:rsidRPr="00B768A1">
        <w:t>.</w:t>
      </w:r>
      <w:hyperlink w:anchor="_ENREF_29" w:tooltip="Relations, 2022 #986" w:history="1">
        <w:r w:rsidR="002D6F18">
          <w:fldChar w:fldCharType="begin"/>
        </w:r>
        <w:r w:rsidR="002D6F18">
          <w:instrText xml:space="preserve"> ADDIN EN.CITE &lt;EndNote&gt;&lt;Cite&gt;&lt;Author&gt;Relations&lt;/Author&gt;&lt;Year&gt;2022&lt;/Year&gt;&lt;RecNum&gt;986&lt;/RecNum&gt;&lt;DisplayText&gt;&lt;style face="superscript"&gt;29&lt;/style&gt;&lt;/DisplayText&gt;&lt;record&gt;&lt;rec-number&gt;986&lt;/rec-number&gt;&lt;foreign-keys&gt;&lt;key app="EN" db-id="rsettzd2isasdweewww55s9lffasxav0d0ft" timestamp="1720076948" guid="32964ad8-6066-45d7-88ee-95f279fee5d3"&gt;986&lt;/key&gt;&lt;/foreign-keys&gt;&lt;ref-type name="Government Document"&gt;46&lt;/ref-type&gt;&lt;contributors&gt;&lt;authors&gt;&lt;author&gt;Federal Financial Relations &lt;/author&gt;&lt;/authors&gt;&lt;/contributors&gt;&lt;titles&gt;&lt;title&gt;The National Mental Health and Suicide Prevention Agreement&lt;/title&gt;&lt;/titles&gt;&lt;dates&gt;&lt;year&gt;2022&lt;/year&gt;&lt;/dates&gt;&lt;publisher&gt;Commonwealth of Australia&lt;/publisher&gt;&lt;urls&gt;&lt;related-urls&gt;&lt;url&gt;https://federalfinancialrelations.gov.au/agreements/mental-health-suicide-prevention-agreement&lt;/url&gt;&lt;/related-urls&gt;&lt;/urls&gt;&lt;/record&gt;&lt;/Cite&gt;&lt;/EndNote&gt;</w:instrText>
        </w:r>
        <w:r w:rsidR="002D6F18">
          <w:fldChar w:fldCharType="separate"/>
        </w:r>
        <w:r w:rsidR="002D6F18" w:rsidRPr="0082082D">
          <w:rPr>
            <w:noProof/>
            <w:vertAlign w:val="superscript"/>
          </w:rPr>
          <w:t>29</w:t>
        </w:r>
        <w:r w:rsidR="002D6F18">
          <w:fldChar w:fldCharType="end"/>
        </w:r>
      </w:hyperlink>
    </w:p>
    <w:p w14:paraId="36FBDDD0" w14:textId="2D72296A" w:rsidR="003B4383" w:rsidRPr="007D0AF9" w:rsidRDefault="7D981283" w:rsidP="00634A83">
      <w:r>
        <w:t xml:space="preserve">The recommended actions to </w:t>
      </w:r>
      <w:r w:rsidR="001A74D7">
        <w:t xml:space="preserve">build suicide prevention capability </w:t>
      </w:r>
      <w:r>
        <w:t>are described in</w:t>
      </w:r>
      <w:r w:rsidR="00C146BA">
        <w:t xml:space="preserve"> </w:t>
      </w:r>
      <w:r w:rsidR="00C146BA">
        <w:fldChar w:fldCharType="begin"/>
      </w:r>
      <w:r w:rsidR="00C146BA">
        <w:instrText xml:space="preserve"> REF _Ref164869922 \h </w:instrText>
      </w:r>
      <w:r w:rsidR="00C146BA">
        <w:fldChar w:fldCharType="separate"/>
      </w:r>
      <w:r w:rsidR="009F12B4">
        <w:t xml:space="preserve">Table </w:t>
      </w:r>
      <w:r w:rsidR="009F12B4">
        <w:rPr>
          <w:noProof/>
        </w:rPr>
        <w:t>17</w:t>
      </w:r>
      <w:r w:rsidR="00C146BA">
        <w:fldChar w:fldCharType="end"/>
      </w:r>
      <w:r w:rsidR="00E13A3D">
        <w:t>.</w:t>
      </w:r>
    </w:p>
    <w:p w14:paraId="07357E9F" w14:textId="5E9DC872" w:rsidR="00D02231" w:rsidRPr="00B768A1" w:rsidRDefault="00D02231" w:rsidP="00634A83">
      <w:pPr>
        <w:pStyle w:val="BT-Beigebox-Heading"/>
      </w:pPr>
      <w:r w:rsidRPr="00B768A1">
        <w:t>Activity to build on</w:t>
      </w:r>
    </w:p>
    <w:p w14:paraId="1CA12DB8" w14:textId="34EDE507" w:rsidR="009A27D2" w:rsidRDefault="757BA2C0" w:rsidP="00634A83">
      <w:pPr>
        <w:pStyle w:val="BT-Beigebox"/>
        <w:rPr>
          <w:lang w:eastAsia="en-US"/>
        </w:rPr>
      </w:pPr>
      <w:r w:rsidRPr="005E04E2">
        <w:t>Suicide Story is a suicide prevention education and training program developed by Aboriginal people for Aboriginal people.</w:t>
      </w:r>
      <w:hyperlink w:anchor="_ENREF_204" w:tooltip="Territory, 2022 #1088" w:history="1">
        <w:r w:rsidR="002D6F18">
          <w:fldChar w:fldCharType="begin"/>
        </w:r>
        <w:r w:rsidR="002D6F18">
          <w:instrText xml:space="preserve"> ADDIN EN.CITE &lt;EndNote&gt;&lt;Cite&gt;&lt;Author&gt;Territory&lt;/Author&gt;&lt;Year&gt;2022&lt;/Year&gt;&lt;RecNum&gt;1088&lt;/RecNum&gt;&lt;DisplayText&gt;&lt;style face="superscript"&gt;204&lt;/style&gt;&lt;/DisplayText&gt;&lt;record&gt;&lt;rec-number&gt;1088&lt;/rec-number&gt;&lt;foreign-keys&gt;&lt;key app="EN" db-id="rsettzd2isasdweewww55s9lffasxav0d0ft" timestamp="1720501993" guid="cd16193d-57a5-4b03-93d4-bea640d212ea"&gt;1088&lt;/key&gt;&lt;/foreign-keys&gt;&lt;ref-type name="Web Page"&gt;12&lt;/ref-type&gt;&lt;contributors&gt;&lt;authors&gt;&lt;author&gt;Aboriginal Medical Services Alliance Northern Territory&lt;/author&gt;&lt;/authors&gt;&lt;/contributors&gt;&lt;titles&gt;&lt;title&gt;Suicide story…our way&lt;/title&gt;&lt;/titles&gt;&lt;dates&gt;&lt;year&gt;2022&lt;/year&gt;&lt;/dates&gt;&lt;urls&gt;&lt;related-urls&gt;&lt;url&gt;http://www.amsant.org.au/suicide-story/&lt;/url&gt;&lt;/related-urls&gt;&lt;/urls&gt;&lt;custom1&gt;2023&lt;/custom1&gt;&lt;custom2&gt;November 21&lt;/custom2&gt;&lt;/record&gt;&lt;/Cite&gt;&lt;/EndNote&gt;</w:instrText>
        </w:r>
        <w:r w:rsidR="002D6F18">
          <w:fldChar w:fldCharType="separate"/>
        </w:r>
        <w:r w:rsidR="002D6F18" w:rsidRPr="00C559B5">
          <w:rPr>
            <w:noProof/>
            <w:vertAlign w:val="superscript"/>
          </w:rPr>
          <w:t>204</w:t>
        </w:r>
        <w:r w:rsidR="002D6F18">
          <w:fldChar w:fldCharType="end"/>
        </w:r>
      </w:hyperlink>
      <w:r w:rsidRPr="00130201">
        <w:t xml:space="preserve"> </w:t>
      </w:r>
      <w:r w:rsidR="32F7BFA1">
        <w:t>It delivers</w:t>
      </w:r>
      <w:r w:rsidRPr="00130201">
        <w:t xml:space="preserve"> culturally safe </w:t>
      </w:r>
      <w:r w:rsidR="376653BC">
        <w:t>workshops</w:t>
      </w:r>
      <w:r w:rsidRPr="00130201">
        <w:t xml:space="preserve"> to equip community members with the skills, knowledge and confidence to respond </w:t>
      </w:r>
      <w:r w:rsidR="4AE49EDF" w:rsidRPr="00B768A1">
        <w:t xml:space="preserve">compassionately and effectively </w:t>
      </w:r>
      <w:r w:rsidRPr="00130201">
        <w:t xml:space="preserve">to the risk signs of suicide. </w:t>
      </w:r>
      <w:r w:rsidR="79919FAA" w:rsidRPr="00B768A1">
        <w:t xml:space="preserve">Evaluation of the program found that it </w:t>
      </w:r>
      <w:r w:rsidR="7E15A2A5" w:rsidRPr="00B768A1">
        <w:t>decrease</w:t>
      </w:r>
      <w:r w:rsidR="62837A09" w:rsidRPr="00B768A1">
        <w:t>s</w:t>
      </w:r>
      <w:r w:rsidR="7E15A2A5" w:rsidRPr="00B768A1">
        <w:t xml:space="preserve"> suicide stigma,</w:t>
      </w:r>
      <w:r w:rsidR="79919FAA" w:rsidRPr="00B768A1">
        <w:t xml:space="preserve"> improve</w:t>
      </w:r>
      <w:r w:rsidR="7CFEDE82" w:rsidRPr="00B768A1">
        <w:t>s</w:t>
      </w:r>
      <w:r w:rsidR="79919FAA" w:rsidRPr="00B768A1">
        <w:t xml:space="preserve"> </w:t>
      </w:r>
      <w:r w:rsidR="1DD92209" w:rsidRPr="00B768A1">
        <w:t xml:space="preserve">awareness of the signs of suicidal thoughts, </w:t>
      </w:r>
      <w:r w:rsidR="074A831B" w:rsidRPr="00B768A1">
        <w:t>and</w:t>
      </w:r>
      <w:r w:rsidR="1DD92209" w:rsidRPr="00B768A1">
        <w:t xml:space="preserve"> </w:t>
      </w:r>
      <w:r w:rsidR="4C400B9B" w:rsidRPr="00B768A1">
        <w:t xml:space="preserve">improves </w:t>
      </w:r>
      <w:r w:rsidR="1DD92209" w:rsidRPr="00B768A1">
        <w:t xml:space="preserve">skills </w:t>
      </w:r>
      <w:r w:rsidR="6E37780F" w:rsidRPr="00B768A1">
        <w:t xml:space="preserve">and confidence </w:t>
      </w:r>
      <w:r w:rsidR="1DD92209" w:rsidRPr="00B768A1">
        <w:t>to respond to grief, trauma, and the needs of those who may be contemplating suicide.</w:t>
      </w:r>
      <w:hyperlink w:anchor="_ENREF_205" w:tooltip="J, 2019 #689" w:history="1">
        <w:r w:rsidR="002D6F18">
          <w:fldChar w:fldCharType="begin"/>
        </w:r>
        <w:r w:rsidR="002D6F18">
          <w:instrText xml:space="preserve"> ADDIN EN.CITE &lt;EndNote&gt;&lt;Cite&gt;&lt;Author&gt;J&lt;/Author&gt;&lt;Year&gt;2019&lt;/Year&gt;&lt;RecNum&gt;689&lt;/RecNum&gt;&lt;DisplayText&gt;&lt;style face="superscript"&gt;205&lt;/style&gt;&lt;/DisplayText&gt;&lt;record&gt;&lt;rec-number&gt;689&lt;/rec-number&gt;&lt;foreign-keys&gt;&lt;key app="EN" db-id="rsettzd2isasdweewww55s9lffasxav0d0ft" timestamp="1707862924" guid="6c4be2ca-fa03-4904-9898-a681ee0d503d"&gt;689&lt;/key&gt;&lt;/foreign-keys&gt;&lt;ref-type name="Web Page"&gt;12&lt;/ref-type&gt;&lt;contributors&gt;&lt;authors&gt;&lt;author&gt;Guenther J&lt;/author&gt;&lt;author&gt;Mack S&lt;/author&gt;&lt;/authors&gt;&lt;/contributors&gt;&lt;titles&gt;&lt;title&gt;Evaluation of Suicide Story, Final Report&lt;/title&gt;&lt;/titles&gt;&lt;dates&gt;&lt;year&gt;2019&lt;/year&gt;&lt;/dates&gt;&lt;publisher&gt;Batchelor Institute of Indigenous Tertiary Education&lt;/publisher&gt;&lt;work-type&gt;Internet&lt;/work-type&gt;&lt;urls&gt;&lt;related-urls&gt;&lt;url&gt;https://eprints.batchelor.edu.au/id/eprint/611/1/Evaluation%20of%20Suicide%20Story%20FINAL%20REPORT_V1.3.pdf&lt;/url&gt;&lt;/related-urls&gt;&lt;/urls&gt;&lt;custom1&gt;2023&lt;/custom1&gt;&lt;custom2&gt;November 01&lt;/custom2&gt;&lt;/record&gt;&lt;/Cite&gt;&lt;/EndNote&gt;</w:instrText>
        </w:r>
        <w:r w:rsidR="002D6F18">
          <w:fldChar w:fldCharType="separate"/>
        </w:r>
        <w:r w:rsidR="002D6F18" w:rsidRPr="00C559B5">
          <w:rPr>
            <w:noProof/>
            <w:vertAlign w:val="superscript"/>
          </w:rPr>
          <w:t>205</w:t>
        </w:r>
        <w:r w:rsidR="002D6F18">
          <w:fldChar w:fldCharType="end"/>
        </w:r>
      </w:hyperlink>
      <w:r w:rsidR="6161CF75" w:rsidRPr="0006783A">
        <w:rPr>
          <w:vertAlign w:val="superscript"/>
        </w:rPr>
        <w:t xml:space="preserve"> </w:t>
      </w:r>
    </w:p>
    <w:p w14:paraId="6284800E" w14:textId="08D70882" w:rsidR="003B4383" w:rsidRPr="00B768A1" w:rsidRDefault="7205DE70" w:rsidP="00745B34">
      <w:pPr>
        <w:pStyle w:val="Caption"/>
        <w:rPr>
          <w:lang w:eastAsia="en-US"/>
        </w:rPr>
      </w:pPr>
      <w:bookmarkStart w:id="91" w:name="_Ref162237388"/>
      <w:bookmarkStart w:id="92" w:name="_Ref164869922"/>
      <w:r>
        <w:t xml:space="preserve">Table </w:t>
      </w:r>
      <w:bookmarkEnd w:id="91"/>
      <w:r w:rsidR="003B4383">
        <w:fldChar w:fldCharType="begin"/>
      </w:r>
      <w:r w:rsidR="003B4383">
        <w:instrText xml:space="preserve"> SEQ Table \* ARABIC  \* MERGEFORMAT </w:instrText>
      </w:r>
      <w:r w:rsidR="003B4383">
        <w:fldChar w:fldCharType="separate"/>
      </w:r>
      <w:r w:rsidR="009F12B4">
        <w:rPr>
          <w:noProof/>
        </w:rPr>
        <w:t>17</w:t>
      </w:r>
      <w:r w:rsidR="003B4383">
        <w:fldChar w:fldCharType="end"/>
      </w:r>
      <w:bookmarkEnd w:id="92"/>
      <w:r>
        <w:t xml:space="preserve">: Recommended actions for Support objective </w:t>
      </w:r>
      <w:r w:rsidR="3A7676CF">
        <w:t>6</w:t>
      </w:r>
      <w:r w:rsidR="5FF5615A">
        <w:t>.</w:t>
      </w:r>
      <w:r w:rsidR="09D96753">
        <w:t>3</w:t>
      </w:r>
      <w:r w:rsidR="5FF5615A">
        <w:t>: Build suicide prevention capability</w:t>
      </w:r>
    </w:p>
    <w:tbl>
      <w:tblPr>
        <w:tblStyle w:val="TableGrid"/>
        <w:tblW w:w="8926" w:type="dxa"/>
        <w:tblLayout w:type="fixed"/>
        <w:tblLook w:val="0420" w:firstRow="1" w:lastRow="0" w:firstColumn="0" w:lastColumn="0" w:noHBand="0" w:noVBand="1"/>
        <w:tblCaption w:val="Recommended actions for Support objective 3.2: Build suicide prevention capability"/>
        <w:tblDescription w:val="Describes actions ko3.2a and ko3.2b.&#10;"/>
      </w:tblPr>
      <w:tblGrid>
        <w:gridCol w:w="990"/>
        <w:gridCol w:w="7936"/>
      </w:tblGrid>
      <w:tr w:rsidR="00D81ABA" w:rsidRPr="001D73D3" w14:paraId="4A4E0CA1" w14:textId="77777777" w:rsidTr="00D81ABA">
        <w:trPr>
          <w:cnfStyle w:val="100000000000" w:firstRow="1" w:lastRow="0" w:firstColumn="0" w:lastColumn="0" w:oddVBand="0" w:evenVBand="0" w:oddHBand="0" w:evenHBand="0" w:firstRowFirstColumn="0" w:firstRowLastColumn="0" w:lastRowFirstColumn="0" w:lastRowLastColumn="0"/>
          <w:trHeight w:val="300"/>
          <w:tblHeader/>
        </w:trPr>
        <w:tc>
          <w:tcPr>
            <w:tcW w:w="9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9782"/>
          </w:tcPr>
          <w:p w14:paraId="7AF40CFC" w14:textId="4D051674" w:rsidR="00D81ABA" w:rsidRPr="00247E24" w:rsidRDefault="00D81ABA" w:rsidP="00634A83">
            <w:r w:rsidRPr="00247E24">
              <w:t>Action</w:t>
            </w:r>
          </w:p>
        </w:tc>
        <w:tc>
          <w:tcPr>
            <w:tcW w:w="793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9782"/>
            <w:tcMar>
              <w:top w:w="28" w:type="dxa"/>
              <w:bottom w:w="28" w:type="dxa"/>
            </w:tcMar>
          </w:tcPr>
          <w:p w14:paraId="7FA318DA" w14:textId="3DCE4E85" w:rsidR="00D81ABA" w:rsidRPr="00247E24" w:rsidRDefault="00D81ABA" w:rsidP="00634A83">
            <w:r w:rsidRPr="00247E24">
              <w:t>Description</w:t>
            </w:r>
          </w:p>
        </w:tc>
      </w:tr>
      <w:tr w:rsidR="00D81ABA" w14:paraId="6A94DA14" w14:textId="445BBF88" w:rsidTr="00D81ABA">
        <w:trPr>
          <w:trHeight w:val="300"/>
        </w:trPr>
        <w:tc>
          <w:tcPr>
            <w:tcW w:w="990" w:type="dxa"/>
            <w:tcBorders>
              <w:top w:val="single" w:sz="4" w:space="0" w:color="FFFFFF" w:themeColor="background1"/>
            </w:tcBorders>
          </w:tcPr>
          <w:p w14:paraId="5C063FBA" w14:textId="2251C2D8" w:rsidR="00D81ABA" w:rsidRPr="7DC365FC" w:rsidRDefault="00D81ABA" w:rsidP="00634A83">
            <w:r w:rsidDel="7DC365FC">
              <w:t>ko6.</w:t>
            </w:r>
            <w:r>
              <w:t>3</w:t>
            </w:r>
            <w:r w:rsidDel="115F6597">
              <w:t>a</w:t>
            </w:r>
            <w:r>
              <w:t xml:space="preserve"> </w:t>
            </w:r>
          </w:p>
        </w:tc>
        <w:tc>
          <w:tcPr>
            <w:tcW w:w="7936" w:type="dxa"/>
            <w:tcBorders>
              <w:top w:val="single" w:sz="4" w:space="0" w:color="FFFFFF" w:themeColor="background1"/>
            </w:tcBorders>
          </w:tcPr>
          <w:p w14:paraId="671286CC" w14:textId="511BE11C" w:rsidR="00D81ABA" w:rsidRPr="7DC365FC" w:rsidRDefault="00D81ABA" w:rsidP="00634A83">
            <w:r>
              <w:t xml:space="preserve">Promote uptake of suicide prevention training in the community, with tailored training and peer facilitators for populations disproportionately impacted by suicide. </w:t>
            </w:r>
          </w:p>
        </w:tc>
      </w:tr>
      <w:tr w:rsidR="00D81ABA" w:rsidRPr="00B768A1" w14:paraId="70A37D1D" w14:textId="77777777" w:rsidTr="00D81ABA">
        <w:trPr>
          <w:trHeight w:val="300"/>
        </w:trPr>
        <w:tc>
          <w:tcPr>
            <w:tcW w:w="990" w:type="dxa"/>
            <w:tcBorders>
              <w:top w:val="single" w:sz="4" w:space="0" w:color="FFFFFF" w:themeColor="background1"/>
            </w:tcBorders>
          </w:tcPr>
          <w:p w14:paraId="3E58356B" w14:textId="35AC93AA" w:rsidR="00D81ABA" w:rsidRPr="00177D22" w:rsidRDefault="00D81ABA" w:rsidP="00634A83">
            <w:r w:rsidRPr="1274FCB3">
              <w:t>ko6.</w:t>
            </w:r>
            <w:r>
              <w:t>3</w:t>
            </w:r>
            <w:r w:rsidRPr="1274FCB3">
              <w:t>b</w:t>
            </w:r>
          </w:p>
        </w:tc>
        <w:tc>
          <w:tcPr>
            <w:tcW w:w="7936" w:type="dxa"/>
            <w:tcBorders>
              <w:top w:val="single" w:sz="4" w:space="0" w:color="FFFFFF" w:themeColor="background1"/>
            </w:tcBorders>
            <w:tcMar>
              <w:top w:w="28" w:type="dxa"/>
              <w:bottom w:w="28" w:type="dxa"/>
            </w:tcMar>
          </w:tcPr>
          <w:p w14:paraId="59062F66" w14:textId="26AC57ED" w:rsidR="00D81ABA" w:rsidRPr="00B768A1" w:rsidRDefault="00D81ABA" w:rsidP="00634A83">
            <w:r>
              <w:t>Build upon the existing Distress Brief Support trials to improve the capability of services that are frequently in contact with people negatively impacted by social determinants to recognise and respond compassionately to signs of suicidal distress. Relevant service contexts include sports clubs and men’s sheds; education settings; social support services; aged care providers; and migrant and refugee settlement services.</w:t>
            </w:r>
          </w:p>
          <w:p w14:paraId="5D553A9D" w14:textId="7FA74C0F" w:rsidR="00D81ABA" w:rsidRPr="00F643A2" w:rsidRDefault="00D81ABA" w:rsidP="00634A83">
            <w:pPr>
              <w:pStyle w:val="ListParagraph"/>
              <w:numPr>
                <w:ilvl w:val="0"/>
                <w:numId w:val="68"/>
              </w:numPr>
            </w:pPr>
            <w:r>
              <w:t>Upskill staff through a core training package, with tailored modules for different service contexts, and processes for the maintenance of these skills.</w:t>
            </w:r>
          </w:p>
          <w:p w14:paraId="514FE2C0" w14:textId="77777777" w:rsidR="00D81ABA" w:rsidRPr="00F643A2" w:rsidRDefault="00D81ABA" w:rsidP="00634A83">
            <w:pPr>
              <w:pStyle w:val="ListParagraph"/>
              <w:numPr>
                <w:ilvl w:val="0"/>
                <w:numId w:val="68"/>
              </w:numPr>
            </w:pPr>
            <w:r>
              <w:t>Provide guidance on the development and implementation of organisation-specific processes for making referrals to additional supports.</w:t>
            </w:r>
          </w:p>
          <w:p w14:paraId="58B4FDC9" w14:textId="188F6CDC" w:rsidR="00D81ABA" w:rsidRPr="00F643A2" w:rsidRDefault="00D81ABA" w:rsidP="00634A83">
            <w:pPr>
              <w:pStyle w:val="ListParagraph"/>
              <w:numPr>
                <w:ilvl w:val="0"/>
                <w:numId w:val="68"/>
              </w:numPr>
            </w:pPr>
            <w:r>
              <w:t>Create a dedicated function within services to provide connections to ongoing supports.</w:t>
            </w:r>
          </w:p>
          <w:p w14:paraId="3278EDD9" w14:textId="16E32A98" w:rsidR="00D81ABA" w:rsidRPr="003837B6" w:rsidRDefault="00D81ABA" w:rsidP="00634A83">
            <w:pPr>
              <w:pStyle w:val="ListParagraph"/>
              <w:numPr>
                <w:ilvl w:val="0"/>
                <w:numId w:val="68"/>
              </w:numPr>
            </w:pPr>
            <w:r w:rsidRPr="1274FCB3">
              <w:t>Evaluate the effectiveness of these activities for groups disproportionately impacted by suicide.</w:t>
            </w:r>
          </w:p>
        </w:tc>
      </w:tr>
    </w:tbl>
    <w:p w14:paraId="0E30EF4F" w14:textId="38A9A744" w:rsidR="00FA01F3" w:rsidRPr="00B768A1" w:rsidRDefault="0D3A7BBD" w:rsidP="00D81ABA">
      <w:pPr>
        <w:pStyle w:val="heading3support"/>
      </w:pPr>
      <w:r>
        <w:t>6.</w:t>
      </w:r>
      <w:r w:rsidR="008741A7">
        <w:t>4</w:t>
      </w:r>
      <w:r>
        <w:t xml:space="preserve"> T</w:t>
      </w:r>
      <w:r w:rsidR="3639D8DE">
        <w:t>rauma</w:t>
      </w:r>
      <w:r w:rsidR="058BB9A3">
        <w:t>-</w:t>
      </w:r>
      <w:r w:rsidR="3639D8DE">
        <w:t xml:space="preserve">informed and empathetic responses </w:t>
      </w:r>
    </w:p>
    <w:p w14:paraId="515AC115" w14:textId="789FF013" w:rsidR="364A546D" w:rsidRDefault="29921910" w:rsidP="00634A83">
      <w:r w:rsidRPr="59485962">
        <w:t xml:space="preserve">People who experience suicidal thoughts and behaviours and engage with </w:t>
      </w:r>
      <w:r w:rsidR="074EDCCD" w:rsidRPr="59485962">
        <w:t xml:space="preserve">formal </w:t>
      </w:r>
      <w:r w:rsidRPr="59485962">
        <w:t>support may have previous traumatic experiences, including stigma, disempowerment, or forced or failed treatment from health services.</w:t>
      </w:r>
      <w:hyperlink w:anchor="_ENREF_111" w:tooltip="Commission, 2020 #654" w:history="1">
        <w:r w:rsidR="002D6F18" w:rsidRPr="00E43C2E">
          <w:rPr>
            <w:vertAlign w:val="superscript"/>
          </w:rPr>
          <w:fldChar w:fldCharType="begin"/>
        </w:r>
        <w:r w:rsidR="002D6F18">
          <w:rPr>
            <w:vertAlign w:val="superscript"/>
          </w:rPr>
          <w:instrText xml:space="preserve"> ADDIN EN.CITE &lt;EndNote&gt;&lt;Cite&gt;&lt;Author&gt;Commission&lt;/Author&gt;&lt;Year&gt;2020&lt;/Year&gt;&lt;RecNum&gt;654&lt;/RecNum&gt;&lt;DisplayText&gt;&lt;style face="superscript"&gt;111&lt;/style&gt;&lt;/DisplayText&gt;&lt;record&gt;&lt;rec-number&gt;654&lt;/rec-number&gt;&lt;foreign-keys&gt;&lt;key app="EN" db-id="rsettzd2isasdweewww55s9lffasxav0d0ft" timestamp="1707862923" guid="6b2f94c6-9982-429d-9e86-4590a9556718"&gt;654&lt;/key&gt;&lt;/foreign-keys&gt;&lt;ref-type name="Web Page"&gt;12&lt;/ref-type&gt;&lt;contributors&gt;&lt;authors&gt;&lt;author&gt;Productivity Commission&lt;/author&gt;&lt;/authors&gt;&lt;/contributors&gt;&lt;titles&gt;&lt;title&gt;Mental Health, Inquiry Report, Volume 1, No. 95&lt;/title&gt;&lt;/titles&gt;&lt;dates&gt;&lt;year&gt;2020&lt;/year&gt;&lt;/dates&gt;&lt;pub-location&gt;Canberra&lt;/pub-location&gt;&lt;publisher&gt;PC&lt;/publisher&gt;&lt;work-type&gt;Internet&lt;/work-type&gt;&lt;urls&gt;&lt;related-urls&gt;&lt;url&gt;https://www.pc.gov.au/inquiries/completed/mental-health/report/mental-health-volume1.pdf&lt;/url&gt;&lt;/related-urls&gt;&lt;/urls&gt;&lt;custom1&gt;2023&lt;/custom1&gt;&lt;custom2&gt;October 03&lt;/custom2&gt;&lt;/record&gt;&lt;/Cite&gt;&lt;/EndNote&gt;</w:instrText>
        </w:r>
        <w:r w:rsidR="002D6F18" w:rsidRPr="00E43C2E">
          <w:rPr>
            <w:vertAlign w:val="superscript"/>
          </w:rPr>
          <w:fldChar w:fldCharType="separate"/>
        </w:r>
        <w:r w:rsidR="002D6F18">
          <w:rPr>
            <w:noProof/>
            <w:vertAlign w:val="superscript"/>
          </w:rPr>
          <w:t>111</w:t>
        </w:r>
        <w:r w:rsidR="002D6F18" w:rsidRPr="00E43C2E">
          <w:rPr>
            <w:vertAlign w:val="superscript"/>
          </w:rPr>
          <w:fldChar w:fldCharType="end"/>
        </w:r>
      </w:hyperlink>
      <w:r w:rsidR="00E43C2E" w:rsidRPr="00E43C2E">
        <w:rPr>
          <w:vertAlign w:val="superscript"/>
        </w:rPr>
        <w:t>,</w:t>
      </w:r>
      <w:hyperlink w:anchor="_ENREF_11" w:tooltip="Adviser, 2020 #650" w:history="1">
        <w:r w:rsidR="002D6F18" w:rsidRPr="00E43C2E">
          <w:rPr>
            <w:vertAlign w:val="superscript"/>
          </w:rPr>
          <w:fldChar w:fldCharType="begin"/>
        </w:r>
        <w:r w:rsidR="002D6F18">
          <w:rPr>
            <w:vertAlign w:val="superscript"/>
          </w:rPr>
          <w:instrText xml:space="preserve"> ADDIN EN.CITE &lt;EndNote&gt;&lt;Cite&gt;&lt;Author&gt;Adviser&lt;/Author&gt;&lt;Year&gt;2020&lt;/Year&gt;&lt;RecNum&gt;650&lt;/RecNum&gt;&lt;DisplayText&gt;&lt;style face="superscript"&gt;11&lt;/style&gt;&lt;/DisplayText&gt;&lt;record&gt;&lt;rec-number&gt;650&lt;/rec-number&gt;&lt;foreign-keys&gt;&lt;key app="EN" db-id="rsettzd2isasdweewww55s9lffasxav0d0ft" timestamp="1707862923" guid="087a62d9-8ad8-43f7-8e22-61ca2efd64eb"&gt;650&lt;/key&gt;&lt;/foreign-keys&gt;&lt;ref-type name="Web Page"&gt;12&lt;/ref-type&gt;&lt;contributors&gt;&lt;authors&gt;&lt;author&gt;National Suicide Prevention Adviser&lt;/author&gt;&lt;/authors&gt;&lt;/contributors&gt;&lt;titles&gt;&lt;title&gt;Compassion First: Designing our National Approach from the Lived Experience of Suicidal Behaviour&lt;/title&gt;&lt;/titles&gt;&lt;dates&gt;&lt;year&gt;2020&lt;/year&gt;&lt;/dates&gt;&lt;pub-location&gt;Canberra&lt;/pub-location&gt;&lt;publisher&gt;National Mental Health Commission&lt;/publisher&gt;&lt;work-type&gt;Internet&lt;/work-type&gt;&lt;urls&gt;&lt;related-urls&gt;&lt;url&gt;https://www.health.gov.au/resources/publications/national-suicide-prevention-adviser-compassion-first-designing-our-national-approach-from-the-lived-experience-of-suicidal-behaviour&lt;/url&gt;&lt;/related-urls&gt;&lt;/urls&gt;&lt;custom1&gt;2023&lt;/custom1&gt;&lt;custom2&gt;October 04&lt;/custom2&gt;&lt;/record&gt;&lt;/Cite&gt;&lt;/EndNote&gt;</w:instrText>
        </w:r>
        <w:r w:rsidR="002D6F18" w:rsidRPr="00E43C2E">
          <w:rPr>
            <w:vertAlign w:val="superscript"/>
          </w:rPr>
          <w:fldChar w:fldCharType="separate"/>
        </w:r>
        <w:r w:rsidR="002D6F18">
          <w:rPr>
            <w:noProof/>
            <w:vertAlign w:val="superscript"/>
          </w:rPr>
          <w:t>11</w:t>
        </w:r>
        <w:r w:rsidR="002D6F18" w:rsidRPr="00E43C2E">
          <w:rPr>
            <w:vertAlign w:val="superscript"/>
          </w:rPr>
          <w:fldChar w:fldCharType="end"/>
        </w:r>
      </w:hyperlink>
      <w:r w:rsidR="00E43C2E" w:rsidRPr="00E43C2E">
        <w:rPr>
          <w:vertAlign w:val="superscript"/>
        </w:rPr>
        <w:t>,</w:t>
      </w:r>
      <w:hyperlink w:anchor="_ENREF_30" w:tooltip="Government, 2021 #915" w:history="1">
        <w:r w:rsidR="002D6F18" w:rsidRPr="00E43C2E">
          <w:rPr>
            <w:vertAlign w:val="superscript"/>
          </w:rPr>
          <w:fldChar w:fldCharType="begin"/>
        </w:r>
        <w:r w:rsidR="002D6F18">
          <w:rPr>
            <w:vertAlign w:val="superscript"/>
          </w:rPr>
          <w:instrText xml:space="preserve"> ADDIN EN.CITE &lt;EndNote&gt;&lt;Cite&gt;&lt;Author&gt;Government&lt;/Author&gt;&lt;Year&gt;2021&lt;/Year&gt;&lt;RecNum&gt;67&lt;/RecNum&gt;&lt;DisplayText&gt;&lt;style face="superscript"&gt;30&lt;/style&gt;&lt;/DisplayText&gt;&lt;record&gt;&lt;rec-number&gt;67&lt;/rec-number&gt;&lt;foreign-keys&gt;&lt;key app="EN" db-id="rsettzd2isasdweewww55s9lffasxav0d0ft" timestamp="1700699466" guid="1db76405-c4f6-4971-8d84-404bb8ac0563"&gt;67&lt;/key&gt;&lt;/foreign-keys&gt;&lt;ref-type name="Web Page"&gt;12&lt;/ref-type&gt;&lt;contributors&gt;&lt;authors&gt;&lt;author&gt;Victoria State Government&lt;/author&gt;&lt;/authors&gt;&lt;/contributors&gt;&lt;titles&gt;&lt;title&gt;Royal Commission into Victoria’s Mental Health System, Final Report, Summary and Recommendations, Part Paper No. 202, Session 2018-21 (Document 1 of 6)&lt;/title&gt;&lt;/titles&gt;&lt;dates&gt;&lt;year&gt;2021&lt;/year&gt;&lt;/dates&gt;&lt;pub-location&gt;Melbourne, Victoria&lt;/pub-location&gt;&lt;publisher&gt;Victoria State Government&lt;/publisher&gt;&lt;work-type&gt;Internet&lt;/work-type&gt;&lt;urls&gt;&lt;related-urls&gt;&lt;url&gt;https://finalreport.rcvmhs.vic.gov.au/wp-content/uploads/2021/02/RCVMHS_FinalReport_ExecSummary_Accessible.pdf&lt;/url&gt;&lt;/related-urls&gt;&lt;/urls&gt;&lt;custom1&gt;2023&lt;/custom1&gt;&lt;custom2&gt;November 06&lt;/custom2&gt;&lt;/record&gt;&lt;/Cite&gt;&lt;/EndNote&gt;</w:instrText>
        </w:r>
        <w:r w:rsidR="002D6F18" w:rsidRPr="00E43C2E">
          <w:rPr>
            <w:vertAlign w:val="superscript"/>
          </w:rPr>
          <w:fldChar w:fldCharType="separate"/>
        </w:r>
        <w:r w:rsidR="002D6F18">
          <w:rPr>
            <w:noProof/>
            <w:vertAlign w:val="superscript"/>
          </w:rPr>
          <w:t>30</w:t>
        </w:r>
        <w:r w:rsidR="002D6F18" w:rsidRPr="00E43C2E">
          <w:rPr>
            <w:vertAlign w:val="superscript"/>
          </w:rPr>
          <w:fldChar w:fldCharType="end"/>
        </w:r>
      </w:hyperlink>
      <w:r w:rsidRPr="59485962">
        <w:t xml:space="preserve"> Trauma-informed approaches are therefore essential.</w:t>
      </w:r>
    </w:p>
    <w:p w14:paraId="0659730F" w14:textId="57408F84" w:rsidR="00FA01F3" w:rsidRPr="00B768A1" w:rsidRDefault="4940876B" w:rsidP="00634A83">
      <w:pPr>
        <w:rPr>
          <w:rStyle w:val="EndnoteReference"/>
        </w:rPr>
      </w:pPr>
      <w:r w:rsidRPr="00B768A1">
        <w:t>Trauma</w:t>
      </w:r>
      <w:r w:rsidR="5A53F516" w:rsidRPr="00B768A1">
        <w:t>-</w:t>
      </w:r>
      <w:r w:rsidRPr="00B768A1">
        <w:t xml:space="preserve">informed practice aims to recognise and understand trauma, and create a psychologically, emotionally and physically safe environment </w:t>
      </w:r>
      <w:r w:rsidR="73541637" w:rsidRPr="00B768A1">
        <w:t xml:space="preserve">in which </w:t>
      </w:r>
      <w:r w:rsidRPr="00B768A1">
        <w:t>survivors of trauma can feel empowered and in control.</w:t>
      </w:r>
      <w:hyperlink w:anchor="_ENREF_206" w:tooltip="Administration, 2014 #1086" w:history="1">
        <w:r w:rsidR="002D6F18">
          <w:fldChar w:fldCharType="begin"/>
        </w:r>
        <w:r w:rsidR="002D6F18">
          <w:instrText xml:space="preserve"> ADDIN EN.CITE &lt;EndNote&gt;&lt;Cite&gt;&lt;Author&gt;Administration&lt;/Author&gt;&lt;Year&gt;2014&lt;/Year&gt;&lt;RecNum&gt;1086&lt;/RecNum&gt;&lt;DisplayText&gt;&lt;style face="superscript"&gt;206&lt;/style&gt;&lt;/DisplayText&gt;&lt;record&gt;&lt;rec-number&gt;1086&lt;/rec-number&gt;&lt;foreign-keys&gt;&lt;key app="EN" db-id="rsettzd2isasdweewww55s9lffasxav0d0ft" timestamp="1720501732" guid="038fec24-17ee-4445-93c8-5afd5133e274"&gt;1086&lt;/key&gt;&lt;/foreign-keys&gt;&lt;ref-type name="Web Page"&gt;12&lt;/ref-type&gt;&lt;contributors&gt;&lt;authors&gt;&lt;author&gt;Substance Abuse and Mental Health Services Administration&lt;/author&gt;&lt;/authors&gt;&lt;/contributors&gt;&lt;titles&gt;&lt;title&gt;SAMHSA’s concept of trauma and guidance for a trauma-informed approach&lt;/title&gt;&lt;/titles&gt;&lt;dates&gt;&lt;year&gt;2014&lt;/year&gt;&lt;/dates&gt;&lt;pub-location&gt;Rockville&lt;/pub-location&gt;&lt;publisher&gt;U.S. Department of Health and Human Services&lt;/publisher&gt;&lt;work-type&gt;Internet&lt;/work-type&gt;&lt;urls&gt;&lt;related-urls&gt;&lt;url&gt;https://samhsa.gov/resource/dbhis/samhsas-concept-trauma-guidance-trauma-informed-approach&lt;/url&gt;&lt;/related-urls&gt;&lt;/urls&gt;&lt;/record&gt;&lt;/Cite&gt;&lt;/EndNote&gt;</w:instrText>
        </w:r>
        <w:r w:rsidR="002D6F18">
          <w:fldChar w:fldCharType="separate"/>
        </w:r>
        <w:r w:rsidR="002D6F18" w:rsidRPr="00C559B5">
          <w:rPr>
            <w:noProof/>
            <w:vertAlign w:val="superscript"/>
          </w:rPr>
          <w:t>206</w:t>
        </w:r>
        <w:r w:rsidR="002D6F18">
          <w:fldChar w:fldCharType="end"/>
        </w:r>
      </w:hyperlink>
      <w:r w:rsidRPr="00B768A1">
        <w:t xml:space="preserve"> </w:t>
      </w:r>
      <w:r w:rsidR="1FDE16C9" w:rsidRPr="00B768A1">
        <w:t xml:space="preserve">Trauma-informed practice </w:t>
      </w:r>
      <w:r w:rsidRPr="00B768A1">
        <w:t xml:space="preserve">can be achieved through a strengths-based approach that </w:t>
      </w:r>
      <w:r w:rsidR="1CC74779" w:rsidRPr="00B768A1">
        <w:t>focuses</w:t>
      </w:r>
      <w:r w:rsidR="6BAD04E2" w:rsidRPr="00B768A1">
        <w:t xml:space="preserve"> on individual </w:t>
      </w:r>
      <w:r w:rsidR="1CC74779" w:rsidRPr="00B768A1">
        <w:t>abilities</w:t>
      </w:r>
      <w:r w:rsidR="6BAD04E2" w:rsidRPr="00B768A1">
        <w:t>,</w:t>
      </w:r>
      <w:r w:rsidRPr="00B768A1">
        <w:t xml:space="preserve"> shows compassion for a person’s pain, aims to build trust</w:t>
      </w:r>
      <w:r w:rsidR="2DF0EB78" w:rsidRPr="00B768A1">
        <w:t>,</w:t>
      </w:r>
      <w:r w:rsidRPr="00B768A1">
        <w:t xml:space="preserve"> and works collaboratively to meet a person’s needs.</w:t>
      </w:r>
      <w:hyperlink w:anchor="_ENREF_207" w:tooltip="R, 2022 #1065" w:history="1">
        <w:r w:rsidR="002D6F18">
          <w:fldChar w:fldCharType="begin"/>
        </w:r>
        <w:r w:rsidR="002D6F18">
          <w:instrText xml:space="preserve"> ADDIN EN.CITE &lt;EndNote&gt;&lt;Cite&gt;&lt;Author&gt;R&lt;/Author&gt;&lt;Year&gt;2022&lt;/Year&gt;&lt;RecNum&gt;1065&lt;/RecNum&gt;&lt;DisplayText&gt;&lt;style face="superscript"&gt;207&lt;/style&gt;&lt;/DisplayText&gt;&lt;record&gt;&lt;rec-number&gt;1065&lt;/rec-number&gt;&lt;foreign-keys&gt;&lt;key app="EN" db-id="rsettzd2isasdweewww55s9lffasxav0d0ft" timestamp="1720488609" guid="3c3e74ff-9b06-4e25-9ec6-b9cf2e41d31a"&gt;1065&lt;/key&gt;&lt;/foreign-keys&gt;&lt;ref-type name="Journal Article"&gt;17&lt;/ref-type&gt;&lt;contributors&gt;&lt;authors&gt;&lt;author&gt;Mirick R&lt;/author&gt;&lt;author&gt;Bridger J&lt;/author&gt;&lt;author&gt;McCauley J&lt;/author&gt;&lt;/authors&gt;&lt;/contributors&gt;&lt;titles&gt;&lt;title&gt;Trauma-Informed Clinical Practice with Clients with Suicidal Thoughts and Behaviors&lt;/title&gt;&lt;secondary-title&gt;Smith College Studies in Social Work&lt;/secondary-title&gt;&lt;/titles&gt;&lt;periodical&gt;&lt;full-title&gt;Smith College Studies in Social Work&lt;/full-title&gt;&lt;/periodical&gt;&lt;pages&gt;1-16&lt;/pages&gt;&lt;volume&gt;92&lt;/volume&gt;&lt;dates&gt;&lt;year&gt;2022&lt;/year&gt;&lt;pub-dates&gt;&lt;date&gt;07/27&lt;/date&gt;&lt;/pub-dates&gt;&lt;/dates&gt;&lt;urls&gt;&lt;/urls&gt;&lt;electronic-resource-num&gt;10.1080/00377317.2022.2104778&lt;/electronic-resource-num&gt;&lt;/record&gt;&lt;/Cite&gt;&lt;/EndNote&gt;</w:instrText>
        </w:r>
        <w:r w:rsidR="002D6F18">
          <w:fldChar w:fldCharType="separate"/>
        </w:r>
        <w:r w:rsidR="002D6F18" w:rsidRPr="00C559B5">
          <w:rPr>
            <w:noProof/>
            <w:vertAlign w:val="superscript"/>
          </w:rPr>
          <w:t>207</w:t>
        </w:r>
        <w:r w:rsidR="002D6F18">
          <w:fldChar w:fldCharType="end"/>
        </w:r>
      </w:hyperlink>
      <w:r w:rsidRPr="00B768A1">
        <w:t xml:space="preserve"> </w:t>
      </w:r>
    </w:p>
    <w:p w14:paraId="309FB342" w14:textId="1514A057" w:rsidR="00FA01F3" w:rsidRPr="00B768A1" w:rsidRDefault="4940876B" w:rsidP="00634A83">
      <w:r w:rsidRPr="00B768A1">
        <w:t>There are promising service models</w:t>
      </w:r>
      <w:r w:rsidR="70BD2BDF">
        <w:t xml:space="preserve"> and</w:t>
      </w:r>
      <w:r w:rsidRPr="00B768A1">
        <w:t xml:space="preserve"> frameworks </w:t>
      </w:r>
      <w:r w:rsidR="019F6067" w:rsidRPr="00B768A1">
        <w:t xml:space="preserve">that can create an </w:t>
      </w:r>
      <w:r w:rsidRPr="00B768A1">
        <w:t xml:space="preserve">organisational culture of compassionate care </w:t>
      </w:r>
      <w:r w:rsidR="019F6067" w:rsidRPr="00B768A1">
        <w:t xml:space="preserve">for </w:t>
      </w:r>
      <w:r w:rsidRPr="00B768A1">
        <w:t>people experiencing suicidal thoughts and behaviours. Service models such as the Zero Suicide Framework help to create a systematic approach to suicide prevention and</w:t>
      </w:r>
      <w:r w:rsidR="7BC4D503" w:rsidRPr="00B768A1">
        <w:t xml:space="preserve"> </w:t>
      </w:r>
      <w:r w:rsidRPr="00B768A1">
        <w:t>quality improvement in the healthcare system.</w:t>
      </w:r>
      <w:hyperlink w:anchor="_ENREF_208" w:tooltip="C, 2018 #1053" w:history="1">
        <w:r w:rsidR="002D6F18">
          <w:fldChar w:fldCharType="begin"/>
        </w:r>
        <w:r w:rsidR="002D6F18">
          <w:instrText xml:space="preserve"> ADDIN EN.CITE &lt;EndNote&gt;&lt;Cite&gt;&lt;Author&gt;C&lt;/Author&gt;&lt;Year&gt;2018&lt;/Year&gt;&lt;RecNum&gt;1053&lt;/RecNum&gt;&lt;DisplayText&gt;&lt;style face="superscript"&gt;208&lt;/style&gt;&lt;/DisplayText&gt;&lt;record&gt;&lt;rec-number&gt;1053&lt;/rec-number&gt;&lt;foreign-keys&gt;&lt;key app="EN" db-id="rsettzd2isasdweewww55s9lffasxav0d0ft" timestamp="1720488570" guid="611cefae-b128-406b-a9af-3dcb13474d94"&gt;1053&lt;/key&gt;&lt;/foreign-keys&gt;&lt;ref-type name="Journal Article"&gt;17&lt;/ref-type&gt;&lt;contributors&gt;&lt;authors&gt;&lt;author&gt;Labouliere C&lt;/author&gt;&lt;author&gt;Vasan P&lt;/author&gt;&lt;author&gt;Kramer A&lt;/author&gt;&lt;author&gt;Brown G&lt;/author&gt;&lt;author&gt;Green K&lt;/author&gt;&lt;author&gt;Rahman M&lt;/author&gt;&lt;author&gt;Kammer J&lt;/author&gt;&lt;author&gt;Finnerty M&lt;/author&gt;&lt;author&gt;Stanley B&lt;/author&gt;&lt;/authors&gt;&lt;/contributors&gt;&lt;titles&gt;&lt;title&gt;Zero Suicide: A model for reducing suicide in United States behavioral healthcare&lt;/title&gt;&lt;secondary-title&gt;Suicidologi&lt;/secondary-title&gt;&lt;/titles&gt;&lt;periodical&gt;&lt;full-title&gt;Suicidologi&lt;/full-title&gt;&lt;/periodical&gt;&lt;volume&gt;23&lt;/volume&gt;&lt;dates&gt;&lt;year&gt;2018&lt;/year&gt;&lt;pub-dates&gt;&lt;date&gt;04/11&lt;/date&gt;&lt;/pub-dates&gt;&lt;/dates&gt;&lt;urls&gt;&lt;/urls&gt;&lt;electronic-resource-num&gt;10.5617/suicidologi.6198&lt;/electronic-resource-num&gt;&lt;/record&gt;&lt;/Cite&gt;&lt;/EndNote&gt;</w:instrText>
        </w:r>
        <w:r w:rsidR="002D6F18">
          <w:fldChar w:fldCharType="separate"/>
        </w:r>
        <w:r w:rsidR="002D6F18" w:rsidRPr="00C559B5">
          <w:rPr>
            <w:noProof/>
            <w:vertAlign w:val="superscript"/>
          </w:rPr>
          <w:t>208</w:t>
        </w:r>
        <w:r w:rsidR="002D6F18">
          <w:fldChar w:fldCharType="end"/>
        </w:r>
      </w:hyperlink>
      <w:r w:rsidRPr="00B768A1">
        <w:t xml:space="preserve"> </w:t>
      </w:r>
      <w:r w:rsidR="37E9B2AD" w:rsidRPr="00B768A1">
        <w:t xml:space="preserve">A </w:t>
      </w:r>
      <w:r w:rsidRPr="00B768A1">
        <w:t xml:space="preserve">key element is </w:t>
      </w:r>
      <w:r w:rsidR="3C1C01F4" w:rsidRPr="00B768A1">
        <w:t xml:space="preserve">the introduction of </w:t>
      </w:r>
      <w:r w:rsidRPr="00B768A1">
        <w:t xml:space="preserve">a restorative just </w:t>
      </w:r>
      <w:r w:rsidR="202C7931" w:rsidRPr="00B768A1">
        <w:t>and learning culture</w:t>
      </w:r>
      <w:r w:rsidRPr="00B768A1">
        <w:t>, which focus</w:t>
      </w:r>
      <w:r w:rsidR="594859E8" w:rsidRPr="00B768A1">
        <w:t>es</w:t>
      </w:r>
      <w:r w:rsidRPr="00B768A1">
        <w:t xml:space="preserve"> on </w:t>
      </w:r>
      <w:r w:rsidR="673197E5" w:rsidRPr="00B768A1">
        <w:t xml:space="preserve">learning from </w:t>
      </w:r>
      <w:r w:rsidRPr="00B768A1">
        <w:t>critical incidents</w:t>
      </w:r>
      <w:r w:rsidRPr="00B768A1" w:rsidDel="00E93E8C">
        <w:t xml:space="preserve"> </w:t>
      </w:r>
      <w:r w:rsidR="172FE53A" w:rsidRPr="00B768A1">
        <w:t xml:space="preserve">to improve </w:t>
      </w:r>
      <w:r w:rsidR="67D3645C" w:rsidRPr="00B768A1">
        <w:t>outcomes</w:t>
      </w:r>
      <w:r w:rsidR="01368C7B">
        <w:t xml:space="preserve"> </w:t>
      </w:r>
      <w:r w:rsidR="2E88E9F0" w:rsidRPr="00B768A1">
        <w:t>(</w:t>
      </w:r>
      <w:r w:rsidR="681FEB7C">
        <w:t>action ko</w:t>
      </w:r>
      <w:r w:rsidR="19EA7262">
        <w:t>6</w:t>
      </w:r>
      <w:r w:rsidR="2E88E9F0" w:rsidRPr="00B768A1">
        <w:t>.</w:t>
      </w:r>
      <w:r w:rsidR="1139DC2F">
        <w:t>4</w:t>
      </w:r>
      <w:r w:rsidR="6FFD107D">
        <w:t>a</w:t>
      </w:r>
      <w:r w:rsidR="2E88E9F0" w:rsidRPr="00B768A1">
        <w:t xml:space="preserve">). </w:t>
      </w:r>
      <w:r w:rsidR="673197E5" w:rsidRPr="00B768A1">
        <w:t>A</w:t>
      </w:r>
      <w:r w:rsidR="2E88E9F0" w:rsidRPr="00B768A1">
        <w:t xml:space="preserve"> </w:t>
      </w:r>
      <w:r w:rsidRPr="00B768A1">
        <w:t xml:space="preserve">restorative just </w:t>
      </w:r>
      <w:r w:rsidR="0255CBFE" w:rsidRPr="00B768A1">
        <w:t>and learning</w:t>
      </w:r>
      <w:r w:rsidRPr="00B768A1">
        <w:t xml:space="preserve"> culture </w:t>
      </w:r>
      <w:r w:rsidR="0B301326" w:rsidRPr="00B768A1">
        <w:t>creates</w:t>
      </w:r>
      <w:r w:rsidR="0EFA7937" w:rsidRPr="00B768A1">
        <w:t xml:space="preserve"> </w:t>
      </w:r>
      <w:r w:rsidRPr="00B768A1">
        <w:t>organisation</w:t>
      </w:r>
      <w:r w:rsidR="0B301326" w:rsidRPr="00B768A1">
        <w:t>al environment</w:t>
      </w:r>
      <w:r w:rsidRPr="00B768A1">
        <w:t xml:space="preserve">s </w:t>
      </w:r>
      <w:r w:rsidR="0B301326" w:rsidRPr="00B768A1">
        <w:t xml:space="preserve">with </w:t>
      </w:r>
      <w:r w:rsidRPr="00B768A1">
        <w:t xml:space="preserve">high psychological safety and trust, and more flexibility </w:t>
      </w:r>
      <w:r w:rsidR="7C630D1C" w:rsidRPr="00B768A1">
        <w:t xml:space="preserve">in </w:t>
      </w:r>
      <w:r w:rsidRPr="00B768A1">
        <w:t>respond</w:t>
      </w:r>
      <w:r w:rsidR="7C630D1C" w:rsidRPr="00B768A1">
        <w:t>ing</w:t>
      </w:r>
      <w:r w:rsidRPr="00B768A1">
        <w:t xml:space="preserve"> to people presenting with suicidal thoughts and behaviours. This leads to capable and motivated staff</w:t>
      </w:r>
      <w:r w:rsidR="299D1F08" w:rsidRPr="00B768A1">
        <w:t>, for example, mental health nurses, social workers, psychologists and psychiatrists,</w:t>
      </w:r>
      <w:r w:rsidRPr="00B768A1">
        <w:t xml:space="preserve"> who are supported to deliver high</w:t>
      </w:r>
      <w:r w:rsidR="7C630D1C" w:rsidRPr="00B768A1">
        <w:t>-</w:t>
      </w:r>
      <w:r w:rsidRPr="00B768A1">
        <w:t>quality care.</w:t>
      </w:r>
      <w:hyperlink w:anchor="_ENREF_209" w:tooltip="Commission, 2023 #1089" w:history="1">
        <w:r w:rsidR="002D6F18">
          <w:fldChar w:fldCharType="begin"/>
        </w:r>
        <w:r w:rsidR="002D6F18">
          <w:instrText xml:space="preserve"> ADDIN EN.CITE &lt;EndNote&gt;&lt;Cite&gt;&lt;Author&gt;Commission&lt;/Author&gt;&lt;Year&gt;2023&lt;/Year&gt;&lt;RecNum&gt;1089&lt;/RecNum&gt;&lt;DisplayText&gt;&lt;style face="superscript"&gt;209&lt;/style&gt;&lt;/DisplayText&gt;&lt;record&gt;&lt;rec-number&gt;1089&lt;/rec-number&gt;&lt;foreign-keys&gt;&lt;key app="EN" db-id="rsettzd2isasdweewww55s9lffasxav0d0ft" timestamp="1720502056" guid="4bdf174e-304e-45b6-8d24-518016a1eb8a"&gt;1089&lt;/key&gt;&lt;/foreign-keys&gt;&lt;ref-type name="Web Page"&gt;12&lt;/ref-type&gt;&lt;contributors&gt;&lt;authors&gt;&lt;author&gt;Clinical Excellence Commission&lt;/author&gt;&lt;/authors&gt;&lt;/contributors&gt;&lt;titles&gt;&lt;title&gt;Guide to co-developing a restorative just and learning culture&lt;/title&gt;&lt;/titles&gt;&lt;dates&gt;&lt;year&gt;2023&lt;/year&gt;&lt;/dates&gt;&lt;publisher&gt;NSW Government &lt;/publisher&gt;&lt;urls&gt;&lt;related-urls&gt;&lt;url&gt;https://www.cec.health.nsw.gov.au/__data/assets/pdf_file/0008/891728/GUIDE-Co-developing-RJLC_Rev-1_-30_June-2023.pdf&lt;/url&gt;&lt;/related-urls&gt;&lt;/urls&gt;&lt;/record&gt;&lt;/Cite&gt;&lt;/EndNote&gt;</w:instrText>
        </w:r>
        <w:r w:rsidR="002D6F18">
          <w:fldChar w:fldCharType="separate"/>
        </w:r>
        <w:r w:rsidR="002D6F18" w:rsidRPr="00C559B5">
          <w:rPr>
            <w:noProof/>
            <w:vertAlign w:val="superscript"/>
          </w:rPr>
          <w:t>209</w:t>
        </w:r>
        <w:r w:rsidR="002D6F18">
          <w:fldChar w:fldCharType="end"/>
        </w:r>
      </w:hyperlink>
    </w:p>
    <w:p w14:paraId="79ACB647" w14:textId="6B14F690" w:rsidR="00FA01F3" w:rsidRPr="00A771EF" w:rsidRDefault="7A4671F6" w:rsidP="00634A83">
      <w:pPr>
        <w:rPr>
          <w:rStyle w:val="EndnoteReference"/>
        </w:rPr>
      </w:pPr>
      <w:r w:rsidRPr="00A771EF">
        <w:t>Restrictive practices, such as involuntary treatment, seclusion or restraint, are sometimes used in the care of people with suicidal thoughts and behaviours.</w:t>
      </w:r>
      <w:r w:rsidRPr="00A771EF">
        <w:rPr>
          <w:sz w:val="18"/>
          <w:szCs w:val="18"/>
        </w:rPr>
        <w:t xml:space="preserve"> </w:t>
      </w:r>
      <w:r w:rsidR="7982C6E7" w:rsidRPr="00A771EF">
        <w:t>There is mixed evidence about the harms versus the benefits of involuntary treatment for people experiencing suicidal thoughts and behaviours, and this warrants further investigation.</w:t>
      </w:r>
      <w:hyperlink w:anchor="_ENREF_210" w:tooltip="A, 2019 #245" w:history="1">
        <w:r w:rsidR="002D6F18" w:rsidRPr="000C2C0A">
          <w:rPr>
            <w:vertAlign w:val="superscript"/>
          </w:rPr>
          <w:fldChar w:fldCharType="begin"/>
        </w:r>
        <w:r w:rsidR="002D6F18">
          <w:rPr>
            <w:vertAlign w:val="superscript"/>
          </w:rPr>
          <w:instrText xml:space="preserve"> ADDIN EN.CITE &lt;EndNote&gt;&lt;Cite&gt;&lt;Author&gt;A&lt;/Author&gt;&lt;Year&gt;2019&lt;/Year&gt;&lt;RecNum&gt;245&lt;/RecNum&gt;&lt;DisplayText&gt;&lt;style face="superscript"&gt;210&lt;/style&gt;&lt;/DisplayText&gt;&lt;record&gt;&lt;rec-number&gt;245&lt;/rec-number&gt;&lt;foreign-keys&gt;&lt;key app="EN" db-id="rsettzd2isasdweewww55s9lffasxav0d0ft" timestamp="1700699470" guid="f28d2e14-b933-4858-9298-16a08303cdb6"&gt;245&lt;/key&gt;&lt;/foreign-keys&gt;&lt;ref-type name="Journal Article"&gt;17&lt;/ref-type&gt;&lt;contributors&gt;&lt;authors&gt;&lt;author&gt;Borecky A&lt;/author&gt;&lt;author&gt;Thomsen C&lt;/author&gt;&lt;author&gt;Dubov A&lt;/author&gt;&lt;/authors&gt;&lt;/contributors&gt;&lt;titles&gt;&lt;title&gt;Reweighing the Ethical Tradeoffs in the Involuntary Hospitalization of Suicidal Patients&lt;/title&gt;&lt;secondary-title&gt;The American Journal of Bioethics&lt;/secondary-title&gt;&lt;/titles&gt;&lt;periodical&gt;&lt;full-title&gt;The American Journal of Bioethics&lt;/full-title&gt;&lt;/periodical&gt;&lt;dates&gt;&lt;year&gt;2019&lt;/year&gt;&lt;/dates&gt;&lt;urls&gt;&lt;/urls&gt;&lt;electronic-resource-num&gt;DOI: 10.1080/15265161.2019.1654557&lt;/electronic-resource-num&gt;&lt;/record&gt;&lt;/Cite&gt;&lt;/EndNote&gt;</w:instrText>
        </w:r>
        <w:r w:rsidR="002D6F18" w:rsidRPr="000C2C0A">
          <w:rPr>
            <w:vertAlign w:val="superscript"/>
          </w:rPr>
          <w:fldChar w:fldCharType="separate"/>
        </w:r>
        <w:r w:rsidR="002D6F18">
          <w:rPr>
            <w:noProof/>
            <w:vertAlign w:val="superscript"/>
          </w:rPr>
          <w:t>210</w:t>
        </w:r>
        <w:r w:rsidR="002D6F18" w:rsidRPr="000C2C0A">
          <w:rPr>
            <w:vertAlign w:val="superscript"/>
          </w:rPr>
          <w:fldChar w:fldCharType="end"/>
        </w:r>
      </w:hyperlink>
      <w:r w:rsidR="000C2C0A" w:rsidRPr="000C2C0A">
        <w:rPr>
          <w:vertAlign w:val="superscript"/>
        </w:rPr>
        <w:t>,</w:t>
      </w:r>
      <w:hyperlink w:anchor="_ENREF_211" w:tooltip="MM, 2018 #246" w:history="1">
        <w:r w:rsidR="002D6F18" w:rsidRPr="000C2C0A">
          <w:rPr>
            <w:vertAlign w:val="superscript"/>
          </w:rPr>
          <w:fldChar w:fldCharType="begin"/>
        </w:r>
        <w:r w:rsidR="002D6F18">
          <w:rPr>
            <w:vertAlign w:val="superscript"/>
          </w:rPr>
          <w:instrText xml:space="preserve"> ADDIN EN.CITE &lt;EndNote&gt;&lt;Cite&gt;&lt;Author&gt;MM&lt;/Author&gt;&lt;Year&gt;2018&lt;/Year&gt;&lt;RecNum&gt;246&lt;/RecNum&gt;&lt;DisplayText&gt;&lt;style face="superscript"&gt;211&lt;/style&gt;&lt;/DisplayText&gt;&lt;record&gt;&lt;rec-number&gt;246&lt;/rec-number&gt;&lt;foreign-keys&gt;&lt;key app="EN" db-id="rsettzd2isasdweewww55s9lffasxav0d0ft" timestamp="1700699470" guid="dd00ea34-cb88-4bc9-ad80-0f1d1906e0e8"&gt;246&lt;/key&gt;&lt;/foreign-keys&gt;&lt;ref-type name="Journal Article"&gt;17&lt;/ref-type&gt;&lt;contributors&gt;&lt;authors&gt;&lt;author&gt;Large MM&lt;/author&gt;&lt;author&gt;Kapur N&lt;/author&gt;&lt;/authors&gt;&lt;/contributors&gt;&lt;titles&gt;&lt;title&gt;Psychiatric Hospitalisation and the Risk of Suicide&lt;/title&gt;&lt;secondary-title&gt;The British Journal of Psychiatry&lt;/secondary-title&gt;&lt;/titles&gt;&lt;periodical&gt;&lt;full-title&gt;The British Journal of Psychiatry&lt;/full-title&gt;&lt;/periodical&gt;&lt;dates&gt;&lt;year&gt;2018&lt;/year&gt;&lt;/dates&gt;&lt;urls&gt;&lt;/urls&gt;&lt;electronic-resource-num&gt;DOI: 10.1192/bjp.2018.22&lt;/electronic-resource-num&gt;&lt;/record&gt;&lt;/Cite&gt;&lt;/EndNote&gt;</w:instrText>
        </w:r>
        <w:r w:rsidR="002D6F18" w:rsidRPr="000C2C0A">
          <w:rPr>
            <w:vertAlign w:val="superscript"/>
          </w:rPr>
          <w:fldChar w:fldCharType="separate"/>
        </w:r>
        <w:r w:rsidR="002D6F18">
          <w:rPr>
            <w:noProof/>
            <w:vertAlign w:val="superscript"/>
          </w:rPr>
          <w:t>211</w:t>
        </w:r>
        <w:r w:rsidR="002D6F18" w:rsidRPr="000C2C0A">
          <w:rPr>
            <w:vertAlign w:val="superscript"/>
          </w:rPr>
          <w:fldChar w:fldCharType="end"/>
        </w:r>
      </w:hyperlink>
      <w:r w:rsidR="000C2C0A" w:rsidRPr="000C2C0A">
        <w:rPr>
          <w:vertAlign w:val="superscript"/>
        </w:rPr>
        <w:t>,</w:t>
      </w:r>
      <w:hyperlink w:anchor="_ENREF_212" w:tooltip="DWL, 2017 #737" w:history="1">
        <w:r w:rsidR="002D6F18" w:rsidRPr="000C2C0A">
          <w:rPr>
            <w:vertAlign w:val="superscript"/>
          </w:rPr>
          <w:fldChar w:fldCharType="begin"/>
        </w:r>
        <w:r w:rsidR="002D6F18">
          <w:rPr>
            <w:vertAlign w:val="superscript"/>
          </w:rPr>
          <w:instrText xml:space="preserve"> ADDIN EN.CITE &lt;EndNote&gt;&lt;Cite&gt;&lt;Author&gt;DWL&lt;/Author&gt;&lt;Year&gt;2017&lt;/Year&gt;&lt;RecNum&gt;737&lt;/RecNum&gt;&lt;DisplayText&gt;&lt;style face="superscript"&gt;212&lt;/style&gt;&lt;/DisplayText&gt;&lt;record&gt;&lt;rec-number&gt;737&lt;/rec-number&gt;&lt;foreign-keys&gt;&lt;key app="EN" db-id="rsettzd2isasdweewww55s9lffasxav0d0ft" timestamp="1707862925" guid="6b1bd068-fcea-4a4e-a1a8-9b7480b07ffa"&gt;737&lt;/key&gt;&lt;/foreign-keys&gt;&lt;ref-type name="Journal Article"&gt;17&lt;/ref-type&gt;&lt;contributors&gt;&lt;authors&gt;&lt;author&gt;Wang DWL&lt;/author&gt;&lt;author&gt;Colucci E&lt;/author&gt;&lt;/authors&gt;&lt;/contributors&gt;&lt;titles&gt;&lt;title&gt;Should Compulsory Admission to Hospital be Part of Suicide Prevention Strategies?&lt;/title&gt;&lt;secondary-title&gt;BJPsych Bulletin&lt;/secondary-title&gt;&lt;/titles&gt;&lt;periodical&gt;&lt;full-title&gt;BJPsych Bulletin&lt;/full-title&gt;&lt;/periodical&gt;&lt;dates&gt;&lt;year&gt;2017&lt;/year&gt;&lt;/dates&gt;&lt;urls&gt;&lt;/urls&gt;&lt;electronic-resource-num&gt;https://doi.org/10.1192/pb.bp.116.055699&lt;/electronic-resource-num&gt;&lt;/record&gt;&lt;/Cite&gt;&lt;/EndNote&gt;</w:instrText>
        </w:r>
        <w:r w:rsidR="002D6F18" w:rsidRPr="000C2C0A">
          <w:rPr>
            <w:vertAlign w:val="superscript"/>
          </w:rPr>
          <w:fldChar w:fldCharType="separate"/>
        </w:r>
        <w:r w:rsidR="002D6F18">
          <w:rPr>
            <w:noProof/>
            <w:vertAlign w:val="superscript"/>
          </w:rPr>
          <w:t>212</w:t>
        </w:r>
        <w:r w:rsidR="002D6F18" w:rsidRPr="000C2C0A">
          <w:rPr>
            <w:vertAlign w:val="superscript"/>
          </w:rPr>
          <w:fldChar w:fldCharType="end"/>
        </w:r>
      </w:hyperlink>
      <w:r w:rsidR="000C2C0A">
        <w:t xml:space="preserve"> </w:t>
      </w:r>
      <w:r w:rsidR="3850A662" w:rsidRPr="00A771EF">
        <w:t>As</w:t>
      </w:r>
      <w:r w:rsidR="084FF8AD" w:rsidRPr="00A771EF">
        <w:t xml:space="preserve"> </w:t>
      </w:r>
      <w:r w:rsidR="3124A673" w:rsidRPr="00A771EF">
        <w:t xml:space="preserve">current </w:t>
      </w:r>
      <w:r w:rsidR="084FF8AD" w:rsidRPr="00A771EF">
        <w:t xml:space="preserve">publicly available reporting does not include details about </w:t>
      </w:r>
      <w:r w:rsidR="20A6EC3E" w:rsidRPr="00A771EF">
        <w:t>whether</w:t>
      </w:r>
      <w:r w:rsidR="084FF8AD" w:rsidRPr="00A771EF">
        <w:t xml:space="preserve"> </w:t>
      </w:r>
      <w:r w:rsidR="5695534E" w:rsidRPr="00A771EF">
        <w:t xml:space="preserve">involuntary treatment </w:t>
      </w:r>
      <w:r w:rsidR="084FF8AD" w:rsidRPr="00A771EF">
        <w:t xml:space="preserve">orders are used </w:t>
      </w:r>
      <w:r w:rsidR="20A6EC3E" w:rsidRPr="00A771EF">
        <w:t>in relation to</w:t>
      </w:r>
      <w:r w:rsidR="084FF8AD" w:rsidRPr="00A771EF">
        <w:t xml:space="preserve"> expressed suicidal intent</w:t>
      </w:r>
      <w:r w:rsidR="4940876B" w:rsidRPr="00A771EF">
        <w:t xml:space="preserve">, there is a need to </w:t>
      </w:r>
      <w:r w:rsidR="084FF8AD" w:rsidRPr="00A771EF">
        <w:t xml:space="preserve">better </w:t>
      </w:r>
      <w:r w:rsidR="4940876B" w:rsidRPr="00A771EF">
        <w:t xml:space="preserve">understand current practice </w:t>
      </w:r>
      <w:r w:rsidR="0B1361C2" w:rsidRPr="00A771EF">
        <w:rPr>
          <w:rFonts w:eastAsia="Century Gothic"/>
        </w:rPr>
        <w:t xml:space="preserve">to ensure people experiencing suicidal thoughts and behaviours receive compassionate care that is least restrictive </w:t>
      </w:r>
      <w:r w:rsidR="31FA9081" w:rsidRPr="00A771EF">
        <w:t>(</w:t>
      </w:r>
      <w:r w:rsidR="681FEB7C" w:rsidRPr="00A771EF">
        <w:t>action ko</w:t>
      </w:r>
      <w:r w:rsidR="408E65E9" w:rsidRPr="00A771EF">
        <w:t>6</w:t>
      </w:r>
      <w:r w:rsidR="31FA9081" w:rsidRPr="00A771EF">
        <w:t>.</w:t>
      </w:r>
      <w:r w:rsidR="1139DC2F" w:rsidRPr="00A771EF">
        <w:t>4</w:t>
      </w:r>
      <w:r w:rsidR="31FA9081" w:rsidRPr="00A771EF">
        <w:t>b)</w:t>
      </w:r>
      <w:r w:rsidR="4940876B" w:rsidRPr="00A771EF">
        <w:t xml:space="preserve">. </w:t>
      </w:r>
    </w:p>
    <w:p w14:paraId="5E4CAC6D" w14:textId="438A6D1F" w:rsidR="000E46DF" w:rsidRDefault="000E46DF" w:rsidP="00634A83">
      <w:r w:rsidRPr="00A771EF">
        <w:t xml:space="preserve">The recommended actions to </w:t>
      </w:r>
      <w:r w:rsidR="009E274E">
        <w:t>ensure trauma-informed and empathetic responses</w:t>
      </w:r>
      <w:r w:rsidR="009E274E" w:rsidRPr="00A771EF">
        <w:t xml:space="preserve"> </w:t>
      </w:r>
      <w:r w:rsidRPr="00A771EF">
        <w:t>are described in</w:t>
      </w:r>
      <w:r w:rsidR="00C146BA">
        <w:t xml:space="preserve"> </w:t>
      </w:r>
      <w:r w:rsidR="00C146BA">
        <w:fldChar w:fldCharType="begin"/>
      </w:r>
      <w:r w:rsidR="00C146BA">
        <w:instrText xml:space="preserve"> REF _Ref164869917 \h </w:instrText>
      </w:r>
      <w:r w:rsidR="00C146BA">
        <w:fldChar w:fldCharType="separate"/>
      </w:r>
      <w:r w:rsidR="009F12B4">
        <w:t xml:space="preserve">Table </w:t>
      </w:r>
      <w:r w:rsidR="009F12B4">
        <w:rPr>
          <w:noProof/>
        </w:rPr>
        <w:t>18</w:t>
      </w:r>
      <w:r w:rsidR="00C146BA">
        <w:fldChar w:fldCharType="end"/>
      </w:r>
      <w:r w:rsidRPr="00A771EF">
        <w:t>.</w:t>
      </w:r>
    </w:p>
    <w:p w14:paraId="5FA9283A" w14:textId="2CC4C714" w:rsidR="00D02231" w:rsidRPr="00DE14DA" w:rsidRDefault="00D02231" w:rsidP="00634A83">
      <w:pPr>
        <w:pStyle w:val="BT-Beigebox-Heading"/>
      </w:pPr>
      <w:r w:rsidRPr="00DE14DA">
        <w:t>Activity to build on</w:t>
      </w:r>
    </w:p>
    <w:p w14:paraId="6D8820D2" w14:textId="55DEE5E7" w:rsidR="00D02231" w:rsidRDefault="6CB4B878" w:rsidP="00634A83">
      <w:pPr>
        <w:pStyle w:val="BT-Beigebox"/>
      </w:pPr>
      <w:r w:rsidRPr="00B768A1">
        <w:t xml:space="preserve">Gold Coast Mental Health </w:t>
      </w:r>
      <w:r w:rsidR="18F58673" w:rsidRPr="00B768A1">
        <w:t xml:space="preserve">and </w:t>
      </w:r>
      <w:r w:rsidRPr="00B768A1">
        <w:t>Specialist Service</w:t>
      </w:r>
      <w:r w:rsidR="7B424F80" w:rsidRPr="00B768A1">
        <w:t>s</w:t>
      </w:r>
      <w:r w:rsidRPr="00B768A1">
        <w:t xml:space="preserve"> implemented the principles of </w:t>
      </w:r>
      <w:r w:rsidR="77968A80" w:rsidRPr="00B768A1">
        <w:t>r</w:t>
      </w:r>
      <w:r w:rsidRPr="00B768A1">
        <w:t xml:space="preserve">estorative </w:t>
      </w:r>
      <w:r w:rsidR="77968A80" w:rsidRPr="00B768A1">
        <w:t>j</w:t>
      </w:r>
      <w:r w:rsidRPr="00B768A1">
        <w:t xml:space="preserve">ust </w:t>
      </w:r>
      <w:r w:rsidR="77968A80" w:rsidRPr="00B768A1">
        <w:t>c</w:t>
      </w:r>
      <w:r w:rsidRPr="00B768A1">
        <w:t>ulture alongside the Zero Suicide Framework</w:t>
      </w:r>
      <w:hyperlink w:anchor="_ENREF_213" w:tooltip="MF, 2016 #952" w:history="1">
        <w:r w:rsidR="002D6F18">
          <w:fldChar w:fldCharType="begin"/>
        </w:r>
        <w:r w:rsidR="002D6F18">
          <w:instrText xml:space="preserve"> ADDIN EN.CITE &lt;EndNote&gt;&lt;Cite&gt;&lt;Author&gt;MF&lt;/Author&gt;&lt;Year&gt;2016&lt;/Year&gt;&lt;RecNum&gt;952&lt;/RecNum&gt;&lt;DisplayText&gt;&lt;style face="superscript"&gt;213&lt;/style&gt;&lt;/DisplayText&gt;&lt;record&gt;&lt;rec-number&gt;952&lt;/rec-number&gt;&lt;foreign-keys&gt;&lt;key app="EN" db-id="rsettzd2isasdweewww55s9lffasxav0d0ft" timestamp="1707862928" guid="621fa63b-1c58-4991-a22f-7d63c6ace84a"&gt;952&lt;/key&gt;&lt;/foreign-keys&gt;&lt;ref-type name="Journal Article"&gt;17&lt;/ref-type&gt;&lt;contributors&gt;&lt;authors&gt;&lt;author&gt;Hogan MF&lt;/author&gt;&lt;author&gt;Grumet JG&lt;/author&gt;&lt;/authors&gt;&lt;/contributors&gt;&lt;titles&gt;&lt;title&gt;Suicide Prevention: An Emerging Priority for Health Care&lt;/title&gt;&lt;secondary-title&gt;Health Affairs&lt;/secondary-title&gt;&lt;/titles&gt;&lt;periodical&gt;&lt;full-title&gt;Health Affairs&lt;/full-title&gt;&lt;/periodical&gt;&lt;dates&gt;&lt;year&gt;2016&lt;/year&gt;&lt;/dates&gt;&lt;urls&gt;&lt;/urls&gt;&lt;electronic-resource-num&gt;https://doi.org/10.1377/hlthaff.2015.1672&lt;/electronic-resource-num&gt;&lt;/record&gt;&lt;/Cite&gt;&lt;/EndNote&gt;</w:instrText>
        </w:r>
        <w:r w:rsidR="002D6F18">
          <w:fldChar w:fldCharType="separate"/>
        </w:r>
        <w:r w:rsidR="002D6F18" w:rsidRPr="00C559B5">
          <w:rPr>
            <w:noProof/>
            <w:vertAlign w:val="superscript"/>
          </w:rPr>
          <w:t>213</w:t>
        </w:r>
        <w:r w:rsidR="002D6F18">
          <w:fldChar w:fldCharType="end"/>
        </w:r>
      </w:hyperlink>
      <w:r w:rsidR="000C2C0A">
        <w:t xml:space="preserve"> </w:t>
      </w:r>
      <w:r w:rsidRPr="00B768A1">
        <w:t>in response to critical events. This</w:t>
      </w:r>
      <w:r w:rsidRPr="00B768A1" w:rsidDel="005C0B30">
        <w:t xml:space="preserve"> </w:t>
      </w:r>
      <w:r w:rsidRPr="00B768A1">
        <w:t xml:space="preserve">led to the culture change required to support learning and improved safety, </w:t>
      </w:r>
      <w:r w:rsidR="637BD55D" w:rsidRPr="00B768A1">
        <w:t xml:space="preserve">and </w:t>
      </w:r>
      <w:r w:rsidRPr="00B768A1">
        <w:t>more compassionate interactions through increased empathy and trust between service users, their families and staff.</w:t>
      </w:r>
      <w:hyperlink w:anchor="_ENREF_214" w:tooltip="K, 2020 #250" w:history="1">
        <w:r w:rsidR="002D6F18">
          <w:fldChar w:fldCharType="begin"/>
        </w:r>
        <w:r w:rsidR="002D6F18">
          <w:instrText xml:space="preserve"> ADDIN EN.CITE &lt;EndNote&gt;&lt;Cite&gt;&lt;Author&gt;K&lt;/Author&gt;&lt;Year&gt;2020&lt;/Year&gt;&lt;RecNum&gt;250&lt;/RecNum&gt;&lt;DisplayText&gt;&lt;style face="superscript"&gt;214&lt;/style&gt;&lt;/DisplayText&gt;&lt;record&gt;&lt;rec-number&gt;250&lt;/rec-number&gt;&lt;foreign-keys&gt;&lt;key app="EN" db-id="rsettzd2isasdweewww55s9lffasxav0d0ft" timestamp="1700699470" guid="d3fc4d09-be84-4670-b6d4-a4d7e08b2bfc"&gt;250&lt;/key&gt;&lt;/foreign-keys&gt;&lt;ref-type name="Journal Article"&gt;17&lt;/ref-type&gt;&lt;contributors&gt;&lt;authors&gt;&lt;author&gt;Turner K&lt;/author&gt;&lt;author&gt;Stapelberg NJC&lt;/author&gt;&lt;author&gt;Sveticic J&lt;/author&gt;&lt;author&gt;Dekker SWA&lt;/author&gt;&lt;/authors&gt;&lt;/contributors&gt;&lt;titles&gt;&lt;title&gt;Inconvenient Truths in Suicide Prevention: Why a Restorative Just Culture Should be Implemented Alongside a Zero Suicide Framework&lt;/title&gt;&lt;secondary-title&gt;Australian &amp;amp; New Zealand Journal of Psychiatry&lt;/secondary-title&gt;&lt;/titles&gt;&lt;periodical&gt;&lt;full-title&gt;Australian &amp;amp; New Zealand Journal of Psychiatry&lt;/full-title&gt;&lt;/periodical&gt;&lt;dates&gt;&lt;year&gt;2020&lt;/year&gt;&lt;/dates&gt;&lt;urls&gt;&lt;/urls&gt;&lt;electronic-resource-num&gt;DOI: 10.1177/0004867420918659&lt;/electronic-resource-num&gt;&lt;/record&gt;&lt;/Cite&gt;&lt;/EndNote&gt;</w:instrText>
        </w:r>
        <w:r w:rsidR="002D6F18">
          <w:fldChar w:fldCharType="separate"/>
        </w:r>
        <w:r w:rsidR="002D6F18" w:rsidRPr="00C559B5">
          <w:rPr>
            <w:noProof/>
            <w:vertAlign w:val="superscript"/>
          </w:rPr>
          <w:t>214</w:t>
        </w:r>
        <w:r w:rsidR="002D6F18">
          <w:fldChar w:fldCharType="end"/>
        </w:r>
      </w:hyperlink>
    </w:p>
    <w:p w14:paraId="58DA300D" w14:textId="75A49466" w:rsidR="000E46DF" w:rsidRPr="00B768A1" w:rsidRDefault="3CF3BE48" w:rsidP="00745B34">
      <w:pPr>
        <w:pStyle w:val="Caption"/>
      </w:pPr>
      <w:bookmarkStart w:id="93" w:name="_Ref164869917"/>
      <w:r>
        <w:t>Table</w:t>
      </w:r>
      <w:r w:rsidR="1511D075">
        <w:t xml:space="preserve"> </w:t>
      </w:r>
      <w:r w:rsidR="000E46DF" w:rsidRPr="48215A0F">
        <w:fldChar w:fldCharType="begin"/>
      </w:r>
      <w:r w:rsidR="000E46DF">
        <w:instrText>SEQ Table \* ARABIC  \* MERGEFORMAT</w:instrText>
      </w:r>
      <w:r w:rsidR="000E46DF" w:rsidRPr="48215A0F">
        <w:fldChar w:fldCharType="separate"/>
      </w:r>
      <w:r w:rsidR="009F12B4">
        <w:rPr>
          <w:noProof/>
        </w:rPr>
        <w:t>18</w:t>
      </w:r>
      <w:r w:rsidR="000E46DF" w:rsidRPr="48215A0F">
        <w:rPr>
          <w:noProof/>
        </w:rPr>
        <w:fldChar w:fldCharType="end"/>
      </w:r>
      <w:bookmarkEnd w:id="93"/>
      <w:r>
        <w:t xml:space="preserve">: Recommended actions for Support objective </w:t>
      </w:r>
      <w:r w:rsidR="66825EE1">
        <w:t>6</w:t>
      </w:r>
      <w:r>
        <w:t>.</w:t>
      </w:r>
      <w:r w:rsidR="7751E174">
        <w:t>4</w:t>
      </w:r>
      <w:r>
        <w:t xml:space="preserve">: </w:t>
      </w:r>
      <w:r w:rsidR="125CCCA7">
        <w:t>T</w:t>
      </w:r>
      <w:r>
        <w:t>rauma-informed and empathetic responses</w:t>
      </w:r>
    </w:p>
    <w:tbl>
      <w:tblPr>
        <w:tblStyle w:val="TableGrid"/>
        <w:tblW w:w="5000" w:type="pct"/>
        <w:tblLayout w:type="fixed"/>
        <w:tblLook w:val="0420" w:firstRow="1" w:lastRow="0" w:firstColumn="0" w:lastColumn="0" w:noHBand="0" w:noVBand="1"/>
        <w:tblCaption w:val="Recommended actions for Support objective 3.3: Organisational cultures that facilitate trauma-informed and empathetic responses to distress"/>
        <w:tblDescription w:val="Describes actions ko3.3a and ko3.3b.&#10;"/>
      </w:tblPr>
      <w:tblGrid>
        <w:gridCol w:w="1253"/>
        <w:gridCol w:w="7808"/>
      </w:tblGrid>
      <w:tr w:rsidR="00D81ABA" w:rsidRPr="00DE14DA" w14:paraId="7CB31B8D" w14:textId="77777777" w:rsidTr="00D81ABA">
        <w:trPr>
          <w:cnfStyle w:val="100000000000" w:firstRow="1" w:lastRow="0" w:firstColumn="0" w:lastColumn="0" w:oddVBand="0" w:evenVBand="0" w:oddHBand="0" w:evenHBand="0" w:firstRowFirstColumn="0" w:firstRowLastColumn="0" w:lastRowFirstColumn="0" w:lastRowLastColumn="0"/>
          <w:tblHeader/>
        </w:trPr>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9782"/>
          </w:tcPr>
          <w:p w14:paraId="2A069150" w14:textId="02116DB0" w:rsidR="00D81ABA" w:rsidRPr="00DE14DA" w:rsidRDefault="00D81ABA" w:rsidP="004F5B0E">
            <w:pPr>
              <w:pStyle w:val="NMHCTableHeaderRow"/>
            </w:pPr>
            <w:r w:rsidRPr="00DE14DA">
              <w:t>Action</w:t>
            </w:r>
          </w:p>
        </w:tc>
        <w:tc>
          <w:tcPr>
            <w:tcW w:w="79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9782"/>
            <w:tcMar>
              <w:top w:w="28" w:type="dxa"/>
              <w:bottom w:w="28" w:type="dxa"/>
            </w:tcMar>
          </w:tcPr>
          <w:p w14:paraId="5901621C" w14:textId="065BCCE6" w:rsidR="00D81ABA" w:rsidRPr="00DE14DA" w:rsidRDefault="00D81ABA" w:rsidP="004F5B0E">
            <w:pPr>
              <w:pStyle w:val="NMHCTableHeaderRow"/>
            </w:pPr>
            <w:r w:rsidRPr="00DE14DA">
              <w:t>Recommended action</w:t>
            </w:r>
          </w:p>
        </w:tc>
      </w:tr>
      <w:tr w:rsidR="00D81ABA" w:rsidRPr="00B768A1" w14:paraId="6426146F" w14:textId="77777777" w:rsidTr="00D81ABA">
        <w:tc>
          <w:tcPr>
            <w:tcW w:w="1270" w:type="dxa"/>
            <w:tcBorders>
              <w:top w:val="single" w:sz="4" w:space="0" w:color="FFFFFF" w:themeColor="background1"/>
            </w:tcBorders>
          </w:tcPr>
          <w:p w14:paraId="1D171FD4" w14:textId="5463F507" w:rsidR="00D81ABA" w:rsidRPr="007838F0" w:rsidRDefault="00D81ABA" w:rsidP="00634A83">
            <w:r w:rsidRPr="1274FCB3">
              <w:t>ko6.</w:t>
            </w:r>
            <w:r>
              <w:t>4</w:t>
            </w:r>
            <w:r w:rsidRPr="1274FCB3">
              <w:t>a</w:t>
            </w:r>
          </w:p>
        </w:tc>
        <w:tc>
          <w:tcPr>
            <w:tcW w:w="7939" w:type="dxa"/>
            <w:tcBorders>
              <w:top w:val="single" w:sz="4" w:space="0" w:color="FFFFFF" w:themeColor="background1"/>
            </w:tcBorders>
            <w:tcMar>
              <w:top w:w="28" w:type="dxa"/>
              <w:bottom w:w="28" w:type="dxa"/>
            </w:tcMar>
          </w:tcPr>
          <w:p w14:paraId="25866492" w14:textId="30CD287D" w:rsidR="00D81ABA" w:rsidRPr="003D15D8" w:rsidRDefault="00D81ABA" w:rsidP="00634A83">
            <w:r w:rsidRPr="1274FCB3">
              <w:t>Require services that provide support to people experiencing suicidal thoughts and behaviours to work to implement</w:t>
            </w:r>
            <w:r w:rsidRPr="1274FCB3" w:rsidDel="00080155">
              <w:t xml:space="preserve"> a </w:t>
            </w:r>
            <w:r w:rsidRPr="1274FCB3">
              <w:t>restorative just and learning culture.</w:t>
            </w:r>
          </w:p>
        </w:tc>
      </w:tr>
      <w:tr w:rsidR="00D81ABA" w:rsidRPr="00B768A1" w14:paraId="24A832C6" w14:textId="77777777" w:rsidTr="00D81ABA">
        <w:tc>
          <w:tcPr>
            <w:tcW w:w="1270" w:type="dxa"/>
          </w:tcPr>
          <w:p w14:paraId="641647A3" w14:textId="19BC0295" w:rsidR="00D81ABA" w:rsidRPr="00B768A1" w:rsidRDefault="00D81ABA" w:rsidP="00634A83">
            <w:pPr>
              <w:rPr>
                <w:rFonts w:cstheme="minorBidi"/>
                <w:b/>
              </w:rPr>
            </w:pPr>
            <w:r>
              <w:t>ko6</w:t>
            </w:r>
            <w:r w:rsidRPr="00B768A1">
              <w:t>.</w:t>
            </w:r>
            <w:r>
              <w:t>4</w:t>
            </w:r>
            <w:r w:rsidRPr="00B768A1">
              <w:t>b</w:t>
            </w:r>
          </w:p>
        </w:tc>
        <w:tc>
          <w:tcPr>
            <w:tcW w:w="7939" w:type="dxa"/>
            <w:tcMar>
              <w:top w:w="28" w:type="dxa"/>
              <w:bottom w:w="28" w:type="dxa"/>
            </w:tcMar>
          </w:tcPr>
          <w:p w14:paraId="45C712CE" w14:textId="47613C10" w:rsidR="00D81ABA" w:rsidRPr="00B768A1" w:rsidRDefault="00D81ABA" w:rsidP="00634A83">
            <w:pPr>
              <w:rPr>
                <w:rFonts w:cstheme="minorBidi"/>
              </w:rPr>
            </w:pPr>
            <w:r w:rsidRPr="00B768A1">
              <w:t>Review and improve data collection on involuntary treatment orders to include details about when these orders are used due to concerns about suicidal intent, with a view to improving understanding of current practice.</w:t>
            </w:r>
          </w:p>
        </w:tc>
      </w:tr>
      <w:bookmarkEnd w:id="85"/>
      <w:bookmarkEnd w:id="86"/>
      <w:bookmarkEnd w:id="87"/>
    </w:tbl>
    <w:p w14:paraId="6C786519" w14:textId="77777777" w:rsidR="00682A5B" w:rsidRPr="00B768A1" w:rsidRDefault="00682A5B" w:rsidP="00634A83">
      <w:pPr>
        <w:sectPr w:rsidR="00682A5B" w:rsidRPr="00B768A1" w:rsidSect="00996915">
          <w:endnotePr>
            <w:numFmt w:val="decimal"/>
          </w:endnotePr>
          <w:pgSz w:w="11907" w:h="16839" w:code="9"/>
          <w:pgMar w:top="1418" w:right="1418" w:bottom="1418" w:left="1418" w:header="680" w:footer="85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p>
    <w:p w14:paraId="61CB5A8E" w14:textId="2D5F264A" w:rsidR="00682A5B" w:rsidRPr="00B768A1" w:rsidRDefault="002C26E1" w:rsidP="00D81ABA">
      <w:pPr>
        <w:pStyle w:val="heading2support"/>
        <w:rPr>
          <w:color w:val="307363"/>
        </w:rPr>
      </w:pPr>
      <w:bookmarkStart w:id="94" w:name="_Toc152082306"/>
      <w:bookmarkStart w:id="95" w:name="_Toc121396391"/>
      <w:bookmarkStart w:id="96" w:name="_Toc1724776720"/>
      <w:bookmarkStart w:id="97" w:name="_Toc171459033"/>
      <w:r>
        <w:rPr>
          <w:color w:val="307363"/>
        </w:rPr>
        <w:drawing>
          <wp:anchor distT="0" distB="0" distL="114300" distR="114300" simplePos="0" relativeHeight="251658255" behindDoc="1" locked="0" layoutInCell="1" allowOverlap="1" wp14:anchorId="117D5AEA" wp14:editId="75DFAEFC">
            <wp:simplePos x="0" y="0"/>
            <wp:positionH relativeFrom="margin">
              <wp:align>right</wp:align>
            </wp:positionH>
            <wp:positionV relativeFrom="paragraph">
              <wp:posOffset>0</wp:posOffset>
            </wp:positionV>
            <wp:extent cx="1393825" cy="899795"/>
            <wp:effectExtent l="0" t="0" r="0" b="0"/>
            <wp:wrapTight wrapText="bothSides">
              <wp:wrapPolygon edited="0">
                <wp:start x="0" y="0"/>
                <wp:lineTo x="0" y="21036"/>
                <wp:lineTo x="21256" y="21036"/>
                <wp:lineTo x="21256" y="0"/>
                <wp:lineTo x="0" y="0"/>
              </wp:wrapPolygon>
            </wp:wrapTight>
            <wp:docPr id="24" name="Picture 24" descr="Accessibility is Key objective 7 of the Strategy, within the domain of Support for people experiencing suicidal thoughts and behaviours, and those that care for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ccessibility is Key objective 7 of the Strategy, within the domain of Support for people experiencing suicidal thoughts and behaviours, and those that care for them. "/>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93825" cy="899795"/>
                    </a:xfrm>
                    <a:prstGeom prst="rect">
                      <a:avLst/>
                    </a:prstGeom>
                  </pic:spPr>
                </pic:pic>
              </a:graphicData>
            </a:graphic>
          </wp:anchor>
        </w:drawing>
      </w:r>
      <w:r w:rsidR="00682A5B" w:rsidRPr="50DFD766">
        <w:t xml:space="preserve">Key </w:t>
      </w:r>
      <w:r w:rsidR="004E0E51" w:rsidRPr="50DFD766">
        <w:t>o</w:t>
      </w:r>
      <w:r w:rsidR="00682A5B" w:rsidRPr="50DFD766">
        <w:t xml:space="preserve">bjective </w:t>
      </w:r>
      <w:r w:rsidR="7C3847DC" w:rsidRPr="44290042">
        <w:t>7</w:t>
      </w:r>
      <w:r w:rsidR="00682A5B" w:rsidRPr="50DFD766">
        <w:t>: Accessibility</w:t>
      </w:r>
      <w:bookmarkEnd w:id="94"/>
      <w:bookmarkEnd w:id="95"/>
      <w:bookmarkEnd w:id="96"/>
      <w:bookmarkEnd w:id="97"/>
    </w:p>
    <w:p w14:paraId="130E2C16" w14:textId="4CCE90A9" w:rsidR="00682A5B" w:rsidRPr="00B768A1" w:rsidRDefault="00682A5B" w:rsidP="00634A83">
      <w:bookmarkStart w:id="98" w:name="_Toc1139478962"/>
      <w:bookmarkStart w:id="99" w:name="_Toc142403293"/>
      <w:bookmarkStart w:id="100" w:name="_Toc142407468"/>
      <w:r>
        <w:t>Accessibility of</w:t>
      </w:r>
      <w:r w:rsidR="004B6363">
        <w:t xml:space="preserve"> services and </w:t>
      </w:r>
      <w:r>
        <w:t xml:space="preserve">supports </w:t>
      </w:r>
      <w:r w:rsidR="00F635D7">
        <w:t xml:space="preserve">across the continuum of care </w:t>
      </w:r>
      <w:r>
        <w:t>is cr</w:t>
      </w:r>
      <w:r w:rsidR="0A06A6D4">
        <w:t xml:space="preserve">ucial </w:t>
      </w:r>
      <w:r>
        <w:t>to suicide prevention</w:t>
      </w:r>
      <w:r w:rsidR="0008354C">
        <w:t>—</w:t>
      </w:r>
      <w:r>
        <w:t>it facilitates early engagement, ensures timely crisis response and supports sustained wellbeing.</w:t>
      </w:r>
    </w:p>
    <w:p w14:paraId="182B86C5" w14:textId="7BF8B293" w:rsidR="00682A5B" w:rsidRPr="00B768A1" w:rsidRDefault="478AB748" w:rsidP="00634A83">
      <w:r w:rsidRPr="00B768A1">
        <w:t>To achieve accessibility</w:t>
      </w:r>
      <w:r w:rsidR="6A0826EF">
        <w:t>,</w:t>
      </w:r>
      <w:r w:rsidR="31585F3A">
        <w:t xml:space="preserve"> </w:t>
      </w:r>
      <w:r w:rsidR="7F7CA10E">
        <w:t xml:space="preserve">required services should be </w:t>
      </w:r>
      <w:r w:rsidR="0EC89CEB">
        <w:t>easily</w:t>
      </w:r>
      <w:r w:rsidR="7F7CA10E">
        <w:t xml:space="preserve"> </w:t>
      </w:r>
      <w:r w:rsidR="0EC89CEB">
        <w:t xml:space="preserve">found and be readily </w:t>
      </w:r>
      <w:r w:rsidR="7F7CA10E">
        <w:t xml:space="preserve">available regardless of where a person lives, </w:t>
      </w:r>
      <w:r w:rsidR="59652679" w:rsidRPr="4623DBCA">
        <w:t>their support needs or their disability status or type</w:t>
      </w:r>
      <w:r w:rsidR="24CD48BD">
        <w:t xml:space="preserve">. </w:t>
      </w:r>
      <w:r w:rsidR="7B51E223">
        <w:t>S</w:t>
      </w:r>
      <w:r w:rsidR="65CEF948">
        <w:t xml:space="preserve">ervices </w:t>
      </w:r>
      <w:r w:rsidR="3605BDAC">
        <w:t xml:space="preserve">should be affordable, which may mean costs need to be reduced for </w:t>
      </w:r>
      <w:r w:rsidR="65CEF948">
        <w:t>some people</w:t>
      </w:r>
      <w:r w:rsidR="0613F6A0">
        <w:t xml:space="preserve">. In addition, </w:t>
      </w:r>
      <w:r w:rsidR="3605BDAC" w:rsidRPr="00133726">
        <w:t xml:space="preserve">supports should be delivered in a way </w:t>
      </w:r>
      <w:r w:rsidR="3605BDAC" w:rsidRPr="00B768A1">
        <w:t>that</w:t>
      </w:r>
      <w:r w:rsidR="3605BDAC" w:rsidRPr="00133726">
        <w:t xml:space="preserve"> is appropriate and acceptable, considering </w:t>
      </w:r>
      <w:r w:rsidR="1DB721AB" w:rsidRPr="00133726">
        <w:t xml:space="preserve">the intersectionality of </w:t>
      </w:r>
      <w:r w:rsidR="3605BDAC" w:rsidRPr="00133726">
        <w:t>people's culture, beliefs, identity</w:t>
      </w:r>
      <w:r w:rsidR="544D05AD" w:rsidRPr="00133726">
        <w:t xml:space="preserve">, ability </w:t>
      </w:r>
      <w:r w:rsidR="3605BDAC" w:rsidRPr="00133726">
        <w:t>and care needs</w:t>
      </w:r>
      <w:r w:rsidR="3605BDAC" w:rsidRPr="00B768A1">
        <w:t>.</w:t>
      </w:r>
      <w:hyperlink w:anchor="_ENREF_215" w:tooltip="J-F, 2013 #1040" w:history="1">
        <w:r w:rsidR="002D6F18">
          <w:fldChar w:fldCharType="begin"/>
        </w:r>
        <w:r w:rsidR="002D6F18">
          <w:instrText xml:space="preserve"> ADDIN EN.CITE &lt;EndNote&gt;&lt;Cite&gt;&lt;Author&gt;J-F&lt;/Author&gt;&lt;Year&gt;2013&lt;/Year&gt;&lt;RecNum&gt;1040&lt;/RecNum&gt;&lt;DisplayText&gt;&lt;style face="superscript"&gt;215&lt;/style&gt;&lt;/DisplayText&gt;&lt;record&gt;&lt;rec-number&gt;1040&lt;/rec-number&gt;&lt;foreign-keys&gt;&lt;key app="EN" db-id="rsettzd2isasdweewww55s9lffasxav0d0ft" timestamp="1720488516" guid="b9a42c5d-aebc-4e9b-a56d-2406a5c30ec0"&gt;1040&lt;/key&gt;&lt;/foreign-keys&gt;&lt;ref-type name="Journal Article"&gt;17&lt;/ref-type&gt;&lt;contributors&gt;&lt;authors&gt;&lt;author&gt;Levesque J-F&lt;/author&gt;&lt;author&gt;Harris M&lt;/author&gt;&lt;author&gt;Russell G&lt;/author&gt;&lt;/authors&gt;&lt;/contributors&gt;&lt;titles&gt;&lt;title&gt;Patient-centred access to health care: Conceptualising access at the interface of health systems and populations&lt;/title&gt;&lt;secondary-title&gt;International journal for equity in health&lt;/secondary-title&gt;&lt;/titles&gt;&lt;periodical&gt;&lt;full-title&gt;International Journal for Equity in Health&lt;/full-title&gt;&lt;/periodical&gt;&lt;pages&gt;18&lt;/pages&gt;&lt;volume&gt;12&lt;/volume&gt;&lt;dates&gt;&lt;year&gt;2013&lt;/year&gt;&lt;pub-dates&gt;&lt;date&gt;03/11&lt;/date&gt;&lt;/pub-dates&gt;&lt;/dates&gt;&lt;urls&gt;&lt;/urls&gt;&lt;electronic-resource-num&gt;10.1186/1475-9276-12-18&lt;/electronic-resource-num&gt;&lt;/record&gt;&lt;/Cite&gt;&lt;/EndNote&gt;</w:instrText>
        </w:r>
        <w:r w:rsidR="002D6F18">
          <w:fldChar w:fldCharType="separate"/>
        </w:r>
        <w:r w:rsidR="002D6F18" w:rsidRPr="00C559B5">
          <w:rPr>
            <w:noProof/>
            <w:vertAlign w:val="superscript"/>
          </w:rPr>
          <w:t>215</w:t>
        </w:r>
        <w:r w:rsidR="002D6F18">
          <w:fldChar w:fldCharType="end"/>
        </w:r>
      </w:hyperlink>
      <w:r w:rsidR="3605BDAC" w:rsidRPr="00B768A1">
        <w:t xml:space="preserve"> </w:t>
      </w:r>
    </w:p>
    <w:p w14:paraId="0ECC1A28" w14:textId="3B424D79" w:rsidR="00D64AA3" w:rsidRPr="00B768A1" w:rsidRDefault="00D64AA3" w:rsidP="00634A83">
      <w:pPr>
        <w:pStyle w:val="BT-Livedexperience-Green-Heading"/>
      </w:pPr>
      <w:r w:rsidRPr="00B768A1">
        <w:t xml:space="preserve">What </w:t>
      </w:r>
      <w:r w:rsidR="00DE14DA">
        <w:t>do</w:t>
      </w:r>
      <w:r w:rsidR="00DE14DA" w:rsidRPr="00B768A1">
        <w:t xml:space="preserve"> </w:t>
      </w:r>
      <w:r w:rsidRPr="00B768A1">
        <w:t xml:space="preserve">we </w:t>
      </w:r>
      <w:r w:rsidR="00DE14DA">
        <w:t xml:space="preserve">need </w:t>
      </w:r>
      <w:r w:rsidRPr="00B768A1">
        <w:t xml:space="preserve">to achieve? </w:t>
      </w:r>
    </w:p>
    <w:p w14:paraId="3BD208FF" w14:textId="326BC52B" w:rsidR="00D64AA3" w:rsidRPr="00B768A1" w:rsidRDefault="00D64AA3" w:rsidP="00634A83">
      <w:pPr>
        <w:pStyle w:val="BT-Livedexperience-Green"/>
      </w:pPr>
      <w:r w:rsidRPr="00B768A1">
        <w:t xml:space="preserve">People impacted by suicidal thoughts and behaviours can access timely </w:t>
      </w:r>
      <w:r w:rsidR="00D811F4" w:rsidRPr="00B768A1">
        <w:t xml:space="preserve">and appropriate </w:t>
      </w:r>
      <w:r w:rsidRPr="00B768A1">
        <w:t>support to suit their needs.</w:t>
      </w:r>
    </w:p>
    <w:p w14:paraId="5850B07D" w14:textId="7D863F38" w:rsidR="00682A5B" w:rsidRPr="00B768A1" w:rsidRDefault="52A82465" w:rsidP="00D81ABA">
      <w:pPr>
        <w:pStyle w:val="heading3support"/>
      </w:pPr>
      <w:r>
        <w:t>7</w:t>
      </w:r>
      <w:r w:rsidR="00682A5B" w:rsidRPr="00B768A1">
        <w:t>.1 Available and affordable support options</w:t>
      </w:r>
    </w:p>
    <w:p w14:paraId="2A8F9117" w14:textId="55562881" w:rsidR="00682A5B" w:rsidRPr="00B768A1" w:rsidRDefault="003F281E" w:rsidP="00634A83">
      <w:r w:rsidRPr="00B768A1">
        <w:t>P</w:t>
      </w:r>
      <w:r w:rsidR="00682A5B" w:rsidRPr="00B768A1">
        <w:t xml:space="preserve">eople </w:t>
      </w:r>
      <w:r w:rsidRPr="00B768A1">
        <w:t xml:space="preserve">can only </w:t>
      </w:r>
      <w:r w:rsidR="00682A5B" w:rsidRPr="00B768A1">
        <w:t>connect with relevant support services</w:t>
      </w:r>
      <w:r w:rsidRPr="00B768A1">
        <w:t xml:space="preserve"> if </w:t>
      </w:r>
      <w:r w:rsidR="00682A5B" w:rsidRPr="00B768A1">
        <w:t xml:space="preserve">they </w:t>
      </w:r>
      <w:r w:rsidRPr="00B768A1">
        <w:t xml:space="preserve">are </w:t>
      </w:r>
      <w:r w:rsidR="00682A5B" w:rsidRPr="00B768A1">
        <w:t xml:space="preserve">aware </w:t>
      </w:r>
      <w:r w:rsidRPr="00B768A1">
        <w:t xml:space="preserve">the </w:t>
      </w:r>
      <w:r w:rsidR="00682A5B" w:rsidRPr="00B768A1">
        <w:t>services exist and know how to access them. User-friendly online platforms that host localised</w:t>
      </w:r>
      <w:r w:rsidR="0075456A" w:rsidRPr="00B768A1">
        <w:t>, up-to-date</w:t>
      </w:r>
      <w:r w:rsidR="00682A5B" w:rsidRPr="00B768A1">
        <w:t xml:space="preserve"> service information </w:t>
      </w:r>
      <w:r w:rsidR="00122AB8" w:rsidRPr="00B768A1">
        <w:t xml:space="preserve">can help </w:t>
      </w:r>
      <w:r w:rsidR="00682A5B" w:rsidRPr="00B768A1">
        <w:t>people find relevant services</w:t>
      </w:r>
      <w:r w:rsidR="008D20AE" w:rsidRPr="00B768A1">
        <w:t xml:space="preserve"> (</w:t>
      </w:r>
      <w:r w:rsidR="004D5098">
        <w:t>action ko</w:t>
      </w:r>
      <w:r w:rsidR="005533AB">
        <w:t>7</w:t>
      </w:r>
      <w:r w:rsidR="008D20AE" w:rsidRPr="00B768A1">
        <w:t>.1a)</w:t>
      </w:r>
      <w:r w:rsidR="007075F9">
        <w:t>.</w:t>
      </w:r>
    </w:p>
    <w:p w14:paraId="7CD62A11" w14:textId="2E12DCE0" w:rsidR="00592C7B" w:rsidRPr="00D81ABA" w:rsidRDefault="7D9D0D41" w:rsidP="00634A83">
      <w:r w:rsidRPr="00D81ABA">
        <w:rPr>
          <w:rFonts w:eastAsia="Century Gothic"/>
        </w:rPr>
        <w:t>Those services need to be resourced to be readily available</w:t>
      </w:r>
      <w:r w:rsidR="386C857D" w:rsidRPr="00D81ABA">
        <w:rPr>
          <w:rFonts w:eastAsia="Century Gothic"/>
        </w:rPr>
        <w:t>,</w:t>
      </w:r>
      <w:r w:rsidRPr="00D81ABA">
        <w:rPr>
          <w:rFonts w:eastAsia="Century Gothic"/>
        </w:rPr>
        <w:t xml:space="preserve"> as t</w:t>
      </w:r>
      <w:r w:rsidR="794F67B9" w:rsidRPr="00D81ABA">
        <w:t xml:space="preserve">imely </w:t>
      </w:r>
      <w:r w:rsidR="3605BDAC" w:rsidRPr="00D81ABA">
        <w:t xml:space="preserve">access </w:t>
      </w:r>
      <w:r w:rsidR="794F67B9" w:rsidRPr="00D81ABA">
        <w:t xml:space="preserve">to </w:t>
      </w:r>
      <w:r w:rsidR="3605BDAC" w:rsidRPr="00D81ABA">
        <w:t>supports is critical for people who experience suicidal thoughts and behaviours</w:t>
      </w:r>
      <w:r w:rsidR="06C50C3A">
        <w:t>,</w:t>
      </w:r>
      <w:r w:rsidR="3605BDAC" w:rsidRPr="00D81ABA">
        <w:t xml:space="preserve"> given that they are at increased risk of attempting or dying by suicide</w:t>
      </w:r>
      <w:r w:rsidR="38139AA8" w:rsidRPr="00D81ABA">
        <w:t xml:space="preserve">. </w:t>
      </w:r>
      <w:r w:rsidR="2898270A">
        <w:t xml:space="preserve">The </w:t>
      </w:r>
      <w:r w:rsidR="2898270A" w:rsidRPr="0D1DAC04">
        <w:rPr>
          <w:i/>
          <w:iCs/>
        </w:rPr>
        <w:t>Productivity Commission, Mental Health, Inquiry Report</w:t>
      </w:r>
      <w:hyperlink w:anchor="_ENREF_10" w:tooltip="Commission, 2020 #16" w:history="1">
        <w:r w:rsidR="002D6F18">
          <w:rPr>
            <w:i/>
            <w:iCs/>
          </w:rPr>
          <w:fldChar w:fldCharType="begin"/>
        </w:r>
        <w:r w:rsidR="002D6F18">
          <w:rPr>
            <w:i/>
            <w:iCs/>
          </w:rPr>
          <w:instrText xml:space="preserve"> ADDIN EN.CITE &lt;EndNote&gt;&lt;Cite&gt;&lt;Author&gt;Commission&lt;/Author&gt;&lt;Year&gt;2020&lt;/Year&gt;&lt;RecNum&gt;16&lt;/RecNum&gt;&lt;DisplayText&gt;&lt;style face="superscript"&gt;10&lt;/style&gt;&lt;/DisplayText&gt;&lt;record&gt;&lt;rec-number&gt;16&lt;/rec-number&gt;&lt;foreign-keys&gt;&lt;key app="EN" db-id="rsettzd2isasdweewww55s9lffasxav0d0ft" timestamp="1700699466" guid="211cab95-640a-4261-a3ce-923e676f72bf"&gt;16&lt;/key&gt;&lt;/foreign-keys&gt;&lt;ref-type name="Web Page"&gt;12&lt;/ref-type&gt;&lt;contributors&gt;&lt;authors&gt;&lt;author&gt;Productivity Commission&lt;/author&gt;&lt;/authors&gt;&lt;/contributors&gt;&lt;titles&gt;&lt;title&gt;Mental Health, Report No. 95&lt;/title&gt;&lt;/titles&gt;&lt;dates&gt;&lt;year&gt;2020&lt;/year&gt;&lt;/dates&gt;&lt;pub-location&gt;Canberra&lt;/pub-location&gt;&lt;publisher&gt;PC, Australian Government&lt;/publisher&gt;&lt;isbn&gt;978-1-74037-699-0 &lt;/isbn&gt;&lt;work-type&gt;Internet&lt;/work-type&gt;&lt;urls&gt;&lt;related-urls&gt;&lt;url&gt;https://www.pc.gov.au/inquiries/completed/mental-health/report&lt;/url&gt;&lt;/related-urls&gt;&lt;/urls&gt;&lt;custom1&gt;2023&lt;/custom1&gt;&lt;custom2&gt;October 03&lt;/custom2&gt;&lt;/record&gt;&lt;/Cite&gt;&lt;/EndNote&gt;</w:instrText>
        </w:r>
        <w:r w:rsidR="002D6F18">
          <w:rPr>
            <w:i/>
            <w:iCs/>
          </w:rPr>
          <w:fldChar w:fldCharType="separate"/>
        </w:r>
        <w:r w:rsidR="002D6F18" w:rsidRPr="0082082D">
          <w:rPr>
            <w:i/>
            <w:iCs/>
            <w:noProof/>
            <w:vertAlign w:val="superscript"/>
          </w:rPr>
          <w:t>10</w:t>
        </w:r>
        <w:r w:rsidR="002D6F18">
          <w:rPr>
            <w:i/>
            <w:iCs/>
          </w:rPr>
          <w:fldChar w:fldCharType="end"/>
        </w:r>
      </w:hyperlink>
      <w:r w:rsidR="2898270A">
        <w:t xml:space="preserve"> highlighted the need to increase resourcing for community-based mental health supports to meet population needs</w:t>
      </w:r>
      <w:r w:rsidR="6CEC944C">
        <w:t xml:space="preserve"> </w:t>
      </w:r>
      <w:r w:rsidR="1B7515B6" w:rsidRPr="00D81ABA">
        <w:t>(</w:t>
      </w:r>
      <w:r w:rsidR="681FEB7C" w:rsidRPr="00D81ABA">
        <w:t>action </w:t>
      </w:r>
      <w:r w:rsidR="499725E2" w:rsidRPr="00D81ABA">
        <w:t>ko</w:t>
      </w:r>
      <w:r w:rsidR="4E34F826" w:rsidRPr="00D81ABA">
        <w:t>7</w:t>
      </w:r>
      <w:r w:rsidR="1B7515B6" w:rsidRPr="00D81ABA">
        <w:t>.1b)</w:t>
      </w:r>
      <w:r w:rsidR="3605BDAC" w:rsidRPr="00D81ABA">
        <w:t xml:space="preserve">. </w:t>
      </w:r>
      <w:r w:rsidR="35370764" w:rsidRPr="00D81ABA">
        <w:t xml:space="preserve">Anxiety and stress can increase when people are placed on waiting lists for care because </w:t>
      </w:r>
      <w:r w:rsidR="3605BDAC" w:rsidRPr="00D81ABA">
        <w:t>demand exceeds service capacity. Uncertain, unexpected and longer wait times further aggravat</w:t>
      </w:r>
      <w:r w:rsidR="56A17F50" w:rsidRPr="00D81ABA">
        <w:t>e anxiety and stress</w:t>
      </w:r>
      <w:r w:rsidR="3605BDAC" w:rsidRPr="00D81ABA">
        <w:t>.</w:t>
      </w:r>
      <w:hyperlink w:anchor="_ENREF_216" w:tooltip="G, 2022 #275" w:history="1">
        <w:r w:rsidR="002D6F18">
          <w:fldChar w:fldCharType="begin"/>
        </w:r>
        <w:r w:rsidR="002D6F18">
          <w:instrText xml:space="preserve"> ADDIN EN.CITE &lt;EndNote&gt;&lt;Cite&gt;&lt;Author&gt;G&lt;/Author&gt;&lt;Year&gt;2022&lt;/Year&gt;&lt;RecNum&gt;275&lt;/RecNum&gt;&lt;DisplayText&gt;&lt;style face="superscript"&gt;216&lt;/style&gt;&lt;/DisplayText&gt;&lt;record&gt;&lt;rec-number&gt;275&lt;/rec-number&gt;&lt;foreign-keys&gt;&lt;key app="EN" db-id="rsettzd2isasdweewww55s9lffasxav0d0ft" timestamp="1700699470" guid="c15ca19f-6b51-4a7a-8d4a-8144e9774fcd"&gt;275&lt;/key&gt;&lt;/foreign-keys&gt;&lt;ref-type name="Journal Article"&gt;17&lt;/ref-type&gt;&lt;contributors&gt;&lt;authors&gt;&lt;author&gt;Punton G&lt;/author&gt;&lt;author&gt;Dodd AL&lt;/author&gt;&lt;author&gt;McNeill A&lt;/author&gt;&lt;/authors&gt;&lt;/contributors&gt;&lt;titles&gt;&lt;title&gt;‘You’re on the Waiting List’: An Interpretive Phenomenological Analysis of Young Adults’ Experiences of Waiting Lists Within Mental Health Services in the UK&lt;/title&gt;&lt;secondary-title&gt;PLoS ONE&lt;/secondary-title&gt;&lt;/titles&gt;&lt;periodical&gt;&lt;full-title&gt;PLoS ONE&lt;/full-title&gt;&lt;/periodical&gt;&lt;dates&gt;&lt;year&gt;2022&lt;/year&gt;&lt;/dates&gt;&lt;urls&gt;&lt;/urls&gt;&lt;electronic-resource-num&gt;DOI: 10.1371/journal.pone.0265542&lt;/electronic-resource-num&gt;&lt;/record&gt;&lt;/Cite&gt;&lt;/EndNote&gt;</w:instrText>
        </w:r>
        <w:r w:rsidR="002D6F18">
          <w:fldChar w:fldCharType="separate"/>
        </w:r>
        <w:r w:rsidR="002D6F18" w:rsidRPr="00C559B5">
          <w:rPr>
            <w:noProof/>
            <w:vertAlign w:val="superscript"/>
          </w:rPr>
          <w:t>216</w:t>
        </w:r>
        <w:r w:rsidR="002D6F18">
          <w:fldChar w:fldCharType="end"/>
        </w:r>
      </w:hyperlink>
      <w:r w:rsidR="3605BDAC" w:rsidRPr="00D81ABA">
        <w:rPr>
          <w:vertAlign w:val="superscript"/>
        </w:rPr>
        <w:t xml:space="preserve"> </w:t>
      </w:r>
      <w:r w:rsidR="4EDDDDE9" w:rsidRPr="00D81ABA">
        <w:rPr>
          <w:rFonts w:eastAsia="Century Gothic"/>
        </w:rPr>
        <w:t xml:space="preserve">Additional flexibility may also be required since suicidal distress may diminish the individual’s capacity to avoid exclusion criteria such as missing appointments. </w:t>
      </w:r>
      <w:r w:rsidR="05F43CFA" w:rsidRPr="00D81ABA">
        <w:rPr>
          <w:rFonts w:eastAsia="Century Gothic"/>
        </w:rPr>
        <w:t>H</w:t>
      </w:r>
      <w:r w:rsidR="05F43CFA" w:rsidRPr="00D81ABA">
        <w:t>ealth service capacity should be expanded to ensure demand can be met.</w:t>
      </w:r>
    </w:p>
    <w:p w14:paraId="7019C6D9" w14:textId="00B147E1" w:rsidR="00682A5B" w:rsidRPr="00D81ABA" w:rsidRDefault="36F25F6F" w:rsidP="00634A83">
      <w:pPr>
        <w:rPr>
          <w:b/>
          <w:bCs/>
        </w:rPr>
      </w:pPr>
      <w:r w:rsidRPr="00D81ABA">
        <w:rPr>
          <w:rFonts w:eastAsia="Century Gothic"/>
        </w:rPr>
        <w:t>Services must not only be known and available but must be affordable.</w:t>
      </w:r>
      <w:r w:rsidR="366E9D04" w:rsidRPr="00D81ABA">
        <w:rPr>
          <w:rFonts w:eastAsia="Century Gothic"/>
        </w:rPr>
        <w:t xml:space="preserve"> </w:t>
      </w:r>
      <w:r w:rsidR="3605BDAC" w:rsidRPr="00D81ABA">
        <w:t>The risk of suicide is 2.3</w:t>
      </w:r>
      <w:r w:rsidR="28725935" w:rsidRPr="00D81ABA">
        <w:t> </w:t>
      </w:r>
      <w:r w:rsidR="3605BDAC" w:rsidRPr="00D81ABA">
        <w:t xml:space="preserve">times greater for people in the lowest socio-economic quintile, but </w:t>
      </w:r>
      <w:r w:rsidR="184DA50E" w:rsidRPr="00D81ABA">
        <w:t xml:space="preserve">this group has the lowest usage of </w:t>
      </w:r>
      <w:r w:rsidR="3605BDAC" w:rsidRPr="00D81ABA">
        <w:t>mental health and suicide prevention service</w:t>
      </w:r>
      <w:r w:rsidR="184DA50E" w:rsidRPr="00D81ABA">
        <w:t>s,</w:t>
      </w:r>
      <w:r w:rsidR="3605BDAC" w:rsidRPr="00D81ABA">
        <w:t xml:space="preserve"> largely due to affordability and geographical access barriers.</w:t>
      </w:r>
      <w:hyperlink w:anchor="_ENREF_217" w:tooltip="J, 2022 #1090" w:history="1">
        <w:r w:rsidR="002D6F18" w:rsidRPr="00C5135E">
          <w:rPr>
            <w:vertAlign w:val="superscript"/>
          </w:rPr>
          <w:fldChar w:fldCharType="begin"/>
        </w:r>
        <w:r w:rsidR="002D6F18">
          <w:rPr>
            <w:vertAlign w:val="superscript"/>
          </w:rPr>
          <w:instrText xml:space="preserve"> ADDIN EN.CITE &lt;EndNote&gt;&lt;Cite&gt;&lt;Author&gt;J&lt;/Author&gt;&lt;Year&gt;2022&lt;/Year&gt;&lt;RecNum&gt;1090&lt;/RecNum&gt;&lt;DisplayText&gt;&lt;style face="superscript"&gt;217&lt;/style&gt;&lt;/DisplayText&gt;&lt;record&gt;&lt;rec-number&gt;1090&lt;/rec-number&gt;&lt;foreign-keys&gt;&lt;key app="EN" db-id="rsettzd2isasdweewww55s9lffasxav0d0ft" timestamp="1720502186" guid="9352bd78-a074-47ef-8fd4-98f01de79ca8"&gt;1090&lt;/key&gt;&lt;/foreign-keys&gt;&lt;ref-type name="Web Page"&gt;12&lt;/ref-type&gt;&lt;contributors&gt;&lt;authors&gt;&lt;author&gt;Pirkis J &lt;/author&gt;&lt;author&gt;Currier D &lt;/author&gt;&lt;author&gt;Harris M &lt;/author&gt;&lt;author&gt;Mihalopoulos C   &lt;/author&gt;&lt;/authors&gt;&lt;/contributors&gt;&lt;titles&gt;&lt;title&gt;Evaluation of better access: main report.&lt;/title&gt;&lt;/titles&gt;&lt;dates&gt;&lt;year&gt;2022&lt;/year&gt;&lt;/dates&gt;&lt;pub-location&gt;Victoria&lt;/pub-location&gt;&lt;publisher&gt;University of Melbourne&lt;/publisher&gt;&lt;work-type&gt;Internet&lt;/work-type&gt;&lt;urls&gt;&lt;related-urls&gt;&lt;url&gt;https://www.health.gov.au/resources/publications/main-report-evaluation-of-the-better-access-initiative?language=en&lt;/url&gt;&lt;/related-urls&gt;&lt;/urls&gt;&lt;custom1&gt;2023&lt;/custom1&gt;&lt;custom2&gt;November 21&lt;/custom2&gt;&lt;/record&gt;&lt;/Cite&gt;&lt;/EndNote&gt;</w:instrText>
        </w:r>
        <w:r w:rsidR="002D6F18" w:rsidRPr="00C5135E">
          <w:rPr>
            <w:vertAlign w:val="superscript"/>
          </w:rPr>
          <w:fldChar w:fldCharType="separate"/>
        </w:r>
        <w:r w:rsidR="002D6F18">
          <w:rPr>
            <w:noProof/>
            <w:vertAlign w:val="superscript"/>
          </w:rPr>
          <w:t>217</w:t>
        </w:r>
        <w:r w:rsidR="002D6F18" w:rsidRPr="00C5135E">
          <w:rPr>
            <w:vertAlign w:val="superscript"/>
          </w:rPr>
          <w:fldChar w:fldCharType="end"/>
        </w:r>
      </w:hyperlink>
      <w:r w:rsidR="00C5135E" w:rsidRPr="00C5135E">
        <w:rPr>
          <w:vertAlign w:val="superscript"/>
        </w:rPr>
        <w:t>,</w:t>
      </w:r>
      <w:hyperlink w:anchor="_ENREF_218" w:tooltip="C, 2023 #234" w:history="1">
        <w:r w:rsidR="002D6F18" w:rsidRPr="00C5135E">
          <w:rPr>
            <w:vertAlign w:val="superscript"/>
          </w:rPr>
          <w:fldChar w:fldCharType="begin"/>
        </w:r>
        <w:r w:rsidR="002D6F18">
          <w:rPr>
            <w:vertAlign w:val="superscript"/>
          </w:rPr>
          <w:instrText xml:space="preserve"> ADDIN EN.CITE &lt;EndNote&gt;&lt;Cite&gt;&lt;Author&gt;C&lt;/Author&gt;&lt;Year&gt;2023&lt;/Year&gt;&lt;RecNum&gt;234&lt;/RecNum&gt;&lt;DisplayText&gt;&lt;style face="superscript"&gt;218&lt;/style&gt;&lt;/DisplayText&gt;&lt;record&gt;&lt;rec-number&gt;234&lt;/rec-number&gt;&lt;foreign-keys&gt;&lt;key app="EN" db-id="rsettzd2isasdweewww55s9lffasxav0d0ft" timestamp="1700699469" guid="30580fea-3fe7-4b4c-9198-ef5895269d75"&gt;234&lt;/key&gt;&lt;/foreign-keys&gt;&lt;ref-type name="Journal Article"&gt;17&lt;/ref-type&gt;&lt;contributors&gt;&lt;authors&gt;&lt;author&gt;Vacher C&lt;/author&gt;&lt;author&gt;Skinner A&lt;/author&gt;&lt;author&gt;Occhipinti J‐A&lt;/author&gt;&lt;author&gt;Rosenberg S&lt;/author&gt;&lt;author&gt;Ho N&lt;/author&gt;&lt;author&gt;Song YJC&lt;/author&gt;&lt;author&gt;Hickie IB&lt;/author&gt;&lt;/authors&gt;&lt;/contributors&gt;&lt;titles&gt;&lt;title&gt;Improving Access to Mental Health Care: A System Dynamics Model of Direct Access to Specialist Care and Accelerated Specialist Service Capacity Growth&lt;/title&gt;&lt;secondary-title&gt;Medical Journal of Australia&lt;/secondary-title&gt;&lt;/titles&gt;&lt;periodical&gt;&lt;full-title&gt;Medical Journal of Australia&lt;/full-title&gt;&lt;/periodical&gt;&lt;dates&gt;&lt;year&gt;2023&lt;/year&gt;&lt;/dates&gt;&lt;urls&gt;&lt;/urls&gt;&lt;electronic-resource-num&gt;DOI: 10.5694/mja2.51903&lt;/electronic-resource-num&gt;&lt;/record&gt;&lt;/Cite&gt;&lt;/EndNote&gt;</w:instrText>
        </w:r>
        <w:r w:rsidR="002D6F18" w:rsidRPr="00C5135E">
          <w:rPr>
            <w:vertAlign w:val="superscript"/>
          </w:rPr>
          <w:fldChar w:fldCharType="separate"/>
        </w:r>
        <w:r w:rsidR="002D6F18">
          <w:rPr>
            <w:noProof/>
            <w:vertAlign w:val="superscript"/>
          </w:rPr>
          <w:t>218</w:t>
        </w:r>
        <w:r w:rsidR="002D6F18" w:rsidRPr="00C5135E">
          <w:rPr>
            <w:vertAlign w:val="superscript"/>
          </w:rPr>
          <w:fldChar w:fldCharType="end"/>
        </w:r>
      </w:hyperlink>
      <w:r w:rsidR="00E02591">
        <w:t xml:space="preserve"> </w:t>
      </w:r>
      <w:r w:rsidR="3605BDAC" w:rsidRPr="00D81ABA">
        <w:t>Improv</w:t>
      </w:r>
      <w:r w:rsidR="59D7B3EB" w:rsidRPr="00D81ABA">
        <w:t>ed</w:t>
      </w:r>
      <w:r w:rsidR="3605BDAC" w:rsidRPr="00D81ABA">
        <w:t xml:space="preserve"> affordability is required to address inequity in access to services for people with low incomes and for people </w:t>
      </w:r>
      <w:r w:rsidR="0F7DD828" w:rsidRPr="00D81ABA">
        <w:t xml:space="preserve">who </w:t>
      </w:r>
      <w:r w:rsidR="3605BDAC" w:rsidRPr="00D81ABA">
        <w:t>need long-term support</w:t>
      </w:r>
      <w:r w:rsidR="6D9A7031" w:rsidRPr="00D81ABA">
        <w:t xml:space="preserve"> including those with chronic suicidal thinking (</w:t>
      </w:r>
      <w:r w:rsidR="499725E2" w:rsidRPr="00D81ABA">
        <w:t>actions ko</w:t>
      </w:r>
      <w:r w:rsidR="4E34F826" w:rsidRPr="00D81ABA">
        <w:t>7</w:t>
      </w:r>
      <w:r w:rsidR="6D9A7031" w:rsidRPr="00D81ABA">
        <w:t>.1c, d</w:t>
      </w:r>
      <w:r w:rsidR="499725E2" w:rsidRPr="00D81ABA">
        <w:t xml:space="preserve"> and</w:t>
      </w:r>
      <w:r w:rsidR="6D9A7031" w:rsidRPr="00D81ABA">
        <w:t xml:space="preserve"> e)</w:t>
      </w:r>
      <w:r w:rsidR="3605BDAC" w:rsidRPr="00D81ABA">
        <w:t>.</w:t>
      </w:r>
    </w:p>
    <w:p w14:paraId="27EE55E4" w14:textId="0C34BBCC" w:rsidR="00682A5B" w:rsidRPr="00D81ABA" w:rsidRDefault="3605BDAC" w:rsidP="00634A83">
      <w:r w:rsidRPr="00D81ABA">
        <w:t>Increasing the use of digital technology to deliver support</w:t>
      </w:r>
      <w:r w:rsidR="20E14B7D" w:rsidRPr="00D81ABA">
        <w:t xml:space="preserve"> (</w:t>
      </w:r>
      <w:r w:rsidRPr="00D81ABA">
        <w:t>for example, through videoconferencing</w:t>
      </w:r>
      <w:r w:rsidR="54B57E2A" w:rsidRPr="00D81ABA">
        <w:t>)</w:t>
      </w:r>
      <w:r w:rsidRPr="00D81ABA">
        <w:t xml:space="preserve"> is one way to overcome </w:t>
      </w:r>
      <w:r w:rsidR="1A257DD8" w:rsidRPr="00D81ABA">
        <w:t xml:space="preserve">some </w:t>
      </w:r>
      <w:r w:rsidRPr="00D81ABA">
        <w:t>access barriers</w:t>
      </w:r>
      <w:r w:rsidR="4A84E4ED" w:rsidRPr="00D81ABA">
        <w:t>,</w:t>
      </w:r>
      <w:r w:rsidRPr="00D81ABA">
        <w:t xml:space="preserve"> including travel, cost and availability</w:t>
      </w:r>
      <w:r w:rsidR="024AE8B6" w:rsidRPr="00D81ABA">
        <w:t xml:space="preserve"> (</w:t>
      </w:r>
      <w:r w:rsidR="499725E2" w:rsidRPr="00D81ABA">
        <w:t>action ko</w:t>
      </w:r>
      <w:r w:rsidR="47B333A4" w:rsidRPr="00D81ABA">
        <w:t>7</w:t>
      </w:r>
      <w:r w:rsidR="024AE8B6" w:rsidRPr="00D81ABA">
        <w:t>.1f)</w:t>
      </w:r>
      <w:r w:rsidRPr="00D81ABA">
        <w:t>. Self-guided and therapist</w:t>
      </w:r>
      <w:r w:rsidR="4A84E4ED" w:rsidRPr="00D81ABA">
        <w:t>-</w:t>
      </w:r>
      <w:r w:rsidRPr="00D81ABA">
        <w:t xml:space="preserve">supported digital interventions directly targeting suicidal thoughts and behaviours have been found to significantly reduce suicidal </w:t>
      </w:r>
      <w:r w:rsidR="023C020D" w:rsidRPr="00D81ABA">
        <w:t xml:space="preserve">thoughts </w:t>
      </w:r>
      <w:r w:rsidRPr="00D81ABA">
        <w:t xml:space="preserve">and are another promising way to </w:t>
      </w:r>
      <w:r w:rsidR="136D84C8" w:rsidRPr="00D81ABA">
        <w:t xml:space="preserve">use </w:t>
      </w:r>
      <w:r w:rsidRPr="00D81ABA">
        <w:t>technology to improve access to support.</w:t>
      </w:r>
      <w:hyperlink w:anchor="_ENREF_219" w:tooltip="M, 2020 #238" w:history="1">
        <w:r w:rsidR="002D6F18">
          <w:fldChar w:fldCharType="begin"/>
        </w:r>
        <w:r w:rsidR="002D6F18">
          <w:instrText xml:space="preserve"> ADDIN EN.CITE &lt;EndNote&gt;&lt;Cite&gt;&lt;Author&gt;M&lt;/Author&gt;&lt;Year&gt;2020&lt;/Year&gt;&lt;RecNum&gt;238&lt;/RecNum&gt;&lt;DisplayText&gt;&lt;style face="superscript"&gt;219&lt;/style&gt;&lt;/DisplayText&gt;&lt;record&gt;&lt;rec-number&gt;238&lt;/rec-number&gt;&lt;foreign-keys&gt;&lt;key app="EN" db-id="rsettzd2isasdweewww55s9lffasxav0d0ft" timestamp="1700699469" guid="c6b3bd28-a08b-463b-9fde-a68087f50b6f"&gt;238&lt;/key&gt;&lt;/foreign-keys&gt;&lt;ref-type name="Journal Article"&gt;17&lt;/ref-type&gt;&lt;contributors&gt;&lt;authors&gt;&lt;author&gt;Torok M&lt;/author&gt;&lt;author&gt;Han J&lt;/author&gt;&lt;author&gt;Baker S&lt;/author&gt;&lt;author&gt;Werner-Seidler A&lt;/author&gt;&lt;author&gt;Wong I&lt;/author&gt;&lt;author&gt;Larsen ME&lt;/author&gt;&lt;author&gt;Christensen H&lt;/author&gt;&lt;/authors&gt;&lt;/contributors&gt;&lt;titles&gt;&lt;title&gt;Suicide Prevention Using Self-Guided Digital Interventions: A Systematic Review and Meta-Analysis of Randomised Controlled Trials&lt;/title&gt;&lt;secondary-title&gt;The Lancet Digital Health&lt;/secondary-title&gt;&lt;/titles&gt;&lt;periodical&gt;&lt;full-title&gt;The Lancet Digital Health&lt;/full-title&gt;&lt;/periodical&gt;&lt;dates&gt;&lt;year&gt;2020&lt;/year&gt;&lt;/dates&gt;&lt;urls&gt;&lt;/urls&gt;&lt;electronic-resource-num&gt;DOI: 10.1016/S2589-7500(19)30199-2&lt;/electronic-resource-num&gt;&lt;/record&gt;&lt;/Cite&gt;&lt;/EndNote&gt;</w:instrText>
        </w:r>
        <w:r w:rsidR="002D6F18">
          <w:fldChar w:fldCharType="separate"/>
        </w:r>
        <w:r w:rsidR="002D6F18" w:rsidRPr="00C559B5">
          <w:rPr>
            <w:noProof/>
            <w:vertAlign w:val="superscript"/>
          </w:rPr>
          <w:t>219</w:t>
        </w:r>
        <w:r w:rsidR="002D6F18">
          <w:fldChar w:fldCharType="end"/>
        </w:r>
      </w:hyperlink>
    </w:p>
    <w:p w14:paraId="082048F2" w14:textId="1B00E094" w:rsidR="00167698" w:rsidRPr="00D81ABA" w:rsidRDefault="004D6F0E" w:rsidP="00634A83">
      <w:r w:rsidRPr="00D81ABA">
        <w:t xml:space="preserve">The recommended actions to </w:t>
      </w:r>
      <w:r w:rsidR="009C0B2E">
        <w:t>enhance availability and affordability of supports</w:t>
      </w:r>
      <w:r w:rsidR="009C0B2E" w:rsidRPr="00D81ABA">
        <w:t xml:space="preserve"> </w:t>
      </w:r>
      <w:r w:rsidRPr="00D81ABA">
        <w:t>are described in</w:t>
      </w:r>
      <w:r w:rsidR="00C146BA">
        <w:t xml:space="preserve"> </w:t>
      </w:r>
      <w:r w:rsidR="00C146BA">
        <w:fldChar w:fldCharType="begin"/>
      </w:r>
      <w:r w:rsidR="00C146BA">
        <w:instrText xml:space="preserve"> REF _Ref164869955 \h </w:instrText>
      </w:r>
      <w:r w:rsidR="00C146BA">
        <w:fldChar w:fldCharType="separate"/>
      </w:r>
      <w:r w:rsidR="009F12B4">
        <w:t xml:space="preserve">Table </w:t>
      </w:r>
      <w:r w:rsidR="009F12B4">
        <w:rPr>
          <w:noProof/>
        </w:rPr>
        <w:t>19</w:t>
      </w:r>
      <w:r w:rsidR="00C146BA">
        <w:fldChar w:fldCharType="end"/>
      </w:r>
      <w:r w:rsidRPr="00D81ABA">
        <w:t>.</w:t>
      </w:r>
    </w:p>
    <w:p w14:paraId="0E1B3DD4" w14:textId="7125B0B1" w:rsidR="004D6F0E" w:rsidRPr="00B768A1" w:rsidRDefault="00F823CC" w:rsidP="00745B34">
      <w:pPr>
        <w:pStyle w:val="Caption"/>
      </w:pPr>
      <w:bookmarkStart w:id="101" w:name="_Ref164869955"/>
      <w:r>
        <w:t xml:space="preserve">Table </w:t>
      </w:r>
      <w:r w:rsidR="00F93B6D">
        <w:fldChar w:fldCharType="begin"/>
      </w:r>
      <w:r w:rsidR="00F93B6D">
        <w:instrText>SEQ Table \* ARABIC  \* MERGEFORMAT</w:instrText>
      </w:r>
      <w:r w:rsidR="00F93B6D">
        <w:fldChar w:fldCharType="separate"/>
      </w:r>
      <w:r w:rsidR="009F12B4">
        <w:rPr>
          <w:noProof/>
        </w:rPr>
        <w:t>19</w:t>
      </w:r>
      <w:r w:rsidR="00F93B6D">
        <w:rPr>
          <w:noProof/>
        </w:rPr>
        <w:fldChar w:fldCharType="end"/>
      </w:r>
      <w:bookmarkEnd w:id="101"/>
      <w:r w:rsidR="004D6F0E">
        <w:t xml:space="preserve">: Recommended actions for Support objective </w:t>
      </w:r>
      <w:r w:rsidR="5602A793">
        <w:t>7</w:t>
      </w:r>
      <w:r w:rsidR="004D6F0E">
        <w:t>.1</w:t>
      </w:r>
      <w:r w:rsidR="00446F2B">
        <w:t>: Available and affordable support options</w:t>
      </w:r>
    </w:p>
    <w:tbl>
      <w:tblPr>
        <w:tblStyle w:val="TableGrid"/>
        <w:tblW w:w="5000" w:type="pct"/>
        <w:tblLook w:val="0420" w:firstRow="1" w:lastRow="0" w:firstColumn="0" w:lastColumn="0" w:noHBand="0" w:noVBand="1"/>
        <w:tblCaption w:val="Recommended actions for Support objective 4.1: Available and affordable support options"/>
        <w:tblDescription w:val="Describes actions ko4.1a to ko4.1f."/>
      </w:tblPr>
      <w:tblGrid>
        <w:gridCol w:w="1267"/>
        <w:gridCol w:w="7794"/>
      </w:tblGrid>
      <w:tr w:rsidR="00D81ABA" w:rsidRPr="00DE14DA" w14:paraId="3A078309" w14:textId="77777777" w:rsidTr="00D81ABA">
        <w:trPr>
          <w:cnfStyle w:val="100000000000" w:firstRow="1" w:lastRow="0" w:firstColumn="0" w:lastColumn="0" w:oddVBand="0" w:evenVBand="0" w:oddHBand="0" w:evenHBand="0" w:firstRowFirstColumn="0" w:firstRowLastColumn="0" w:lastRowFirstColumn="0" w:lastRowLastColumn="0"/>
          <w:tblHeader/>
        </w:trPr>
        <w:tc>
          <w:tcPr>
            <w:tcW w:w="69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9782"/>
          </w:tcPr>
          <w:p w14:paraId="0F3FF532" w14:textId="5CDDC464" w:rsidR="00D81ABA" w:rsidRPr="00DE14DA" w:rsidRDefault="00D81ABA" w:rsidP="004F5B0E">
            <w:pPr>
              <w:pStyle w:val="NMHCTableHeaderRow"/>
            </w:pPr>
            <w:r w:rsidRPr="00DE14DA">
              <w:t>Action</w:t>
            </w:r>
          </w:p>
        </w:tc>
        <w:tc>
          <w:tcPr>
            <w:tcW w:w="43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9782"/>
            <w:tcMar>
              <w:top w:w="28" w:type="dxa"/>
              <w:bottom w:w="28" w:type="dxa"/>
            </w:tcMar>
          </w:tcPr>
          <w:p w14:paraId="23AE39E9" w14:textId="79F9D1FC" w:rsidR="00D81ABA" w:rsidRPr="00DE14DA" w:rsidRDefault="00D81ABA" w:rsidP="004F5B0E">
            <w:pPr>
              <w:pStyle w:val="NMHCTableHeaderRow"/>
            </w:pPr>
            <w:r w:rsidRPr="00DE14DA">
              <w:t>Description</w:t>
            </w:r>
          </w:p>
        </w:tc>
      </w:tr>
      <w:tr w:rsidR="00D81ABA" w:rsidRPr="00B768A1" w14:paraId="798D05CA" w14:textId="77777777" w:rsidTr="00934B8E">
        <w:trPr>
          <w:trHeight w:val="1250"/>
        </w:trPr>
        <w:tc>
          <w:tcPr>
            <w:tcW w:w="699" w:type="pct"/>
            <w:tcBorders>
              <w:top w:val="single" w:sz="4" w:space="0" w:color="FFFFFF" w:themeColor="background1"/>
            </w:tcBorders>
          </w:tcPr>
          <w:p w14:paraId="511FE866" w14:textId="662B4A5F" w:rsidR="00D81ABA" w:rsidRPr="00446F2B" w:rsidRDefault="00D81ABA" w:rsidP="00634A83">
            <w:r w:rsidRPr="1274FCB3">
              <w:t>ko7.1a</w:t>
            </w:r>
          </w:p>
        </w:tc>
        <w:tc>
          <w:tcPr>
            <w:tcW w:w="4301" w:type="pct"/>
            <w:tcBorders>
              <w:top w:val="single" w:sz="4" w:space="0" w:color="FFFFFF" w:themeColor="background1"/>
            </w:tcBorders>
            <w:tcMar>
              <w:top w:w="28" w:type="dxa"/>
              <w:bottom w:w="28" w:type="dxa"/>
            </w:tcMar>
          </w:tcPr>
          <w:p w14:paraId="50237E00" w14:textId="62CA7084" w:rsidR="00D81ABA" w:rsidRPr="00B768A1" w:rsidRDefault="00D81ABA" w:rsidP="00634A83">
            <w:r w:rsidRPr="1274FCB3">
              <w:t>Provide comprehensive, accessible and localised information about suicide prevention support options, including via online health information portals, to improve service awareness and navigation for the community and service providers.</w:t>
            </w:r>
          </w:p>
        </w:tc>
      </w:tr>
      <w:tr w:rsidR="00D81ABA" w:rsidRPr="00B768A1" w14:paraId="530D59E3" w14:textId="77777777" w:rsidTr="00D81ABA">
        <w:tc>
          <w:tcPr>
            <w:tcW w:w="699" w:type="pct"/>
          </w:tcPr>
          <w:p w14:paraId="32241DC8" w14:textId="2ACCDF1E" w:rsidR="00D81ABA" w:rsidRPr="0025561B" w:rsidRDefault="00D81ABA" w:rsidP="00634A83">
            <w:r w:rsidRPr="1274FCB3">
              <w:t>ko7.1b</w:t>
            </w:r>
          </w:p>
        </w:tc>
        <w:tc>
          <w:tcPr>
            <w:tcW w:w="4301" w:type="pct"/>
            <w:tcMar>
              <w:top w:w="28" w:type="dxa"/>
              <w:bottom w:w="28" w:type="dxa"/>
            </w:tcMar>
          </w:tcPr>
          <w:p w14:paraId="2E973DD3" w14:textId="764B9ACD" w:rsidR="00D81ABA" w:rsidRPr="00B768A1" w:rsidRDefault="00D81ABA" w:rsidP="00634A83">
            <w:r w:rsidRPr="1274FCB3">
              <w:t>Expand the capacity of community and hospital services to meet population needs and improve timely access to support for people who experience suicidal thoughts and behaviour.</w:t>
            </w:r>
          </w:p>
        </w:tc>
      </w:tr>
      <w:tr w:rsidR="00D81ABA" w:rsidRPr="00B768A1" w14:paraId="0F203AB0" w14:textId="77777777" w:rsidTr="00D81ABA">
        <w:tc>
          <w:tcPr>
            <w:tcW w:w="699" w:type="pct"/>
          </w:tcPr>
          <w:p w14:paraId="423E2CDC" w14:textId="7C138F67" w:rsidR="00D81ABA" w:rsidRPr="0025561B" w:rsidRDefault="00D81ABA" w:rsidP="00634A83">
            <w:r w:rsidRPr="1274FCB3">
              <w:t>ko7.1c</w:t>
            </w:r>
          </w:p>
        </w:tc>
        <w:tc>
          <w:tcPr>
            <w:tcW w:w="4301" w:type="pct"/>
            <w:tcMar>
              <w:top w:w="28" w:type="dxa"/>
              <w:bottom w:w="28" w:type="dxa"/>
            </w:tcMar>
          </w:tcPr>
          <w:p w14:paraId="664BD421" w14:textId="2E14E5E7" w:rsidR="00D81ABA" w:rsidRPr="00B768A1" w:rsidRDefault="00D81ABA" w:rsidP="00634A83">
            <w:r w:rsidRPr="1274FCB3">
              <w:t>Improve affordability of community-based psychological therapy for people in the lowest socio-economic quintile</w:t>
            </w:r>
            <w:r>
              <w:t>.</w:t>
            </w:r>
          </w:p>
        </w:tc>
      </w:tr>
      <w:tr w:rsidR="00D81ABA" w:rsidRPr="00B768A1" w14:paraId="689B5D6A" w14:textId="77777777" w:rsidTr="00D81ABA">
        <w:tc>
          <w:tcPr>
            <w:tcW w:w="699" w:type="pct"/>
          </w:tcPr>
          <w:p w14:paraId="627839A4" w14:textId="7F6D1AE3" w:rsidR="00D81ABA" w:rsidRPr="00567EB3" w:rsidRDefault="00D81ABA" w:rsidP="00634A83">
            <w:r w:rsidRPr="1274FCB3">
              <w:t>ko7.1d</w:t>
            </w:r>
          </w:p>
        </w:tc>
        <w:tc>
          <w:tcPr>
            <w:tcW w:w="4301" w:type="pct"/>
            <w:tcMar>
              <w:top w:w="28" w:type="dxa"/>
              <w:bottom w:w="28" w:type="dxa"/>
            </w:tcMar>
          </w:tcPr>
          <w:p w14:paraId="39484243" w14:textId="5DEAE99E" w:rsidR="00D81ABA" w:rsidRPr="00B768A1" w:rsidRDefault="00D81ABA" w:rsidP="00634A83">
            <w:r w:rsidRPr="1274FCB3">
              <w:t>Improve affordability of ongoing support for people with chronic suicidal thinking, including evidence-based therapies and non-clinical, peer-led suicide prevention support services.</w:t>
            </w:r>
          </w:p>
        </w:tc>
      </w:tr>
      <w:tr w:rsidR="00D81ABA" w:rsidRPr="00B768A1" w14:paraId="53F7E23E" w14:textId="77777777" w:rsidTr="00D81ABA">
        <w:tc>
          <w:tcPr>
            <w:tcW w:w="699" w:type="pct"/>
          </w:tcPr>
          <w:p w14:paraId="5B92F529" w14:textId="7EEC1444" w:rsidR="00D81ABA" w:rsidRPr="00B768A1" w:rsidRDefault="00D81ABA" w:rsidP="00634A83">
            <w:pPr>
              <w:rPr>
                <w:rFonts w:cstheme="minorBidi"/>
                <w:b/>
              </w:rPr>
            </w:pPr>
            <w:r>
              <w:t>ko7</w:t>
            </w:r>
            <w:r w:rsidRPr="00B768A1">
              <w:rPr>
                <w:bCs/>
              </w:rPr>
              <w:t>.1e</w:t>
            </w:r>
          </w:p>
        </w:tc>
        <w:tc>
          <w:tcPr>
            <w:tcW w:w="4301" w:type="pct"/>
            <w:tcMar>
              <w:top w:w="28" w:type="dxa"/>
              <w:bottom w:w="28" w:type="dxa"/>
            </w:tcMar>
          </w:tcPr>
          <w:p w14:paraId="2FD41683" w14:textId="53679281" w:rsidR="00D81ABA" w:rsidRPr="00B768A1" w:rsidRDefault="6B33BA6C" w:rsidP="00634A83">
            <w:pPr>
              <w:rPr>
                <w:rFonts w:cstheme="minorBidi"/>
                <w:b/>
              </w:rPr>
            </w:pPr>
            <w:r>
              <w:t xml:space="preserve">Increase </w:t>
            </w:r>
            <w:r w:rsidR="00D81ABA" w:rsidRPr="00B768A1">
              <w:t xml:space="preserve">the number of </w:t>
            </w:r>
            <w:r w:rsidR="03935654">
              <w:t>Medicare Mental Health Centres</w:t>
            </w:r>
            <w:r w:rsidR="00D81ABA" w:rsidRPr="00B768A1">
              <w:t xml:space="preserve"> to </w:t>
            </w:r>
            <w:r w:rsidR="00D81ABA">
              <w:t>provide</w:t>
            </w:r>
            <w:r w:rsidR="00D81ABA" w:rsidRPr="00B768A1">
              <w:t xml:space="preserve"> </w:t>
            </w:r>
            <w:r w:rsidR="0D283A37">
              <w:t xml:space="preserve">greater </w:t>
            </w:r>
            <w:r w:rsidR="00D81ABA" w:rsidRPr="00B768A1">
              <w:t>in-person access to mental health assessment and treatment for all ages.</w:t>
            </w:r>
          </w:p>
        </w:tc>
      </w:tr>
      <w:tr w:rsidR="00D81ABA" w:rsidRPr="00B768A1" w14:paraId="17991A71" w14:textId="77777777" w:rsidTr="00D81ABA">
        <w:tc>
          <w:tcPr>
            <w:tcW w:w="699" w:type="pct"/>
          </w:tcPr>
          <w:p w14:paraId="76C6DAAB" w14:textId="62F411D9" w:rsidR="00D81ABA" w:rsidRPr="00B768A1" w:rsidRDefault="00D81ABA" w:rsidP="00634A83">
            <w:pPr>
              <w:rPr>
                <w:b/>
              </w:rPr>
            </w:pPr>
            <w:r w:rsidRPr="33AF7236">
              <w:t>ko7</w:t>
            </w:r>
            <w:r w:rsidRPr="00B768A1">
              <w:t>.1f</w:t>
            </w:r>
          </w:p>
        </w:tc>
        <w:tc>
          <w:tcPr>
            <w:tcW w:w="4301" w:type="pct"/>
            <w:tcMar>
              <w:top w:w="28" w:type="dxa"/>
              <w:bottom w:w="28" w:type="dxa"/>
            </w:tcMar>
          </w:tcPr>
          <w:p w14:paraId="6689137B" w14:textId="02AA837F" w:rsidR="00D81ABA" w:rsidRPr="00B768A1" w:rsidRDefault="00D81ABA" w:rsidP="00634A83">
            <w:r w:rsidRPr="00B768A1">
              <w:t>Improve access to timely care and support for people experiencing suicidal thoughts and behaviours, especially for people living and working in rural, regional and remote parts of Australia:</w:t>
            </w:r>
          </w:p>
          <w:p w14:paraId="33BD384A" w14:textId="0A417725" w:rsidR="00D81ABA" w:rsidRPr="00B768A1" w:rsidRDefault="00D81ABA" w:rsidP="00634A83">
            <w:pPr>
              <w:pStyle w:val="ListParagraph"/>
              <w:numPr>
                <w:ilvl w:val="0"/>
                <w:numId w:val="69"/>
              </w:numPr>
            </w:pPr>
            <w:r>
              <w:t>Expand the availability of therapist-supported and self-guided digital services and tools.</w:t>
            </w:r>
          </w:p>
          <w:p w14:paraId="45BFC7AF" w14:textId="4BD546B7" w:rsidR="00D81ABA" w:rsidRPr="00B768A1" w:rsidRDefault="00D81ABA" w:rsidP="00634A83">
            <w:pPr>
              <w:pStyle w:val="ListParagraph"/>
              <w:numPr>
                <w:ilvl w:val="0"/>
                <w:numId w:val="69"/>
              </w:numPr>
            </w:pPr>
            <w:r>
              <w:t xml:space="preserve">Expand the availability and improve the integration of videoconferencing with face-to-face service delivery. </w:t>
            </w:r>
          </w:p>
        </w:tc>
      </w:tr>
    </w:tbl>
    <w:p w14:paraId="10B508EF" w14:textId="7808A035" w:rsidR="00682A5B" w:rsidRPr="00B768A1" w:rsidRDefault="5604E3AC" w:rsidP="00D81ABA">
      <w:pPr>
        <w:pStyle w:val="heading3support"/>
      </w:pPr>
      <w:r>
        <w:t>7</w:t>
      </w:r>
      <w:r w:rsidR="00682A5B" w:rsidRPr="00B768A1">
        <w:t xml:space="preserve">.2 </w:t>
      </w:r>
      <w:r w:rsidR="2C59EF22">
        <w:t>Rapid</w:t>
      </w:r>
      <w:r w:rsidR="00682A5B">
        <w:t xml:space="preserve"> </w:t>
      </w:r>
      <w:r w:rsidR="00682A5B" w:rsidRPr="00B768A1">
        <w:t>support for people in suicidal crisis</w:t>
      </w:r>
    </w:p>
    <w:p w14:paraId="0C2465B6" w14:textId="6B6AE6BA" w:rsidR="00682A5B" w:rsidRPr="00B768A1" w:rsidRDefault="3605BDAC" w:rsidP="00634A83">
      <w:r w:rsidRPr="00B768A1">
        <w:t xml:space="preserve">Long wait times in emergency departments for people presenting in suicidal crisis </w:t>
      </w:r>
      <w:r w:rsidR="4C59E690" w:rsidRPr="00B768A1">
        <w:t xml:space="preserve">are </w:t>
      </w:r>
      <w:r w:rsidRPr="00B768A1">
        <w:t>commonly cited as a barrier to accessing care and a disincentive to seek</w:t>
      </w:r>
      <w:r w:rsidR="65309456" w:rsidRPr="00B768A1">
        <w:t>ing</w:t>
      </w:r>
      <w:r w:rsidRPr="00B768A1">
        <w:t xml:space="preserve"> support.</w:t>
      </w:r>
      <w:hyperlink w:anchor="_ENREF_220" w:tooltip="D, 2021 #276" w:history="1">
        <w:r w:rsidR="002D6F18">
          <w:fldChar w:fldCharType="begin"/>
        </w:r>
        <w:r w:rsidR="002D6F18">
          <w:instrText xml:space="preserve"> ADDIN EN.CITE &lt;EndNote&gt;&lt;Cite&gt;&lt;Author&gt;D&lt;/Author&gt;&lt;Year&gt;2021&lt;/Year&gt;&lt;RecNum&gt;276&lt;/RecNum&gt;&lt;DisplayText&gt;&lt;style face="superscript"&gt;220&lt;/style&gt;&lt;/DisplayText&gt;&lt;record&gt;&lt;rec-number&gt;276&lt;/rec-number&gt;&lt;foreign-keys&gt;&lt;key app="EN" db-id="rsettzd2isasdweewww55s9lffasxav0d0ft" timestamp="1700699470" guid="4fbf333f-e59b-47a4-b59d-80fb37eca786"&gt;276&lt;/key&gt;&lt;/foreign-keys&gt;&lt;ref-type name="Journal Article"&gt;17&lt;/ref-type&gt;&lt;contributors&gt;&lt;authors&gt;&lt;author&gt;Rheinberger D&lt;/author&gt;&lt;author&gt;Macdonald D&lt;/author&gt;&lt;author&gt;McGillivray L&lt;/author&gt;&lt;author&gt;Maple M&lt;/author&gt;&lt;author&gt;Torok M&lt;/author&gt;&lt;author&gt;Nicolopoulos A&lt;/author&gt;&lt;author&gt;Shand F&lt;/author&gt;&lt;/authors&gt;&lt;/contributors&gt;&lt;titles&gt;&lt;title&gt;“A Sustained, Productive, Constructive Relationship with Someone Who Can Help”—A Qualitative Exploration of the Experiences of Help Seekers and Support Persons Using the Emergency Department during a Suicide Crisis&lt;/title&gt;&lt;secondary-title&gt;International Journal of Environmental Research and Public Health&lt;/secondary-title&gt;&lt;/titles&gt;&lt;periodical&gt;&lt;full-title&gt;International Journal of Environmental Research and Public Health&lt;/full-title&gt;&lt;/periodical&gt;&lt;dates&gt;&lt;year&gt;2021&lt;/year&gt;&lt;/dates&gt;&lt;urls&gt;&lt;/urls&gt;&lt;electronic-resource-num&gt;DOI: 10.3390/ijerph181910262&lt;/electronic-resource-num&gt;&lt;/record&gt;&lt;/Cite&gt;&lt;/EndNote&gt;</w:instrText>
        </w:r>
        <w:r w:rsidR="002D6F18">
          <w:fldChar w:fldCharType="separate"/>
        </w:r>
        <w:r w:rsidR="002D6F18" w:rsidRPr="00C559B5">
          <w:rPr>
            <w:noProof/>
            <w:vertAlign w:val="superscript"/>
          </w:rPr>
          <w:t>220</w:t>
        </w:r>
        <w:r w:rsidR="002D6F18">
          <w:fldChar w:fldCharType="end"/>
        </w:r>
      </w:hyperlink>
      <w:r w:rsidRPr="00B768A1">
        <w:t xml:space="preserve"> Service models designed to provide rapid</w:t>
      </w:r>
      <w:r w:rsidR="63D714AF" w:rsidRPr="00B768A1">
        <w:t>, tailored</w:t>
      </w:r>
      <w:r w:rsidRPr="00B768A1">
        <w:t xml:space="preserve"> responses to people in suicidal distress, such as co-responder models </w:t>
      </w:r>
      <w:r w:rsidR="31AFC30D" w:rsidRPr="00B768A1">
        <w:t xml:space="preserve">(that is, </w:t>
      </w:r>
      <w:r w:rsidR="31AFC30D" w:rsidRPr="009A036A">
        <w:t>joint response to emergency service calls for suicidal crisis by police and/or ambulance with a clinician or suicide prevention peer support worker</w:t>
      </w:r>
      <w:r w:rsidR="31AFC30D" w:rsidRPr="00B768A1">
        <w:t xml:space="preserve">) </w:t>
      </w:r>
      <w:r w:rsidRPr="00B768A1">
        <w:t>and safe spaces, have shown promising benefits for individuals and the service system.</w:t>
      </w:r>
      <w:hyperlink w:anchor="_ENREF_221" w:tooltip="K, 2022 #243" w:history="1">
        <w:r w:rsidR="002D6F18" w:rsidRPr="00644BE1">
          <w:rPr>
            <w:vertAlign w:val="superscript"/>
          </w:rPr>
          <w:fldChar w:fldCharType="begin"/>
        </w:r>
        <w:r w:rsidR="002D6F18">
          <w:rPr>
            <w:vertAlign w:val="superscript"/>
          </w:rPr>
          <w:instrText xml:space="preserve"> ADDIN EN.CITE &lt;EndNote&gt;&lt;Cite&gt;&lt;Author&gt;K&lt;/Author&gt;&lt;Year&gt;2022&lt;/Year&gt;&lt;RecNum&gt;243&lt;/RecNum&gt;&lt;DisplayText&gt;&lt;style face="superscript"&gt;221&lt;/style&gt;&lt;/DisplayText&gt;&lt;record&gt;&lt;rec-number&gt;243&lt;/rec-number&gt;&lt;foreign-keys&gt;&lt;key app="EN" db-id="rsettzd2isasdweewww55s9lffasxav0d0ft" timestamp="1700699470" guid="7eb3858b-bc0f-4b64-ac96-87fe77d3ccbd"&gt;243&lt;/key&gt;&lt;/foreign-keys&gt;&lt;ref-type name="Journal Article"&gt;17&lt;/ref-type&gt;&lt;contributors&gt;&lt;authors&gt;&lt;author&gt;Kerr K&lt;/author&gt;&lt;author&gt;Heffernan E&lt;/author&gt;&lt;author&gt;Hawgood J&lt;/author&gt;&lt;author&gt;Edwards B&lt;/author&gt;&lt;author&gt;Meurk C&lt;/author&gt;&lt;/authors&gt;&lt;/contributors&gt;&lt;titles&gt;&lt;title&gt;Optimal Care Pathways for People in Suicidal Crisis who Interact with First Responders: A Scoping Review&lt;/title&gt;&lt;secondary-title&gt;International Journal of Environmental Research and Public Health&lt;/secondary-title&gt;&lt;/titles&gt;&lt;periodical&gt;&lt;full-title&gt;International Journal of Environmental Research and Public Health&lt;/full-title&gt;&lt;/periodical&gt;&lt;dates&gt;&lt;year&gt;2022&lt;/year&gt;&lt;/dates&gt;&lt;urls&gt;&lt;/urls&gt;&lt;electronic-resource-num&gt;DOI: 10.3390/ijerph191811510&lt;/electronic-resource-num&gt;&lt;/record&gt;&lt;/Cite&gt;&lt;/EndNote&gt;</w:instrText>
        </w:r>
        <w:r w:rsidR="002D6F18" w:rsidRPr="00644BE1">
          <w:rPr>
            <w:vertAlign w:val="superscript"/>
          </w:rPr>
          <w:fldChar w:fldCharType="separate"/>
        </w:r>
        <w:r w:rsidR="002D6F18">
          <w:rPr>
            <w:noProof/>
            <w:vertAlign w:val="superscript"/>
          </w:rPr>
          <w:t>221</w:t>
        </w:r>
        <w:r w:rsidR="002D6F18" w:rsidRPr="00644BE1">
          <w:rPr>
            <w:vertAlign w:val="superscript"/>
          </w:rPr>
          <w:fldChar w:fldCharType="end"/>
        </w:r>
      </w:hyperlink>
      <w:r w:rsidR="00135757" w:rsidRPr="00644BE1">
        <w:rPr>
          <w:vertAlign w:val="superscript"/>
        </w:rPr>
        <w:t>,</w:t>
      </w:r>
      <w:hyperlink w:anchor="_ENREF_200" w:tooltip="NW, 2021 #38" w:history="1">
        <w:r w:rsidR="002D6F18" w:rsidRPr="00644BE1">
          <w:rPr>
            <w:vertAlign w:val="superscript"/>
          </w:rPr>
          <w:fldChar w:fldCharType="begin"/>
        </w:r>
        <w:r w:rsidR="002D6F18">
          <w:rPr>
            <w:vertAlign w:val="superscript"/>
          </w:rPr>
          <w:instrText xml:space="preserve"> ADDIN EN.CITE &lt;EndNote&gt;&lt;Cite&gt;&lt;Author&gt;NW&lt;/Author&gt;&lt;Year&gt;2021&lt;/Year&gt;&lt;RecNum&gt;38&lt;/RecNum&gt;&lt;DisplayText&gt;&lt;style face="superscript"&gt;200&lt;/style&gt;&lt;/DisplayText&gt;&lt;record&gt;&lt;rec-number&gt;38&lt;/rec-number&gt;&lt;foreign-keys&gt;&lt;key app="EN" db-id="rsettzd2isasdweewww55s9lffasxav0d0ft" timestamp="1700699466" guid="8b12b083-7760-4115-9d94-e89a810633b5"&gt;38&lt;/key&gt;&lt;/foreign-keys&gt;&lt;ref-type name="Journal Article"&gt;17&lt;/ref-type&gt;&lt;contributors&gt;&lt;authors&gt;&lt;author&gt;Bowersox NW&lt;/author&gt;&lt;author&gt;Jagusch J&lt;/author&gt;&lt;author&gt;Garlick J&lt;/author&gt;&lt;author&gt;Chen JI&lt;/author&gt;&lt;author&gt;Pfeiffer PN&lt;/author&gt;&lt;/authors&gt;&lt;/contributors&gt;&lt;titles&gt;&lt;title&gt;Peer-Based Interventions Targeting Suicide Prevention: A Scoping Review&lt;/title&gt;&lt;secondary-title&gt;American Journal of Community Psychology&lt;/secondary-title&gt;&lt;/titles&gt;&lt;periodical&gt;&lt;full-title&gt;American Journal of Community Psychology&lt;/full-title&gt;&lt;/periodical&gt;&lt;dates&gt;&lt;year&gt;2021&lt;/year&gt;&lt;/dates&gt;&lt;urls&gt;&lt;/urls&gt;&lt;electronic-resource-num&gt;DOI: 10.1002/ajcp.12510&lt;/electronic-resource-num&gt;&lt;/record&gt;&lt;/Cite&gt;&lt;/EndNote&gt;</w:instrText>
        </w:r>
        <w:r w:rsidR="002D6F18" w:rsidRPr="00644BE1">
          <w:rPr>
            <w:vertAlign w:val="superscript"/>
          </w:rPr>
          <w:fldChar w:fldCharType="separate"/>
        </w:r>
        <w:r w:rsidR="002D6F18">
          <w:rPr>
            <w:noProof/>
            <w:vertAlign w:val="superscript"/>
          </w:rPr>
          <w:t>200</w:t>
        </w:r>
        <w:r w:rsidR="002D6F18" w:rsidRPr="00644BE1">
          <w:rPr>
            <w:vertAlign w:val="superscript"/>
          </w:rPr>
          <w:fldChar w:fldCharType="end"/>
        </w:r>
      </w:hyperlink>
      <w:r w:rsidR="00644BE1" w:rsidRPr="00644BE1">
        <w:rPr>
          <w:vertAlign w:val="superscript"/>
        </w:rPr>
        <w:t>,</w:t>
      </w:r>
      <w:hyperlink w:anchor="_ENREF_195" w:tooltip="Welfare, 2023 #957" w:history="1">
        <w:r w:rsidR="002D6F18" w:rsidRPr="00644BE1">
          <w:rPr>
            <w:vertAlign w:val="superscript"/>
          </w:rPr>
          <w:fldChar w:fldCharType="begin"/>
        </w:r>
        <w:r w:rsidR="002D6F18">
          <w:rPr>
            <w:vertAlign w:val="superscript"/>
          </w:rPr>
          <w:instrText xml:space="preserve"> ADDIN EN.CITE &lt;EndNote&gt;&lt;Cite&gt;&lt;Author&gt;Welfare&lt;/Author&gt;&lt;Year&gt;2023&lt;/Year&gt;&lt;RecNum&gt;413&lt;/RecNum&gt;&lt;DisplayText&gt;&lt;style face="superscript"&gt;195&lt;/style&gt;&lt;/DisplayText&gt;&lt;record&gt;&lt;rec-number&gt;413&lt;/rec-number&gt;&lt;foreign-keys&gt;&lt;key app="EN" db-id="rsettzd2isasdweewww55s9lffasxav0d0ft" timestamp="1700699473" guid="974085f1-f02a-4311-b894-1a9f369222ad"&gt;413&lt;/key&gt;&lt;/foreign-keys&gt;&lt;ref-type name="Web Page"&gt;12&lt;/ref-type&gt;&lt;contributors&gt;&lt;authors&gt;&lt;author&gt;Australian Institute of Health and Welfare&lt;/author&gt;&lt;/authors&gt;&lt;/contributors&gt;&lt;titles&gt;&lt;title&gt;The National Suicide and Self-Harm Monitoring System&lt;/title&gt;&lt;/titles&gt;&lt;dates&gt;&lt;year&gt;2023&lt;/year&gt;&lt;/dates&gt;&lt;publisher&gt;AIHW, Australian Government&lt;/publisher&gt;&lt;work-type&gt;Internet&lt;/work-type&gt;&lt;urls&gt;&lt;related-urls&gt;&lt;url&gt;https://www.aihw.gov.au/suicide-self-harm-monitoring&lt;/url&gt;&lt;/related-urls&gt;&lt;/urls&gt;&lt;custom1&gt;2023&lt;/custom1&gt;&lt;custom2&gt;October 30&lt;/custom2&gt;&lt;/record&gt;&lt;/Cite&gt;&lt;/EndNote&gt;</w:instrText>
        </w:r>
        <w:r w:rsidR="002D6F18" w:rsidRPr="00644BE1">
          <w:rPr>
            <w:vertAlign w:val="superscript"/>
          </w:rPr>
          <w:fldChar w:fldCharType="separate"/>
        </w:r>
        <w:r w:rsidR="002D6F18">
          <w:rPr>
            <w:noProof/>
            <w:vertAlign w:val="superscript"/>
          </w:rPr>
          <w:t>195</w:t>
        </w:r>
        <w:r w:rsidR="002D6F18" w:rsidRPr="00644BE1">
          <w:rPr>
            <w:vertAlign w:val="superscript"/>
          </w:rPr>
          <w:fldChar w:fldCharType="end"/>
        </w:r>
      </w:hyperlink>
      <w:r w:rsidR="00644BE1" w:rsidRPr="00644BE1">
        <w:rPr>
          <w:vertAlign w:val="superscript"/>
        </w:rPr>
        <w:t>,</w:t>
      </w:r>
      <w:hyperlink w:anchor="_ENREF_222" w:tooltip="K, 2023 #244" w:history="1">
        <w:r w:rsidR="002D6F18" w:rsidRPr="00644BE1">
          <w:rPr>
            <w:vertAlign w:val="superscript"/>
          </w:rPr>
          <w:fldChar w:fldCharType="begin"/>
        </w:r>
        <w:r w:rsidR="002D6F18">
          <w:rPr>
            <w:vertAlign w:val="superscript"/>
          </w:rPr>
          <w:instrText xml:space="preserve"> ADDIN EN.CITE &lt;EndNote&gt;&lt;Cite&gt;&lt;Author&gt;K&lt;/Author&gt;&lt;Year&gt;2023&lt;/Year&gt;&lt;RecNum&gt;244&lt;/RecNum&gt;&lt;DisplayText&gt;&lt;style face="superscript"&gt;222&lt;/style&gt;&lt;/DisplayText&gt;&lt;record&gt;&lt;rec-number&gt;244&lt;/rec-number&gt;&lt;foreign-keys&gt;&lt;key app="EN" db-id="rsettzd2isasdweewww55s9lffasxav0d0ft" timestamp="1700699470" guid="9cce2ba1-1a4a-4c7e-9650-9521383c9717"&gt;244&lt;/key&gt;&lt;/foreign-keys&gt;&lt;ref-type name="Journal Article"&gt;17&lt;/ref-type&gt;&lt;contributors&gt;&lt;authors&gt;&lt;author&gt;Witt K&lt;/author&gt;&lt;author&gt;Rajaram G&lt;/author&gt;&lt;author&gt;Lamblin M&lt;/author&gt;&lt;author&gt;Knott J&lt;/author&gt;&lt;author&gt;Dean A&lt;/author&gt;&lt;author&gt;Spittal MJ&lt;/author&gt;&lt;author&gt;Carter G&lt;/author&gt;&lt;author&gt;Page A&lt;/author&gt;&lt;author&gt;Pirkis J&lt;/author&gt;&lt;author&gt;Robinson J&lt;/author&gt;&lt;/authors&gt;&lt;/contributors&gt;&lt;titles&gt;&lt;title&gt;Characteristics of Self-Harm Presentations to the Emergency Department of the Royal Melbourne Hospital, 2012–2019: Data from the Self-Harm Monitoring System for Victoria&lt;/title&gt;&lt;secondary-title&gt;Australasian Emergency Care&lt;/secondary-title&gt;&lt;/titles&gt;&lt;periodical&gt;&lt;full-title&gt;Australasian Emergency Care&lt;/full-title&gt;&lt;/periodical&gt;&lt;dates&gt;&lt;year&gt;2023&lt;/year&gt;&lt;/dates&gt;&lt;urls&gt;&lt;/urls&gt;&lt;electronic-resource-num&gt;DOI: 10.1016/j.auec.2023.01.003&lt;/electronic-resource-num&gt;&lt;/record&gt;&lt;/Cite&gt;&lt;/EndNote&gt;</w:instrText>
        </w:r>
        <w:r w:rsidR="002D6F18" w:rsidRPr="00644BE1">
          <w:rPr>
            <w:vertAlign w:val="superscript"/>
          </w:rPr>
          <w:fldChar w:fldCharType="separate"/>
        </w:r>
        <w:r w:rsidR="002D6F18">
          <w:rPr>
            <w:noProof/>
            <w:vertAlign w:val="superscript"/>
          </w:rPr>
          <w:t>222</w:t>
        </w:r>
        <w:r w:rsidR="002D6F18" w:rsidRPr="00644BE1">
          <w:rPr>
            <w:vertAlign w:val="superscript"/>
          </w:rPr>
          <w:fldChar w:fldCharType="end"/>
        </w:r>
      </w:hyperlink>
      <w:r w:rsidRPr="00B768A1">
        <w:rPr>
          <w:vertAlign w:val="superscript"/>
        </w:rPr>
        <w:t xml:space="preserve"> </w:t>
      </w:r>
      <w:r w:rsidRPr="00B768A1">
        <w:t>Expanding these supports will improve timely access to appropriate care for people in suicidal crisis</w:t>
      </w:r>
      <w:r w:rsidR="7534EA09" w:rsidRPr="00B768A1">
        <w:t xml:space="preserve"> (</w:t>
      </w:r>
      <w:r w:rsidR="499725E2">
        <w:t>actions ko</w:t>
      </w:r>
      <w:r w:rsidR="4E34F826">
        <w:t>7</w:t>
      </w:r>
      <w:r w:rsidR="7534EA09" w:rsidRPr="00B768A1">
        <w:t>.2a</w:t>
      </w:r>
      <w:r w:rsidR="499725E2">
        <w:t xml:space="preserve"> and </w:t>
      </w:r>
      <w:r w:rsidR="7534EA09" w:rsidRPr="00B768A1">
        <w:t>b)</w:t>
      </w:r>
      <w:r w:rsidRPr="00B768A1">
        <w:t>.</w:t>
      </w:r>
    </w:p>
    <w:p w14:paraId="31BB6604" w14:textId="40DF28D0" w:rsidR="000A7BDA" w:rsidRPr="00086B9C" w:rsidRDefault="22047D58" w:rsidP="00634A83">
      <w:r w:rsidRPr="00B768A1">
        <w:t>G</w:t>
      </w:r>
      <w:r w:rsidR="3605BDAC" w:rsidRPr="00B768A1">
        <w:t>iven people</w:t>
      </w:r>
      <w:r w:rsidR="55AAAAAE" w:rsidRPr="00B768A1">
        <w:t>’s</w:t>
      </w:r>
      <w:r w:rsidR="3605BDAC" w:rsidRPr="00B768A1">
        <w:t xml:space="preserve"> engag</w:t>
      </w:r>
      <w:r w:rsidR="545209EF" w:rsidRPr="00B768A1">
        <w:t>e</w:t>
      </w:r>
      <w:r w:rsidR="55AAAAAE" w:rsidRPr="00B768A1">
        <w:t>ment</w:t>
      </w:r>
      <w:r w:rsidR="3605BDAC" w:rsidRPr="00B768A1">
        <w:t xml:space="preserve"> with digital technologies</w:t>
      </w:r>
      <w:r w:rsidR="0D463077" w:rsidRPr="00B768A1">
        <w:t xml:space="preserve"> generally</w:t>
      </w:r>
      <w:r w:rsidR="3605BDAC" w:rsidRPr="00B768A1">
        <w:t xml:space="preserve">, the use of technology to identify signs of distress, provide psychoeducation, and facilitate connection may improve </w:t>
      </w:r>
      <w:r w:rsidR="49EDAA06" w:rsidRPr="00B768A1">
        <w:t xml:space="preserve">access to and </w:t>
      </w:r>
      <w:r w:rsidR="3605BDAC" w:rsidRPr="00B768A1">
        <w:t>engagement with supports.</w:t>
      </w:r>
      <w:hyperlink w:anchor="_ENREF_223" w:tooltip="J, 2019 #198" w:history="1">
        <w:r w:rsidR="002D6F18" w:rsidRPr="001A2109">
          <w:rPr>
            <w:vertAlign w:val="superscript"/>
          </w:rPr>
          <w:fldChar w:fldCharType="begin"/>
        </w:r>
        <w:r w:rsidR="002D6F18">
          <w:rPr>
            <w:vertAlign w:val="superscript"/>
          </w:rPr>
          <w:instrText xml:space="preserve"> ADDIN EN.CITE &lt;EndNote&gt;&lt;Cite&gt;&lt;Author&gt;J&lt;/Author&gt;&lt;Year&gt;2019&lt;/Year&gt;&lt;RecNum&gt;198&lt;/RecNum&gt;&lt;DisplayText&gt;&lt;style face="superscript"&gt;223&lt;/style&gt;&lt;/DisplayText&gt;&lt;record&gt;&lt;rec-number&gt;198&lt;/rec-number&gt;&lt;foreign-keys&gt;&lt;key app="EN" db-id="rsettzd2isasdweewww55s9lffasxav0d0ft" timestamp="1700699469" guid="68e4bcd3-e8ac-457e-beed-73af90338b6f"&gt;198&lt;/key&gt;&lt;/foreign-keys&gt;&lt;ref-type name="Journal Article"&gt;17&lt;/ref-type&gt;&lt;contributors&gt;&lt;authors&gt;&lt;author&gt;Torous J&lt;/author&gt;&lt;author&gt;Walker R &lt;/author&gt;&lt;/authors&gt;&lt;/contributors&gt;&lt;titles&gt;&lt;title&gt;Leveraging Digital Health and Machine Learning Toward Reducing Suicide - From Panacea to Practical Tool&lt;/title&gt;&lt;secondary-title&gt;JAMA Psychiatry&lt;/secondary-title&gt;&lt;/titles&gt;&lt;periodical&gt;&lt;full-title&gt;JAMA Psychiatry&lt;/full-title&gt;&lt;/periodical&gt;&lt;dates&gt;&lt;year&gt;2019&lt;/year&gt;&lt;/dates&gt;&lt;urls&gt;&lt;/urls&gt;&lt;electronic-resource-num&gt;DOI: 10.1001/jamapsychiatry.2019.1231&lt;/electronic-resource-num&gt;&lt;/record&gt;&lt;/Cite&gt;&lt;/EndNote&gt;</w:instrText>
        </w:r>
        <w:r w:rsidR="002D6F18" w:rsidRPr="001A2109">
          <w:rPr>
            <w:vertAlign w:val="superscript"/>
          </w:rPr>
          <w:fldChar w:fldCharType="separate"/>
        </w:r>
        <w:r w:rsidR="002D6F18">
          <w:rPr>
            <w:noProof/>
            <w:vertAlign w:val="superscript"/>
          </w:rPr>
          <w:t>223</w:t>
        </w:r>
        <w:r w:rsidR="002D6F18" w:rsidRPr="001A2109">
          <w:rPr>
            <w:vertAlign w:val="superscript"/>
          </w:rPr>
          <w:fldChar w:fldCharType="end"/>
        </w:r>
      </w:hyperlink>
      <w:r w:rsidR="00644BE1" w:rsidRPr="001A2109">
        <w:rPr>
          <w:vertAlign w:val="superscript"/>
        </w:rPr>
        <w:t>,</w:t>
      </w:r>
      <w:hyperlink w:anchor="_ENREF_224" w:tooltip="A, 2016 #199" w:history="1">
        <w:r w:rsidR="002D6F18" w:rsidRPr="001A2109">
          <w:rPr>
            <w:vertAlign w:val="superscript"/>
          </w:rPr>
          <w:fldChar w:fldCharType="begin"/>
        </w:r>
        <w:r w:rsidR="002D6F18">
          <w:rPr>
            <w:vertAlign w:val="superscript"/>
          </w:rPr>
          <w:instrText xml:space="preserve"> ADDIN EN.CITE &lt;EndNote&gt;&lt;Cite&gt;&lt;Author&gt;A&lt;/Author&gt;&lt;Year&gt;2016&lt;/Year&gt;&lt;RecNum&gt;199&lt;/RecNum&gt;&lt;DisplayText&gt;&lt;style face="superscript"&gt;224&lt;/style&gt;&lt;/DisplayText&gt;&lt;record&gt;&lt;rec-number&gt;199&lt;/rec-number&gt;&lt;foreign-keys&gt;&lt;key app="EN" db-id="rsettzd2isasdweewww55s9lffasxav0d0ft" timestamp="1700699469" guid="28498429-6230-4615-911b-f862b3633b65"&gt;199&lt;/key&gt;&lt;/foreign-keys&gt;&lt;ref-type name="Web Page"&gt;12&lt;/ref-type&gt;&lt;contributors&gt;&lt;authors&gt;&lt;author&gt;Vahabzadeh A&lt;/author&gt;&lt;author&gt;Sahin N&lt;/author&gt;&lt;author&gt;Kalali A&lt;/author&gt;&lt;/authors&gt;&lt;/contributors&gt;&lt;titles&gt;&lt;title&gt;Digital Suicide Prevention: Can Technology Become a Game-Changer?&lt;/title&gt;&lt;/titles&gt;&lt;dates&gt;&lt;year&gt;2016&lt;/year&gt;&lt;/dates&gt;&lt;publisher&gt;Innovations in Clinical Neuroscience&lt;/publisher&gt;&lt;work-type&gt;Internet&lt;/work-type&gt;&lt;urls&gt;&lt;related-urls&gt;&lt;url&gt;https://www.ncbi.nlm.nih.gov/pmc/articles/PMC5077254/&lt;/url&gt;&lt;/related-urls&gt;&lt;/urls&gt;&lt;custom1&gt;2023&lt;/custom1&gt;&lt;custom2&gt;October 31&lt;/custom2&gt;&lt;/record&gt;&lt;/Cite&gt;&lt;/EndNote&gt;</w:instrText>
        </w:r>
        <w:r w:rsidR="002D6F18" w:rsidRPr="001A2109">
          <w:rPr>
            <w:vertAlign w:val="superscript"/>
          </w:rPr>
          <w:fldChar w:fldCharType="separate"/>
        </w:r>
        <w:r w:rsidR="002D6F18">
          <w:rPr>
            <w:noProof/>
            <w:vertAlign w:val="superscript"/>
          </w:rPr>
          <w:t>224</w:t>
        </w:r>
        <w:r w:rsidR="002D6F18" w:rsidRPr="001A2109">
          <w:rPr>
            <w:vertAlign w:val="superscript"/>
          </w:rPr>
          <w:fldChar w:fldCharType="end"/>
        </w:r>
      </w:hyperlink>
      <w:r w:rsidR="00644BE1" w:rsidRPr="001A2109">
        <w:rPr>
          <w:vertAlign w:val="superscript"/>
        </w:rPr>
        <w:t>,</w:t>
      </w:r>
      <w:hyperlink w:anchor="_ENREF_225" w:tooltip="J, 2016 #181" w:history="1">
        <w:r w:rsidR="002D6F18" w:rsidRPr="001A2109">
          <w:rPr>
            <w:vertAlign w:val="superscript"/>
          </w:rPr>
          <w:fldChar w:fldCharType="begin"/>
        </w:r>
        <w:r w:rsidR="002D6F18">
          <w:rPr>
            <w:vertAlign w:val="superscript"/>
          </w:rPr>
          <w:instrText xml:space="preserve"> ADDIN EN.CITE &lt;EndNote&gt;&lt;Cite&gt;&lt;Author&gt;J&lt;/Author&gt;&lt;Year&gt;2016&lt;/Year&gt;&lt;RecNum&gt;181&lt;/RecNum&gt;&lt;DisplayText&gt;&lt;style face="superscript"&gt;225&lt;/style&gt;&lt;/DisplayText&gt;&lt;record&gt;&lt;rec-number&gt;181&lt;/rec-number&gt;&lt;foreign-keys&gt;&lt;key app="EN" db-id="rsettzd2isasdweewww55s9lffasxav0d0ft" timestamp="1700699468" guid="f41eb9bf-afea-46c6-8b9e-a9ba2fcfbfaf"&gt;181&lt;/key&gt;&lt;/foreign-keys&gt;&lt;ref-type name="Journal Article"&gt;17&lt;/ref-type&gt;&lt;contributors&gt;&lt;authors&gt;&lt;author&gt;Robinson J&lt;/author&gt;&lt;author&gt;Hetrick S&lt;/author&gt;&lt;author&gt;Cox G&lt;/author&gt;&lt;author&gt;Bendall S&lt;/author&gt;&lt;author&gt;Yuen HP&lt;/author&gt;&lt;author&gt;Yung A&lt;/author&gt;&lt;author&gt;Pirkis J&lt;/author&gt;&lt;/authors&gt;&lt;/contributors&gt;&lt;titles&gt;&lt;title&gt;Can an Internet‐Based Intervention Reduce Suicidal Ideation, Depression and Hopelessness Among Secondary School Students: Results from a Pilot Study&lt;/title&gt;&lt;secondary-title&gt;Early Intervention in Psychiatry&lt;/secondary-title&gt;&lt;/titles&gt;&lt;periodical&gt;&lt;full-title&gt;Early Intervention in Psychiatry&lt;/full-title&gt;&lt;/periodical&gt;&lt;dates&gt;&lt;year&gt;2016&lt;/year&gt;&lt;/dates&gt;&lt;urls&gt;&lt;/urls&gt;&lt;electronic-resource-num&gt;DOI: 10.1111/eip.12137&lt;/electronic-resource-num&gt;&lt;/record&gt;&lt;/Cite&gt;&lt;/EndNote&gt;</w:instrText>
        </w:r>
        <w:r w:rsidR="002D6F18" w:rsidRPr="001A2109">
          <w:rPr>
            <w:vertAlign w:val="superscript"/>
          </w:rPr>
          <w:fldChar w:fldCharType="separate"/>
        </w:r>
        <w:r w:rsidR="002D6F18">
          <w:rPr>
            <w:noProof/>
            <w:vertAlign w:val="superscript"/>
          </w:rPr>
          <w:t>225</w:t>
        </w:r>
        <w:r w:rsidR="002D6F18" w:rsidRPr="001A2109">
          <w:rPr>
            <w:vertAlign w:val="superscript"/>
          </w:rPr>
          <w:fldChar w:fldCharType="end"/>
        </w:r>
      </w:hyperlink>
      <w:r w:rsidR="00644BE1">
        <w:t xml:space="preserve"> </w:t>
      </w:r>
    </w:p>
    <w:p w14:paraId="4F8DAE96" w14:textId="37BC0DAE" w:rsidR="003F3F65" w:rsidRDefault="00086B9C" w:rsidP="00634A83">
      <w:r>
        <w:t xml:space="preserve">The recommended actions to </w:t>
      </w:r>
      <w:r w:rsidR="00A76936">
        <w:t xml:space="preserve">ensure rapid support for people in suicidal crisis </w:t>
      </w:r>
      <w:r>
        <w:t>are described in</w:t>
      </w:r>
      <w:r w:rsidR="00C146BA">
        <w:t xml:space="preserve"> </w:t>
      </w:r>
      <w:r>
        <w:fldChar w:fldCharType="begin"/>
      </w:r>
      <w:r>
        <w:instrText xml:space="preserve"> REF _Ref164869994 \h </w:instrText>
      </w:r>
      <w:r>
        <w:fldChar w:fldCharType="separate"/>
      </w:r>
      <w:r w:rsidR="009F12B4">
        <w:t xml:space="preserve">Table </w:t>
      </w:r>
      <w:r w:rsidR="009F12B4">
        <w:rPr>
          <w:noProof/>
        </w:rPr>
        <w:t>20</w:t>
      </w:r>
      <w:r>
        <w:fldChar w:fldCharType="end"/>
      </w:r>
      <w:r>
        <w:t>.</w:t>
      </w:r>
    </w:p>
    <w:p w14:paraId="485815A9" w14:textId="77777777" w:rsidR="00A76936" w:rsidRDefault="00A76936" w:rsidP="00634A83"/>
    <w:p w14:paraId="059ABBB5" w14:textId="77777777" w:rsidR="00325609" w:rsidRDefault="00325609" w:rsidP="00634A83"/>
    <w:p w14:paraId="16201771" w14:textId="36E46309" w:rsidR="00D02231" w:rsidRPr="001F6C3D" w:rsidRDefault="00A76936" w:rsidP="00D81ABA">
      <w:pPr>
        <w:pStyle w:val="BT-Livedexperience-Green-Heading"/>
        <w:ind w:firstLine="465"/>
      </w:pPr>
      <w:r>
        <w:rPr>
          <w:noProof/>
        </w:rPr>
        <w:drawing>
          <wp:anchor distT="0" distB="0" distL="114300" distR="114300" simplePos="0" relativeHeight="251658252" behindDoc="0" locked="0" layoutInCell="1" allowOverlap="1" wp14:anchorId="7EF92425" wp14:editId="50E1B5A5">
            <wp:simplePos x="0" y="0"/>
            <wp:positionH relativeFrom="column">
              <wp:posOffset>80010</wp:posOffset>
            </wp:positionH>
            <wp:positionV relativeFrom="paragraph">
              <wp:posOffset>76933</wp:posOffset>
            </wp:positionV>
            <wp:extent cx="318770" cy="318770"/>
            <wp:effectExtent l="0" t="0" r="5080" b="5080"/>
            <wp:wrapNone/>
            <wp:docPr id="1092371845" name="Graphic 1092371845" descr="Start of quotation from Lived Experience Partnership Group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92371845"/>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rot="16200000">
                      <a:off x="0" y="0"/>
                      <a:ext cx="318770" cy="318770"/>
                    </a:xfrm>
                    <a:prstGeom prst="rect">
                      <a:avLst/>
                    </a:prstGeom>
                  </pic:spPr>
                </pic:pic>
              </a:graphicData>
            </a:graphic>
          </wp:anchor>
        </w:drawing>
      </w:r>
      <w:r w:rsidR="6AA6EC8B" w:rsidRPr="04A3B251">
        <w:t>Reflections from people with lived experience</w:t>
      </w:r>
    </w:p>
    <w:p w14:paraId="197A2D1D" w14:textId="1E4D7295" w:rsidR="00D02231" w:rsidRPr="00B768A1" w:rsidRDefault="001A1519" w:rsidP="00634A83">
      <w:pPr>
        <w:pStyle w:val="BT-Livedexperience-Green"/>
      </w:pPr>
      <w:r>
        <w:t>“</w:t>
      </w:r>
      <w:r w:rsidR="00D02231">
        <w:t xml:space="preserve">After my discharge from the psychiatric ward, I felt highly vulnerable and fragile. The fear of losing my </w:t>
      </w:r>
      <w:r w:rsidR="00D02231" w:rsidRPr="19ACB611">
        <w:rPr>
          <w:rStyle w:val="Strong"/>
          <w:b w:val="0"/>
        </w:rPr>
        <w:t>support system</w:t>
      </w:r>
      <w:r w:rsidR="00D02231" w:rsidRPr="1CA550E0">
        <w:rPr>
          <w:rStyle w:val="Strong"/>
        </w:rPr>
        <w:t xml:space="preserve"> </w:t>
      </w:r>
      <w:r w:rsidR="00D02231">
        <w:t>and experiencing a relapse in my mental health weighed heavily on my mind. It was during this critical time that a peer worker introduced me to ‘Safe Haven’</w:t>
      </w:r>
      <w:r w:rsidR="00D02231" w:rsidRPr="1CA550E0">
        <w:rPr>
          <w:i/>
          <w:iCs/>
        </w:rPr>
        <w:t xml:space="preserve">, </w:t>
      </w:r>
      <w:r w:rsidR="00D02231">
        <w:t xml:space="preserve">a community café designed for individuals facing mental health challenges. </w:t>
      </w:r>
    </w:p>
    <w:p w14:paraId="7F21629C" w14:textId="53CD764D" w:rsidR="00D02231" w:rsidRPr="00B768A1" w:rsidRDefault="000C5FDE" w:rsidP="00634A83">
      <w:pPr>
        <w:pStyle w:val="BT-Livedexperience-Green"/>
      </w:pPr>
      <w:r w:rsidRPr="00B768A1">
        <w:t>“</w:t>
      </w:r>
      <w:r w:rsidR="00D02231" w:rsidRPr="00B768A1">
        <w:t xml:space="preserve">During my first visit to the café, I was truly captivated by the </w:t>
      </w:r>
      <w:r w:rsidR="00D02231">
        <w:t>atmosphere</w:t>
      </w:r>
      <w:r w:rsidR="00D02231" w:rsidRPr="00B768A1">
        <w:t xml:space="preserve">. It exuded a </w:t>
      </w:r>
      <w:r w:rsidR="00D02231">
        <w:t>sense of safety</w:t>
      </w:r>
      <w:r w:rsidR="00D02231" w:rsidRPr="003968DE">
        <w:t xml:space="preserve"> </w:t>
      </w:r>
      <w:r w:rsidR="00D02231" w:rsidRPr="00B768A1">
        <w:t xml:space="preserve">and </w:t>
      </w:r>
      <w:r w:rsidR="00D02231">
        <w:t>acceptance</w:t>
      </w:r>
      <w:r w:rsidR="00D02231" w:rsidRPr="00B768A1">
        <w:t xml:space="preserve">, surrounded by fellow peers. Here, we had the </w:t>
      </w:r>
      <w:r w:rsidR="00D02231">
        <w:t>autonomy</w:t>
      </w:r>
      <w:r w:rsidR="00D02231" w:rsidRPr="00B768A1">
        <w:t xml:space="preserve"> to engage in self-care through art, sensory modulation, music, or simply by interacting with others who shared </w:t>
      </w:r>
      <w:r w:rsidR="00D02231">
        <w:t>similar lived experiences</w:t>
      </w:r>
      <w:r w:rsidR="00D02231" w:rsidRPr="00B768A1">
        <w:t xml:space="preserve">. This community experience proved to be incredibly rewarding for me, </w:t>
      </w:r>
      <w:r w:rsidR="00D02231">
        <w:t>alleviating the sense of isolation</w:t>
      </w:r>
      <w:r w:rsidR="00D02231" w:rsidRPr="003968DE">
        <w:t xml:space="preserve"> </w:t>
      </w:r>
      <w:r w:rsidR="00D02231" w:rsidRPr="00B768A1">
        <w:t xml:space="preserve">I had been feeling. It </w:t>
      </w:r>
      <w:r w:rsidR="00D02231">
        <w:t>facilitated connections</w:t>
      </w:r>
      <w:r w:rsidR="00D02231" w:rsidRPr="003968DE">
        <w:t xml:space="preserve"> </w:t>
      </w:r>
      <w:r w:rsidR="00D02231" w:rsidRPr="00B768A1">
        <w:t xml:space="preserve">with like-minded individuals and provided an opportunity to learn from the journeys of others; all of which significantly </w:t>
      </w:r>
      <w:r w:rsidR="00D02231">
        <w:t>supported my own recovery</w:t>
      </w:r>
      <w:r w:rsidR="00D02231" w:rsidRPr="00B768A1">
        <w:t>.</w:t>
      </w:r>
    </w:p>
    <w:p w14:paraId="720FD6E0" w14:textId="7347FE61" w:rsidR="00D02231" w:rsidRDefault="00D02231" w:rsidP="00934B8E">
      <w:pPr>
        <w:pStyle w:val="BT-Livedexperience-Green"/>
        <w:jc w:val="right"/>
        <w:rPr>
          <w:rStyle w:val="Strong"/>
          <w:b w:val="0"/>
          <w:bCs w:val="0"/>
        </w:rPr>
      </w:pPr>
      <w:r w:rsidRPr="00B768A1">
        <w:rPr>
          <w:rStyle w:val="Strong"/>
        </w:rPr>
        <w:t>Isha Garg</w:t>
      </w:r>
      <w:r w:rsidRPr="003968DE">
        <w:rPr>
          <w:rStyle w:val="Strong"/>
          <w:b w:val="0"/>
          <w:bCs w:val="0"/>
        </w:rPr>
        <w:t>, Lived Experience Partnership Group member</w:t>
      </w:r>
    </w:p>
    <w:p w14:paraId="4688C4A0" w14:textId="79E34FD1" w:rsidR="00086B9C" w:rsidRPr="00B768A1" w:rsidRDefault="1D321E61" w:rsidP="4D6D8F9B">
      <w:pPr>
        <w:pStyle w:val="Caption"/>
        <w:rPr>
          <w:rStyle w:val="Strong"/>
          <w:b/>
        </w:rPr>
      </w:pPr>
      <w:bookmarkStart w:id="102" w:name="_Ref164869994"/>
      <w:r>
        <w:t xml:space="preserve">Table </w:t>
      </w:r>
      <w:r w:rsidR="00376230" w:rsidRPr="4D6D8F9B">
        <w:fldChar w:fldCharType="begin"/>
      </w:r>
      <w:r w:rsidR="00376230">
        <w:instrText>SEQ Table \* ARABIC  \* MERGEFORMAT</w:instrText>
      </w:r>
      <w:r w:rsidR="00376230" w:rsidRPr="4D6D8F9B">
        <w:fldChar w:fldCharType="separate"/>
      </w:r>
      <w:r w:rsidR="009F12B4">
        <w:rPr>
          <w:noProof/>
        </w:rPr>
        <w:t>20</w:t>
      </w:r>
      <w:r w:rsidR="00376230" w:rsidRPr="4D6D8F9B">
        <w:rPr>
          <w:noProof/>
        </w:rPr>
        <w:fldChar w:fldCharType="end"/>
      </w:r>
      <w:bookmarkEnd w:id="102"/>
      <w:r w:rsidR="5B3F6142">
        <w:t xml:space="preserve">: Recommended actions for Support objective </w:t>
      </w:r>
      <w:r w:rsidR="71C0A4C4">
        <w:t>7</w:t>
      </w:r>
      <w:r w:rsidR="5B3F6142">
        <w:t xml:space="preserve">.2: </w:t>
      </w:r>
      <w:r w:rsidR="41554142">
        <w:t>Rapid</w:t>
      </w:r>
      <w:r w:rsidR="5B3F6142">
        <w:t xml:space="preserve"> support for people in suicidal crisis</w:t>
      </w:r>
    </w:p>
    <w:tbl>
      <w:tblPr>
        <w:tblStyle w:val="TableGrid"/>
        <w:tblW w:w="9067" w:type="dxa"/>
        <w:tblLook w:val="0420" w:firstRow="1" w:lastRow="0" w:firstColumn="0" w:lastColumn="0" w:noHBand="0" w:noVBand="1"/>
        <w:tblCaption w:val="Recommended actions for Support objective 4.2: Timey access to support for people in suicidal crisis"/>
        <w:tblDescription w:val="Describes actions ko4.2a, ko4.2b and ko4.2c."/>
      </w:tblPr>
      <w:tblGrid>
        <w:gridCol w:w="1053"/>
        <w:gridCol w:w="8014"/>
      </w:tblGrid>
      <w:tr w:rsidR="00D81ABA" w:rsidRPr="00D13E77" w14:paraId="552697CC" w14:textId="77777777" w:rsidTr="00D81ABA">
        <w:trPr>
          <w:cnfStyle w:val="100000000000" w:firstRow="1" w:lastRow="0" w:firstColumn="0" w:lastColumn="0" w:oddVBand="0" w:evenVBand="0" w:oddHBand="0" w:evenHBand="0" w:firstRowFirstColumn="0" w:firstRowLastColumn="0" w:lastRowFirstColumn="0" w:lastRowLastColumn="0"/>
          <w:cantSplit/>
          <w:tblHeader/>
        </w:trPr>
        <w:tc>
          <w:tcPr>
            <w:tcW w:w="10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9782"/>
          </w:tcPr>
          <w:p w14:paraId="1B1485D9" w14:textId="521D95FC" w:rsidR="00D81ABA" w:rsidRPr="00D13E77" w:rsidRDefault="00D81ABA" w:rsidP="004F5B0E">
            <w:pPr>
              <w:pStyle w:val="NMHCTableHeaderRow"/>
            </w:pPr>
            <w:r w:rsidRPr="00D13E77">
              <w:t>Action</w:t>
            </w:r>
          </w:p>
        </w:tc>
        <w:tc>
          <w:tcPr>
            <w:tcW w:w="80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9782"/>
            <w:tcMar>
              <w:top w:w="28" w:type="dxa"/>
              <w:bottom w:w="28" w:type="dxa"/>
            </w:tcMar>
          </w:tcPr>
          <w:p w14:paraId="7D5F834F" w14:textId="0F3B2A78" w:rsidR="00D81ABA" w:rsidRPr="00D13E77" w:rsidRDefault="00D81ABA" w:rsidP="004F5B0E">
            <w:pPr>
              <w:pStyle w:val="NMHCTableHeaderRow"/>
            </w:pPr>
            <w:r w:rsidRPr="00D13E77">
              <w:t>Description</w:t>
            </w:r>
          </w:p>
        </w:tc>
      </w:tr>
      <w:tr w:rsidR="00D81ABA" w:rsidRPr="00B768A1" w14:paraId="11EE331D" w14:textId="77777777" w:rsidTr="00D81ABA">
        <w:tc>
          <w:tcPr>
            <w:tcW w:w="1053" w:type="dxa"/>
            <w:tcBorders>
              <w:top w:val="single" w:sz="4" w:space="0" w:color="FFFFFF" w:themeColor="background1"/>
            </w:tcBorders>
          </w:tcPr>
          <w:p w14:paraId="55C0535B" w14:textId="138F9164" w:rsidR="00D81ABA" w:rsidRPr="00DE2BC2" w:rsidRDefault="00D81ABA" w:rsidP="00634A83">
            <w:r>
              <w:t>ko7.2a</w:t>
            </w:r>
          </w:p>
        </w:tc>
        <w:tc>
          <w:tcPr>
            <w:tcW w:w="8014" w:type="dxa"/>
            <w:tcBorders>
              <w:top w:val="single" w:sz="4" w:space="0" w:color="FFFFFF" w:themeColor="background1"/>
            </w:tcBorders>
            <w:tcMar>
              <w:top w:w="28" w:type="dxa"/>
              <w:bottom w:w="28" w:type="dxa"/>
            </w:tcMar>
          </w:tcPr>
          <w:p w14:paraId="4E4ABAC0" w14:textId="334F8556" w:rsidR="00D81ABA" w:rsidRPr="00B768A1" w:rsidRDefault="00D81ABA" w:rsidP="00634A83">
            <w:r>
              <w:t xml:space="preserve">Review co-responder models (that is, joint response to emergency service calls for suicidal crisis by police and/or ambulance with a clinician or suicide prevention peer support worker) in Australia and use the findings to establish guidelines for a best-practice national approach, including culturally appropriate responses for Aboriginal and Torres Strait Islander people. </w:t>
            </w:r>
          </w:p>
        </w:tc>
      </w:tr>
      <w:tr w:rsidR="00D81ABA" w:rsidRPr="00B768A1" w14:paraId="087ED8E5" w14:textId="77777777" w:rsidTr="00D81ABA">
        <w:tc>
          <w:tcPr>
            <w:tcW w:w="1053" w:type="dxa"/>
          </w:tcPr>
          <w:p w14:paraId="7A2BACEF" w14:textId="3608FA17" w:rsidR="00D81ABA" w:rsidRPr="001D73D3" w:rsidRDefault="00D81ABA" w:rsidP="00634A83">
            <w:r>
              <w:t>ko7.2b</w:t>
            </w:r>
          </w:p>
        </w:tc>
        <w:tc>
          <w:tcPr>
            <w:tcW w:w="8014" w:type="dxa"/>
            <w:tcMar>
              <w:top w:w="28" w:type="dxa"/>
              <w:bottom w:w="28" w:type="dxa"/>
            </w:tcMar>
          </w:tcPr>
          <w:p w14:paraId="27A8B297" w14:textId="47F72D3D" w:rsidR="00D81ABA" w:rsidRPr="00B768A1" w:rsidRDefault="00D81ABA" w:rsidP="00634A83">
            <w:r>
              <w:t>Evaluate safe space services in Australia, to inform the development of best-practice guidelines to inform co-design of future safe space services.</w:t>
            </w:r>
          </w:p>
          <w:p w14:paraId="78963F03" w14:textId="0DD81E2E" w:rsidR="00D81ABA" w:rsidRPr="00B768A1" w:rsidRDefault="00D81ABA" w:rsidP="00634A83">
            <w:r>
              <w:t>The guidelines should include advice on safe space services for young people.</w:t>
            </w:r>
          </w:p>
        </w:tc>
      </w:tr>
      <w:tr w:rsidR="00D81ABA" w:rsidRPr="00B768A1" w14:paraId="4831B86A" w14:textId="77777777" w:rsidTr="00D81ABA">
        <w:tc>
          <w:tcPr>
            <w:tcW w:w="1053" w:type="dxa"/>
          </w:tcPr>
          <w:p w14:paraId="05537EB2" w14:textId="116F0A45" w:rsidR="00D81ABA" w:rsidRPr="00B768A1" w:rsidRDefault="00D81ABA" w:rsidP="00634A83">
            <w:pPr>
              <w:rPr>
                <w:b/>
              </w:rPr>
            </w:pPr>
            <w:r w:rsidRPr="50DFD766">
              <w:t>ko7.2c</w:t>
            </w:r>
          </w:p>
        </w:tc>
        <w:tc>
          <w:tcPr>
            <w:tcW w:w="8014" w:type="dxa"/>
            <w:tcMar>
              <w:top w:w="28" w:type="dxa"/>
              <w:bottom w:w="28" w:type="dxa"/>
            </w:tcMar>
          </w:tcPr>
          <w:p w14:paraId="6F301A4C" w14:textId="6F338F93" w:rsidR="00D81ABA" w:rsidRPr="00B768A1" w:rsidRDefault="00D81ABA" w:rsidP="00634A83">
            <w:r w:rsidRPr="756626F3">
              <w:t xml:space="preserve">Investigate opportunities to use technologies, including artificial intelligence, to identify and respond to emerging distress including suicidal thoughts on online platforms via collaboration with </w:t>
            </w:r>
            <w:r>
              <w:t>technology companies and leveraging relevant international work.</w:t>
            </w:r>
          </w:p>
        </w:tc>
      </w:tr>
    </w:tbl>
    <w:p w14:paraId="367C9A44" w14:textId="6BE9AF3D" w:rsidR="00682A5B" w:rsidRPr="00B768A1" w:rsidRDefault="7DC9573F" w:rsidP="00D81ABA">
      <w:pPr>
        <w:pStyle w:val="heading3support"/>
      </w:pPr>
      <w:bookmarkStart w:id="103" w:name="_Toc679462053"/>
      <w:bookmarkStart w:id="104" w:name="_Toc142403295"/>
      <w:bookmarkStart w:id="105" w:name="_Toc142407470"/>
      <w:bookmarkEnd w:id="98"/>
      <w:bookmarkEnd w:id="99"/>
      <w:bookmarkEnd w:id="100"/>
      <w:r>
        <w:t>7</w:t>
      </w:r>
      <w:r w:rsidR="00682A5B" w:rsidRPr="00B768A1">
        <w:t>.3 Appropriate and acceptable delivery of support</w:t>
      </w:r>
    </w:p>
    <w:p w14:paraId="3CE685FD" w14:textId="0606B8E9" w:rsidR="5C2C0F5B" w:rsidRDefault="7A590B68" w:rsidP="00634A83">
      <w:r>
        <w:t>To be truly accessible, supports also need to be appropriate for and acceptable to the people that use them.</w:t>
      </w:r>
    </w:p>
    <w:p w14:paraId="653701C9" w14:textId="4CDD8171" w:rsidR="00682A5B" w:rsidRPr="00B768A1" w:rsidRDefault="319BA172" w:rsidP="00634A83">
      <w:r w:rsidRPr="00B768A1">
        <w:t>A</w:t>
      </w:r>
      <w:r w:rsidR="3605BDAC" w:rsidRPr="00B768A1">
        <w:t xml:space="preserve">ppropriate supports </w:t>
      </w:r>
      <w:r w:rsidRPr="00B768A1">
        <w:t xml:space="preserve">are those that </w:t>
      </w:r>
      <w:r w:rsidR="3605BDAC" w:rsidRPr="00B768A1">
        <w:t xml:space="preserve">align with the </w:t>
      </w:r>
      <w:r w:rsidR="3808F780" w:rsidRPr="00B768A1">
        <w:t xml:space="preserve">needs of the </w:t>
      </w:r>
      <w:r w:rsidR="3605BDAC" w:rsidRPr="00B768A1">
        <w:t xml:space="preserve">person experiencing suicidal thoughts and behaviours and their families, carers and kin </w:t>
      </w:r>
      <w:r w:rsidR="78B794D4" w:rsidRPr="00B768A1">
        <w:t xml:space="preserve">and are </w:t>
      </w:r>
      <w:r w:rsidR="3605BDAC" w:rsidRPr="00B768A1">
        <w:t>provided in a way that suits the person receiving those supports.</w:t>
      </w:r>
      <w:hyperlink w:anchor="_ENREF_215" w:tooltip="J-F, 2013 #1040" w:history="1">
        <w:r w:rsidR="002D6F18">
          <w:fldChar w:fldCharType="begin"/>
        </w:r>
        <w:r w:rsidR="002D6F18">
          <w:instrText xml:space="preserve"> ADDIN EN.CITE &lt;EndNote&gt;&lt;Cite&gt;&lt;Author&gt;J-F&lt;/Author&gt;&lt;Year&gt;2013&lt;/Year&gt;&lt;RecNum&gt;1040&lt;/RecNum&gt;&lt;DisplayText&gt;&lt;style face="superscript"&gt;215&lt;/style&gt;&lt;/DisplayText&gt;&lt;record&gt;&lt;rec-number&gt;1040&lt;/rec-number&gt;&lt;foreign-keys&gt;&lt;key app="EN" db-id="rsettzd2isasdweewww55s9lffasxav0d0ft" timestamp="1720488516" guid="b9a42c5d-aebc-4e9b-a56d-2406a5c30ec0"&gt;1040&lt;/key&gt;&lt;/foreign-keys&gt;&lt;ref-type name="Journal Article"&gt;17&lt;/ref-type&gt;&lt;contributors&gt;&lt;authors&gt;&lt;author&gt;Levesque J-F&lt;/author&gt;&lt;author&gt;Harris M&lt;/author&gt;&lt;author&gt;Russell G&lt;/author&gt;&lt;/authors&gt;&lt;/contributors&gt;&lt;titles&gt;&lt;title&gt;Patient-centred access to health care: Conceptualising access at the interface of health systems and populations&lt;/title&gt;&lt;secondary-title&gt;International journal for equity in health&lt;/secondary-title&gt;&lt;/titles&gt;&lt;periodical&gt;&lt;full-title&gt;International Journal for Equity in Health&lt;/full-title&gt;&lt;/periodical&gt;&lt;pages&gt;18&lt;/pages&gt;&lt;volume&gt;12&lt;/volume&gt;&lt;dates&gt;&lt;year&gt;2013&lt;/year&gt;&lt;pub-dates&gt;&lt;date&gt;03/11&lt;/date&gt;&lt;/pub-dates&gt;&lt;/dates&gt;&lt;urls&gt;&lt;/urls&gt;&lt;electronic-resource-num&gt;10.1186/1475-9276-12-18&lt;/electronic-resource-num&gt;&lt;/record&gt;&lt;/Cite&gt;&lt;/EndNote&gt;</w:instrText>
        </w:r>
        <w:r w:rsidR="002D6F18">
          <w:fldChar w:fldCharType="separate"/>
        </w:r>
        <w:r w:rsidR="002D6F18" w:rsidRPr="00C559B5">
          <w:rPr>
            <w:noProof/>
            <w:vertAlign w:val="superscript"/>
          </w:rPr>
          <w:t>215</w:t>
        </w:r>
        <w:r w:rsidR="002D6F18">
          <w:fldChar w:fldCharType="end"/>
        </w:r>
      </w:hyperlink>
    </w:p>
    <w:p w14:paraId="0A4C691E" w14:textId="023BFD4E" w:rsidR="00682A5B" w:rsidRPr="00B768A1" w:rsidRDefault="3605BDAC" w:rsidP="00634A83">
      <w:r w:rsidRPr="00B768A1">
        <w:t xml:space="preserve">To be acceptable, supports need to be ethically and culturally </w:t>
      </w:r>
      <w:r w:rsidR="56C6AE74" w:rsidRPr="00B768A1">
        <w:t>safe</w:t>
      </w:r>
      <w:r w:rsidRPr="00B768A1">
        <w:t xml:space="preserve">, respectful of the wisdom held by communities and </w:t>
      </w:r>
      <w:r w:rsidR="73538734" w:rsidRPr="00B768A1">
        <w:t xml:space="preserve">affirming of </w:t>
      </w:r>
      <w:r w:rsidR="0FCE0097" w:rsidRPr="00B768A1">
        <w:t>sexual and</w:t>
      </w:r>
      <w:r w:rsidRPr="00B768A1">
        <w:t xml:space="preserve"> gender identity.</w:t>
      </w:r>
      <w:hyperlink w:anchor="_ENREF_226" w:tooltip="Fund, 2019 #1091" w:history="1">
        <w:r w:rsidR="002D6F18">
          <w:fldChar w:fldCharType="begin"/>
        </w:r>
        <w:r w:rsidR="002D6F18">
          <w:instrText xml:space="preserve"> ADDIN EN.CITE &lt;EndNote&gt;&lt;Cite&gt;&lt;Author&gt;Fund&lt;/Author&gt;&lt;Year&gt;2019&lt;/Year&gt;&lt;RecNum&gt;1091&lt;/RecNum&gt;&lt;DisplayText&gt;&lt;style face="superscript"&gt;226&lt;/style&gt;&lt;/DisplayText&gt;&lt;record&gt;&lt;rec-number&gt;1091&lt;/rec-number&gt;&lt;foreign-keys&gt;&lt;key app="EN" db-id="rsettzd2isasdweewww55s9lffasxav0d0ft" timestamp="1720502297" guid="0aa0725d-2c39-45e1-af52-3c9eec219fdb"&gt;1091&lt;/key&gt;&lt;/foreign-keys&gt;&lt;ref-type name="Web Page"&gt;12&lt;/ref-type&gt;&lt;contributors&gt;&lt;authors&gt;&lt;author&gt;United Nations Children’s Fund&lt;/author&gt;&lt;/authors&gt;&lt;/contributors&gt;&lt;titles&gt;&lt;title&gt;Availability, accessibility, acceptability and quality framework: a tool to identify potential barriers to accessing services in humanitarian settings. &lt;/title&gt;&lt;/titles&gt;&lt;dates&gt;&lt;year&gt;2019&lt;/year&gt;&lt;/dates&gt;&lt;publisher&gt;United Nations Children’s Fund&lt;/publisher&gt;&lt;work-type&gt;Internet&lt;/work-type&gt;&lt;urls&gt;&lt;related-urls&gt;&lt;url&gt;https://gbvguidelines.org/wp/wp-content/uploads/2019/11/AAAQ-framework-Nov-2019-WEB.pdf&lt;/url&gt;&lt;/related-urls&gt;&lt;/urls&gt;&lt;custom1&gt;2023&lt;/custom1&gt;&lt;custom2&gt;November 21&lt;/custom2&gt;&lt;/record&gt;&lt;/Cite&gt;&lt;/EndNote&gt;</w:instrText>
        </w:r>
        <w:r w:rsidR="002D6F18">
          <w:fldChar w:fldCharType="separate"/>
        </w:r>
        <w:r w:rsidR="002D6F18" w:rsidRPr="00C559B5">
          <w:rPr>
            <w:noProof/>
            <w:vertAlign w:val="superscript"/>
          </w:rPr>
          <w:t>226</w:t>
        </w:r>
        <w:r w:rsidR="002D6F18">
          <w:fldChar w:fldCharType="end"/>
        </w:r>
      </w:hyperlink>
      <w:r w:rsidR="00B76CA9">
        <w:t xml:space="preserve"> </w:t>
      </w:r>
      <w:r w:rsidR="56985096" w:rsidRPr="00B768A1">
        <w:t xml:space="preserve">An acceptable support is one that </w:t>
      </w:r>
      <w:r w:rsidRPr="00B768A1">
        <w:t xml:space="preserve">a person is comfortable to access and the service provider is comfortable </w:t>
      </w:r>
      <w:r w:rsidR="461ADABF" w:rsidRPr="00B768A1">
        <w:t xml:space="preserve">to </w:t>
      </w:r>
      <w:r w:rsidRPr="00B768A1">
        <w:t>provid</w:t>
      </w:r>
      <w:r w:rsidR="461ADABF" w:rsidRPr="00B768A1">
        <w:t>e</w:t>
      </w:r>
      <w:r w:rsidRPr="00B768A1">
        <w:t>.</w:t>
      </w:r>
      <w:hyperlink w:anchor="_ENREF_215" w:tooltip="J-F, 2013 #1040" w:history="1">
        <w:r w:rsidR="002D6F18">
          <w:fldChar w:fldCharType="begin"/>
        </w:r>
        <w:r w:rsidR="002D6F18">
          <w:instrText xml:space="preserve"> ADDIN EN.CITE &lt;EndNote&gt;&lt;Cite&gt;&lt;Author&gt;J-F&lt;/Author&gt;&lt;Year&gt;2013&lt;/Year&gt;&lt;RecNum&gt;1040&lt;/RecNum&gt;&lt;DisplayText&gt;&lt;style face="superscript"&gt;215&lt;/style&gt;&lt;/DisplayText&gt;&lt;record&gt;&lt;rec-number&gt;1040&lt;/rec-number&gt;&lt;foreign-keys&gt;&lt;key app="EN" db-id="rsettzd2isasdweewww55s9lffasxav0d0ft" timestamp="1720488516" guid="b9a42c5d-aebc-4e9b-a56d-2406a5c30ec0"&gt;1040&lt;/key&gt;&lt;/foreign-keys&gt;&lt;ref-type name="Journal Article"&gt;17&lt;/ref-type&gt;&lt;contributors&gt;&lt;authors&gt;&lt;author&gt;Levesque J-F&lt;/author&gt;&lt;author&gt;Harris M&lt;/author&gt;&lt;author&gt;Russell G&lt;/author&gt;&lt;/authors&gt;&lt;/contributors&gt;&lt;titles&gt;&lt;title&gt;Patient-centred access to health care: Conceptualising access at the interface of health systems and populations&lt;/title&gt;&lt;secondary-title&gt;International journal for equity in health&lt;/secondary-title&gt;&lt;/titles&gt;&lt;periodical&gt;&lt;full-title&gt;International Journal for Equity in Health&lt;/full-title&gt;&lt;/periodical&gt;&lt;pages&gt;18&lt;/pages&gt;&lt;volume&gt;12&lt;/volume&gt;&lt;dates&gt;&lt;year&gt;2013&lt;/year&gt;&lt;pub-dates&gt;&lt;date&gt;03/11&lt;/date&gt;&lt;/pub-dates&gt;&lt;/dates&gt;&lt;urls&gt;&lt;/urls&gt;&lt;electronic-resource-num&gt;10.1186/1475-9276-12-18&lt;/electronic-resource-num&gt;&lt;/record&gt;&lt;/Cite&gt;&lt;/EndNote&gt;</w:instrText>
        </w:r>
        <w:r w:rsidR="002D6F18">
          <w:fldChar w:fldCharType="separate"/>
        </w:r>
        <w:r w:rsidR="002D6F18" w:rsidRPr="00C559B5">
          <w:rPr>
            <w:noProof/>
            <w:vertAlign w:val="superscript"/>
          </w:rPr>
          <w:t>215</w:t>
        </w:r>
        <w:r w:rsidR="002D6F18">
          <w:fldChar w:fldCharType="end"/>
        </w:r>
      </w:hyperlink>
      <w:r w:rsidR="00B76CA9">
        <w:t xml:space="preserve"> </w:t>
      </w:r>
    </w:p>
    <w:p w14:paraId="3069695C" w14:textId="3958736F" w:rsidR="00682A5B" w:rsidRPr="00B768A1" w:rsidRDefault="461ADABF" w:rsidP="00634A83">
      <w:r w:rsidRPr="00B768A1">
        <w:t>I</w:t>
      </w:r>
      <w:r w:rsidR="3605BDAC" w:rsidRPr="00B768A1">
        <w:t xml:space="preserve">n Australia, </w:t>
      </w:r>
      <w:r w:rsidRPr="00B768A1">
        <w:t xml:space="preserve">some </w:t>
      </w:r>
      <w:r w:rsidR="3605BDAC" w:rsidRPr="00B768A1">
        <w:t xml:space="preserve">groups are reluctant to access support for suicidal thoughts and behaviours </w:t>
      </w:r>
      <w:r w:rsidRPr="00B768A1">
        <w:t xml:space="preserve">because of </w:t>
      </w:r>
      <w:r w:rsidR="0F2D79F8" w:rsidRPr="00B768A1">
        <w:t xml:space="preserve">concerns </w:t>
      </w:r>
      <w:r w:rsidR="3605BDAC" w:rsidRPr="00B768A1">
        <w:t xml:space="preserve">about the appropriateness and acceptability of available services. </w:t>
      </w:r>
      <w:r w:rsidR="6727DFC2" w:rsidRPr="00B768A1">
        <w:t>M</w:t>
      </w:r>
      <w:r w:rsidR="3605BDAC" w:rsidRPr="00B768A1">
        <w:t xml:space="preserve">en are less likely to engage with services than women, </w:t>
      </w:r>
      <w:r w:rsidR="001FB9A6" w:rsidRPr="00B768A1">
        <w:t xml:space="preserve">because </w:t>
      </w:r>
      <w:r w:rsidR="66C4C23B" w:rsidRPr="00B768A1">
        <w:t>s</w:t>
      </w:r>
      <w:r w:rsidR="3605BDAC" w:rsidRPr="00B768A1">
        <w:t xml:space="preserve">ervices </w:t>
      </w:r>
      <w:r w:rsidR="1DDE68A9" w:rsidRPr="00B768A1">
        <w:t xml:space="preserve">are </w:t>
      </w:r>
      <w:r w:rsidR="3605BDAC" w:rsidRPr="00B768A1">
        <w:t>often not designed to meet men’s needs. Men report valuing non-clinical interventions that promote social interaction (</w:t>
      </w:r>
      <w:r w:rsidR="48F265C2" w:rsidRPr="00B768A1">
        <w:t>for example,</w:t>
      </w:r>
      <w:r w:rsidR="3605BDAC" w:rsidRPr="00B768A1">
        <w:t xml:space="preserve"> sports-based activities</w:t>
      </w:r>
      <w:r w:rsidR="0EEEA804" w:rsidRPr="00B768A1">
        <w:t xml:space="preserve"> or Men’s Sheds</w:t>
      </w:r>
      <w:r w:rsidR="3605BDAC" w:rsidRPr="00B768A1">
        <w:t>), but the effectiveness of these approaches for suicide prevention is yet to be established.</w:t>
      </w:r>
      <w:hyperlink w:anchor="_ENREF_227" w:tooltip="S, 2019 #236" w:history="1">
        <w:r w:rsidR="002D6F18">
          <w:fldChar w:fldCharType="begin"/>
        </w:r>
        <w:r w:rsidR="002D6F18">
          <w:instrText xml:space="preserve"> ADDIN EN.CITE &lt;EndNote&gt;&lt;Cite&gt;&lt;Author&gt;S&lt;/Author&gt;&lt;Year&gt;2019&lt;/Year&gt;&lt;RecNum&gt;236&lt;/RecNum&gt;&lt;DisplayText&gt;&lt;style face="superscript"&gt;227&lt;/style&gt;&lt;/DisplayText&gt;&lt;record&gt;&lt;rec-number&gt;236&lt;/rec-number&gt;&lt;foreign-keys&gt;&lt;key app="EN" db-id="rsettzd2isasdweewww55s9lffasxav0d0ft" timestamp="1700699469" guid="467e494f-b1fd-4a30-af3f-827914ddd9ae"&gt;236&lt;/key&gt;&lt;/foreign-keys&gt;&lt;ref-type name="Journal Article"&gt;17&lt;/ref-type&gt;&lt;contributors&gt;&lt;authors&gt;&lt;author&gt;Struszczyk S&lt;/author&gt;&lt;author&gt;Galdas PM&lt;/author&gt;&lt;author&gt;Tiffin PA&lt;/author&gt;&lt;/authors&gt;&lt;/contributors&gt;&lt;titles&gt;&lt;title&gt;Men and Suicide Prevention: A Scoping Review&lt;/title&gt;&lt;secondary-title&gt;Journal of Mental Health&lt;/secondary-title&gt;&lt;/titles&gt;&lt;periodical&gt;&lt;full-title&gt;Journal of Mental Health&lt;/full-title&gt;&lt;/periodical&gt;&lt;dates&gt;&lt;year&gt;2019&lt;/year&gt;&lt;/dates&gt;&lt;urls&gt;&lt;/urls&gt;&lt;electronic-resource-num&gt;DOI: 10.1080/09638237.2017.1370638&lt;/electronic-resource-num&gt;&lt;/record&gt;&lt;/Cite&gt;&lt;/EndNote&gt;</w:instrText>
        </w:r>
        <w:r w:rsidR="002D6F18">
          <w:fldChar w:fldCharType="separate"/>
        </w:r>
        <w:r w:rsidR="002D6F18" w:rsidRPr="00C559B5">
          <w:rPr>
            <w:noProof/>
            <w:vertAlign w:val="superscript"/>
          </w:rPr>
          <w:t>227</w:t>
        </w:r>
        <w:r w:rsidR="002D6F18">
          <w:fldChar w:fldCharType="end"/>
        </w:r>
      </w:hyperlink>
      <w:r w:rsidR="3605BDAC" w:rsidRPr="00B768A1">
        <w:t xml:space="preserve"> Trialling service models that are tailored to men, building workforce knowledge of gender and masculinity constructs, and increasing capacity to apply this</w:t>
      </w:r>
      <w:r w:rsidR="26731988" w:rsidRPr="00B768A1">
        <w:t xml:space="preserve"> is c</w:t>
      </w:r>
      <w:r w:rsidR="3BDBA3B7">
        <w:t>entral</w:t>
      </w:r>
      <w:r w:rsidR="26731988" w:rsidRPr="00B768A1">
        <w:t xml:space="preserve"> to </w:t>
      </w:r>
      <w:r w:rsidR="095698E9">
        <w:t>improving the</w:t>
      </w:r>
      <w:r w:rsidR="26731988" w:rsidRPr="00B768A1">
        <w:t xml:space="preserve"> </w:t>
      </w:r>
      <w:r w:rsidR="095698E9">
        <w:t xml:space="preserve">effectiveness </w:t>
      </w:r>
      <w:r w:rsidR="04B65955" w:rsidRPr="00B768A1">
        <w:t xml:space="preserve">of </w:t>
      </w:r>
      <w:r w:rsidR="4E8F0266" w:rsidRPr="00B768A1">
        <w:t xml:space="preserve">suicide prevention supports </w:t>
      </w:r>
      <w:r w:rsidR="3C10270E" w:rsidRPr="00B768A1">
        <w:t xml:space="preserve">available to </w:t>
      </w:r>
      <w:r w:rsidR="04B65955" w:rsidRPr="00B768A1">
        <w:t>men</w:t>
      </w:r>
      <w:r w:rsidR="33182854">
        <w:t xml:space="preserve"> </w:t>
      </w:r>
      <w:r w:rsidR="36219CC7" w:rsidRPr="00B768A1">
        <w:t>(</w:t>
      </w:r>
      <w:r w:rsidR="771365AC">
        <w:t>action ko</w:t>
      </w:r>
      <w:r w:rsidR="4E34F826">
        <w:t>7</w:t>
      </w:r>
      <w:r w:rsidR="36219CC7" w:rsidRPr="00B768A1">
        <w:t>.3a)</w:t>
      </w:r>
      <w:r w:rsidR="3605BDAC" w:rsidRPr="00B768A1">
        <w:t>.</w:t>
      </w:r>
      <w:hyperlink w:anchor="_ENREF_228" w:tooltip="ZE, 2019 #237" w:history="1">
        <w:r w:rsidR="002D6F18">
          <w:fldChar w:fldCharType="begin"/>
        </w:r>
        <w:r w:rsidR="002D6F18">
          <w:instrText xml:space="preserve"> ADDIN EN.CITE &lt;EndNote&gt;&lt;Cite&gt;&lt;Author&gt;ZE&lt;/Author&gt;&lt;Year&gt;2019&lt;/Year&gt;&lt;RecNum&gt;237&lt;/RecNum&gt;&lt;DisplayText&gt;&lt;style face="superscript"&gt;228&lt;/style&gt;&lt;/DisplayText&gt;&lt;record&gt;&lt;rec-number&gt;237&lt;/rec-number&gt;&lt;foreign-keys&gt;&lt;key app="EN" db-id="rsettzd2isasdweewww55s9lffasxav0d0ft" timestamp="1700699469" guid="1b9cf0bb-69cd-43ee-908c-7a80b8cd921b"&gt;237&lt;/key&gt;&lt;/foreign-keys&gt;&lt;ref-type name="Journal Article"&gt;17&lt;/ref-type&gt;&lt;contributors&gt;&lt;authors&gt;&lt;author&gt;Seidler ZE&lt;/author&gt;&lt;author&gt;Rice SM&lt;/author&gt;&lt;author&gt;Dhillon HM&lt;/author&gt;&lt;author&gt;Herrman H&lt;/author&gt;&lt;/authors&gt;&lt;/contributors&gt;&lt;titles&gt;&lt;title&gt;Why it’s Time to Focus on Masculinity in Mental Health Training and Clinical Practice&lt;/title&gt;&lt;secondary-title&gt;Australasian Psychiatry&lt;/secondary-title&gt;&lt;/titles&gt;&lt;periodical&gt;&lt;full-title&gt;Australasian Psychiatry&lt;/full-title&gt;&lt;/periodical&gt;&lt;dates&gt;&lt;year&gt;2019&lt;/year&gt;&lt;/dates&gt;&lt;urls&gt;&lt;/urls&gt;&lt;electronic-resource-num&gt;DOI: 10.1177/1039856218804340&lt;/electronic-resource-num&gt;&lt;/record&gt;&lt;/Cite&gt;&lt;/EndNote&gt;</w:instrText>
        </w:r>
        <w:r w:rsidR="002D6F18">
          <w:fldChar w:fldCharType="separate"/>
        </w:r>
        <w:r w:rsidR="002D6F18" w:rsidRPr="00C559B5">
          <w:rPr>
            <w:noProof/>
            <w:vertAlign w:val="superscript"/>
          </w:rPr>
          <w:t>228</w:t>
        </w:r>
        <w:r w:rsidR="002D6F18">
          <w:fldChar w:fldCharType="end"/>
        </w:r>
      </w:hyperlink>
    </w:p>
    <w:p w14:paraId="56FBB082" w14:textId="60AA74FE" w:rsidR="00682A5B" w:rsidRPr="00B768A1" w:rsidRDefault="3605BDAC" w:rsidP="00634A83">
      <w:r w:rsidRPr="00B768A1">
        <w:t>Despite high rates of suicidal thoughts and behaviour</w:t>
      </w:r>
      <w:r w:rsidR="73578771" w:rsidRPr="00B768A1">
        <w:t xml:space="preserve"> among </w:t>
      </w:r>
      <w:r w:rsidRPr="00B768A1">
        <w:t>LGBTIQ+ people</w:t>
      </w:r>
      <w:r w:rsidR="73578771" w:rsidRPr="00B768A1">
        <w:t>, many</w:t>
      </w:r>
      <w:r w:rsidRPr="00B768A1">
        <w:t xml:space="preserve"> are reluctant to access support services due to past experiences of stigma and discrimination and concerns about service appropriateness.</w:t>
      </w:r>
      <w:hyperlink w:anchor="_ENREF_229" w:tooltip="AO, 2021 #1092" w:history="1">
        <w:r w:rsidR="002D6F18">
          <w:fldChar w:fldCharType="begin"/>
        </w:r>
        <w:r w:rsidR="002D6F18">
          <w:instrText xml:space="preserve"> ADDIN EN.CITE &lt;EndNote&gt;&lt;Cite&gt;&lt;Author&gt;AO&lt;/Author&gt;&lt;Year&gt;2021&lt;/Year&gt;&lt;RecNum&gt;1092&lt;/RecNum&gt;&lt;DisplayText&gt;&lt;style face="superscript"&gt;229&lt;/style&gt;&lt;/DisplayText&gt;&lt;record&gt;&lt;rec-number&gt;1092&lt;/rec-number&gt;&lt;foreign-keys&gt;&lt;key app="EN" db-id="rsettzd2isasdweewww55s9lffasxav0d0ft" timestamp="1720502492" guid="0513a2f3-2c12-4695-9090-2a7df0d3d4ce"&gt;1092&lt;/key&gt;&lt;/foreign-keys&gt;&lt;ref-type name="Web Page"&gt;12&lt;/ref-type&gt;&lt;contributors&gt;&lt;authors&gt;&lt;author&gt;Hill AO &lt;/author&gt;&lt;author&gt;Bourne A &lt;/author&gt;&lt;author&gt;McNair R &lt;/author&gt;&lt;author&gt;Carman M &lt;/author&gt;&lt;author&gt;Lyons A &lt;/author&gt;&lt;/authors&gt;&lt;/contributors&gt;&lt;titles&gt;&lt;title&gt;Private lives 3: the health and wellbeing of LGBTIQ people in Australia&lt;/title&gt;&lt;/titles&gt;&lt;dates&gt;&lt;year&gt;2021&lt;/year&gt;&lt;/dates&gt;&lt;pub-location&gt;Bundoora, Victoria&lt;/pub-location&gt;&lt;publisher&gt;Australian Research Centre in Sex, Health and Society, La Trobe University&lt;/publisher&gt;&lt;isbn&gt;9780645025675&lt;/isbn&gt;&lt;urls&gt;&lt;related-urls&gt;&lt;url&gt;https://www.latrobe.edu.au/__data/assets/pdf_file/0009/1185885/Private-Lives-3.pdf&lt;/url&gt;&lt;/related-urls&gt;&lt;/urls&gt;&lt;/record&gt;&lt;/Cite&gt;&lt;/EndNote&gt;</w:instrText>
        </w:r>
        <w:r w:rsidR="002D6F18">
          <w:fldChar w:fldCharType="separate"/>
        </w:r>
        <w:r w:rsidR="002D6F18" w:rsidRPr="00C559B5">
          <w:rPr>
            <w:noProof/>
            <w:vertAlign w:val="superscript"/>
          </w:rPr>
          <w:t>229</w:t>
        </w:r>
        <w:r w:rsidR="002D6F18">
          <w:fldChar w:fldCharType="end"/>
        </w:r>
      </w:hyperlink>
      <w:r w:rsidRPr="00B768A1">
        <w:t xml:space="preserve"> </w:t>
      </w:r>
      <w:r w:rsidR="4F1B2F25" w:rsidRPr="00B768A1">
        <w:t>For</w:t>
      </w:r>
      <w:r w:rsidRPr="00B768A1">
        <w:t xml:space="preserve"> example, </w:t>
      </w:r>
      <w:r w:rsidR="6466918B" w:rsidRPr="00B768A1">
        <w:t>there is evidence that</w:t>
      </w:r>
      <w:r w:rsidRPr="00B768A1">
        <w:t xml:space="preserve"> one</w:t>
      </w:r>
      <w:r w:rsidR="6A5DE376" w:rsidRPr="00B768A1">
        <w:t>-</w:t>
      </w:r>
      <w:r w:rsidRPr="00B768A1">
        <w:t>third of young LGBTIQ+ people chose not to use a crisis support service during their most recent personal crisis because they anticipated discrimination.</w:t>
      </w:r>
      <w:hyperlink w:anchor="_ENREF_230" w:tooltip="A, 2022 #159" w:history="1">
        <w:r w:rsidR="002D6F18">
          <w:fldChar w:fldCharType="begin"/>
        </w:r>
        <w:r w:rsidR="002D6F18">
          <w:instrText xml:space="preserve"> ADDIN EN.CITE &lt;EndNote&gt;&lt;Cite&gt;&lt;Author&gt;A&lt;/Author&gt;&lt;Year&gt;2022&lt;/Year&gt;&lt;RecNum&gt;159&lt;/RecNum&gt;&lt;DisplayText&gt;&lt;style face="superscript"&gt;230&lt;/style&gt;&lt;/DisplayText&gt;&lt;record&gt;&lt;rec-number&gt;159&lt;/rec-number&gt;&lt;foreign-keys&gt;&lt;key app="EN" db-id="rsettzd2isasdweewww55s9lffasxav0d0ft" timestamp="1700699468" guid="5ef15453-a655-4d76-ac40-fa49a81d37ce"&gt;159&lt;/key&gt;&lt;/foreign-keys&gt;&lt;ref-type name="Web Page"&gt;12&lt;/ref-type&gt;&lt;contributors&gt;&lt;authors&gt;&lt;author&gt;Waling  A&lt;/author&gt;&lt;author&gt;Lim G&lt;/author&gt;&lt;author&gt;Dhalla S&lt;/author&gt;&lt;author&gt;Lyons A&lt;/author&gt;&lt;author&gt;Bourne A&lt;/author&gt;&lt;/authors&gt;&lt;/contributors&gt;&lt;titles&gt;&lt;title&gt;Understanding LGBTI+ Lives in Crisis&lt;/title&gt;&lt;/titles&gt;&lt;dates&gt;&lt;year&gt;2022&lt;/year&gt;&lt;/dates&gt;&lt;publisher&gt;La Trobe University &amp;amp; Lifeline Australia&lt;/publisher&gt;&lt;urls&gt;&lt;/urls&gt;&lt;custom1&gt;2023&lt;/custom1&gt;&lt;custom2&gt;October 04&lt;/custom2&gt;&lt;electronic-resource-num&gt;https://doi.org/10.26181/8869202.v2&lt;/electronic-resource-num&gt;&lt;/record&gt;&lt;/Cite&gt;&lt;/EndNote&gt;</w:instrText>
        </w:r>
        <w:r w:rsidR="002D6F18">
          <w:fldChar w:fldCharType="separate"/>
        </w:r>
        <w:r w:rsidR="002D6F18" w:rsidRPr="00C559B5">
          <w:rPr>
            <w:noProof/>
            <w:vertAlign w:val="superscript"/>
          </w:rPr>
          <w:t>230</w:t>
        </w:r>
        <w:r w:rsidR="002D6F18">
          <w:fldChar w:fldCharType="end"/>
        </w:r>
      </w:hyperlink>
      <w:r w:rsidR="00B76CA9">
        <w:t xml:space="preserve"> </w:t>
      </w:r>
      <w:r w:rsidRPr="00B768A1">
        <w:t xml:space="preserve">There is a recognised need to provide tailored suicide prevention supports for LGBTIQ+ people to improve engagement and </w:t>
      </w:r>
      <w:r w:rsidR="03874457" w:rsidRPr="00B768A1">
        <w:t xml:space="preserve">the </w:t>
      </w:r>
      <w:r w:rsidRPr="00B768A1">
        <w:t>appropriateness of services</w:t>
      </w:r>
      <w:r w:rsidR="616C9546" w:rsidRPr="00B768A1">
        <w:t xml:space="preserve"> (</w:t>
      </w:r>
      <w:r w:rsidR="771365AC">
        <w:t>action ko</w:t>
      </w:r>
      <w:r w:rsidR="4E34F826">
        <w:t>7</w:t>
      </w:r>
      <w:r w:rsidR="616C9546" w:rsidRPr="00B768A1">
        <w:t>.3b)</w:t>
      </w:r>
      <w:r w:rsidRPr="00B768A1">
        <w:t>.</w:t>
      </w:r>
      <w:hyperlink w:anchor="_ENREF_231" w:tooltip="Government, 2021 #324" w:history="1">
        <w:r w:rsidR="002D6F18">
          <w:fldChar w:fldCharType="begin"/>
        </w:r>
        <w:r w:rsidR="002D6F18">
          <w:instrText xml:space="preserve"> ADDIN EN.CITE &lt;EndNote&gt;&lt;Cite&gt;&lt;Author&gt;Government&lt;/Author&gt;&lt;Year&gt;2021&lt;/Year&gt;&lt;RecNum&gt;324&lt;/RecNum&gt;&lt;DisplayText&gt;&lt;style face="superscript"&gt;231&lt;/style&gt;&lt;/DisplayText&gt;&lt;record&gt;&lt;rec-number&gt;324&lt;/rec-number&gt;&lt;foreign-keys&gt;&lt;key app="EN" db-id="rsettzd2isasdweewww55s9lffasxav0d0ft" timestamp="1700699471" guid="830e6ea0-2e03-478a-a227-d6d8803168d3"&gt;324&lt;/key&gt;&lt;/foreign-keys&gt;&lt;ref-type name="Web Page"&gt;12&lt;/ref-type&gt;&lt;contributors&gt;&lt;authors&gt;&lt;author&gt;Victoria State Government&lt;/author&gt;&lt;/authors&gt;&lt;/contributors&gt;&lt;titles&gt;&lt;title&gt;Royal Commission into Victoria&amp;apos;s Mental Health System&lt;/title&gt;&lt;/titles&gt;&lt;dates&gt;&lt;year&gt;2021&lt;/year&gt;&lt;/dates&gt;&lt;publisher&gt;Victoria State Government&lt;/publisher&gt;&lt;work-type&gt;Internet&lt;/work-type&gt;&lt;urls&gt;&lt;related-urls&gt;&lt;url&gt;https://finalreport.rcvmhs.vic.gov.au/&lt;/url&gt;&lt;/related-urls&gt;&lt;/urls&gt;&lt;custom1&gt;2023&lt;/custom1&gt;&lt;custom2&gt;October 04&lt;/custom2&gt;&lt;/record&gt;&lt;/Cite&gt;&lt;/EndNote&gt;</w:instrText>
        </w:r>
        <w:r w:rsidR="002D6F18">
          <w:fldChar w:fldCharType="separate"/>
        </w:r>
        <w:r w:rsidR="002D6F18" w:rsidRPr="00C559B5">
          <w:rPr>
            <w:noProof/>
            <w:vertAlign w:val="superscript"/>
          </w:rPr>
          <w:t>231</w:t>
        </w:r>
        <w:r w:rsidR="002D6F18">
          <w:fldChar w:fldCharType="end"/>
        </w:r>
      </w:hyperlink>
    </w:p>
    <w:p w14:paraId="7420AAB9" w14:textId="40094E6E" w:rsidR="002A4446" w:rsidRPr="00B768A1" w:rsidRDefault="2CD96091" w:rsidP="00634A83">
      <w:r w:rsidRPr="00B768A1">
        <w:t xml:space="preserve">An Australian study of coronial data from 2006 to 2019 found that migrants from Oceania and African countries </w:t>
      </w:r>
      <w:r w:rsidR="3049924B" w:rsidRPr="00B768A1">
        <w:t>we</w:t>
      </w:r>
      <w:r w:rsidRPr="00B768A1">
        <w:t xml:space="preserve">re disproportionately impacted by suicide compared </w:t>
      </w:r>
      <w:r w:rsidR="62A0557F" w:rsidRPr="00B768A1">
        <w:t xml:space="preserve">with </w:t>
      </w:r>
      <w:r w:rsidRPr="00B768A1">
        <w:t>other migrant groups and the Australian-born population.</w:t>
      </w:r>
      <w:hyperlink w:anchor="_ENREF_21" w:tooltip="H, 2023 #125" w:history="1">
        <w:r w:rsidR="002D6F18">
          <w:fldChar w:fldCharType="begin"/>
        </w:r>
        <w:r w:rsidR="002D6F18">
          <w:instrText xml:space="preserve"> ADDIN EN.CITE &lt;EndNote&gt;&lt;Cite&gt;&lt;Author&gt;H&lt;/Author&gt;&lt;Year&gt;2023&lt;/Year&gt;&lt;RecNum&gt;125&lt;/RecNum&gt;&lt;DisplayText&gt;&lt;style face="superscript"&gt;21&lt;/style&gt;&lt;/DisplayText&gt;&lt;record&gt;&lt;rec-number&gt;125&lt;/rec-number&gt;&lt;foreign-keys&gt;&lt;key app="EN" db-id="rsettzd2isasdweewww55s9lffasxav0d0ft" timestamp="1700699468" guid="25491e1f-cc6e-41f3-a095-89178c33e21a"&gt;125&lt;/key&gt;&lt;/foreign-keys&gt;&lt;ref-type name="Journal Article"&gt;17&lt;/ref-type&gt;&lt;contributors&gt;&lt;authors&gt;&lt;author&gt;Maheen H&lt;/author&gt;&lt;author&gt;King T&lt;/author&gt;&lt;/authors&gt;&lt;/contributors&gt;&lt;titles&gt;&lt;title&gt;Suicide in First-Generation Australian Migrants, 2006–2019: A Retrospective Mortality Study&lt;/title&gt;&lt;secondary-title&gt;The Lancet Regional Health–Western Pacific&lt;/secondary-title&gt;&lt;/titles&gt;&lt;periodical&gt;&lt;full-title&gt;The Lancet Regional Health–Western Pacific&lt;/full-title&gt;&lt;/periodical&gt;&lt;dates&gt;&lt;year&gt;2023&lt;/year&gt;&lt;/dates&gt;&lt;urls&gt;&lt;/urls&gt;&lt;electronic-resource-num&gt;DOI: 10.1016/j.lanwpc.2023.100845&lt;/electronic-resource-num&gt;&lt;/record&gt;&lt;/Cite&gt;&lt;/EndNote&gt;</w:instrText>
        </w:r>
        <w:r w:rsidR="002D6F18">
          <w:fldChar w:fldCharType="separate"/>
        </w:r>
        <w:r w:rsidR="002D6F18" w:rsidRPr="0082082D">
          <w:rPr>
            <w:noProof/>
            <w:vertAlign w:val="superscript"/>
          </w:rPr>
          <w:t>21</w:t>
        </w:r>
        <w:r w:rsidR="002D6F18">
          <w:fldChar w:fldCharType="end"/>
        </w:r>
      </w:hyperlink>
      <w:r w:rsidR="00B76CA9">
        <w:t xml:space="preserve"> </w:t>
      </w:r>
      <w:r w:rsidRPr="00B768A1">
        <w:t>While further research is required to understand the reasons behind the higher suicide rates,</w:t>
      </w:r>
      <w:hyperlink w:anchor="_ENREF_232" w:tooltip="K, 2014 #1041" w:history="1">
        <w:r w:rsidR="002D6F18">
          <w:fldChar w:fldCharType="begin"/>
        </w:r>
        <w:r w:rsidR="002D6F18">
          <w:instrText xml:space="preserve"> ADDIN EN.CITE &lt;EndNote&gt;&lt;Cite&gt;&lt;Author&gt;K&lt;/Author&gt;&lt;Year&gt;2014&lt;/Year&gt;&lt;RecNum&gt;1041&lt;/RecNum&gt;&lt;DisplayText&gt;&lt;style face="superscript"&gt;232&lt;/style&gt;&lt;/DisplayText&gt;&lt;record&gt;&lt;rec-number&gt;1041&lt;/rec-number&gt;&lt;foreign-keys&gt;&lt;key app="EN" db-id="rsettzd2isasdweewww55s9lffasxav0d0ft" timestamp="1720488518" guid="b5654dfb-2371-436c-9f96-b867d3b6bc33"&gt;1041&lt;/key&gt;&lt;/foreign-keys&gt;&lt;ref-type name="Journal Article"&gt;17&lt;/ref-type&gt;&lt;contributors&gt;&lt;authors&gt;&lt;author&gt;Kõlves K&lt;/author&gt;&lt;author&gt;De Leo D&lt;/author&gt;&lt;/authors&gt;&lt;/contributors&gt;&lt;titles&gt;&lt;title&gt;Are immigrants responsible for the recent decline in Australian suicide rates?&lt;/title&gt;&lt;secondary-title&gt;Epidemiology and psychiatric sciences&lt;/secondary-title&gt;&lt;/titles&gt;&lt;periodical&gt;&lt;full-title&gt;Epidemiology and Psychiatric Sciences&lt;/full-title&gt;&lt;/periodical&gt;&lt;pages&gt;1-8&lt;/pages&gt;&lt;volume&gt;24&lt;/volume&gt;&lt;dates&gt;&lt;year&gt;2014&lt;/year&gt;&lt;pub-dates&gt;&lt;date&gt;05/02&lt;/date&gt;&lt;/pub-dates&gt;&lt;/dates&gt;&lt;urls&gt;&lt;/urls&gt;&lt;electronic-resource-num&gt;10.1017/S2045796014000122&lt;/electronic-resource-num&gt;&lt;/record&gt;&lt;/Cite&gt;&lt;/EndNote&gt;</w:instrText>
        </w:r>
        <w:r w:rsidR="002D6F18">
          <w:fldChar w:fldCharType="separate"/>
        </w:r>
        <w:r w:rsidR="002D6F18" w:rsidRPr="00C559B5">
          <w:rPr>
            <w:noProof/>
            <w:vertAlign w:val="superscript"/>
          </w:rPr>
          <w:t>232</w:t>
        </w:r>
        <w:r w:rsidR="002D6F18">
          <w:fldChar w:fldCharType="end"/>
        </w:r>
      </w:hyperlink>
      <w:r w:rsidDel="002A4446">
        <w:t xml:space="preserve"> </w:t>
      </w:r>
      <w:r w:rsidR="5E84AF2E">
        <w:t>t</w:t>
      </w:r>
      <w:r w:rsidR="66B2039B" w:rsidRPr="00B768A1">
        <w:t xml:space="preserve">here is an opportunity to increase early engagement with support </w:t>
      </w:r>
      <w:r w:rsidR="21CEBC6B" w:rsidRPr="00B768A1">
        <w:t xml:space="preserve">by providing </w:t>
      </w:r>
      <w:r w:rsidR="66B2039B" w:rsidRPr="00B768A1">
        <w:t>l</w:t>
      </w:r>
      <w:r w:rsidRPr="00B768A1">
        <w:t xml:space="preserve">ocal, culturally competent services for </w:t>
      </w:r>
      <w:r w:rsidR="16C64353" w:rsidRPr="00B768A1">
        <w:t xml:space="preserve">people experiencing </w:t>
      </w:r>
      <w:r w:rsidRPr="00B768A1">
        <w:t xml:space="preserve">suicidal distress </w:t>
      </w:r>
      <w:r w:rsidR="7A46E8FC" w:rsidRPr="00B768A1">
        <w:t xml:space="preserve">that </w:t>
      </w:r>
      <w:r w:rsidRPr="00B768A1">
        <w:t>are co-located with, or referred to by, trusted community supports</w:t>
      </w:r>
      <w:r w:rsidR="11134AE6">
        <w:t xml:space="preserve"> </w:t>
      </w:r>
      <w:r w:rsidR="7E1D2D93" w:rsidRPr="00B768A1">
        <w:t>(</w:t>
      </w:r>
      <w:r w:rsidR="771365AC">
        <w:t>action ko</w:t>
      </w:r>
      <w:r w:rsidR="4E34F826">
        <w:t>7</w:t>
      </w:r>
      <w:r w:rsidR="7E1D2D93" w:rsidRPr="00B768A1">
        <w:t>.3c)</w:t>
      </w:r>
      <w:r w:rsidRPr="00B768A1">
        <w:t>.</w:t>
      </w:r>
    </w:p>
    <w:p w14:paraId="6EDD7381" w14:textId="7B1B4521" w:rsidR="004E7A27" w:rsidRPr="00B768A1" w:rsidRDefault="004E7A27" w:rsidP="00634A83">
      <w:r>
        <w:t xml:space="preserve">Culturally safe, accessible, targeted and coordinated care is needed for Aboriginal and Torres Strait Islander peoples. The </w:t>
      </w:r>
      <w:r w:rsidRPr="4623DBCA">
        <w:rPr>
          <w:i/>
          <w:iCs/>
        </w:rPr>
        <w:t>National Aboriginal and Torres Strait Islander Suicide Prevention Strateg</w:t>
      </w:r>
      <w:r>
        <w:t xml:space="preserve">y provides specific recommendations aimed at ensuring appropriate support is available whether through Aboriginal and Torres Strait Islander-led or non-Indigenous services. Acting upon these recommendations </w:t>
      </w:r>
      <w:r w:rsidR="770CF4B4">
        <w:t xml:space="preserve">is essential </w:t>
      </w:r>
      <w:r w:rsidR="5836A612">
        <w:t>to</w:t>
      </w:r>
      <w:r>
        <w:t xml:space="preserve"> provid</w:t>
      </w:r>
      <w:r w:rsidR="53615459">
        <w:t>e</w:t>
      </w:r>
      <w:r>
        <w:t xml:space="preserve"> accessible and effective support.</w:t>
      </w:r>
    </w:p>
    <w:p w14:paraId="56A6AE1E" w14:textId="7C1A2902" w:rsidR="000A7BDA" w:rsidRPr="00B768A1" w:rsidRDefault="000A6D0A" w:rsidP="00634A83">
      <w:pPr>
        <w:pStyle w:val="BodyText"/>
      </w:pPr>
      <w:r>
        <w:t xml:space="preserve">The recommended actions to </w:t>
      </w:r>
      <w:r w:rsidR="00126AD2">
        <w:t xml:space="preserve">ensure appropriate delivery of support </w:t>
      </w:r>
      <w:r>
        <w:t>are described in</w:t>
      </w:r>
      <w:r w:rsidR="00F04C6C">
        <w:t xml:space="preserve"> </w:t>
      </w:r>
      <w:r w:rsidR="00F04C6C">
        <w:fldChar w:fldCharType="begin"/>
      </w:r>
      <w:r w:rsidR="00F04C6C">
        <w:instrText xml:space="preserve"> REF _Ref164870008 \h </w:instrText>
      </w:r>
      <w:r w:rsidR="00F04C6C">
        <w:fldChar w:fldCharType="separate"/>
      </w:r>
      <w:r w:rsidR="009F12B4">
        <w:t xml:space="preserve">Table </w:t>
      </w:r>
      <w:r w:rsidR="009F12B4">
        <w:rPr>
          <w:noProof/>
        </w:rPr>
        <w:t>21</w:t>
      </w:r>
      <w:r w:rsidR="00F04C6C">
        <w:fldChar w:fldCharType="end"/>
      </w:r>
      <w:r>
        <w:t>.</w:t>
      </w:r>
    </w:p>
    <w:p w14:paraId="7527216C" w14:textId="55FA599E" w:rsidR="00517DE3" w:rsidRPr="001F6C3D" w:rsidRDefault="378E79E0" w:rsidP="00D81ABA">
      <w:pPr>
        <w:pStyle w:val="BT-Livedexperience-Green-Heading"/>
      </w:pPr>
      <w:r>
        <w:rPr>
          <w:noProof/>
        </w:rPr>
        <w:drawing>
          <wp:anchor distT="0" distB="0" distL="114300" distR="114300" simplePos="0" relativeHeight="251658243" behindDoc="0" locked="0" layoutInCell="1" allowOverlap="1" wp14:anchorId="3321A532" wp14:editId="25D63E6A">
            <wp:simplePos x="0" y="0"/>
            <wp:positionH relativeFrom="column">
              <wp:posOffset>84294</wp:posOffset>
            </wp:positionH>
            <wp:positionV relativeFrom="paragraph">
              <wp:posOffset>130810</wp:posOffset>
            </wp:positionV>
            <wp:extent cx="318864" cy="318864"/>
            <wp:effectExtent l="0" t="0" r="5080" b="5080"/>
            <wp:wrapNone/>
            <wp:docPr id="1412355700" name="Graphic 1412355700" descr="Start of quotation from Lived Experience Partnership Group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412355700"/>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rot="16200000">
                      <a:off x="0" y="0"/>
                      <a:ext cx="318864" cy="318864"/>
                    </a:xfrm>
                    <a:prstGeom prst="rect">
                      <a:avLst/>
                    </a:prstGeom>
                  </pic:spPr>
                </pic:pic>
              </a:graphicData>
            </a:graphic>
          </wp:anchor>
        </w:drawing>
      </w:r>
      <w:r w:rsidR="5D8021AA">
        <w:t xml:space="preserve"> </w:t>
      </w:r>
      <w:r w:rsidR="00C65071">
        <w:tab/>
      </w:r>
      <w:r w:rsidR="3EA5D788" w:rsidRPr="04A3B251">
        <w:t>Reflections from people with lived experience</w:t>
      </w:r>
    </w:p>
    <w:p w14:paraId="793A219B" w14:textId="252BE619" w:rsidR="00517DE3" w:rsidRPr="00B768A1" w:rsidRDefault="00600659" w:rsidP="00634A83">
      <w:pPr>
        <w:pStyle w:val="BT-Livedexperience-Green"/>
      </w:pPr>
      <w:r w:rsidRPr="00B768A1">
        <w:t>“</w:t>
      </w:r>
      <w:r w:rsidR="00517DE3" w:rsidRPr="00B768A1">
        <w:t xml:space="preserve">I recently worked with a young trans person who felt particularly </w:t>
      </w:r>
      <w:r w:rsidR="00517DE3" w:rsidRPr="00F833FC">
        <w:t>discriminated</w:t>
      </w:r>
      <w:r w:rsidR="00517DE3" w:rsidRPr="003968DE">
        <w:rPr>
          <w:b/>
        </w:rPr>
        <w:t xml:space="preserve"> </w:t>
      </w:r>
      <w:r w:rsidR="00517DE3" w:rsidRPr="00B768A1">
        <w:t xml:space="preserve">against in hospital, so they had many bad experiences over the years presenting to emergency departments. Eventually, they held back from presenting, so we stepped in to </w:t>
      </w:r>
      <w:r w:rsidR="00517DE3" w:rsidRPr="00F833FC">
        <w:t>engage</w:t>
      </w:r>
      <w:r w:rsidR="00517DE3" w:rsidRPr="00B768A1">
        <w:t xml:space="preserve"> with them and work with them to </w:t>
      </w:r>
      <w:r w:rsidR="00517DE3" w:rsidRPr="00F833FC">
        <w:t>build up their skills</w:t>
      </w:r>
      <w:r w:rsidR="00517DE3" w:rsidRPr="003968DE">
        <w:t xml:space="preserve"> </w:t>
      </w:r>
      <w:r w:rsidR="00517DE3" w:rsidRPr="00B768A1">
        <w:t xml:space="preserve">and knowledge around </w:t>
      </w:r>
      <w:r w:rsidR="00517DE3" w:rsidRPr="00F833FC">
        <w:t>distress tolerance</w:t>
      </w:r>
      <w:r w:rsidR="00517DE3" w:rsidRPr="00B768A1">
        <w:rPr>
          <w:color w:val="307363" w:themeColor="accent1"/>
        </w:rPr>
        <w:t xml:space="preserve"> </w:t>
      </w:r>
      <w:r w:rsidR="00517DE3" w:rsidRPr="00B768A1">
        <w:t xml:space="preserve">and </w:t>
      </w:r>
      <w:r w:rsidR="00517DE3" w:rsidRPr="00F833FC">
        <w:t>regulating emotions.</w:t>
      </w:r>
    </w:p>
    <w:p w14:paraId="0CB05354" w14:textId="0715F15A" w:rsidR="00517DE3" w:rsidRPr="00B768A1" w:rsidRDefault="00511CA3" w:rsidP="00634A83">
      <w:pPr>
        <w:pStyle w:val="BT-Livedexperience-Green"/>
      </w:pPr>
      <w:r w:rsidRPr="00B768A1">
        <w:t>“</w:t>
      </w:r>
      <w:r w:rsidR="00517DE3" w:rsidRPr="00B768A1">
        <w:t xml:space="preserve">The team and I worked together with them for almost a year, </w:t>
      </w:r>
      <w:r w:rsidR="00517DE3" w:rsidRPr="00F833FC">
        <w:t>connecting them</w:t>
      </w:r>
      <w:r w:rsidR="00517DE3" w:rsidRPr="003968DE">
        <w:t xml:space="preserve"> </w:t>
      </w:r>
      <w:r w:rsidR="00517DE3" w:rsidRPr="00B768A1">
        <w:t xml:space="preserve">to social and art-based activities within the community. Over time, we were able to help them move into permanent </w:t>
      </w:r>
      <w:r w:rsidR="00517DE3" w:rsidRPr="00F833FC">
        <w:t>accommodation</w:t>
      </w:r>
      <w:r w:rsidR="00517DE3" w:rsidRPr="00B768A1">
        <w:t xml:space="preserve"> and enrol in </w:t>
      </w:r>
      <w:r w:rsidR="00517DE3" w:rsidRPr="00F833FC">
        <w:t>TAFE,</w:t>
      </w:r>
      <w:r w:rsidR="00517DE3" w:rsidRPr="00F833FC">
        <w:rPr>
          <w:color w:val="307363" w:themeColor="accent1"/>
        </w:rPr>
        <w:t xml:space="preserve"> </w:t>
      </w:r>
      <w:r w:rsidR="00517DE3" w:rsidRPr="00B768A1">
        <w:t xml:space="preserve">where they are now studying animation. There is no longer a requirement for ambulance interventions as the young person has </w:t>
      </w:r>
      <w:r w:rsidR="00517DE3" w:rsidRPr="00F833FC">
        <w:t>stopped self-harming</w:t>
      </w:r>
      <w:r w:rsidR="00517DE3" w:rsidRPr="00B768A1">
        <w:t xml:space="preserve">. Through engaging with a Lived Experience Peer Worker, this person was able to </w:t>
      </w:r>
      <w:r w:rsidR="00517DE3" w:rsidRPr="00F833FC">
        <w:t>break the cycle</w:t>
      </w:r>
      <w:r w:rsidR="00517DE3" w:rsidRPr="003968DE">
        <w:t xml:space="preserve"> </w:t>
      </w:r>
      <w:r w:rsidR="00517DE3" w:rsidRPr="00B768A1">
        <w:t>of going to hospital, being retraumatised, leaving hospital and going back into crisis.</w:t>
      </w:r>
      <w:r w:rsidR="00A6530E">
        <w:t>”</w:t>
      </w:r>
    </w:p>
    <w:p w14:paraId="63796CDE" w14:textId="112755F7" w:rsidR="00517DE3" w:rsidRDefault="00517DE3" w:rsidP="00934B8E">
      <w:pPr>
        <w:pStyle w:val="BT-Livedexperience-Green"/>
        <w:jc w:val="right"/>
        <w:rPr>
          <w:rStyle w:val="Strong"/>
          <w:b w:val="0"/>
          <w:bCs w:val="0"/>
        </w:rPr>
      </w:pPr>
      <w:r w:rsidRPr="00B768A1">
        <w:rPr>
          <w:rStyle w:val="Strong"/>
        </w:rPr>
        <w:t>Chris Trupp</w:t>
      </w:r>
      <w:r w:rsidRPr="003968DE">
        <w:rPr>
          <w:rStyle w:val="Strong"/>
          <w:b w:val="0"/>
          <w:bCs w:val="0"/>
        </w:rPr>
        <w:t>, Lived Experience Partnership Group member</w:t>
      </w:r>
    </w:p>
    <w:p w14:paraId="318ABA1D" w14:textId="5BE17EFF" w:rsidR="000A6D0A" w:rsidRPr="00B768A1" w:rsidRDefault="00F823CC" w:rsidP="00745B34">
      <w:pPr>
        <w:pStyle w:val="Caption"/>
        <w:rPr>
          <w:rStyle w:val="Strong"/>
        </w:rPr>
      </w:pPr>
      <w:bookmarkStart w:id="106" w:name="_Ref164870008"/>
      <w:r>
        <w:t xml:space="preserve">Table </w:t>
      </w:r>
      <w:r w:rsidR="00F93B6D">
        <w:fldChar w:fldCharType="begin"/>
      </w:r>
      <w:r w:rsidR="00F93B6D">
        <w:instrText>SEQ Table \* ARABIC  \* MERGEFORMAT</w:instrText>
      </w:r>
      <w:r w:rsidR="00F93B6D">
        <w:fldChar w:fldCharType="separate"/>
      </w:r>
      <w:r w:rsidR="009F12B4">
        <w:rPr>
          <w:noProof/>
        </w:rPr>
        <w:t>21</w:t>
      </w:r>
      <w:r w:rsidR="00F93B6D">
        <w:rPr>
          <w:noProof/>
        </w:rPr>
        <w:fldChar w:fldCharType="end"/>
      </w:r>
      <w:bookmarkEnd w:id="106"/>
      <w:r>
        <w:t xml:space="preserve">: </w:t>
      </w:r>
      <w:r w:rsidR="009736FC">
        <w:t xml:space="preserve">Recommended actions for Support objective </w:t>
      </w:r>
      <w:r w:rsidR="33DDB466">
        <w:t>7</w:t>
      </w:r>
      <w:r w:rsidR="009736FC">
        <w:t>.3: Appropriate</w:t>
      </w:r>
      <w:r w:rsidR="009736FC" w:rsidRPr="009736FC">
        <w:t xml:space="preserve"> </w:t>
      </w:r>
      <w:r w:rsidR="009736FC" w:rsidRPr="00B768A1">
        <w:t>and acceptable delivery of support</w:t>
      </w:r>
    </w:p>
    <w:tbl>
      <w:tblPr>
        <w:tblStyle w:val="TableGrid"/>
        <w:tblW w:w="8926" w:type="dxa"/>
        <w:tblLook w:val="0420" w:firstRow="1" w:lastRow="0" w:firstColumn="0" w:lastColumn="0" w:noHBand="0" w:noVBand="1"/>
        <w:tblCaption w:val="Recommended actions for Support objective 4.3: Appropriate and acceptable delivery of support"/>
        <w:tblDescription w:val="Describes actions ko4.3a, ko4.3b and ko4.3c.&#10;"/>
      </w:tblPr>
      <w:tblGrid>
        <w:gridCol w:w="1270"/>
        <w:gridCol w:w="7656"/>
      </w:tblGrid>
      <w:tr w:rsidR="00D81ABA" w:rsidRPr="00D13E77" w14:paraId="04D0FF32" w14:textId="77777777" w:rsidTr="00D81ABA">
        <w:trPr>
          <w:cnfStyle w:val="100000000000" w:firstRow="1" w:lastRow="0" w:firstColumn="0" w:lastColumn="0" w:oddVBand="0" w:evenVBand="0" w:oddHBand="0" w:evenHBand="0" w:firstRowFirstColumn="0" w:firstRowLastColumn="0" w:lastRowFirstColumn="0" w:lastRowLastColumn="0"/>
          <w:cantSplit/>
          <w:trHeight w:val="300"/>
          <w:tblHeader/>
        </w:trPr>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9782"/>
          </w:tcPr>
          <w:p w14:paraId="535D802D" w14:textId="59991B1A" w:rsidR="00D81ABA" w:rsidRPr="00D13E77" w:rsidRDefault="00D81ABA" w:rsidP="004F5B0E">
            <w:pPr>
              <w:pStyle w:val="NMHCTableHeaderRow"/>
            </w:pPr>
            <w:r w:rsidRPr="00D13E77">
              <w:t>Action</w:t>
            </w:r>
          </w:p>
        </w:tc>
        <w:tc>
          <w:tcPr>
            <w:tcW w:w="76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9782"/>
            <w:tcMar>
              <w:top w:w="28" w:type="dxa"/>
              <w:bottom w:w="28" w:type="dxa"/>
            </w:tcMar>
          </w:tcPr>
          <w:p w14:paraId="450B1FFB" w14:textId="58778AB1" w:rsidR="00D81ABA" w:rsidRPr="00D13E77" w:rsidDel="00743361" w:rsidRDefault="00D81ABA" w:rsidP="004F5B0E">
            <w:pPr>
              <w:pStyle w:val="NMHCTableHeaderRow"/>
            </w:pPr>
            <w:r w:rsidRPr="00D13E77">
              <w:t>Description</w:t>
            </w:r>
          </w:p>
        </w:tc>
      </w:tr>
      <w:tr w:rsidR="00D81ABA" w:rsidRPr="00B768A1" w14:paraId="1E89257C" w14:textId="77777777" w:rsidTr="00D81ABA">
        <w:trPr>
          <w:trHeight w:val="300"/>
        </w:trPr>
        <w:tc>
          <w:tcPr>
            <w:tcW w:w="1270" w:type="dxa"/>
            <w:tcBorders>
              <w:top w:val="single" w:sz="4" w:space="0" w:color="FFFFFF" w:themeColor="background1"/>
            </w:tcBorders>
          </w:tcPr>
          <w:p w14:paraId="5A64B0F2" w14:textId="7FDA578A" w:rsidR="00D81ABA" w:rsidRPr="001D73D3" w:rsidRDefault="00D81ABA" w:rsidP="00634A83">
            <w:r>
              <w:t>ko7.3a</w:t>
            </w:r>
          </w:p>
        </w:tc>
        <w:tc>
          <w:tcPr>
            <w:tcW w:w="7656" w:type="dxa"/>
            <w:tcBorders>
              <w:top w:val="single" w:sz="4" w:space="0" w:color="FFFFFF" w:themeColor="background1"/>
            </w:tcBorders>
            <w:tcMar>
              <w:top w:w="28" w:type="dxa"/>
              <w:bottom w:w="28" w:type="dxa"/>
            </w:tcMar>
          </w:tcPr>
          <w:p w14:paraId="63E51ED6" w14:textId="1E4F3674" w:rsidR="00D81ABA" w:rsidRPr="00B768A1" w:rsidRDefault="00D81ABA" w:rsidP="00634A83">
            <w:r>
              <w:t>Comprehensively review men’s engagement with existing support options for people with suicidal thoughts and behaviours. Use the findings as the foundation for a co-design process to develop new models to better meet the needs of men.</w:t>
            </w:r>
          </w:p>
        </w:tc>
      </w:tr>
      <w:tr w:rsidR="00D81ABA" w:rsidRPr="00B768A1" w14:paraId="181E5376" w14:textId="77777777" w:rsidTr="00D81ABA">
        <w:trPr>
          <w:trHeight w:val="300"/>
        </w:trPr>
        <w:tc>
          <w:tcPr>
            <w:tcW w:w="1270" w:type="dxa"/>
          </w:tcPr>
          <w:p w14:paraId="0E6FB69B" w14:textId="765D3CF8" w:rsidR="00D81ABA" w:rsidRPr="008A47DD" w:rsidRDefault="00D81ABA" w:rsidP="00634A83">
            <w:r>
              <w:t>ko7.3b</w:t>
            </w:r>
          </w:p>
        </w:tc>
        <w:tc>
          <w:tcPr>
            <w:tcW w:w="7656" w:type="dxa"/>
            <w:tcMar>
              <w:top w:w="28" w:type="dxa"/>
              <w:bottom w:w="28" w:type="dxa"/>
            </w:tcMar>
          </w:tcPr>
          <w:p w14:paraId="5EAA1225" w14:textId="421E543C" w:rsidR="00D81ABA" w:rsidRPr="00B768A1" w:rsidRDefault="00D81ABA" w:rsidP="00634A83">
            <w:r>
              <w:t>Increase the availability of safe and appropriate suicide prevention services for LGBTIQ+ people:</w:t>
            </w:r>
          </w:p>
          <w:p w14:paraId="3D86EC82" w14:textId="18A05F4A" w:rsidR="00D81ABA" w:rsidRPr="00B768A1" w:rsidRDefault="00D81ABA" w:rsidP="00634A83">
            <w:pPr>
              <w:pStyle w:val="ListParagraph"/>
              <w:numPr>
                <w:ilvl w:val="0"/>
                <w:numId w:val="70"/>
              </w:numPr>
            </w:pPr>
            <w:r w:rsidRPr="1274FCB3">
              <w:t>Embed designated LGBTIQ+ peer workers across suicide prevention services by resourcing dedicated positions.</w:t>
            </w:r>
          </w:p>
          <w:p w14:paraId="4964E9FB" w14:textId="2B52AFC9" w:rsidR="00D81ABA" w:rsidRPr="00B768A1" w:rsidRDefault="00D81ABA" w:rsidP="00634A83">
            <w:pPr>
              <w:pStyle w:val="ListParagraph"/>
              <w:numPr>
                <w:ilvl w:val="0"/>
                <w:numId w:val="70"/>
              </w:numPr>
            </w:pPr>
            <w:r w:rsidRPr="1274FCB3">
              <w:t>Resource an LGBTIQ+ organisation/s to develop and implement a capacity-building program for suicide prevention services to provide a safe and affirming workplace for peer workers and service for LGBTIQ+ people.</w:t>
            </w:r>
          </w:p>
          <w:p w14:paraId="6EBD0065" w14:textId="0D267BBD" w:rsidR="00D81ABA" w:rsidRPr="009736FC" w:rsidRDefault="00D81ABA" w:rsidP="00634A83">
            <w:pPr>
              <w:pStyle w:val="ListParagraph"/>
              <w:numPr>
                <w:ilvl w:val="0"/>
                <w:numId w:val="70"/>
              </w:numPr>
            </w:pPr>
            <w:r w:rsidRPr="1274FCB3">
              <w:t>Resource an LGBTIQ+ organisation/s to provide support to designated LGBTIQ+ peer workers in suicide prevention services through peer supervision, a community of practice and a resource hub.</w:t>
            </w:r>
          </w:p>
        </w:tc>
      </w:tr>
      <w:tr w:rsidR="00D81ABA" w:rsidRPr="00B768A1" w14:paraId="4F172401" w14:textId="77777777" w:rsidTr="00D81ABA">
        <w:trPr>
          <w:trHeight w:val="300"/>
        </w:trPr>
        <w:tc>
          <w:tcPr>
            <w:tcW w:w="1270" w:type="dxa"/>
          </w:tcPr>
          <w:p w14:paraId="71F046EE" w14:textId="71F8EF66" w:rsidR="00D81ABA" w:rsidRPr="00B768A1" w:rsidRDefault="00D81ABA" w:rsidP="00634A83">
            <w:r>
              <w:t>ko7</w:t>
            </w:r>
            <w:r w:rsidRPr="00B768A1">
              <w:rPr>
                <w:bCs/>
              </w:rPr>
              <w:t>.3c</w:t>
            </w:r>
          </w:p>
        </w:tc>
        <w:tc>
          <w:tcPr>
            <w:tcW w:w="7656" w:type="dxa"/>
            <w:tcMar>
              <w:top w:w="28" w:type="dxa"/>
              <w:bottom w:w="28" w:type="dxa"/>
            </w:tcMar>
          </w:tcPr>
          <w:p w14:paraId="29DE06E8" w14:textId="35B9F285" w:rsidR="00D81ABA" w:rsidRPr="00B768A1" w:rsidRDefault="00D81ABA" w:rsidP="00634A83">
            <w:pPr>
              <w:rPr>
                <w:b/>
              </w:rPr>
            </w:pPr>
            <w:r w:rsidRPr="00B768A1">
              <w:t>Increase the availability of tailored, culturally appropriate suicide prevention support services for migrants at higher risk of suicide (for example, people from Oceania and Africa).</w:t>
            </w:r>
          </w:p>
        </w:tc>
      </w:tr>
      <w:bookmarkEnd w:id="103"/>
      <w:bookmarkEnd w:id="104"/>
      <w:bookmarkEnd w:id="105"/>
    </w:tbl>
    <w:p w14:paraId="00C29782" w14:textId="27114D81" w:rsidR="00682A5B" w:rsidRPr="00B768A1" w:rsidRDefault="00682A5B" w:rsidP="00634A83"/>
    <w:p w14:paraId="4F023A77" w14:textId="77777777" w:rsidR="00682A5B" w:rsidRPr="00B768A1" w:rsidRDefault="00682A5B" w:rsidP="00634A83">
      <w:pPr>
        <w:sectPr w:rsidR="00682A5B" w:rsidRPr="00B768A1" w:rsidSect="00996915">
          <w:endnotePr>
            <w:numFmt w:val="decimal"/>
          </w:endnotePr>
          <w:pgSz w:w="11907" w:h="16839" w:code="9"/>
          <w:pgMar w:top="1418" w:right="1418" w:bottom="1418" w:left="1418" w:header="680" w:footer="85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p>
    <w:p w14:paraId="514958DE" w14:textId="53471590" w:rsidR="00682A5B" w:rsidRPr="00B768A1" w:rsidRDefault="00B116D5" w:rsidP="00D81ABA">
      <w:pPr>
        <w:pStyle w:val="heading2support"/>
        <w:rPr>
          <w:color w:val="307363"/>
        </w:rPr>
      </w:pPr>
      <w:bookmarkStart w:id="107" w:name="_Toc152082307"/>
      <w:bookmarkStart w:id="108" w:name="_Ref152166322"/>
      <w:bookmarkStart w:id="109" w:name="_Toc1703293709"/>
      <w:bookmarkStart w:id="110" w:name="_Toc969996485"/>
      <w:bookmarkStart w:id="111" w:name="_Toc171459034"/>
      <w:r>
        <w:rPr>
          <w:color w:val="307363"/>
        </w:rPr>
        <w:drawing>
          <wp:anchor distT="0" distB="0" distL="114300" distR="114300" simplePos="0" relativeHeight="251658256" behindDoc="1" locked="0" layoutInCell="1" allowOverlap="1" wp14:anchorId="04CB43C3" wp14:editId="1595EAB4">
            <wp:simplePos x="0" y="0"/>
            <wp:positionH relativeFrom="margin">
              <wp:align>right</wp:align>
            </wp:positionH>
            <wp:positionV relativeFrom="paragraph">
              <wp:posOffset>8255</wp:posOffset>
            </wp:positionV>
            <wp:extent cx="1397000" cy="899795"/>
            <wp:effectExtent l="0" t="0" r="0" b="0"/>
            <wp:wrapTight wrapText="bothSides">
              <wp:wrapPolygon edited="0">
                <wp:start x="0" y="0"/>
                <wp:lineTo x="0" y="21036"/>
                <wp:lineTo x="21207" y="21036"/>
                <wp:lineTo x="21207" y="0"/>
                <wp:lineTo x="0" y="0"/>
              </wp:wrapPolygon>
            </wp:wrapTight>
            <wp:docPr id="25" name="Picture 25" descr="System-level coordination is Key objective 8 of the Strategy, within the domain of Support for people experiencing suicidal thoughts and behaviours, and those that care for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ystem-level coordination is Key objective 8 of the Strategy, within the domain of Support for people experiencing suicidal thoughts and behaviours, and those that care for them."/>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97000" cy="899795"/>
                    </a:xfrm>
                    <a:prstGeom prst="rect">
                      <a:avLst/>
                    </a:prstGeom>
                  </pic:spPr>
                </pic:pic>
              </a:graphicData>
            </a:graphic>
          </wp:anchor>
        </w:drawing>
      </w:r>
      <w:r w:rsidR="00682A5B" w:rsidRPr="50DFD766">
        <w:t xml:space="preserve">Key </w:t>
      </w:r>
      <w:r w:rsidR="004E0E51" w:rsidRPr="50DFD766">
        <w:t>o</w:t>
      </w:r>
      <w:r w:rsidR="00682A5B" w:rsidRPr="50DFD766">
        <w:t xml:space="preserve">bjective </w:t>
      </w:r>
      <w:r w:rsidR="534BA01A" w:rsidRPr="2C7C6099">
        <w:t>8</w:t>
      </w:r>
      <w:r w:rsidR="00682A5B" w:rsidRPr="50DFD766">
        <w:t>: System</w:t>
      </w:r>
      <w:r w:rsidR="007F6B35" w:rsidRPr="50DFD766">
        <w:t>-level</w:t>
      </w:r>
      <w:r w:rsidR="00682A5B" w:rsidRPr="50DFD766">
        <w:t xml:space="preserve"> coordination</w:t>
      </w:r>
      <w:bookmarkEnd w:id="107"/>
      <w:bookmarkEnd w:id="108"/>
      <w:bookmarkEnd w:id="109"/>
      <w:bookmarkEnd w:id="110"/>
      <w:bookmarkEnd w:id="111"/>
    </w:p>
    <w:p w14:paraId="51476E7A" w14:textId="288C3977" w:rsidR="00682A5B" w:rsidRPr="00B768A1" w:rsidRDefault="214F7382" w:rsidP="00634A83">
      <w:r>
        <w:t>When people connect with services, it is important that they encounter a system that has clear, coordinated responses and which assists them to engage with services that meet their needs.</w:t>
      </w:r>
    </w:p>
    <w:p w14:paraId="05E32780" w14:textId="5E703EE3" w:rsidR="00682A5B" w:rsidRPr="00B768A1" w:rsidRDefault="540AA318" w:rsidP="00634A83">
      <w:r>
        <w:t xml:space="preserve">To achieve this and deliver an </w:t>
      </w:r>
      <w:r w:rsidR="3B576AF5">
        <w:t xml:space="preserve">effective </w:t>
      </w:r>
      <w:r>
        <w:t>suicide prevention system in Australia</w:t>
      </w:r>
      <w:r w:rsidR="3B576AF5">
        <w:t>,</w:t>
      </w:r>
      <w:r>
        <w:t xml:space="preserve"> better coordination within the system is needed</w:t>
      </w:r>
      <w:r w:rsidR="4E34F826">
        <w:t xml:space="preserve">. </w:t>
      </w:r>
      <w:r w:rsidR="021C4867" w:rsidRPr="00B768A1">
        <w:t>Coordination</w:t>
      </w:r>
      <w:r w:rsidR="021C4867">
        <w:t xml:space="preserve"> </w:t>
      </w:r>
      <w:r w:rsidR="2CA8C28C">
        <w:t>involves deliberately con</w:t>
      </w:r>
      <w:r w:rsidR="2E7B7DE7">
        <w:t xml:space="preserve">figuring pathways of care and building service linkages, processes, staff capability and infrastructure to ensure that care </w:t>
      </w:r>
      <w:r w:rsidR="1C3E2E94">
        <w:t>is effective</w:t>
      </w:r>
      <w:r w:rsidR="54E86CAB">
        <w:t>.</w:t>
      </w:r>
      <w:hyperlink w:anchor="_ENREF_233" w:tooltip="B, 2019 #100" w:history="1">
        <w:r w:rsidR="002D6F18">
          <w:fldChar w:fldCharType="begin"/>
        </w:r>
        <w:r w:rsidR="002D6F18">
          <w:instrText xml:space="preserve"> ADDIN EN.CITE &lt;EndNote&gt;&lt;Cite&gt;&lt;Author&gt;B&lt;/Author&gt;&lt;Year&gt;2019&lt;/Year&gt;&lt;RecNum&gt;100&lt;/RecNum&gt;&lt;DisplayText&gt;&lt;style face="superscript"&gt;233&lt;/style&gt;&lt;/DisplayText&gt;&lt;record&gt;&lt;rec-number&gt;100&lt;/rec-number&gt;&lt;foreign-keys&gt;&lt;key app="EN" db-id="rsettzd2isasdweewww55s9lffasxav0d0ft" timestamp="1700699467" guid="808fbf68-00bd-4e1a-8dc7-417b5b44469d"&gt;100&lt;/key&gt;&lt;/foreign-keys&gt;&lt;ref-type name="Web Page"&gt;12&lt;/ref-type&gt;&lt;contributors&gt;&lt;authors&gt;&lt;author&gt;Williams B&lt;/author&gt;&lt;/authors&gt;&lt;tertiary-authors&gt;&lt;author&gt;Eastern Mental Health Service Coordination Alliance&lt;/author&gt;&lt;/tertiary-authors&gt;&lt;/contributors&gt;&lt;titles&gt;&lt;title&gt;Collaborative and Coordinated Care: An Investigation of the Enablers and Barriers for Adults who Experience Mental Ill-Health in Eastern Melbourne: EMHSCA Care Coordination Research Summary&lt;/title&gt;&lt;/titles&gt;&lt;dates&gt;&lt;year&gt;2019&lt;/year&gt;&lt;/dates&gt;&lt;pub-location&gt;Melbourne, Victoria&lt;/pub-location&gt;&lt;work-type&gt;Internet&lt;/work-type&gt;&lt;urls&gt;&lt;related-urls&gt;&lt;url&gt;https://www.emphn.org.au/images/uploads/files/EMHSCA-Care-Coordination-study-2019.pdf&lt;/url&gt;&lt;/related-urls&gt;&lt;/urls&gt;&lt;custom1&gt;2023&lt;/custom1&gt;&lt;custom2&gt;November 05&lt;/custom2&gt;&lt;/record&gt;&lt;/Cite&gt;&lt;/EndNote&gt;</w:instrText>
        </w:r>
        <w:r w:rsidR="002D6F18">
          <w:fldChar w:fldCharType="separate"/>
        </w:r>
        <w:r w:rsidR="002D6F18" w:rsidRPr="00C559B5">
          <w:rPr>
            <w:noProof/>
            <w:vertAlign w:val="superscript"/>
          </w:rPr>
          <w:t>233</w:t>
        </w:r>
        <w:r w:rsidR="002D6F18">
          <w:fldChar w:fldCharType="end"/>
        </w:r>
      </w:hyperlink>
      <w:r w:rsidR="003E1E3E">
        <w:t xml:space="preserve"> </w:t>
      </w:r>
      <w:r w:rsidR="0B3CA985" w:rsidRPr="00B768A1">
        <w:t>C</w:t>
      </w:r>
      <w:r w:rsidR="3605BDAC" w:rsidRPr="00B768A1">
        <w:t>oordination can improve experiences, engagement and outcomes of care.</w:t>
      </w:r>
      <w:hyperlink w:anchor="_ENREF_234" w:tooltip="Care, 2022 #98" w:history="1">
        <w:r w:rsidR="002D6F18">
          <w:fldChar w:fldCharType="begin"/>
        </w:r>
        <w:r w:rsidR="002D6F18">
          <w:instrText xml:space="preserve"> ADDIN EN.CITE &lt;EndNote&gt;&lt;Cite&gt;&lt;Author&gt;Care&lt;/Author&gt;&lt;Year&gt;2022&lt;/Year&gt;&lt;RecNum&gt;98&lt;/RecNum&gt;&lt;DisplayText&gt;&lt;style face="superscript"&gt;234&lt;/style&gt;&lt;/DisplayText&gt;&lt;record&gt;&lt;rec-number&gt;98&lt;/rec-number&gt;&lt;foreign-keys&gt;&lt;key app="EN" db-id="rsettzd2isasdweewww55s9lffasxav0d0ft" timestamp="1700699467" guid="b6ae8d9c-a980-4f98-8de4-841ff1b12293"&gt;98&lt;/key&gt;&lt;/foreign-keys&gt;&lt;ref-type name="Web Page"&gt;12&lt;/ref-type&gt;&lt;contributors&gt;&lt;authors&gt;&lt;author&gt;Department of Health and Aged Care&lt;/author&gt;&lt;/authors&gt;&lt;/contributors&gt;&lt;titles&gt;&lt;title&gt;National Guidelines to Improve Coordination of Treatment and Supports for People with Severe and Complex Mental Illness: Australian Government Department of Health, March 2022&lt;/title&gt;&lt;/titles&gt;&lt;dates&gt;&lt;year&gt;2022&lt;/year&gt;&lt;/dates&gt;&lt;publisher&gt;Department of Health and Aged Care&lt;/publisher&gt;&lt;work-type&gt;Internet&lt;/work-type&gt;&lt;urls&gt;&lt;related-urls&gt;&lt;url&gt;https://www.health.gov.au/resources/collections/national-guidelines-to-improve-coordination-of-treatment-and-supports-for-people-with-severe-and-complex-mental-illness&lt;/url&gt;&lt;/related-urls&gt;&lt;/urls&gt;&lt;custom1&gt;2023&lt;/custom1&gt;&lt;custom2&gt;November 05&lt;/custom2&gt;&lt;/record&gt;&lt;/Cite&gt;&lt;/EndNote&gt;</w:instrText>
        </w:r>
        <w:r w:rsidR="002D6F18">
          <w:fldChar w:fldCharType="separate"/>
        </w:r>
        <w:r w:rsidR="002D6F18" w:rsidRPr="00C559B5">
          <w:rPr>
            <w:noProof/>
            <w:vertAlign w:val="superscript"/>
          </w:rPr>
          <w:t>234</w:t>
        </w:r>
        <w:r w:rsidR="002D6F18">
          <w:fldChar w:fldCharType="end"/>
        </w:r>
      </w:hyperlink>
      <w:r w:rsidR="18ADE46F" w:rsidRPr="00B768A1">
        <w:t xml:space="preserve"> </w:t>
      </w:r>
      <w:r w:rsidR="3605BDAC" w:rsidRPr="00B768A1">
        <w:t>For the service system, effective coordination can improve productivity and reduce hospital admissions related to suicidal</w:t>
      </w:r>
      <w:r w:rsidR="50F45159" w:rsidRPr="00B768A1">
        <w:t xml:space="preserve"> </w:t>
      </w:r>
      <w:r w:rsidR="05C30789" w:rsidRPr="00B768A1">
        <w:t>thoughts and behaviour</w:t>
      </w:r>
      <w:r w:rsidR="51360968" w:rsidRPr="00B768A1">
        <w:t>s</w:t>
      </w:r>
      <w:r w:rsidR="16D581B2" w:rsidRPr="00B768A1">
        <w:t xml:space="preserve"> by providing timely and appropriate support ahead of a </w:t>
      </w:r>
      <w:r w:rsidR="05C30789" w:rsidRPr="00B768A1">
        <w:t xml:space="preserve">suicidal </w:t>
      </w:r>
      <w:r w:rsidR="16D581B2" w:rsidRPr="00B768A1">
        <w:t>crisis</w:t>
      </w:r>
      <w:r w:rsidR="2F1247C6" w:rsidRPr="00B768A1">
        <w:t>.</w:t>
      </w:r>
      <w:hyperlink w:anchor="_ENREF_234" w:tooltip="Care, 2022 #98" w:history="1">
        <w:r w:rsidR="002D6F18">
          <w:fldChar w:fldCharType="begin"/>
        </w:r>
        <w:r w:rsidR="002D6F18">
          <w:instrText xml:space="preserve"> ADDIN EN.CITE &lt;EndNote&gt;&lt;Cite&gt;&lt;Author&gt;Care&lt;/Author&gt;&lt;Year&gt;2022&lt;/Year&gt;&lt;RecNum&gt;98&lt;/RecNum&gt;&lt;DisplayText&gt;&lt;style face="superscript"&gt;234&lt;/style&gt;&lt;/DisplayText&gt;&lt;record&gt;&lt;rec-number&gt;98&lt;/rec-number&gt;&lt;foreign-keys&gt;&lt;key app="EN" db-id="rsettzd2isasdweewww55s9lffasxav0d0ft" timestamp="1700699467" guid="b6ae8d9c-a980-4f98-8de4-841ff1b12293"&gt;98&lt;/key&gt;&lt;/foreign-keys&gt;&lt;ref-type name="Web Page"&gt;12&lt;/ref-type&gt;&lt;contributors&gt;&lt;authors&gt;&lt;author&gt;Department of Health and Aged Care&lt;/author&gt;&lt;/authors&gt;&lt;/contributors&gt;&lt;titles&gt;&lt;title&gt;National Guidelines to Improve Coordination of Treatment and Supports for People with Severe and Complex Mental Illness: Australian Government Department of Health, March 2022&lt;/title&gt;&lt;/titles&gt;&lt;dates&gt;&lt;year&gt;2022&lt;/year&gt;&lt;/dates&gt;&lt;publisher&gt;Department of Health and Aged Care&lt;/publisher&gt;&lt;work-type&gt;Internet&lt;/work-type&gt;&lt;urls&gt;&lt;related-urls&gt;&lt;url&gt;https://www.health.gov.au/resources/collections/national-guidelines-to-improve-coordination-of-treatment-and-supports-for-people-with-severe-and-complex-mental-illness&lt;/url&gt;&lt;/related-urls&gt;&lt;/urls&gt;&lt;custom1&gt;2023&lt;/custom1&gt;&lt;custom2&gt;November 05&lt;/custom2&gt;&lt;/record&gt;&lt;/Cite&gt;&lt;/EndNote&gt;</w:instrText>
        </w:r>
        <w:r w:rsidR="002D6F18">
          <w:fldChar w:fldCharType="separate"/>
        </w:r>
        <w:r w:rsidR="002D6F18" w:rsidRPr="00C559B5">
          <w:rPr>
            <w:noProof/>
            <w:vertAlign w:val="superscript"/>
          </w:rPr>
          <w:t>234</w:t>
        </w:r>
        <w:r w:rsidR="002D6F18">
          <w:fldChar w:fldCharType="end"/>
        </w:r>
      </w:hyperlink>
      <w:bookmarkStart w:id="112" w:name="_Toc512462593"/>
      <w:bookmarkStart w:id="113" w:name="_Toc142403299"/>
      <w:bookmarkStart w:id="114" w:name="_Toc142407474"/>
    </w:p>
    <w:p w14:paraId="643C516C" w14:textId="7F4C2CDA" w:rsidR="005E65BF" w:rsidRPr="00B768A1" w:rsidRDefault="005E65BF" w:rsidP="00634A83">
      <w:pPr>
        <w:pStyle w:val="BT-Livedexperience-Green-Heading"/>
      </w:pPr>
      <w:r w:rsidRPr="00B768A1">
        <w:t xml:space="preserve">What </w:t>
      </w:r>
      <w:r w:rsidR="00DE14DA">
        <w:t>do</w:t>
      </w:r>
      <w:r w:rsidR="00DE14DA" w:rsidRPr="00B768A1">
        <w:t xml:space="preserve"> </w:t>
      </w:r>
      <w:r w:rsidRPr="00B768A1">
        <w:t xml:space="preserve">we </w:t>
      </w:r>
      <w:r w:rsidR="00DE14DA">
        <w:t xml:space="preserve">need </w:t>
      </w:r>
      <w:r w:rsidRPr="00B768A1">
        <w:t>to achieve?</w:t>
      </w:r>
    </w:p>
    <w:p w14:paraId="71D1FDC4" w14:textId="57991A34" w:rsidR="005E65BF" w:rsidRPr="00B768A1" w:rsidRDefault="005E65BF" w:rsidP="00634A83">
      <w:pPr>
        <w:pStyle w:val="BT-Livedexperience-Green"/>
      </w:pPr>
      <w:r w:rsidRPr="00B768A1">
        <w:t xml:space="preserve">People impacted by suicidal thoughts and behaviours </w:t>
      </w:r>
      <w:r w:rsidR="000E7171" w:rsidRPr="00B768A1">
        <w:t>experience</w:t>
      </w:r>
      <w:r w:rsidRPr="00B768A1">
        <w:t xml:space="preserve"> a seamless support system </w:t>
      </w:r>
      <w:r w:rsidR="000E7171" w:rsidRPr="00B768A1">
        <w:t xml:space="preserve">that </w:t>
      </w:r>
      <w:r w:rsidRPr="00B768A1">
        <w:t>facilitates access to appropriate supports.</w:t>
      </w:r>
    </w:p>
    <w:p w14:paraId="72A1EDB5" w14:textId="42DF915C" w:rsidR="00682A5B" w:rsidRPr="00B768A1" w:rsidRDefault="17D53EF8" w:rsidP="00D81ABA">
      <w:pPr>
        <w:pStyle w:val="heading3support"/>
      </w:pPr>
      <w:r>
        <w:t>8.1 Consistent care pathways</w:t>
      </w:r>
    </w:p>
    <w:p w14:paraId="5A9D2692" w14:textId="051B7E46" w:rsidR="00682A5B" w:rsidRPr="00B768A1" w:rsidRDefault="7B7A04AA" w:rsidP="00634A83">
      <w:r w:rsidRPr="00F833FC">
        <w:t>A care pathway provides a standardised, evidence-based approach to determining what happens, when it happens, and who is responsible at different points in the provision of support.</w:t>
      </w:r>
      <w:hyperlink w:anchor="_ENREF_235" w:tooltip="K, 2010 #1038" w:history="1">
        <w:r w:rsidR="002D6F18">
          <w:fldChar w:fldCharType="begin"/>
        </w:r>
        <w:r w:rsidR="002D6F18">
          <w:instrText xml:space="preserve"> ADDIN EN.CITE &lt;EndNote&gt;&lt;Cite&gt;&lt;Author&gt;K&lt;/Author&gt;&lt;Year&gt;2010&lt;/Year&gt;&lt;RecNum&gt;1038&lt;/RecNum&gt;&lt;DisplayText&gt;&lt;style face="superscript"&gt;235&lt;/style&gt;&lt;/DisplayText&gt;&lt;record&gt;&lt;rec-number&gt;1038&lt;/rec-number&gt;&lt;foreign-keys&gt;&lt;key app="EN" db-id="rsettzd2isasdweewww55s9lffasxav0d0ft" timestamp="1720488508" guid="11029d73-9195-4acd-9be3-077d2e416fdf"&gt;1038&lt;/key&gt;&lt;/foreign-keys&gt;&lt;ref-type name="Journal Article"&gt;17&lt;/ref-type&gt;&lt;contributors&gt;&lt;authors&gt;&lt;author&gt;Vanhaecht K&lt;/author&gt;&lt;author&gt;Sermeus W&lt;/author&gt;&lt;author&gt;Peers J&lt;/author&gt;&lt;author&gt;Deneckere S&lt;/author&gt;&lt;author&gt;Lodewijckx C&lt;/author&gt;&lt;author&gt;Leigheb F&lt;/author&gt;&lt;author&gt;Panella M&lt;/author&gt;&lt;/authors&gt;&lt;/contributors&gt;&lt;titles&gt;&lt;title&gt;The European Quality of Care Pathway (EQCP) Study: history, project management and approach&lt;/title&gt;&lt;secondary-title&gt;Int J Care Pathw 2010. 14: 52-56.&lt;/secondary-title&gt;&lt;/titles&gt;&lt;periodical&gt;&lt;full-title&gt;Int J Care Pathw 2010. 14: 52-56.&lt;/full-title&gt;&lt;/periodical&gt;&lt;volume&gt;14&lt;/volume&gt;&lt;dates&gt;&lt;year&gt;2010&lt;/year&gt;&lt;pub-dates&gt;&lt;date&gt;06/01&lt;/date&gt;&lt;/pub-dates&gt;&lt;/dates&gt;&lt;urls&gt;&lt;/urls&gt;&lt;electronic-resource-num&gt;10.1258/jicp.2010.010015&lt;/electronic-resource-num&gt;&lt;/record&gt;&lt;/Cite&gt;&lt;/EndNote&gt;</w:instrText>
        </w:r>
        <w:r w:rsidR="002D6F18">
          <w:fldChar w:fldCharType="separate"/>
        </w:r>
        <w:r w:rsidR="002D6F18" w:rsidRPr="00C559B5">
          <w:rPr>
            <w:noProof/>
            <w:vertAlign w:val="superscript"/>
          </w:rPr>
          <w:t>235</w:t>
        </w:r>
        <w:r w:rsidR="002D6F18">
          <w:fldChar w:fldCharType="end"/>
        </w:r>
      </w:hyperlink>
      <w:r w:rsidR="00F3234B">
        <w:t xml:space="preserve"> </w:t>
      </w:r>
      <w:r w:rsidR="40F591D3">
        <w:t>Care pathways can reduce the complexity of coordinating a person’s care and help to reduce the variation of processes in and between services.</w:t>
      </w:r>
      <w:hyperlink w:anchor="_ENREF_236" w:tooltip="D, 2017 #1051" w:history="1">
        <w:r w:rsidR="002D6F18">
          <w:fldChar w:fldCharType="begin"/>
        </w:r>
        <w:r w:rsidR="002D6F18">
          <w:instrText xml:space="preserve"> ADDIN EN.CITE &lt;EndNote&gt;&lt;Cite&gt;&lt;Author&gt;D&lt;/Author&gt;&lt;Year&gt;2017&lt;/Year&gt;&lt;RecNum&gt;1051&lt;/RecNum&gt;&lt;DisplayText&gt;&lt;style face="superscript"&gt;236&lt;/style&gt;&lt;/DisplayText&gt;&lt;record&gt;&lt;rec-number&gt;1051&lt;/rec-number&gt;&lt;foreign-keys&gt;&lt;key app="EN" db-id="rsettzd2isasdweewww55s9lffasxav0d0ft" timestamp="1720488564" guid="f48c57a8-6a84-434d-9c66-55b16a1ac899"&gt;1051&lt;/key&gt;&lt;/foreign-keys&gt;&lt;ref-type name="Journal Article"&gt;17&lt;/ref-type&gt;&lt;contributors&gt;&lt;authors&gt;&lt;author&gt;Seys D&lt;/author&gt;&lt;author&gt;Bruyneel L&lt;/author&gt;&lt;author&gt;Deneckere S&lt;/author&gt;&lt;author&gt;Kul S&lt;/author&gt;&lt;author&gt;Veken L&lt;/author&gt;&lt;author&gt;van Zelm R&lt;/author&gt;&lt;author&gt;Sermeus W&lt;/author&gt;&lt;author&gt;Panella M&lt;/author&gt;&lt;author&gt;Vanhaecht K&lt;/author&gt;&lt;/authors&gt;&lt;/contributors&gt;&lt;titles&gt;&lt;title&gt;Better organized care via care pathways: A multicenter study&lt;/title&gt;&lt;secondary-title&gt;PLOS ONE&lt;/secondary-title&gt;&lt;/titles&gt;&lt;periodical&gt;&lt;full-title&gt;PLoS ONE&lt;/full-title&gt;&lt;/periodical&gt;&lt;pages&gt;e0180398&lt;/pages&gt;&lt;volume&gt;12&lt;/volume&gt;&lt;dates&gt;&lt;year&gt;2017&lt;/year&gt;&lt;pub-dates&gt;&lt;date&gt;07/03&lt;/date&gt;&lt;/pub-dates&gt;&lt;/dates&gt;&lt;urls&gt;&lt;/urls&gt;&lt;electronic-resource-num&gt;10.1371/journal.pone.0180398&lt;/electronic-resource-num&gt;&lt;/record&gt;&lt;/Cite&gt;&lt;/EndNote&gt;</w:instrText>
        </w:r>
        <w:r w:rsidR="002D6F18">
          <w:fldChar w:fldCharType="separate"/>
        </w:r>
        <w:r w:rsidR="002D6F18" w:rsidRPr="00C559B5">
          <w:rPr>
            <w:noProof/>
            <w:vertAlign w:val="superscript"/>
          </w:rPr>
          <w:t>236</w:t>
        </w:r>
        <w:r w:rsidR="002D6F18">
          <w:fldChar w:fldCharType="end"/>
        </w:r>
      </w:hyperlink>
      <w:r w:rsidR="00F3234B">
        <w:t xml:space="preserve"> </w:t>
      </w:r>
      <w:r w:rsidR="40F591D3">
        <w:t>Care pathways are associated with improved patient outcomes.</w:t>
      </w:r>
      <w:hyperlink w:anchor="_ENREF_236" w:tooltip="D, 2017 #1051" w:history="1">
        <w:r w:rsidR="002D6F18">
          <w:fldChar w:fldCharType="begin"/>
        </w:r>
        <w:r w:rsidR="002D6F18">
          <w:instrText xml:space="preserve"> ADDIN EN.CITE &lt;EndNote&gt;&lt;Cite&gt;&lt;Author&gt;D&lt;/Author&gt;&lt;Year&gt;2017&lt;/Year&gt;&lt;RecNum&gt;1051&lt;/RecNum&gt;&lt;DisplayText&gt;&lt;style face="superscript"&gt;236&lt;/style&gt;&lt;/DisplayText&gt;&lt;record&gt;&lt;rec-number&gt;1051&lt;/rec-number&gt;&lt;foreign-keys&gt;&lt;key app="EN" db-id="rsettzd2isasdweewww55s9lffasxav0d0ft" timestamp="1720488564" guid="f48c57a8-6a84-434d-9c66-55b16a1ac899"&gt;1051&lt;/key&gt;&lt;/foreign-keys&gt;&lt;ref-type name="Journal Article"&gt;17&lt;/ref-type&gt;&lt;contributors&gt;&lt;authors&gt;&lt;author&gt;Seys D&lt;/author&gt;&lt;author&gt;Bruyneel L&lt;/author&gt;&lt;author&gt;Deneckere S&lt;/author&gt;&lt;author&gt;Kul S&lt;/author&gt;&lt;author&gt;Veken L&lt;/author&gt;&lt;author&gt;van Zelm R&lt;/author&gt;&lt;author&gt;Sermeus W&lt;/author&gt;&lt;author&gt;Panella M&lt;/author&gt;&lt;author&gt;Vanhaecht K&lt;/author&gt;&lt;/authors&gt;&lt;/contributors&gt;&lt;titles&gt;&lt;title&gt;Better organized care via care pathways: A multicenter study&lt;/title&gt;&lt;secondary-title&gt;PLOS ONE&lt;/secondary-title&gt;&lt;/titles&gt;&lt;periodical&gt;&lt;full-title&gt;PLoS ONE&lt;/full-title&gt;&lt;/periodical&gt;&lt;pages&gt;e0180398&lt;/pages&gt;&lt;volume&gt;12&lt;/volume&gt;&lt;dates&gt;&lt;year&gt;2017&lt;/year&gt;&lt;pub-dates&gt;&lt;date&gt;07/03&lt;/date&gt;&lt;/pub-dates&gt;&lt;/dates&gt;&lt;urls&gt;&lt;/urls&gt;&lt;electronic-resource-num&gt;10.1371/journal.pone.0180398&lt;/electronic-resource-num&gt;&lt;/record&gt;&lt;/Cite&gt;&lt;/EndNote&gt;</w:instrText>
        </w:r>
        <w:r w:rsidR="002D6F18">
          <w:fldChar w:fldCharType="separate"/>
        </w:r>
        <w:r w:rsidR="002D6F18" w:rsidRPr="00C559B5">
          <w:rPr>
            <w:noProof/>
            <w:vertAlign w:val="superscript"/>
          </w:rPr>
          <w:t>236</w:t>
        </w:r>
        <w:r w:rsidR="002D6F18">
          <w:fldChar w:fldCharType="end"/>
        </w:r>
      </w:hyperlink>
    </w:p>
    <w:p w14:paraId="1289AADC" w14:textId="69F80D74" w:rsidR="00682A5B" w:rsidRPr="00B768A1" w:rsidRDefault="40F591D3" w:rsidP="00634A83">
      <w:r>
        <w:t>Clinical care models for suicide prevention, such as the Zero Suicide Framework, provide a structure to guide suicide prevention care pathways and have been widely adopted internationally.</w:t>
      </w:r>
      <w:hyperlink w:anchor="_ENREF_237" w:tooltip="CE, 2007 #1049" w:history="1">
        <w:r w:rsidR="002D6F18">
          <w:fldChar w:fldCharType="begin"/>
        </w:r>
        <w:r w:rsidR="002D6F18">
          <w:instrText xml:space="preserve"> ADDIN EN.CITE &lt;EndNote&gt;&lt;Cite&gt;&lt;Author&gt;CE&lt;/Author&gt;&lt;Year&gt;2007&lt;/Year&gt;&lt;RecNum&gt;1049&lt;/RecNum&gt;&lt;DisplayText&gt;&lt;style face="superscript"&gt;237&lt;/style&gt;&lt;/DisplayText&gt;&lt;record&gt;&lt;rec-number&gt;1049&lt;/rec-number&gt;&lt;foreign-keys&gt;&lt;key app="EN" db-id="rsettzd2isasdweewww55s9lffasxav0d0ft" timestamp="1720488557" guid="5712fad4-646e-4313-ad9f-aaef281a3dce"&gt;1049&lt;/key&gt;&lt;/foreign-keys&gt;&lt;ref-type name="Journal Article"&gt;17&lt;/ref-type&gt;&lt;contributors&gt;&lt;authors&gt;&lt;author&gt;Coffey CE&lt;/author&gt;&lt;/authors&gt;&lt;/contributors&gt;&lt;titles&gt;&lt;title&gt;Building a System of Perfect Depression Care in Behavioral Health&lt;/title&gt;&lt;secondary-title&gt;The Joint Commission Journal on Quality and Patient Safety&lt;/secondary-title&gt;&lt;/titles&gt;&lt;periodical&gt;&lt;full-title&gt;The Joint Commission Journal on Quality and Patient Safety&lt;/full-title&gt;&lt;/periodical&gt;&lt;pages&gt;193-199&lt;/pages&gt;&lt;volume&gt;33&lt;/volume&gt;&lt;dates&gt;&lt;year&gt;2007&lt;/year&gt;&lt;pub-dates&gt;&lt;date&gt;04/01&lt;/date&gt;&lt;/pub-dates&gt;&lt;/dates&gt;&lt;urls&gt;&lt;/urls&gt;&lt;electronic-resource-num&gt;10.1016/S1553-7250(07)33022-5&lt;/electronic-resource-num&gt;&lt;/record&gt;&lt;/Cite&gt;&lt;/EndNote&gt;</w:instrText>
        </w:r>
        <w:r w:rsidR="002D6F18">
          <w:fldChar w:fldCharType="separate"/>
        </w:r>
        <w:r w:rsidR="002D6F18" w:rsidRPr="00C559B5">
          <w:rPr>
            <w:noProof/>
            <w:vertAlign w:val="superscript"/>
          </w:rPr>
          <w:t>237</w:t>
        </w:r>
        <w:r w:rsidR="002D6F18">
          <w:fldChar w:fldCharType="end"/>
        </w:r>
      </w:hyperlink>
      <w:r>
        <w:t xml:space="preserve"> The implementation of care pathways using this approach has shown promising results in Australia—reducing repeated suicide attempts after an initial attempt by around 35% and increasing the time between subsequent attempts, in comparison with treatment as usual (action ko</w:t>
      </w:r>
      <w:r w:rsidR="4E34F826">
        <w:t>8.1</w:t>
      </w:r>
      <w:r>
        <w:t>a).</w:t>
      </w:r>
      <w:hyperlink w:anchor="_ENREF_238" w:tooltip="NJC, 2021 #252" w:history="1">
        <w:r w:rsidR="002D6F18">
          <w:fldChar w:fldCharType="begin"/>
        </w:r>
        <w:r w:rsidR="002D6F18">
          <w:instrText xml:space="preserve"> ADDIN EN.CITE &lt;EndNote&gt;&lt;Cite&gt;&lt;Author&gt;NJC&lt;/Author&gt;&lt;Year&gt;2021&lt;/Year&gt;&lt;RecNum&gt;252&lt;/RecNum&gt;&lt;DisplayText&gt;&lt;style face="superscript"&gt;238&lt;/style&gt;&lt;/DisplayText&gt;&lt;record&gt;&lt;rec-number&gt;252&lt;/rec-number&gt;&lt;foreign-keys&gt;&lt;key app="EN" db-id="rsettzd2isasdweewww55s9lffasxav0d0ft" timestamp="1700699470" guid="aa54eece-c00a-44a7-ac1c-653ce11bdd62"&gt;252&lt;/key&gt;&lt;/foreign-keys&gt;&lt;ref-type name="Journal Article"&gt;17&lt;/ref-type&gt;&lt;contributors&gt;&lt;authors&gt;&lt;author&gt;Stapelberg NJC&lt;/author&gt;&lt;author&gt;Sveticic J&lt;/author&gt;&lt;author&gt;Hughes I&lt;/author&gt;&lt;author&gt;Almeida-Crasto A&lt;/author&gt;&lt;author&gt;Gaee-Atefi T&lt;/author&gt;&lt;author&gt;Gill N&lt;/author&gt;&lt;author&gt;Grice D&lt;/author&gt;&lt;author&gt;Krishnaiah R&lt;/author&gt;&lt;author&gt;Lindsay L&lt;/author&gt;&lt;author&gt;Patist C&lt;/author&gt;&lt;author&gt;Van Engelen H&lt;/author&gt;&lt;author&gt;Walker S&lt;/author&gt;&lt;author&gt;Welch M&lt;/author&gt;&lt;author&gt;Woerwag-Mehta S&lt;/author&gt;&lt;author&gt;Turner K&lt;/author&gt;&lt;/authors&gt;&lt;/contributors&gt;&lt;titles&gt;&lt;title&gt;Efficacy of the Zero Suicide Framework in Reducing Recurrent Suicide Attempts: Cross-Sectional and Time-to-Recurrent-Event Analyses&lt;/title&gt;&lt;secondary-title&gt;The British Journal of Psychiatry&lt;/secondary-title&gt;&lt;/titles&gt;&lt;periodical&gt;&lt;full-title&gt;The British Journal of Psychiatry&lt;/full-title&gt;&lt;/periodical&gt;&lt;dates&gt;&lt;year&gt;2021&lt;/year&gt;&lt;/dates&gt;&lt;urls&gt;&lt;/urls&gt;&lt;electronic-resource-num&gt;DOI: 10.1192/bjp.2020.190&lt;/electronic-resource-num&gt;&lt;/record&gt;&lt;/Cite&gt;&lt;/EndNote&gt;</w:instrText>
        </w:r>
        <w:r w:rsidR="002D6F18">
          <w:fldChar w:fldCharType="separate"/>
        </w:r>
        <w:r w:rsidR="002D6F18" w:rsidRPr="00C559B5">
          <w:rPr>
            <w:noProof/>
            <w:vertAlign w:val="superscript"/>
          </w:rPr>
          <w:t>238</w:t>
        </w:r>
        <w:r w:rsidR="002D6F18">
          <w:fldChar w:fldCharType="end"/>
        </w:r>
      </w:hyperlink>
    </w:p>
    <w:p w14:paraId="669C45E3" w14:textId="3C674B99" w:rsidR="00682A5B" w:rsidRPr="00B768A1" w:rsidRDefault="40F591D3" w:rsidP="00634A83">
      <w:r>
        <w:t>There is also an opportunity to improve care pathways for people who contact telephone and online crisis services. This includes enabling crisis lines to deploy in-person crisis support and pairing this with a short-stay facility to support crisis stabilisation (action ko</w:t>
      </w:r>
      <w:r w:rsidR="4E34F826">
        <w:t>8.1</w:t>
      </w:r>
      <w:r>
        <w:t>b).</w:t>
      </w:r>
      <w:hyperlink w:anchor="_ENREF_221" w:tooltip="K, 2022 #243" w:history="1">
        <w:r w:rsidR="002D6F18">
          <w:fldChar w:fldCharType="begin"/>
        </w:r>
        <w:r w:rsidR="002D6F18">
          <w:instrText xml:space="preserve"> ADDIN EN.CITE &lt;EndNote&gt;&lt;Cite&gt;&lt;Author&gt;K&lt;/Author&gt;&lt;Year&gt;2022&lt;/Year&gt;&lt;RecNum&gt;243&lt;/RecNum&gt;&lt;DisplayText&gt;&lt;style face="superscript"&gt;221&lt;/style&gt;&lt;/DisplayText&gt;&lt;record&gt;&lt;rec-number&gt;243&lt;/rec-number&gt;&lt;foreign-keys&gt;&lt;key app="EN" db-id="rsettzd2isasdweewww55s9lffasxav0d0ft" timestamp="1700699470" guid="7eb3858b-bc0f-4b64-ac96-87fe77d3ccbd"&gt;243&lt;/key&gt;&lt;/foreign-keys&gt;&lt;ref-type name="Journal Article"&gt;17&lt;/ref-type&gt;&lt;contributors&gt;&lt;authors&gt;&lt;author&gt;Kerr K&lt;/author&gt;&lt;author&gt;Heffernan E&lt;/author&gt;&lt;author&gt;Hawgood J&lt;/author&gt;&lt;author&gt;Edwards B&lt;/author&gt;&lt;author&gt;Meurk C&lt;/author&gt;&lt;/authors&gt;&lt;/contributors&gt;&lt;titles&gt;&lt;title&gt;Optimal Care Pathways for People in Suicidal Crisis who Interact with First Responders: A Scoping Review&lt;/title&gt;&lt;secondary-title&gt;International Journal of Environmental Research and Public Health&lt;/secondary-title&gt;&lt;/titles&gt;&lt;periodical&gt;&lt;full-title&gt;International Journal of Environmental Research and Public Health&lt;/full-title&gt;&lt;/periodical&gt;&lt;dates&gt;&lt;year&gt;2022&lt;/year&gt;&lt;/dates&gt;&lt;urls&gt;&lt;/urls&gt;&lt;electronic-resource-num&gt;DOI: 10.3390/ijerph191811510&lt;/electronic-resource-num&gt;&lt;/record&gt;&lt;/Cite&gt;&lt;/EndNote&gt;</w:instrText>
        </w:r>
        <w:r w:rsidR="002D6F18">
          <w:fldChar w:fldCharType="separate"/>
        </w:r>
        <w:r w:rsidR="002D6F18" w:rsidRPr="00C559B5">
          <w:rPr>
            <w:noProof/>
            <w:vertAlign w:val="superscript"/>
          </w:rPr>
          <w:t>221</w:t>
        </w:r>
        <w:r w:rsidR="002D6F18">
          <w:fldChar w:fldCharType="end"/>
        </w:r>
      </w:hyperlink>
      <w:r w:rsidR="00F3234B">
        <w:t xml:space="preserve"> </w:t>
      </w:r>
      <w:r>
        <w:t>Similar service models are recognised as best practice in the United States of America</w:t>
      </w:r>
      <w:r w:rsidR="05600D63">
        <w:t>.</w:t>
      </w:r>
      <w:hyperlink w:anchor="_ENREF_239" w:tooltip="Administration, 2020 #440" w:history="1">
        <w:r w:rsidR="002D6F18">
          <w:fldChar w:fldCharType="begin"/>
        </w:r>
        <w:r w:rsidR="002D6F18">
          <w:instrText xml:space="preserve"> ADDIN EN.CITE &lt;EndNote&gt;&lt;Cite&gt;&lt;Author&gt;Administration&lt;/Author&gt;&lt;Year&gt;2020&lt;/Year&gt;&lt;RecNum&gt;440&lt;/RecNum&gt;&lt;DisplayText&gt;&lt;style face="superscript"&gt;239&lt;/style&gt;&lt;/DisplayText&gt;&lt;record&gt;&lt;rec-number&gt;440&lt;/rec-number&gt;&lt;foreign-keys&gt;&lt;key app="EN" db-id="rsettzd2isasdweewww55s9lffasxav0d0ft" timestamp="1700699473" guid="4078712c-80c7-47b5-990a-abea34ffaf0c"&gt;440&lt;/key&gt;&lt;/foreign-keys&gt;&lt;ref-type name="Web Page"&gt;12&lt;/ref-type&gt;&lt;contributors&gt;&lt;authors&gt;&lt;author&gt;Substance Abuse and Mental Health Services Administration&lt;/author&gt;&lt;/authors&gt;&lt;/contributors&gt;&lt;titles&gt;&lt;title&gt;National Guidelines for Behavioral Health Crisis Care: Best Practice Toolkit&lt;/title&gt;&lt;/titles&gt;&lt;dates&gt;&lt;year&gt;2020&lt;/year&gt;&lt;/dates&gt;&lt;publisher&gt;SAMHSA&lt;/publisher&gt;&lt;work-type&gt;Internet&lt;/work-type&gt;&lt;urls&gt;&lt;related-urls&gt;&lt;url&gt;https://www.samhsa.gov/sites/default/files/national-guidelines-for-behavioral-health-crisis-care-02242020.pdf&lt;/url&gt;&lt;/related-urls&gt;&lt;/urls&gt;&lt;custom1&gt;2023&lt;/custom1&gt;&lt;custom2&gt;November 05&lt;/custom2&gt;&lt;/record&gt;&lt;/Cite&gt;&lt;/EndNote&gt;</w:instrText>
        </w:r>
        <w:r w:rsidR="002D6F18">
          <w:fldChar w:fldCharType="separate"/>
        </w:r>
        <w:r w:rsidR="002D6F18" w:rsidRPr="00C559B5">
          <w:rPr>
            <w:noProof/>
            <w:vertAlign w:val="superscript"/>
          </w:rPr>
          <w:t>239</w:t>
        </w:r>
        <w:r w:rsidR="002D6F18">
          <w:fldChar w:fldCharType="end"/>
        </w:r>
      </w:hyperlink>
      <w:r>
        <w:t xml:space="preserve"> Establishing crisis stabilisation centres aligns with the recommendation of the </w:t>
      </w:r>
      <w:r w:rsidRPr="48215A0F">
        <w:rPr>
          <w:i/>
          <w:iCs/>
        </w:rPr>
        <w:t>Nowhere Else To Go</w:t>
      </w:r>
      <w:hyperlink w:anchor="_ENREF_240" w:tooltip="M, 2020 #230" w:history="1">
        <w:r w:rsidR="002D6F18" w:rsidRPr="00F3234B">
          <w:fldChar w:fldCharType="begin"/>
        </w:r>
        <w:r w:rsidR="002D6F18">
          <w:instrText xml:space="preserve"> ADDIN EN.CITE &lt;EndNote&gt;&lt;Cite&gt;&lt;Author&gt;M&lt;/Author&gt;&lt;Year&gt;2020&lt;/Year&gt;&lt;RecNum&gt;230&lt;/RecNum&gt;&lt;DisplayText&gt;&lt;style face="superscript"&gt;240&lt;/style&gt;&lt;/DisplayText&gt;&lt;record&gt;&lt;rec-number&gt;230&lt;/rec-number&gt;&lt;foreign-keys&gt;&lt;key app="EN" db-id="rsettzd2isasdweewww55s9lffasxav0d0ft" timestamp="1700699469" guid="9c824dcd-3bc7-4fae-8bf9-a7ac18d55380"&gt;230&lt;/key&gt;&lt;/foreign-keys&gt;&lt;ref-type name="Web Page"&gt;12&lt;/ref-type&gt;&lt;contributors&gt;&lt;authors&gt;&lt;author&gt;Duggan M&lt;/author&gt;&lt;author&gt;Harris B&lt;/author&gt;&lt;author&gt;Chislett W-K&lt;/author&gt;&lt;author&gt;Calder R&lt;/author&gt;&lt;/authors&gt;&lt;/contributors&gt;&lt;titles&gt;&lt;title&gt;Nowhere Else To Go: Why Australia’s Health System Results in People with Mental Illness Getting ‘Stuck&amp;apos; in Emergency Departments&lt;/title&gt;&lt;/titles&gt;&lt;dates&gt;&lt;year&gt;2020&lt;/year&gt;&lt;/dates&gt;&lt;publisher&gt;Mitchell Institute for Education and Health Policy, Victoria University&lt;/publisher&gt;&lt;work-type&gt;Internet&lt;/work-type&gt;&lt;urls&gt;&lt;related-urls&gt;&lt;url&gt;https://vuir.vu.edu.au/41956/1/nowhere-else-to-go-people-mental-illness-stuck-emergency-departments-report-mitchell-institute.pdf&lt;/url&gt;&lt;/related-urls&gt;&lt;/urls&gt;&lt;custom1&gt;2023&lt;/custom1&gt;&lt;custom2&gt;November 05&lt;/custom2&gt;&lt;/record&gt;&lt;/Cite&gt;&lt;/EndNote&gt;</w:instrText>
        </w:r>
        <w:r w:rsidR="002D6F18" w:rsidRPr="00F3234B">
          <w:fldChar w:fldCharType="separate"/>
        </w:r>
        <w:r w:rsidR="002D6F18" w:rsidRPr="00C559B5">
          <w:rPr>
            <w:noProof/>
            <w:vertAlign w:val="superscript"/>
          </w:rPr>
          <w:t>240</w:t>
        </w:r>
        <w:r w:rsidR="002D6F18" w:rsidRPr="00F3234B">
          <w:fldChar w:fldCharType="end"/>
        </w:r>
      </w:hyperlink>
      <w:r w:rsidR="00F3234B">
        <w:rPr>
          <w:i/>
          <w:iCs/>
        </w:rPr>
        <w:t xml:space="preserve"> </w:t>
      </w:r>
      <w:r>
        <w:t>report to invest in alternatives to hospitals, such as short-stay units to provide support options for people who need more support than can be provided in the community but do not require the level of care provided in a mental health inpatient facility.</w:t>
      </w:r>
    </w:p>
    <w:p w14:paraId="4C273E95" w14:textId="307FBDB3" w:rsidR="00682A5B" w:rsidRPr="00B768A1" w:rsidRDefault="40F591D3" w:rsidP="00634A83">
      <w:r>
        <w:t>Evaluations of mobile crisis teams have found they are effective at diverting people in suicidal crisis from psychiatric hospitalisation and linking them to appropriate community-based services.</w:t>
      </w:r>
      <w:hyperlink w:anchor="_ENREF_241" w:tooltip="G, 2009 #1037" w:history="1">
        <w:r w:rsidR="002D6F18" w:rsidRPr="00B43879">
          <w:rPr>
            <w:vertAlign w:val="superscript"/>
          </w:rPr>
          <w:fldChar w:fldCharType="begin"/>
        </w:r>
        <w:r w:rsidR="002D6F18">
          <w:rPr>
            <w:vertAlign w:val="superscript"/>
          </w:rPr>
          <w:instrText xml:space="preserve"> ADDIN EN.CITE &lt;EndNote&gt;&lt;Cite&gt;&lt;Author&gt;G&lt;/Author&gt;&lt;Year&gt;2009&lt;/Year&gt;&lt;RecNum&gt;1037&lt;/RecNum&gt;&lt;DisplayText&gt;&lt;style face="superscript"&gt;241&lt;/style&gt;&lt;/DisplayText&gt;&lt;record&gt;&lt;rec-number&gt;1037&lt;/rec-number&gt;&lt;foreign-keys&gt;&lt;key app="EN" db-id="rsettzd2isasdweewww55s9lffasxav0d0ft" timestamp="1720488505" guid="2e433a6b-055b-41f6-a2d9-8dd46502909d"&gt;1037&lt;/key&gt;&lt;/foreign-keys&gt;&lt;ref-type name="Journal Article"&gt;17&lt;/ref-type&gt;&lt;contributors&gt;&lt;authors&gt;&lt;author&gt;Currier G&lt;/author&gt;&lt;author&gt;Fisher S&lt;/author&gt;&lt;author&gt;Caine E&lt;/author&gt;&lt;/authors&gt;&lt;/contributors&gt;&lt;titles&gt;&lt;title&gt;Mobile Crisis Team Intervention to Enhance Linkage of Discharged Suicidal Emergency Department Patients to Outpatient Psychiatric Services: A Randomized Controlled Trial&lt;/title&gt;&lt;secondary-title&gt;Academic emergency medicine : official journal of the Society for Academic Emergency Medicine&lt;/secondary-title&gt;&lt;/titles&gt;&lt;periodical&gt;&lt;full-title&gt;Academic emergency medicine : official journal of the Society for Academic Emergency Medicine&lt;/full-title&gt;&lt;/periodical&gt;&lt;pages&gt;36-43&lt;/pages&gt;&lt;volume&gt;17&lt;/volume&gt;&lt;dates&gt;&lt;year&gt;2009&lt;/year&gt;&lt;pub-dates&gt;&lt;date&gt;12/01&lt;/date&gt;&lt;/pub-dates&gt;&lt;/dates&gt;&lt;urls&gt;&lt;/urls&gt;&lt;electronic-resource-num&gt;10.1111/j.1553-2712.2009.00619.x&lt;/electronic-resource-num&gt;&lt;/record&gt;&lt;/Cite&gt;&lt;/EndNote&gt;</w:instrText>
        </w:r>
        <w:r w:rsidR="002D6F18" w:rsidRPr="00B43879">
          <w:rPr>
            <w:vertAlign w:val="superscript"/>
          </w:rPr>
          <w:fldChar w:fldCharType="separate"/>
        </w:r>
        <w:r w:rsidR="002D6F18">
          <w:rPr>
            <w:noProof/>
            <w:vertAlign w:val="superscript"/>
          </w:rPr>
          <w:t>241</w:t>
        </w:r>
        <w:r w:rsidR="002D6F18" w:rsidRPr="00B43879">
          <w:rPr>
            <w:vertAlign w:val="superscript"/>
          </w:rPr>
          <w:fldChar w:fldCharType="end"/>
        </w:r>
      </w:hyperlink>
      <w:r w:rsidR="00F3234B" w:rsidRPr="00B43879">
        <w:rPr>
          <w:vertAlign w:val="superscript"/>
        </w:rPr>
        <w:t>,</w:t>
      </w:r>
      <w:hyperlink w:anchor="_ENREF_242" w:tooltip="S, 2001 #1035" w:history="1">
        <w:r w:rsidR="002D6F18" w:rsidRPr="00B43879">
          <w:rPr>
            <w:vertAlign w:val="superscript"/>
          </w:rPr>
          <w:fldChar w:fldCharType="begin"/>
        </w:r>
        <w:r w:rsidR="002D6F18">
          <w:rPr>
            <w:vertAlign w:val="superscript"/>
          </w:rPr>
          <w:instrText xml:space="preserve"> ADDIN EN.CITE &lt;EndNote&gt;&lt;Cite&gt;&lt;Author&gt;S&lt;/Author&gt;&lt;Year&gt;2001&lt;/Year&gt;&lt;RecNum&gt;1035&lt;/RecNum&gt;&lt;DisplayText&gt;&lt;style face="superscript"&gt;242&lt;/style&gt;&lt;/DisplayText&gt;&lt;record&gt;&lt;rec-number&gt;1035&lt;/rec-number&gt;&lt;foreign-keys&gt;&lt;key app="EN" db-id="rsettzd2isasdweewww55s9lffasxav0d0ft" timestamp="1720488494" guid="464e330c-0348-4978-b80b-0a51a74f433b"&gt;1035&lt;/key&gt;&lt;/foreign-keys&gt;&lt;ref-type name="Journal Article"&gt;17&lt;/ref-type&gt;&lt;contributors&gt;&lt;authors&gt;&lt;author&gt;Guo S&lt;/author&gt;&lt;author&gt;Biegel D&lt;/author&gt;&lt;author&gt;Johnsen J&lt;/author&gt;&lt;author&gt;Dyches H&lt;/author&gt;&lt;/authors&gt;&lt;/contributors&gt;&lt;titles&gt;&lt;title&gt;Assessing the Impact of Community-Based Mobile Crisis Services on Preventing Hospitalization&lt;/title&gt;&lt;secondary-title&gt;Psychiatric services (Washington, D.C.)&lt;/secondary-title&gt;&lt;/titles&gt;&lt;periodical&gt;&lt;full-title&gt;Psychiatric services (Washington, D.C.)&lt;/full-title&gt;&lt;/periodical&gt;&lt;pages&gt;223-228&lt;/pages&gt;&lt;volume&gt;52&lt;/volume&gt;&lt;dates&gt;&lt;year&gt;2001&lt;/year&gt;&lt;pub-dates&gt;&lt;date&gt;02/01&lt;/date&gt;&lt;/pub-dates&gt;&lt;/dates&gt;&lt;urls&gt;&lt;/urls&gt;&lt;electronic-resource-num&gt;10.1176/appi.ps.52.2.223&lt;/electronic-resource-num&gt;&lt;/record&gt;&lt;/Cite&gt;&lt;/EndNote&gt;</w:instrText>
        </w:r>
        <w:r w:rsidR="002D6F18" w:rsidRPr="00B43879">
          <w:rPr>
            <w:vertAlign w:val="superscript"/>
          </w:rPr>
          <w:fldChar w:fldCharType="separate"/>
        </w:r>
        <w:r w:rsidR="002D6F18">
          <w:rPr>
            <w:noProof/>
            <w:vertAlign w:val="superscript"/>
          </w:rPr>
          <w:t>242</w:t>
        </w:r>
        <w:r w:rsidR="002D6F18" w:rsidRPr="00B43879">
          <w:rPr>
            <w:vertAlign w:val="superscript"/>
          </w:rPr>
          <w:fldChar w:fldCharType="end"/>
        </w:r>
      </w:hyperlink>
      <w:r w:rsidR="00F3234B" w:rsidRPr="00B43879">
        <w:rPr>
          <w:vertAlign w:val="superscript"/>
        </w:rPr>
        <w:t>,</w:t>
      </w:r>
      <w:hyperlink w:anchor="_ENREF_243" w:tooltip="M, 2002 #1034" w:history="1">
        <w:r w:rsidR="002D6F18" w:rsidRPr="00B43879">
          <w:rPr>
            <w:vertAlign w:val="superscript"/>
          </w:rPr>
          <w:fldChar w:fldCharType="begin"/>
        </w:r>
        <w:r w:rsidR="002D6F18">
          <w:rPr>
            <w:vertAlign w:val="superscript"/>
          </w:rPr>
          <w:instrText xml:space="preserve"> ADDIN EN.CITE &lt;EndNote&gt;&lt;Cite&gt;&lt;Author&gt;M&lt;/Author&gt;&lt;Year&gt;2002&lt;/Year&gt;&lt;RecNum&gt;1034&lt;/RecNum&gt;&lt;DisplayText&gt;&lt;style face="superscript"&gt;243&lt;/style&gt;&lt;/DisplayText&gt;&lt;record&gt;&lt;rec-number&gt;1034&lt;/rec-number&gt;&lt;foreign-keys&gt;&lt;key app="EN" db-id="rsettzd2isasdweewww55s9lffasxav0d0ft" timestamp="1720488490" guid="0a694843-c544-4e0b-a4e6-37dcf959ed53"&gt;1034&lt;/key&gt;&lt;/foreign-keys&gt;&lt;ref-type name="Journal Article"&gt;17&lt;/ref-type&gt;&lt;contributors&gt;&lt;authors&gt;&lt;author&gt;Hugo M&lt;/author&gt;&lt;author&gt;Smout M&lt;/author&gt;&lt;author&gt;Bannister J&lt;/author&gt;&lt;/authors&gt;&lt;/contributors&gt;&lt;titles&gt;&lt;title&gt;A Comparison in Hospitalization Rates Between a Community-Based Mobile Emergency Service and a Hospital-Based Emergency Service&lt;/title&gt;&lt;secondary-title&gt;The Australian and New Zealand journal of psychiatry&lt;/secondary-title&gt;&lt;/titles&gt;&lt;periodical&gt;&lt;full-title&gt;The Australian and New Zealand journal of psychiatry&lt;/full-title&gt;&lt;/periodical&gt;&lt;pages&gt;504-8&lt;/pages&gt;&lt;volume&gt;36&lt;/volume&gt;&lt;dates&gt;&lt;year&gt;2002&lt;/year&gt;&lt;pub-dates&gt;&lt;date&gt;09/01&lt;/date&gt;&lt;/pub-dates&gt;&lt;/dates&gt;&lt;urls&gt;&lt;/urls&gt;&lt;electronic-resource-num&gt;10.1046/j.1440-1614.2002.01042.x&lt;/electronic-resource-num&gt;&lt;/record&gt;&lt;/Cite&gt;&lt;/EndNote&gt;</w:instrText>
        </w:r>
        <w:r w:rsidR="002D6F18" w:rsidRPr="00B43879">
          <w:rPr>
            <w:vertAlign w:val="superscript"/>
          </w:rPr>
          <w:fldChar w:fldCharType="separate"/>
        </w:r>
        <w:r w:rsidR="002D6F18">
          <w:rPr>
            <w:noProof/>
            <w:vertAlign w:val="superscript"/>
          </w:rPr>
          <w:t>243</w:t>
        </w:r>
        <w:r w:rsidR="002D6F18" w:rsidRPr="00B43879">
          <w:rPr>
            <w:vertAlign w:val="superscript"/>
          </w:rPr>
          <w:fldChar w:fldCharType="end"/>
        </w:r>
      </w:hyperlink>
      <w:r w:rsidR="00F3234B" w:rsidRPr="00B43879">
        <w:rPr>
          <w:vertAlign w:val="superscript"/>
        </w:rPr>
        <w:t>,</w:t>
      </w:r>
      <w:hyperlink w:anchor="_ENREF_244" w:tooltip="R, 2000 #1036" w:history="1">
        <w:r w:rsidR="002D6F18" w:rsidRPr="00B43879">
          <w:rPr>
            <w:vertAlign w:val="superscript"/>
          </w:rPr>
          <w:fldChar w:fldCharType="begin"/>
        </w:r>
        <w:r w:rsidR="002D6F18">
          <w:rPr>
            <w:vertAlign w:val="superscript"/>
          </w:rPr>
          <w:instrText xml:space="preserve"> ADDIN EN.CITE &lt;EndNote&gt;&lt;Cite&gt;&lt;Author&gt;R&lt;/Author&gt;&lt;Year&gt;2000&lt;/Year&gt;&lt;RecNum&gt;1036&lt;/RecNum&gt;&lt;DisplayText&gt;&lt;style face="superscript"&gt;244&lt;/style&gt;&lt;/DisplayText&gt;&lt;record&gt;&lt;rec-number&gt;1036&lt;/rec-number&gt;&lt;foreign-keys&gt;&lt;key app="EN" db-id="rsettzd2isasdweewww55s9lffasxav0d0ft" timestamp="1720488497" guid="6942569a-8d87-4923-b5f6-b0052d59150e"&gt;1036&lt;/key&gt;&lt;/foreign-keys&gt;&lt;ref-type name="Journal Article"&gt;17&lt;/ref-type&gt;&lt;contributors&gt;&lt;authors&gt;&lt;author&gt;Scott R&lt;/author&gt;&lt;/authors&gt;&lt;/contributors&gt;&lt;titles&gt;&lt;title&gt;Evaluation of a Mobile Crisis Program: Effectiveness, Efficiency, and Consumer Satisfaction&lt;/title&gt;&lt;secondary-title&gt;Psychiatric services (Washington, D.C.)&lt;/secondary-title&gt;&lt;/titles&gt;&lt;periodical&gt;&lt;full-title&gt;Psychiatric services (Washington, D.C.)&lt;/full-title&gt;&lt;/periodical&gt;&lt;pages&gt;1153-6&lt;/pages&gt;&lt;volume&gt;51&lt;/volume&gt;&lt;dates&gt;&lt;year&gt;2000&lt;/year&gt;&lt;pub-dates&gt;&lt;date&gt;10/01&lt;/date&gt;&lt;/pub-dates&gt;&lt;/dates&gt;&lt;urls&gt;&lt;/urls&gt;&lt;electronic-resource-num&gt;10.1176/appi.ps.51.9.1153&lt;/electronic-resource-num&gt;&lt;/record&gt;&lt;/Cite&gt;&lt;/EndNote&gt;</w:instrText>
        </w:r>
        <w:r w:rsidR="002D6F18" w:rsidRPr="00B43879">
          <w:rPr>
            <w:vertAlign w:val="superscript"/>
          </w:rPr>
          <w:fldChar w:fldCharType="separate"/>
        </w:r>
        <w:r w:rsidR="002D6F18">
          <w:rPr>
            <w:noProof/>
            <w:vertAlign w:val="superscript"/>
          </w:rPr>
          <w:t>244</w:t>
        </w:r>
        <w:r w:rsidR="002D6F18" w:rsidRPr="00B43879">
          <w:rPr>
            <w:vertAlign w:val="superscript"/>
          </w:rPr>
          <w:fldChar w:fldCharType="end"/>
        </w:r>
      </w:hyperlink>
    </w:p>
    <w:p w14:paraId="721B77A9" w14:textId="05B90D63" w:rsidR="00682A5B" w:rsidRDefault="646026D8" w:rsidP="00634A83">
      <w:r>
        <w:t xml:space="preserve">The recommended actions to </w:t>
      </w:r>
      <w:r w:rsidR="00CE4CFE">
        <w:t xml:space="preserve">improve consistency of care pathways </w:t>
      </w:r>
      <w:r>
        <w:t>are described in</w:t>
      </w:r>
      <w:r w:rsidR="00F04C6C">
        <w:t xml:space="preserve"> </w:t>
      </w:r>
      <w:r w:rsidR="00F04C6C">
        <w:fldChar w:fldCharType="begin"/>
      </w:r>
      <w:r w:rsidR="00F04C6C">
        <w:instrText xml:space="preserve"> REF _Ref164870025 \h </w:instrText>
      </w:r>
      <w:r w:rsidR="00F04C6C">
        <w:fldChar w:fldCharType="separate"/>
      </w:r>
      <w:r w:rsidR="009F12B4">
        <w:t xml:space="preserve">Table </w:t>
      </w:r>
      <w:r w:rsidR="009F12B4">
        <w:rPr>
          <w:noProof/>
        </w:rPr>
        <w:t>22</w:t>
      </w:r>
      <w:r w:rsidR="00F04C6C">
        <w:fldChar w:fldCharType="end"/>
      </w:r>
      <w:r>
        <w:t>.</w:t>
      </w:r>
    </w:p>
    <w:p w14:paraId="089F0C4B" w14:textId="77777777" w:rsidR="00325609" w:rsidRPr="00B768A1" w:rsidRDefault="00325609" w:rsidP="00634A83"/>
    <w:p w14:paraId="73B0D934" w14:textId="34D54356" w:rsidR="00682A5B" w:rsidRPr="00B768A1" w:rsidRDefault="646026D8" w:rsidP="00745B34">
      <w:pPr>
        <w:pStyle w:val="Caption"/>
      </w:pPr>
      <w:bookmarkStart w:id="115" w:name="_Ref164870025"/>
      <w:r>
        <w:t xml:space="preserve">Table </w:t>
      </w:r>
      <w:r w:rsidR="00F93B6D">
        <w:fldChar w:fldCharType="begin"/>
      </w:r>
      <w:r w:rsidR="00F93B6D">
        <w:instrText>SEQ Table \* ARABIC  \* MERGEFORMAT</w:instrText>
      </w:r>
      <w:r w:rsidR="00F93B6D">
        <w:fldChar w:fldCharType="separate"/>
      </w:r>
      <w:r w:rsidR="009F12B4">
        <w:rPr>
          <w:noProof/>
        </w:rPr>
        <w:t>22</w:t>
      </w:r>
      <w:r w:rsidR="00F93B6D">
        <w:rPr>
          <w:noProof/>
        </w:rPr>
        <w:fldChar w:fldCharType="end"/>
      </w:r>
      <w:bookmarkEnd w:id="115"/>
      <w:r>
        <w:t>: Recommended actions for Support objective 8.1: Consistent care pathways</w:t>
      </w:r>
    </w:p>
    <w:tbl>
      <w:tblPr>
        <w:tblStyle w:val="TableGrid"/>
        <w:tblW w:w="9067" w:type="dxa"/>
        <w:tblLook w:val="0420" w:firstRow="1" w:lastRow="0" w:firstColumn="0" w:lastColumn="0" w:noHBand="0" w:noVBand="1"/>
        <w:tblCaption w:val="Recommended actions for Support objective 5.2: Consistent care pathways"/>
        <w:tblDescription w:val="Describes actions ko5.2a and ko5.2b."/>
      </w:tblPr>
      <w:tblGrid>
        <w:gridCol w:w="1270"/>
        <w:gridCol w:w="7797"/>
      </w:tblGrid>
      <w:tr w:rsidR="00A771EF" w14:paraId="4F9169A7" w14:textId="77777777" w:rsidTr="48215A0F">
        <w:trPr>
          <w:cnfStyle w:val="100000000000" w:firstRow="1" w:lastRow="0" w:firstColumn="0" w:lastColumn="0" w:oddVBand="0" w:evenVBand="0" w:oddHBand="0" w:evenHBand="0" w:firstRowFirstColumn="0" w:firstRowLastColumn="0" w:lastRowFirstColumn="0" w:lastRowLastColumn="0"/>
          <w:trHeight w:val="300"/>
        </w:trPr>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9782"/>
          </w:tcPr>
          <w:p w14:paraId="49B2F3F8" w14:textId="24B1C4AC" w:rsidR="00A771EF" w:rsidRDefault="00A771EF" w:rsidP="00634A83">
            <w:r w:rsidRPr="50DFD766">
              <w:t>Action</w:t>
            </w:r>
          </w:p>
        </w:tc>
        <w:tc>
          <w:tcPr>
            <w:tcW w:w="77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9782"/>
            <w:tcMar>
              <w:top w:w="28" w:type="dxa"/>
              <w:bottom w:w="28" w:type="dxa"/>
            </w:tcMar>
          </w:tcPr>
          <w:p w14:paraId="7582C981" w14:textId="09BEB41D" w:rsidR="00A771EF" w:rsidRDefault="00A771EF" w:rsidP="00634A83">
            <w:r w:rsidRPr="50DFD766">
              <w:t>Description</w:t>
            </w:r>
          </w:p>
        </w:tc>
      </w:tr>
      <w:tr w:rsidR="00A771EF" w14:paraId="566ADE69" w14:textId="77777777" w:rsidTr="48215A0F">
        <w:trPr>
          <w:trHeight w:val="300"/>
        </w:trPr>
        <w:tc>
          <w:tcPr>
            <w:tcW w:w="1270" w:type="dxa"/>
            <w:tcBorders>
              <w:top w:val="single" w:sz="4" w:space="0" w:color="FFFFFF" w:themeColor="background1"/>
            </w:tcBorders>
          </w:tcPr>
          <w:p w14:paraId="52BAE034" w14:textId="306112F9" w:rsidR="00A771EF" w:rsidRDefault="00A771EF" w:rsidP="00634A83">
            <w:r>
              <w:t>ko8.1a</w:t>
            </w:r>
          </w:p>
        </w:tc>
        <w:tc>
          <w:tcPr>
            <w:tcW w:w="7797" w:type="dxa"/>
            <w:tcBorders>
              <w:top w:val="single" w:sz="4" w:space="0" w:color="FFFFFF" w:themeColor="background1"/>
            </w:tcBorders>
            <w:tcMar>
              <w:top w:w="28" w:type="dxa"/>
              <w:bottom w:w="28" w:type="dxa"/>
            </w:tcMar>
          </w:tcPr>
          <w:p w14:paraId="5ABE7FF2" w14:textId="55EE985F" w:rsidR="00A771EF" w:rsidRDefault="00A771EF" w:rsidP="00634A83">
            <w:r>
              <w:t>Develop and implement suicide prevention care pathways in all regions of Australia, across health and other support service settings. Appropriate care pathways and dedicated roles should be developed for population groups who may require access to tailored services; for example, Aboriginal and Torres Strait Islander people.</w:t>
            </w:r>
          </w:p>
        </w:tc>
      </w:tr>
      <w:tr w:rsidR="00A771EF" w14:paraId="4CE37B5E" w14:textId="77777777" w:rsidTr="48215A0F">
        <w:trPr>
          <w:trHeight w:val="300"/>
        </w:trPr>
        <w:tc>
          <w:tcPr>
            <w:tcW w:w="1270" w:type="dxa"/>
          </w:tcPr>
          <w:p w14:paraId="7DE8A372" w14:textId="3B879379" w:rsidR="00A771EF" w:rsidRDefault="00A771EF" w:rsidP="00634A83">
            <w:pPr>
              <w:rPr>
                <w:b/>
                <w:bCs/>
              </w:rPr>
            </w:pPr>
            <w:r w:rsidRPr="50DFD766">
              <w:t>ko8.1b</w:t>
            </w:r>
          </w:p>
        </w:tc>
        <w:tc>
          <w:tcPr>
            <w:tcW w:w="7797" w:type="dxa"/>
            <w:tcMar>
              <w:top w:w="28" w:type="dxa"/>
              <w:bottom w:w="28" w:type="dxa"/>
            </w:tcMar>
          </w:tcPr>
          <w:p w14:paraId="4DDEC394" w14:textId="1A6C7DDB" w:rsidR="00A771EF" w:rsidRDefault="2438580F" w:rsidP="00634A83">
            <w:r w:rsidRPr="50DFD766">
              <w:t xml:space="preserve">Adapt the </w:t>
            </w:r>
            <w:r w:rsidRPr="48215A0F">
              <w:rPr>
                <w:i/>
                <w:iCs/>
              </w:rPr>
              <w:t>National</w:t>
            </w:r>
            <w:r w:rsidRPr="50DFD766">
              <w:t xml:space="preserve"> </w:t>
            </w:r>
            <w:r w:rsidRPr="48215A0F">
              <w:rPr>
                <w:i/>
                <w:iCs/>
              </w:rPr>
              <w:t>Guidelines for Behavioral Health Crisis Care Best Practice Toolkit</w:t>
            </w:r>
            <w:r w:rsidRPr="50DFD766">
              <w:t xml:space="preserve"> for the Australian context, and trial and evaluate a service model based on this resource.</w:t>
            </w:r>
            <w:hyperlink w:anchor="_ENREF_239" w:tooltip="Administration, 2020 #440" w:history="1">
              <w:r w:rsidR="002D6F18">
                <w:fldChar w:fldCharType="begin"/>
              </w:r>
              <w:r w:rsidR="002D6F18">
                <w:instrText xml:space="preserve"> ADDIN EN.CITE &lt;EndNote&gt;&lt;Cite&gt;&lt;Author&gt;Administration&lt;/Author&gt;&lt;Year&gt;2020&lt;/Year&gt;&lt;RecNum&gt;440&lt;/RecNum&gt;&lt;DisplayText&gt;&lt;style face="superscript"&gt;239&lt;/style&gt;&lt;/DisplayText&gt;&lt;record&gt;&lt;rec-number&gt;440&lt;/rec-number&gt;&lt;foreign-keys&gt;&lt;key app="EN" db-id="rsettzd2isasdweewww55s9lffasxav0d0ft" timestamp="1700699473" guid="4078712c-80c7-47b5-990a-abea34ffaf0c"&gt;440&lt;/key&gt;&lt;/foreign-keys&gt;&lt;ref-type name="Web Page"&gt;12&lt;/ref-type&gt;&lt;contributors&gt;&lt;authors&gt;&lt;author&gt;Substance Abuse and Mental Health Services Administration&lt;/author&gt;&lt;/authors&gt;&lt;/contributors&gt;&lt;titles&gt;&lt;title&gt;National Guidelines for Behavioral Health Crisis Care: Best Practice Toolkit&lt;/title&gt;&lt;/titles&gt;&lt;dates&gt;&lt;year&gt;2020&lt;/year&gt;&lt;/dates&gt;&lt;publisher&gt;SAMHSA&lt;/publisher&gt;&lt;work-type&gt;Internet&lt;/work-type&gt;&lt;urls&gt;&lt;related-urls&gt;&lt;url&gt;https://www.samhsa.gov/sites/default/files/national-guidelines-for-behavioral-health-crisis-care-02242020.pdf&lt;/url&gt;&lt;/related-urls&gt;&lt;/urls&gt;&lt;custom1&gt;2023&lt;/custom1&gt;&lt;custom2&gt;November 05&lt;/custom2&gt;&lt;/record&gt;&lt;/Cite&gt;&lt;/EndNote&gt;</w:instrText>
              </w:r>
              <w:r w:rsidR="002D6F18">
                <w:fldChar w:fldCharType="separate"/>
              </w:r>
              <w:r w:rsidR="002D6F18" w:rsidRPr="00C559B5">
                <w:rPr>
                  <w:noProof/>
                  <w:vertAlign w:val="superscript"/>
                </w:rPr>
                <w:t>239</w:t>
              </w:r>
              <w:r w:rsidR="002D6F18">
                <w:fldChar w:fldCharType="end"/>
              </w:r>
            </w:hyperlink>
          </w:p>
        </w:tc>
      </w:tr>
    </w:tbl>
    <w:p w14:paraId="67B2EB13" w14:textId="0CE5F8D0" w:rsidR="00682A5B" w:rsidRPr="00B768A1" w:rsidRDefault="3C569350" w:rsidP="00D81ABA">
      <w:pPr>
        <w:pStyle w:val="heading3support"/>
      </w:pPr>
      <w:r>
        <w:t>8.2 Dedicated care coordination</w:t>
      </w:r>
    </w:p>
    <w:p w14:paraId="725E40FE" w14:textId="6D96E035" w:rsidR="00682A5B" w:rsidRPr="00B768A1" w:rsidRDefault="6C3A6D1F" w:rsidP="00634A83">
      <w:r>
        <w:t>Care coordination involves helping people navigate support options, encouraging maximum engagement with supports, ensuring clear and consistent communication between services and facilitating the transition between services when necessary. Care coordination supports continuity of care and leads to improved health outcomes and reduced healthcare costs.</w:t>
      </w:r>
      <w:hyperlink w:anchor="_ENREF_234" w:tooltip="Care, 2022 #98" w:history="1">
        <w:r w:rsidR="002D6F18">
          <w:fldChar w:fldCharType="begin"/>
        </w:r>
        <w:r w:rsidR="002D6F18">
          <w:instrText xml:space="preserve"> ADDIN EN.CITE &lt;EndNote&gt;&lt;Cite&gt;&lt;Author&gt;Care&lt;/Author&gt;&lt;Year&gt;2022&lt;/Year&gt;&lt;RecNum&gt;98&lt;/RecNum&gt;&lt;DisplayText&gt;&lt;style face="superscript"&gt;234&lt;/style&gt;&lt;/DisplayText&gt;&lt;record&gt;&lt;rec-number&gt;98&lt;/rec-number&gt;&lt;foreign-keys&gt;&lt;key app="EN" db-id="rsettzd2isasdweewww55s9lffasxav0d0ft" timestamp="1700699467" guid="b6ae8d9c-a980-4f98-8de4-841ff1b12293"&gt;98&lt;/key&gt;&lt;/foreign-keys&gt;&lt;ref-type name="Web Page"&gt;12&lt;/ref-type&gt;&lt;contributors&gt;&lt;authors&gt;&lt;author&gt;Department of Health and Aged Care&lt;/author&gt;&lt;/authors&gt;&lt;/contributors&gt;&lt;titles&gt;&lt;title&gt;National Guidelines to Improve Coordination of Treatment and Supports for People with Severe and Complex Mental Illness: Australian Government Department of Health, March 2022&lt;/title&gt;&lt;/titles&gt;&lt;dates&gt;&lt;year&gt;2022&lt;/year&gt;&lt;/dates&gt;&lt;publisher&gt;Department of Health and Aged Care&lt;/publisher&gt;&lt;work-type&gt;Internet&lt;/work-type&gt;&lt;urls&gt;&lt;related-urls&gt;&lt;url&gt;https://www.health.gov.au/resources/collections/national-guidelines-to-improve-coordination-of-treatment-and-supports-for-people-with-severe-and-complex-mental-illness&lt;/url&gt;&lt;/related-urls&gt;&lt;/urls&gt;&lt;custom1&gt;2023&lt;/custom1&gt;&lt;custom2&gt;November 05&lt;/custom2&gt;&lt;/record&gt;&lt;/Cite&gt;&lt;/EndNote&gt;</w:instrText>
        </w:r>
        <w:r w:rsidR="002D6F18">
          <w:fldChar w:fldCharType="separate"/>
        </w:r>
        <w:r w:rsidR="002D6F18" w:rsidRPr="00C559B5">
          <w:rPr>
            <w:noProof/>
            <w:vertAlign w:val="superscript"/>
          </w:rPr>
          <w:t>234</w:t>
        </w:r>
        <w:r w:rsidR="002D6F18">
          <w:fldChar w:fldCharType="end"/>
        </w:r>
      </w:hyperlink>
      <w:r>
        <w:t xml:space="preserve"> </w:t>
      </w:r>
    </w:p>
    <w:p w14:paraId="7E596D65" w14:textId="5C807D0C" w:rsidR="00682A5B" w:rsidRPr="00B768A1" w:rsidRDefault="42939668" w:rsidP="00634A83">
      <w:r>
        <w:t>C</w:t>
      </w:r>
      <w:r w:rsidR="6C3A6D1F">
        <w:t>are coordination is an effective element of aftercare services</w:t>
      </w:r>
      <w:r w:rsidR="2DC0E4B1">
        <w:t>.</w:t>
      </w:r>
      <w:r w:rsidR="6C3A6D1F">
        <w:t xml:space="preserve"> </w:t>
      </w:r>
      <w:r w:rsidR="3A4E7F31" w:rsidRPr="00F833FC">
        <w:t xml:space="preserve">These services provide support to people who have been discharged from hospital after suicidal crisis or suicide attempt. They involve </w:t>
      </w:r>
      <w:r w:rsidR="6C3A6D1F">
        <w:t>providing a consistent ongoing contact point, short-term support and assistance with care coordination.</w:t>
      </w:r>
      <w:hyperlink w:anchor="_ENREF_245" w:tooltip="F, 2019 #1093" w:history="1">
        <w:r w:rsidR="002D6F18">
          <w:fldChar w:fldCharType="begin"/>
        </w:r>
        <w:r w:rsidR="002D6F18">
          <w:instrText xml:space="preserve"> ADDIN EN.CITE &lt;EndNote&gt;&lt;Cite&gt;&lt;Author&gt;F&lt;/Author&gt;&lt;Year&gt;2019&lt;/Year&gt;&lt;RecNum&gt;1093&lt;/RecNum&gt;&lt;DisplayText&gt;&lt;style face="superscript"&gt;245&lt;/style&gt;&lt;/DisplayText&gt;&lt;record&gt;&lt;rec-number&gt;1093&lt;/rec-number&gt;&lt;foreign-keys&gt;&lt;key app="EN" db-id="rsettzd2isasdweewww55s9lffasxav0d0ft" timestamp="1720502710" guid="2488641a-0963-4e43-8844-5518fec7b55b"&gt;1093&lt;/key&gt;&lt;/foreign-keys&gt;&lt;ref-type name="Web Page"&gt;12&lt;/ref-type&gt;&lt;contributors&gt;&lt;authors&gt;&lt;author&gt;Shand F &lt;/author&gt;&lt;author&gt;Woodward A &lt;/author&gt;&lt;author&gt;McGill K &lt;/author&gt;&lt;author&gt;Larsen M &lt;/author&gt;&lt;author&gt;Torok M &lt;/author&gt;&lt;author&gt;Petheridge A &lt;/author&gt;&lt;author&gt;Rosebrock H&lt;/author&gt;&lt;author&gt;Cotterill T&lt;/author&gt;&lt;author&gt;Hains A &lt;/author&gt;&lt;/authors&gt;&lt;/contributors&gt;&lt;titles&gt;&lt;title&gt;Suicide aftercare services: an Evidence Check rapid review brokered by the Sax Institute for the NSW Ministry of Health&lt;/title&gt;&lt;/titles&gt;&lt;dates&gt;&lt;year&gt;2019&lt;/year&gt;&lt;/dates&gt;&lt;work-type&gt;Internet&lt;/work-type&gt;&lt;urls&gt;&lt;related-urls&gt;&lt;url&gt;https://www.saxinstitute.org.au/wp-content/uploads/2019_Suicide-Aftercare-Services-Report.pdf&lt;/url&gt;&lt;/related-urls&gt;&lt;/urls&gt;&lt;custom1&gt;2023&lt;/custom1&gt;&lt;custom2&gt;November 21&lt;/custom2&gt;&lt;electronic-resource-num&gt;10.57022/qpxf6172&lt;/electronic-resource-num&gt;&lt;/record&gt;&lt;/Cite&gt;&lt;/EndNote&gt;</w:instrText>
        </w:r>
        <w:r w:rsidR="002D6F18">
          <w:fldChar w:fldCharType="separate"/>
        </w:r>
        <w:r w:rsidR="002D6F18" w:rsidRPr="00C559B5">
          <w:rPr>
            <w:noProof/>
            <w:vertAlign w:val="superscript"/>
          </w:rPr>
          <w:t>245</w:t>
        </w:r>
        <w:r w:rsidR="002D6F18">
          <w:fldChar w:fldCharType="end"/>
        </w:r>
      </w:hyperlink>
      <w:r w:rsidR="00807D45">
        <w:t xml:space="preserve"> </w:t>
      </w:r>
      <w:r w:rsidR="4FD6275A">
        <w:t>In addition, c</w:t>
      </w:r>
      <w:r w:rsidR="6C3A6D1F">
        <w:t>are coordinators often support families, carers and kin to be involved in care planning and connecting support people with information and supports.</w:t>
      </w:r>
    </w:p>
    <w:p w14:paraId="020BB831" w14:textId="1FC9F061" w:rsidR="00682A5B" w:rsidRPr="00B768A1" w:rsidRDefault="6C3A6D1F" w:rsidP="00634A83">
      <w:r>
        <w:t>Given the increased risk of future suicide attempts or death for people who have self-harmed or attempted suicide,</w:t>
      </w:r>
      <w:hyperlink w:anchor="_ENREF_246" w:tooltip="Welfare, 2023 #444" w:history="1">
        <w:r w:rsidR="002D6F18">
          <w:fldChar w:fldCharType="begin"/>
        </w:r>
        <w:r w:rsidR="002D6F18">
          <w:instrText xml:space="preserve"> ADDIN EN.CITE &lt;EndNote&gt;&lt;Cite&gt;&lt;Author&gt;Welfare&lt;/Author&gt;&lt;Year&gt;2023&lt;/Year&gt;&lt;RecNum&gt;444&lt;/RecNum&gt;&lt;DisplayText&gt;&lt;style face="superscript"&gt;246&lt;/style&gt;&lt;/DisplayText&gt;&lt;record&gt;&lt;rec-number&gt;444&lt;/rec-number&gt;&lt;foreign-keys&gt;&lt;key app="EN" db-id="rsettzd2isasdweewww55s9lffasxav0d0ft" timestamp="1700699474" guid="5e2d1362-641d-4bc1-a7a2-630f4acfecc2"&gt;444&lt;/key&gt;&lt;/foreign-keys&gt;&lt;ref-type name="Web Page"&gt;12&lt;/ref-type&gt;&lt;contributors&gt;&lt;authors&gt;&lt;author&gt;Australian Institute of Health and Welfare&lt;/author&gt;&lt;/authors&gt;&lt;/contributors&gt;&lt;titles&gt;&lt;title&gt;Deaths by Suicide in Australia: Australian Prevalence Estimates of Suicidal Behaviours&lt;/title&gt;&lt;/titles&gt;&lt;dates&gt;&lt;year&gt;2023&lt;/year&gt;&lt;/dates&gt;&lt;publisher&gt;AIHW, Australian Government&lt;/publisher&gt;&lt;work-type&gt;Internet&lt;/work-type&gt;&lt;urls&gt;&lt;related-urls&gt;&lt;url&gt;https://www.aihw.gov.au/suicide-self-harm-monitoring/data/deaths-by-suicide-in-australia/prevalence-estimates-of-suicidal-behaviours&lt;/url&gt;&lt;/related-urls&gt;&lt;/urls&gt;&lt;custom1&gt;2023&lt;/custom1&gt;&lt;custom2&gt;February 14&lt;/custom2&gt;&lt;/record&gt;&lt;/Cite&gt;&lt;/EndNote&gt;</w:instrText>
        </w:r>
        <w:r w:rsidR="002D6F18">
          <w:fldChar w:fldCharType="separate"/>
        </w:r>
        <w:r w:rsidR="002D6F18" w:rsidRPr="00C559B5">
          <w:rPr>
            <w:noProof/>
            <w:vertAlign w:val="superscript"/>
          </w:rPr>
          <w:t>246</w:t>
        </w:r>
        <w:r w:rsidR="002D6F18">
          <w:fldChar w:fldCharType="end"/>
        </w:r>
      </w:hyperlink>
      <w:r>
        <w:t xml:space="preserve"> and the promising outcomes of best-practice aftercare services,</w:t>
      </w:r>
      <w:hyperlink w:anchor="_ENREF_10" w:tooltip="Commission, 2020 #16" w:history="1">
        <w:r w:rsidR="002D6F18">
          <w:fldChar w:fldCharType="begin"/>
        </w:r>
        <w:r w:rsidR="002D6F18">
          <w:instrText xml:space="preserve"> ADDIN EN.CITE &lt;EndNote&gt;&lt;Cite&gt;&lt;Author&gt;Commission&lt;/Author&gt;&lt;Year&gt;2020&lt;/Year&gt;&lt;RecNum&gt;16&lt;/RecNum&gt;&lt;DisplayText&gt;&lt;style face="superscript"&gt;10&lt;/style&gt;&lt;/DisplayText&gt;&lt;record&gt;&lt;rec-number&gt;16&lt;/rec-number&gt;&lt;foreign-keys&gt;&lt;key app="EN" db-id="rsettzd2isasdweewww55s9lffasxav0d0ft" timestamp="1700699466" guid="211cab95-640a-4261-a3ce-923e676f72bf"&gt;16&lt;/key&gt;&lt;/foreign-keys&gt;&lt;ref-type name="Web Page"&gt;12&lt;/ref-type&gt;&lt;contributors&gt;&lt;authors&gt;&lt;author&gt;Productivity Commission&lt;/author&gt;&lt;/authors&gt;&lt;/contributors&gt;&lt;titles&gt;&lt;title&gt;Mental Health, Report No. 95&lt;/title&gt;&lt;/titles&gt;&lt;dates&gt;&lt;year&gt;2020&lt;/year&gt;&lt;/dates&gt;&lt;pub-location&gt;Canberra&lt;/pub-location&gt;&lt;publisher&gt;PC, Australian Government&lt;/publisher&gt;&lt;isbn&gt;978-1-74037-699-0 &lt;/isbn&gt;&lt;work-type&gt;Internet&lt;/work-type&gt;&lt;urls&gt;&lt;related-urls&gt;&lt;url&gt;https://www.pc.gov.au/inquiries/completed/mental-health/report&lt;/url&gt;&lt;/related-urls&gt;&lt;/urls&gt;&lt;custom1&gt;2023&lt;/custom1&gt;&lt;custom2&gt;October 03&lt;/custom2&gt;&lt;/record&gt;&lt;/Cite&gt;&lt;/EndNote&gt;</w:instrText>
        </w:r>
        <w:r w:rsidR="002D6F18">
          <w:fldChar w:fldCharType="separate"/>
        </w:r>
        <w:r w:rsidR="002D6F18" w:rsidRPr="0082082D">
          <w:rPr>
            <w:noProof/>
            <w:vertAlign w:val="superscript"/>
          </w:rPr>
          <w:t>10</w:t>
        </w:r>
        <w:r w:rsidR="002D6F18">
          <w:fldChar w:fldCharType="end"/>
        </w:r>
      </w:hyperlink>
      <w:r w:rsidR="00807D45">
        <w:t xml:space="preserve"> </w:t>
      </w:r>
      <w:r>
        <w:t>there is a clear need to expand access to aftercare services beyond people admitted to hospital because of a suicide attempt (action ko</w:t>
      </w:r>
      <w:r w:rsidR="4E34F826">
        <w:t>8.2</w:t>
      </w:r>
      <w:r>
        <w:t>a).</w:t>
      </w:r>
    </w:p>
    <w:p w14:paraId="0C0D446D" w14:textId="31FA86C3" w:rsidR="00682A5B" w:rsidRPr="00B768A1" w:rsidRDefault="6C3A6D1F" w:rsidP="00634A83">
      <w:r>
        <w:t>Expanded access needs to include people who present to hospital for a suicidal crisis, self-harm or suicide attempt but are not admitted, and people who do not present to hospital but may be referred from primary care settings and safe space services. There are early indications that continuing to integrate the suicide prevention peer workforce into aftercare services improves service engagement (action ko</w:t>
      </w:r>
      <w:r w:rsidR="4E34F826">
        <w:t>8.2</w:t>
      </w:r>
      <w:r>
        <w:t>b).</w:t>
      </w:r>
      <w:hyperlink w:anchor="_ENREF_247" w:tooltip="Group, 2022 #75" w:history="1">
        <w:r w:rsidR="002D6F18">
          <w:fldChar w:fldCharType="begin"/>
        </w:r>
        <w:r w:rsidR="002D6F18">
          <w:instrText xml:space="preserve"> ADDIN EN.CITE &lt;EndNote&gt;&lt;Cite&gt;&lt;Author&gt;Group&lt;/Author&gt;&lt;Year&gt;2022&lt;/Year&gt;&lt;RecNum&gt;75&lt;/RecNum&gt;&lt;DisplayText&gt;&lt;style face="superscript"&gt;247&lt;/style&gt;&lt;/DisplayText&gt;&lt;record&gt;&lt;rec-number&gt;75&lt;/rec-number&gt;&lt;foreign-keys&gt;&lt;key app="EN" db-id="rsettzd2isasdweewww55s9lffasxav0d0ft" timestamp="1700699467" guid="b3302be0-fb6b-454d-894f-a9ae260b95bd"&gt;75&lt;/key&gt;&lt;/foreign-keys&gt;&lt;ref-type name="Web Page"&gt;12&lt;/ref-type&gt;&lt;contributors&gt;&lt;authors&gt;&lt;author&gt;Nous Group&lt;/author&gt;&lt;/authors&gt;&lt;/contributors&gt;&lt;titles&gt;&lt;title&gt;The Way Back Support Services Evaluation: Final Evaluation Report&lt;/title&gt;&lt;/titles&gt;&lt;dates&gt;&lt;year&gt;2022&lt;/year&gt;&lt;/dates&gt;&lt;publisher&gt;Beyond Blue&lt;/publisher&gt;&lt;work-type&gt;Internet&lt;/work-type&gt;&lt;urls&gt;&lt;related-urls&gt;&lt;url&gt;https://www.beyondblue.org.au/docs/default-source/media-release-pdf/the-way-back-support-services-evaluation-final-evaluation-report.pdf&lt;/url&gt;&lt;/related-urls&gt;&lt;/urls&gt;&lt;custom1&gt;2023&lt;/custom1&gt;&lt;custom2&gt;November 05&lt;/custom2&gt;&lt;/record&gt;&lt;/Cite&gt;&lt;/EndNote&gt;</w:instrText>
        </w:r>
        <w:r w:rsidR="002D6F18">
          <w:fldChar w:fldCharType="separate"/>
        </w:r>
        <w:r w:rsidR="002D6F18" w:rsidRPr="00C559B5">
          <w:rPr>
            <w:noProof/>
            <w:vertAlign w:val="superscript"/>
          </w:rPr>
          <w:t>247</w:t>
        </w:r>
        <w:r w:rsidR="002D6F18">
          <w:fldChar w:fldCharType="end"/>
        </w:r>
      </w:hyperlink>
    </w:p>
    <w:p w14:paraId="092B8DEF" w14:textId="2ED9D57C" w:rsidR="00682A5B" w:rsidRPr="00B768A1" w:rsidRDefault="14417977" w:rsidP="00634A83">
      <w:r w:rsidRPr="00F833FC">
        <w:t>There are opportunities to leverage existing services and workforces to deliver tailored aftercare support to children and young people.</w:t>
      </w:r>
      <w:r w:rsidR="1CF853F3" w:rsidRPr="00F833FC">
        <w:t xml:space="preserve"> </w:t>
      </w:r>
      <w:r w:rsidR="2A74D5A2">
        <w:t>A</w:t>
      </w:r>
      <w:r w:rsidR="1CF853F3">
        <w:t xml:space="preserve"> tailored approach </w:t>
      </w:r>
      <w:r w:rsidR="4739068C">
        <w:t xml:space="preserve">is necessary </w:t>
      </w:r>
      <w:r w:rsidR="1CF853F3">
        <w:t xml:space="preserve">to ensure supports are developmentally appropriate </w:t>
      </w:r>
      <w:r w:rsidR="7442106E">
        <w:t>and include</w:t>
      </w:r>
      <w:r w:rsidR="1CF853F3">
        <w:t xml:space="preserve"> active involvement of primary caregivers (action ko</w:t>
      </w:r>
      <w:r w:rsidR="005533AB">
        <w:t>8</w:t>
      </w:r>
      <w:r w:rsidR="1CF853F3">
        <w:t>.</w:t>
      </w:r>
      <w:r w:rsidR="005533AB">
        <w:t>2</w:t>
      </w:r>
      <w:r w:rsidR="1CF853F3">
        <w:t>c)</w:t>
      </w:r>
      <w:r w:rsidR="35536649">
        <w:t>.</w:t>
      </w:r>
      <w:r w:rsidR="00D52CF1">
        <w:t xml:space="preserve"> </w:t>
      </w:r>
      <w:r w:rsidR="6231FFC4">
        <w:t>Such services</w:t>
      </w:r>
      <w:r w:rsidR="1CF853F3">
        <w:t xml:space="preserve"> would help to alleviate distress and provide ongoing support to minimise disruptions to development and decrease the likelihood of future suicidal behaviour.</w:t>
      </w:r>
    </w:p>
    <w:p w14:paraId="68C7A038" w14:textId="0752773C" w:rsidR="00682A5B" w:rsidRPr="00B768A1" w:rsidRDefault="6C3A6D1F" w:rsidP="00634A83">
      <w:r>
        <w:t>Dedicated care coordination roles are</w:t>
      </w:r>
      <w:r w:rsidR="04246CBC">
        <w:t xml:space="preserve"> also</w:t>
      </w:r>
      <w:r>
        <w:t xml:space="preserve"> required to support people who experience chronic suicidal thoughts and people with complex needs. This would respond to the increased risk of suicide for people who have suicidal thoughts,</w:t>
      </w:r>
      <w:hyperlink w:anchor="_ENREF_248" w:tooltip="A, 2022 #263" w:history="1">
        <w:r w:rsidR="002D6F18" w:rsidRPr="009C243D">
          <w:rPr>
            <w:vertAlign w:val="superscript"/>
          </w:rPr>
          <w:fldChar w:fldCharType="begin"/>
        </w:r>
        <w:r w:rsidR="002D6F18">
          <w:rPr>
            <w:vertAlign w:val="superscript"/>
          </w:rPr>
          <w:instrText xml:space="preserve"> ADDIN EN.CITE &lt;EndNote&gt;&lt;Cite&gt;&lt;Author&gt;A&lt;/Author&gt;&lt;Year&gt;2022&lt;/Year&gt;&lt;RecNum&gt;263&lt;/RecNum&gt;&lt;DisplayText&gt;&lt;style face="superscript"&gt;248&lt;/style&gt;&lt;/DisplayText&gt;&lt;record&gt;&lt;rec-number&gt;263&lt;/rec-number&gt;&lt;foreign-keys&gt;&lt;key app="EN" db-id="rsettzd2isasdweewww55s9lffasxav0d0ft" timestamp="1700699470" guid="a4357a87-6ef1-4f67-b0b6-4308248c24fa"&gt;263&lt;/key&gt;&lt;/foreign-keys&gt;&lt;ref-type name="Journal Article"&gt;17&lt;/ref-type&gt;&lt;contributors&gt;&lt;authors&gt;&lt;author&gt;Demesmaeker A&lt;/author&gt;&lt;author&gt;Chazard E&lt;/author&gt;&lt;author&gt;Hoang A&lt;/author&gt;&lt;author&gt;Vaiva G&lt;/author&gt;&lt;author&gt;Amad A&lt;/author&gt;&lt;/authors&gt;&lt;/contributors&gt;&lt;titles&gt;&lt;title&gt;Suicide Mortality After a Nonfatal Suicide Attempt: A Systematic Review and Meta-Analysis&lt;/title&gt;&lt;secondary-title&gt;Australian &amp;amp; New Zealand Journal of Psychiatry&lt;/secondary-title&gt;&lt;/titles&gt;&lt;periodical&gt;&lt;full-title&gt;Australian &amp;amp; New Zealand Journal of Psychiatry&lt;/full-title&gt;&lt;/periodical&gt;&lt;dates&gt;&lt;year&gt;2022&lt;/year&gt;&lt;/dates&gt;&lt;urls&gt;&lt;/urls&gt;&lt;electronic-resource-num&gt;DOI: 10.1177/00048674211043455&lt;/electronic-resource-num&gt;&lt;/record&gt;&lt;/Cite&gt;&lt;/EndNote&gt;</w:instrText>
        </w:r>
        <w:r w:rsidR="002D6F18" w:rsidRPr="009C243D">
          <w:rPr>
            <w:vertAlign w:val="superscript"/>
          </w:rPr>
          <w:fldChar w:fldCharType="separate"/>
        </w:r>
        <w:r w:rsidR="002D6F18">
          <w:rPr>
            <w:noProof/>
            <w:vertAlign w:val="superscript"/>
          </w:rPr>
          <w:t>248</w:t>
        </w:r>
        <w:r w:rsidR="002D6F18" w:rsidRPr="009C243D">
          <w:rPr>
            <w:vertAlign w:val="superscript"/>
          </w:rPr>
          <w:fldChar w:fldCharType="end"/>
        </w:r>
      </w:hyperlink>
      <w:r w:rsidR="009C243D" w:rsidRPr="009C243D">
        <w:rPr>
          <w:vertAlign w:val="superscript"/>
        </w:rPr>
        <w:t>,</w:t>
      </w:r>
      <w:hyperlink w:anchor="_ENREF_249" w:tooltip="P, 2013 #1030" w:history="1">
        <w:r w:rsidR="002D6F18" w:rsidRPr="009C243D">
          <w:rPr>
            <w:vertAlign w:val="superscript"/>
          </w:rPr>
          <w:fldChar w:fldCharType="begin">
            <w:fldData xml:space="preserve">PEVuZE5vdGU+PENpdGU+PEF1dGhvcj5QPC9BdXRob3I+PFllYXI+MjAxMzwvWWVhcj48UmVjTnVt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</w:fldData>
          </w:fldChar>
        </w:r>
        <w:r w:rsidR="002D6F18">
          <w:rPr>
            <w:vertAlign w:val="superscript"/>
          </w:rPr>
          <w:instrText xml:space="preserve"> ADDIN EN.CITE </w:instrText>
        </w:r>
        <w:r w:rsidR="002D6F18">
          <w:rPr>
            <w:vertAlign w:val="superscript"/>
          </w:rPr>
          <w:fldChar w:fldCharType="begin">
            <w:fldData xml:space="preserve">PEVuZE5vdGU+PENpdGU+PEF1dGhvcj5QPC9BdXRob3I+PFllYXI+MjAxMzwvWWVhcj48UmVjTnVt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</w:fldData>
          </w:fldChar>
        </w:r>
        <w:r w:rsidR="002D6F18">
          <w:rPr>
            <w:vertAlign w:val="superscript"/>
          </w:rPr>
          <w:instrText xml:space="preserve"> ADDIN EN.CITE.DATA </w:instrText>
        </w:r>
        <w:r w:rsidR="002D6F18">
          <w:rPr>
            <w:vertAlign w:val="superscript"/>
          </w:rPr>
        </w:r>
        <w:r w:rsidR="002D6F18">
          <w:rPr>
            <w:vertAlign w:val="superscript"/>
          </w:rPr>
          <w:fldChar w:fldCharType="end"/>
        </w:r>
        <w:r w:rsidR="002D6F18" w:rsidRPr="009C243D">
          <w:rPr>
            <w:vertAlign w:val="superscript"/>
          </w:rPr>
          <w:fldChar w:fldCharType="separate"/>
        </w:r>
        <w:r w:rsidR="002D6F18">
          <w:rPr>
            <w:noProof/>
            <w:vertAlign w:val="superscript"/>
          </w:rPr>
          <w:t>249</w:t>
        </w:r>
        <w:r w:rsidR="002D6F18" w:rsidRPr="009C243D">
          <w:rPr>
            <w:vertAlign w:val="superscript"/>
          </w:rPr>
          <w:fldChar w:fldCharType="end"/>
        </w:r>
      </w:hyperlink>
      <w:r w:rsidR="009C243D">
        <w:t xml:space="preserve"> </w:t>
      </w:r>
      <w:r w:rsidR="00EE0FA2">
        <w:t>and</w:t>
      </w:r>
      <w:r w:rsidR="00D37E50">
        <w:t xml:space="preserve"> to</w:t>
      </w:r>
      <w:r w:rsidR="4C301053">
        <w:t xml:space="preserve"> the current </w:t>
      </w:r>
      <w:r w:rsidR="003536E3">
        <w:t>limitations in</w:t>
      </w:r>
      <w:r>
        <w:t xml:space="preserve"> affordable ongoing support</w:t>
      </w:r>
      <w:r w:rsidR="2A58FE43">
        <w:t xml:space="preserve"> option</w:t>
      </w:r>
      <w:r w:rsidR="002D717D">
        <w:t>s</w:t>
      </w:r>
      <w:r>
        <w:t xml:space="preserve"> and </w:t>
      </w:r>
      <w:r w:rsidR="00965A6E">
        <w:t xml:space="preserve">the </w:t>
      </w:r>
      <w:r w:rsidR="7FFBF76E">
        <w:t>capacity</w:t>
      </w:r>
      <w:r w:rsidR="00CC2AC4">
        <w:t xml:space="preserve"> of the system</w:t>
      </w:r>
      <w:r w:rsidR="7FFBF76E">
        <w:t xml:space="preserve"> </w:t>
      </w:r>
      <w:r>
        <w:t>to provide holistic care for people with complex needs (action ko</w:t>
      </w:r>
      <w:r w:rsidR="4E34F826">
        <w:t>8</w:t>
      </w:r>
      <w:r>
        <w:t>.</w:t>
      </w:r>
      <w:r w:rsidR="4E34F826">
        <w:t>2</w:t>
      </w:r>
      <w:r>
        <w:t xml:space="preserve">d). </w:t>
      </w:r>
      <w:r w:rsidR="74B5FC1B">
        <w:t>These</w:t>
      </w:r>
      <w:r>
        <w:t xml:space="preserve"> care coordination roles need to be flexible, with options to engage and re-engage as needed, and</w:t>
      </w:r>
      <w:r w:rsidR="6A6DB693">
        <w:t xml:space="preserve"> be</w:t>
      </w:r>
      <w:r>
        <w:t xml:space="preserve"> able to adapt as people’s needs </w:t>
      </w:r>
      <w:r w:rsidR="283CA468">
        <w:t xml:space="preserve">and suicidal thoughts </w:t>
      </w:r>
      <w:r>
        <w:t>change over time.</w:t>
      </w:r>
      <w:hyperlink w:anchor="_ENREF_250" w:tooltip="Institute, 2020 #435" w:history="1">
        <w:r w:rsidR="002D6F18">
          <w:fldChar w:fldCharType="begin"/>
        </w:r>
        <w:r w:rsidR="002D6F18">
          <w:instrText xml:space="preserve"> ADDIN EN.CITE &lt;EndNote&gt;&lt;Cite&gt;&lt;Author&gt;Institute&lt;/Author&gt;&lt;Year&gt;2020&lt;/Year&gt;&lt;RecNum&gt;435&lt;/RecNum&gt;&lt;DisplayText&gt;&lt;style face="superscript"&gt;250&lt;/style&gt;&lt;/DisplayText&gt;&lt;record&gt;&lt;rec-number&gt;435&lt;/rec-number&gt;&lt;foreign-keys&gt;&lt;key app="EN" db-id="rsettzd2isasdweewww55s9lffasxav0d0ft" timestamp="1700699473" guid="7e27314a-ea1f-4e78-aca4-9d5703e9c51a"&gt;435&lt;/key&gt;&lt;/foreign-keys&gt;&lt;ref-type name="Web Page"&gt;12&lt;/ref-type&gt;&lt;contributors&gt;&lt;authors&gt;&lt;author&gt;Black Dog Institute&lt;/author&gt;&lt;/authors&gt;&lt;/contributors&gt;&lt;titles&gt;&lt;title&gt;What Can be Done to Decrease Suicidal Behaviour in Australia?&lt;/title&gt;&lt;/titles&gt;&lt;dates&gt;&lt;year&gt;2020&lt;/year&gt;&lt;/dates&gt;&lt;pub-location&gt;Sydney, New South Wales&lt;/pub-location&gt;&lt;publisher&gt;Black Dog Institute&lt;/publisher&gt;&lt;work-type&gt;Internet&lt;/work-type&gt;&lt;urls&gt;&lt;related-urls&gt;&lt;url&gt;https://www.blackdoginstitute.org.au/wp-content/uploads/2020/09/What-Can-Be-Done-To-Decrease-Suicide-a-call-to-action_Black-Dog-Institute.pdf&lt;/url&gt;&lt;/related-urls&gt;&lt;/urls&gt;&lt;custom1&gt;2023&lt;/custom1&gt;&lt;custom2&gt;November 05&lt;/custom2&gt;&lt;/record&gt;&lt;/Cite&gt;&lt;/EndNote&gt;</w:instrText>
        </w:r>
        <w:r w:rsidR="002D6F18">
          <w:fldChar w:fldCharType="separate"/>
        </w:r>
        <w:r w:rsidR="002D6F18" w:rsidRPr="00C559B5">
          <w:rPr>
            <w:noProof/>
            <w:vertAlign w:val="superscript"/>
          </w:rPr>
          <w:t>250</w:t>
        </w:r>
        <w:r w:rsidR="002D6F18">
          <w:fldChar w:fldCharType="end"/>
        </w:r>
      </w:hyperlink>
      <w:r w:rsidR="009C243D">
        <w:t xml:space="preserve"> </w:t>
      </w:r>
      <w:r>
        <w:t>For people who experience suicidal thoughts and have complex needs—for example, comorbid physical, mental health, or substance use issues, disability or multiple social stressors—connection with a diverse range of supports and a collaborative approach to care that offers continuity will be crucial.</w:t>
      </w:r>
    </w:p>
    <w:p w14:paraId="13999023" w14:textId="644D2C71" w:rsidR="00682A5B" w:rsidRPr="00B768A1" w:rsidRDefault="3C569350" w:rsidP="00634A83">
      <w:pPr>
        <w:pStyle w:val="BodyText"/>
      </w:pPr>
      <w:r>
        <w:t xml:space="preserve">Recommended actions to </w:t>
      </w:r>
      <w:r w:rsidR="00112D2A">
        <w:t xml:space="preserve">enhance care coordination </w:t>
      </w:r>
      <w:r>
        <w:t>are described in</w:t>
      </w:r>
      <w:r w:rsidR="00F04C6C">
        <w:t xml:space="preserve"> </w:t>
      </w:r>
      <w:r w:rsidR="00F04C6C">
        <w:fldChar w:fldCharType="begin"/>
      </w:r>
      <w:r w:rsidR="00F04C6C">
        <w:instrText xml:space="preserve"> REF _Ref164870038 \h </w:instrText>
      </w:r>
      <w:r w:rsidR="00F04C6C">
        <w:fldChar w:fldCharType="separate"/>
      </w:r>
      <w:r w:rsidR="009F12B4">
        <w:t xml:space="preserve">Table </w:t>
      </w:r>
      <w:r w:rsidR="009F12B4">
        <w:rPr>
          <w:noProof/>
        </w:rPr>
        <w:t>23</w:t>
      </w:r>
      <w:r w:rsidR="00F04C6C">
        <w:fldChar w:fldCharType="end"/>
      </w:r>
      <w:r>
        <w:t>.</w:t>
      </w:r>
    </w:p>
    <w:p w14:paraId="6BD1FDDC" w14:textId="6072600D" w:rsidR="00682A5B" w:rsidRPr="00B768A1" w:rsidRDefault="3C569350" w:rsidP="00D81ABA">
      <w:pPr>
        <w:pStyle w:val="BT-Livedexperience-Green-Heading"/>
        <w:ind w:firstLine="465"/>
      </w:pPr>
      <w:r>
        <w:rPr>
          <w:noProof/>
        </w:rPr>
        <w:drawing>
          <wp:anchor distT="0" distB="0" distL="114300" distR="114300" simplePos="0" relativeHeight="251658244" behindDoc="0" locked="0" layoutInCell="1" allowOverlap="1" wp14:anchorId="72130B5F" wp14:editId="25EAF7FD">
            <wp:simplePos x="0" y="0"/>
            <wp:positionH relativeFrom="column">
              <wp:posOffset>83820</wp:posOffset>
            </wp:positionH>
            <wp:positionV relativeFrom="paragraph">
              <wp:posOffset>113665</wp:posOffset>
            </wp:positionV>
            <wp:extent cx="318864" cy="318864"/>
            <wp:effectExtent l="0" t="0" r="5080" b="5080"/>
            <wp:wrapNone/>
            <wp:docPr id="1077177618" name="Graphic 1077177618" descr="Start of quotation from Lived Experience Partnership Group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77177618"/>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rot="16200000">
                      <a:off x="0" y="0"/>
                      <a:ext cx="318864" cy="318864"/>
                    </a:xfrm>
                    <a:prstGeom prst="rect">
                      <a:avLst/>
                    </a:prstGeom>
                  </pic:spPr>
                </pic:pic>
              </a:graphicData>
            </a:graphic>
          </wp:anchor>
        </w:drawing>
      </w:r>
      <w:r w:rsidRPr="50DFD766">
        <w:t>Reflections from people with lived experience</w:t>
      </w:r>
    </w:p>
    <w:p w14:paraId="62955EE3" w14:textId="2D14B5F0" w:rsidR="00682A5B" w:rsidRPr="00B768A1" w:rsidRDefault="1CF853F3" w:rsidP="00634A83">
      <w:pPr>
        <w:pStyle w:val="BT-Livedexperience-Green"/>
      </w:pPr>
      <w:r>
        <w:t xml:space="preserve">“After the unravelling of our son and the revelation of the trauma he endured, there was a light and a service offered to us that made an extraordinary difference. A caring, diligent, and informed police officer rang every week to touch base, to check in and to </w:t>
      </w:r>
      <w:r w:rsidRPr="00F833FC">
        <w:t xml:space="preserve">offer </w:t>
      </w:r>
      <w:r>
        <w:t>assistance if needed. This approach was so appreciated and the</w:t>
      </w:r>
      <w:r w:rsidRPr="00F833FC">
        <w:rPr>
          <w:color w:val="307363" w:themeColor="accent1"/>
        </w:rPr>
        <w:t xml:space="preserve"> </w:t>
      </w:r>
      <w:r>
        <w:t>relief of a service coming to us, rather than the stress of finding the appropriate service ourselves was profound. Our family did not have to repeat our story again, to be re-traumatised and we were captured in a system that could follow up and advocate for us when needed.”</w:t>
      </w:r>
    </w:p>
    <w:p w14:paraId="485DFA5F" w14:textId="1AC19DA5" w:rsidR="00682A5B" w:rsidRPr="00B768A1" w:rsidRDefault="3C569350" w:rsidP="00934B8E">
      <w:pPr>
        <w:pStyle w:val="BT-Livedexperience-Green"/>
        <w:jc w:val="right"/>
        <w:rPr>
          <w:rStyle w:val="Strong"/>
        </w:rPr>
      </w:pPr>
      <w:r w:rsidRPr="50DFD766">
        <w:rPr>
          <w:rStyle w:val="Strong"/>
        </w:rPr>
        <w:t>Imbi Pyman</w:t>
      </w:r>
      <w:r w:rsidRPr="50DFD766">
        <w:rPr>
          <w:rStyle w:val="Strong"/>
          <w:b w:val="0"/>
          <w:bCs w:val="0"/>
        </w:rPr>
        <w:t>, Lived Experience Partnership Group member</w:t>
      </w:r>
    </w:p>
    <w:p w14:paraId="710F923C" w14:textId="7086DA3A" w:rsidR="00682A5B" w:rsidRPr="00B768A1" w:rsidRDefault="3C569350" w:rsidP="00634A83">
      <w:pPr>
        <w:pStyle w:val="BT-Beigebox-Heading"/>
      </w:pPr>
      <w:r>
        <w:t>Activity to build on</w:t>
      </w:r>
    </w:p>
    <w:p w14:paraId="6CD1AB15" w14:textId="6836E1B0" w:rsidR="00682A5B" w:rsidRPr="00B768A1" w:rsidRDefault="6C3A6D1F" w:rsidP="00634A83">
      <w:pPr>
        <w:pStyle w:val="BT-Beigebox"/>
      </w:pPr>
      <w:r>
        <w:t>The Hospital Outreach Post-suicidal Engagement (HOPE) program is an aftercare service that contacts participants within 24 hours of hospital discharge and provides support for up to 3 months. An evaluation of the pilot found that engagement with HOPE significantly improved subjective wellbeing and connection with supports, and that a model integrating psychosocial and clinical care was required to meet the needs of participants with mental ill health.</w:t>
      </w:r>
      <w:hyperlink w:anchor="_ENREF_251" w:tooltip="M, 2023 #274" w:history="1">
        <w:r w:rsidR="002D6F18">
          <w:fldChar w:fldCharType="begin"/>
        </w:r>
        <w:r w:rsidR="002D6F18">
          <w:instrText xml:space="preserve"> ADDIN EN.CITE &lt;EndNote&gt;&lt;Cite&gt;&lt;Author&gt;M&lt;/Author&gt;&lt;Year&gt;2023&lt;/Year&gt;&lt;RecNum&gt;274&lt;/RecNum&gt;&lt;DisplayText&gt;&lt;style face="superscript"&gt;251&lt;/style&gt;&lt;/DisplayText&gt;&lt;record&gt;&lt;rec-number&gt;274&lt;/rec-number&gt;&lt;foreign-keys&gt;&lt;key app="EN" db-id="rsettzd2isasdweewww55s9lffasxav0d0ft" timestamp="1700699470" guid="555d158b-9aed-4e02-91b3-07378bc2ca02"&gt;274&lt;/key&gt;&lt;/foreign-keys&gt;&lt;ref-type name="Journal Article"&gt;17&lt;/ref-type&gt;&lt;contributors&gt;&lt;authors&gt;&lt;author&gt;Kehoe M&lt;/author&gt;&lt;author&gt;Wright AM&lt;/author&gt;&lt;author&gt;Lee SJ&lt;/author&gt;&lt;author&gt;Rylatt D&lt;/author&gt;&lt;author&gt;Fitzgibbon BM&lt;/author&gt;&lt;author&gt;Meyer D&lt;/author&gt;&lt;author&gt;Rossell SL&lt;/author&gt;&lt;author&gt;Henderson K&lt;/author&gt;&lt;/authors&gt;&lt;/contributors&gt;&lt;titles&gt;&lt;title&gt;Provision of a Multidisciplinary Post-Suicidal, Community-Based Aftercare Program: A Longitudinal Study&lt;/title&gt;&lt;secondary-title&gt;Community Mental Health Journal&lt;/secondary-title&gt;&lt;/titles&gt;&lt;periodical&gt;&lt;full-title&gt;Community Mental Health Journal&lt;/full-title&gt;&lt;/periodical&gt;&lt;dates&gt;&lt;year&gt;2023&lt;/year&gt;&lt;/dates&gt;&lt;urls&gt;&lt;/urls&gt;&lt;electronic-resource-num&gt;DOI: 10.1007/s10597-022-01051-4&lt;/electronic-resource-num&gt;&lt;/record&gt;&lt;/Cite&gt;&lt;/EndNote&gt;</w:instrText>
        </w:r>
        <w:r w:rsidR="002D6F18">
          <w:fldChar w:fldCharType="separate"/>
        </w:r>
        <w:r w:rsidR="002D6F18" w:rsidRPr="00C559B5">
          <w:rPr>
            <w:noProof/>
            <w:vertAlign w:val="superscript"/>
          </w:rPr>
          <w:t>251</w:t>
        </w:r>
        <w:r w:rsidR="002D6F18">
          <w:fldChar w:fldCharType="end"/>
        </w:r>
      </w:hyperlink>
    </w:p>
    <w:p w14:paraId="66A3B8B2" w14:textId="36B87749" w:rsidR="00682A5B" w:rsidRPr="00B768A1" w:rsidRDefault="6C3A6D1F" w:rsidP="00634A83">
      <w:pPr>
        <w:pStyle w:val="BT-Beigebox"/>
      </w:pPr>
      <w:r>
        <w:t>Engagement with a South Australian Aboriginal and Torres Strait Islander co-designed aftercare service that was part of the National Suicide Prevention Trial led to a decrease in re-presentations associated with a repeat suicide attempt. Service users also reported improvements in adherence to medication and better engagement with services.</w:t>
      </w:r>
      <w:hyperlink w:anchor="_ENREF_252" w:tooltip="K, 2020 #82" w:history="1">
        <w:r w:rsidR="002D6F18">
          <w:fldChar w:fldCharType="begin"/>
        </w:r>
        <w:r w:rsidR="002D6F18">
          <w:instrText xml:space="preserve"> ADDIN EN.CITE &lt;EndNote&gt;&lt;Cite&gt;&lt;Author&gt;K&lt;/Author&gt;&lt;Year&gt;2020&lt;/Year&gt;&lt;RecNum&gt;82&lt;/RecNum&gt;&lt;DisplayText&gt;&lt;style face="superscript"&gt;252&lt;/style&gt;&lt;/DisplayText&gt;&lt;record&gt;&lt;rec-number&gt;82&lt;/rec-number&gt;&lt;foreign-keys&gt;&lt;key app="EN" db-id="rsettzd2isasdweewww55s9lffasxav0d0ft" timestamp="1700699467" guid="7866a971-7060-421b-b356-21a5426a40dc"&gt;82&lt;/key&gt;&lt;/foreign-keys&gt;&lt;ref-type name="Web Page"&gt;12&lt;/ref-type&gt;&lt;contributors&gt;&lt;authors&gt;&lt;author&gt;Muyabi K&lt;/author&gt;&lt;author&gt;Walsh S&lt;/author&gt;&lt;author&gt;Carter M&lt;/author&gt;&lt;author&gt;Gilliam M&lt;/author&gt;&lt;author&gt;Jones M&lt;/author&gt;&lt;/authors&gt;&lt;/contributors&gt;&lt;titles&gt;&lt;title&gt;Evaluation Report: Executive Summary, Evaluation of an Aftercare Service Model in an Aboriginal Community Controlled Health Organisation&lt;/title&gt;&lt;/titles&gt;&lt;dates&gt;&lt;year&gt;2020&lt;/year&gt;&lt;/dates&gt;&lt;pub-location&gt;Wyalla, South Australia&lt;/pub-location&gt;&lt;publisher&gt;Country South Australia Primary Health Network&lt;/publisher&gt;&lt;work-type&gt;Internet&lt;/work-type&gt;&lt;urls&gt;&lt;related-urls&gt;&lt;url&gt;https://www.countrysaphn.com.au/wp-content/uploads/2021/05/CSAPHN_Evaluation-Report_V4.pdf&lt;/url&gt;&lt;/related-urls&gt;&lt;/urls&gt;&lt;custom1&gt;2023&lt;/custom1&gt;&lt;custom2&gt;November 06&lt;/custom2&gt;&lt;/record&gt;&lt;/Cite&gt;&lt;/EndNote&gt;</w:instrText>
        </w:r>
        <w:r w:rsidR="002D6F18">
          <w:fldChar w:fldCharType="separate"/>
        </w:r>
        <w:r w:rsidR="002D6F18" w:rsidRPr="00C559B5">
          <w:rPr>
            <w:noProof/>
            <w:vertAlign w:val="superscript"/>
          </w:rPr>
          <w:t>252</w:t>
        </w:r>
        <w:r w:rsidR="002D6F18">
          <w:fldChar w:fldCharType="end"/>
        </w:r>
      </w:hyperlink>
    </w:p>
    <w:p w14:paraId="4103BD1E" w14:textId="6DC55BEA" w:rsidR="00682A5B" w:rsidRPr="00B768A1" w:rsidRDefault="3C569350" w:rsidP="00745B34">
      <w:pPr>
        <w:pStyle w:val="Caption"/>
      </w:pPr>
      <w:bookmarkStart w:id="116" w:name="_Ref164870038"/>
      <w:r>
        <w:t xml:space="preserve">Table </w:t>
      </w:r>
      <w:r w:rsidR="00682A5B">
        <w:fldChar w:fldCharType="begin"/>
      </w:r>
      <w:r w:rsidR="00682A5B">
        <w:instrText>SEQ Table \* ARABIC</w:instrText>
      </w:r>
      <w:r w:rsidR="00682A5B">
        <w:fldChar w:fldCharType="separate"/>
      </w:r>
      <w:r w:rsidR="009F12B4">
        <w:rPr>
          <w:noProof/>
        </w:rPr>
        <w:t>23</w:t>
      </w:r>
      <w:r w:rsidR="00682A5B">
        <w:fldChar w:fldCharType="end"/>
      </w:r>
      <w:bookmarkEnd w:id="116"/>
      <w:r>
        <w:t xml:space="preserve">: Recommended actions for Support objective </w:t>
      </w:r>
      <w:r w:rsidR="4C86F667">
        <w:t>8.2</w:t>
      </w:r>
      <w:r>
        <w:t>: Dedicated care coordination</w:t>
      </w:r>
    </w:p>
    <w:tbl>
      <w:tblPr>
        <w:tblStyle w:val="TableGrid"/>
        <w:tblW w:w="9067" w:type="dxa"/>
        <w:tblLook w:val="0420" w:firstRow="1" w:lastRow="0" w:firstColumn="0" w:lastColumn="0" w:noHBand="0" w:noVBand="1"/>
        <w:tblCaption w:val="Recommended actions for Support objective 5.3: Dedicated care coordination roles"/>
        <w:tblDescription w:val="Describes actions ko5.3a to ko5.3d."/>
      </w:tblPr>
      <w:tblGrid>
        <w:gridCol w:w="1268"/>
        <w:gridCol w:w="7799"/>
      </w:tblGrid>
      <w:tr w:rsidR="00D81ABA" w14:paraId="03DA44BA" w14:textId="77777777" w:rsidTr="00D81ABA">
        <w:trPr>
          <w:cnfStyle w:val="100000000000" w:firstRow="1" w:lastRow="0" w:firstColumn="0" w:lastColumn="0" w:oddVBand="0" w:evenVBand="0" w:oddHBand="0" w:evenHBand="0" w:firstRowFirstColumn="0" w:firstRowLastColumn="0" w:lastRowFirstColumn="0" w:lastRowLastColumn="0"/>
          <w:trHeight w:val="300"/>
        </w:trPr>
        <w:tc>
          <w:tcPr>
            <w:tcW w:w="1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9782"/>
          </w:tcPr>
          <w:p w14:paraId="367930F6" w14:textId="6A5A5DCB" w:rsidR="00D81ABA" w:rsidRDefault="00D81ABA" w:rsidP="004F5B0E">
            <w:pPr>
              <w:pStyle w:val="NMHCTableHeaderRow"/>
            </w:pPr>
            <w:r w:rsidRPr="50DFD766">
              <w:t>Action</w:t>
            </w:r>
          </w:p>
        </w:tc>
        <w:tc>
          <w:tcPr>
            <w:tcW w:w="77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9782"/>
            <w:tcMar>
              <w:top w:w="28" w:type="dxa"/>
              <w:bottom w:w="28" w:type="dxa"/>
            </w:tcMar>
          </w:tcPr>
          <w:p w14:paraId="20AC14D3" w14:textId="42B9DE34" w:rsidR="00D81ABA" w:rsidRDefault="00D81ABA" w:rsidP="004F5B0E">
            <w:pPr>
              <w:pStyle w:val="NMHCTableHeaderRow"/>
            </w:pPr>
            <w:r w:rsidRPr="50DFD766">
              <w:t>Description</w:t>
            </w:r>
          </w:p>
        </w:tc>
      </w:tr>
      <w:tr w:rsidR="00D81ABA" w14:paraId="5E373560" w14:textId="77777777" w:rsidTr="00934B8E">
        <w:trPr>
          <w:trHeight w:val="676"/>
        </w:trPr>
        <w:tc>
          <w:tcPr>
            <w:tcW w:w="1268" w:type="dxa"/>
            <w:tcBorders>
              <w:top w:val="single" w:sz="4" w:space="0" w:color="FFFFFF" w:themeColor="background1"/>
            </w:tcBorders>
          </w:tcPr>
          <w:p w14:paraId="4848C63D" w14:textId="6FD1D08B" w:rsidR="00D81ABA" w:rsidRDefault="00D81ABA" w:rsidP="00634A83">
            <w:r w:rsidRPr="1274FCB3">
              <w:t>ko8.2a</w:t>
            </w:r>
          </w:p>
        </w:tc>
        <w:tc>
          <w:tcPr>
            <w:tcW w:w="7799" w:type="dxa"/>
            <w:tcBorders>
              <w:top w:val="single" w:sz="4" w:space="0" w:color="FFFFFF" w:themeColor="background1"/>
            </w:tcBorders>
            <w:tcMar>
              <w:top w:w="28" w:type="dxa"/>
              <w:bottom w:w="28" w:type="dxa"/>
            </w:tcMar>
          </w:tcPr>
          <w:p w14:paraId="1EA3CF23" w14:textId="51B03E4E" w:rsidR="00D81ABA" w:rsidRDefault="00D81ABA" w:rsidP="00634A83">
            <w:r w:rsidRPr="1274FCB3">
              <w:t>Expand the application of aftercare services to accommodate anyone who has recently self-harmed, attempted suicide or experienced a suicidal crisis.</w:t>
            </w:r>
          </w:p>
        </w:tc>
      </w:tr>
      <w:tr w:rsidR="00D81ABA" w14:paraId="0385561A" w14:textId="77777777" w:rsidTr="00D81ABA">
        <w:trPr>
          <w:trHeight w:val="300"/>
        </w:trPr>
        <w:tc>
          <w:tcPr>
            <w:tcW w:w="1268" w:type="dxa"/>
          </w:tcPr>
          <w:p w14:paraId="520F1312" w14:textId="4AA3E2D9" w:rsidR="00D81ABA" w:rsidRDefault="00756397" w:rsidP="00634A83">
            <w:r>
              <w:t>k</w:t>
            </w:r>
            <w:r w:rsidR="00D81ABA">
              <w:t>o8.2b</w:t>
            </w:r>
          </w:p>
        </w:tc>
        <w:tc>
          <w:tcPr>
            <w:tcW w:w="7799" w:type="dxa"/>
            <w:tcMar>
              <w:top w:w="28" w:type="dxa"/>
              <w:bottom w:w="28" w:type="dxa"/>
            </w:tcMar>
          </w:tcPr>
          <w:p w14:paraId="6AABC1A6" w14:textId="77777777" w:rsidR="00D81ABA" w:rsidRDefault="00D81ABA" w:rsidP="00634A83">
            <w:pPr>
              <w:rPr>
                <w:rFonts w:cstheme="minorBidi"/>
              </w:rPr>
            </w:pPr>
            <w:r>
              <w:t>Integrate suicide prevention peer workers into all aftercare services by resourcing dedicated roles and support structures, such as peer supervision and communities of practice.</w:t>
            </w:r>
          </w:p>
        </w:tc>
      </w:tr>
      <w:tr w:rsidR="00D81ABA" w14:paraId="087858A1" w14:textId="77777777" w:rsidTr="00D81ABA">
        <w:trPr>
          <w:trHeight w:val="300"/>
        </w:trPr>
        <w:tc>
          <w:tcPr>
            <w:tcW w:w="1268" w:type="dxa"/>
          </w:tcPr>
          <w:p w14:paraId="773C5924" w14:textId="6FC291A2" w:rsidR="00D81ABA" w:rsidRDefault="00756397" w:rsidP="00634A83">
            <w:r>
              <w:t>k</w:t>
            </w:r>
            <w:r w:rsidR="00D81ABA">
              <w:t>o8.2c</w:t>
            </w:r>
          </w:p>
        </w:tc>
        <w:tc>
          <w:tcPr>
            <w:tcW w:w="7799" w:type="dxa"/>
            <w:tcMar>
              <w:top w:w="28" w:type="dxa"/>
              <w:bottom w:w="28" w:type="dxa"/>
            </w:tcMar>
          </w:tcPr>
          <w:p w14:paraId="5DC9794C" w14:textId="29B9641D" w:rsidR="00D81ABA" w:rsidRDefault="00D81ABA" w:rsidP="00634A83">
            <w:r>
              <w:t>Improve access to aftercare services and ongoing support for children and young people, and their families, carers and kin, following a suicide attempt by removing age exclusions from services and:</w:t>
            </w:r>
          </w:p>
          <w:p w14:paraId="42D903C6" w14:textId="1A9692BE" w:rsidR="00D81ABA" w:rsidRDefault="00D81ABA" w:rsidP="00634A83">
            <w:pPr>
              <w:pStyle w:val="ListParagraph"/>
              <w:numPr>
                <w:ilvl w:val="0"/>
                <w:numId w:val="29"/>
              </w:numPr>
            </w:pPr>
            <w:r w:rsidRPr="1274FCB3">
              <w:t>establishing specific care pathways for children and young people to enable warm referrals (to support a person to connect to services, such as by phoning services for the person, passing on information to the service with the person’s consent and helping them to navigate the service system) to age-appropriate supports for aftercare where existing specialised aftercare services are not available</w:t>
            </w:r>
          </w:p>
          <w:p w14:paraId="1212C439" w14:textId="26E2236E" w:rsidR="00D81ABA" w:rsidRDefault="00D81ABA" w:rsidP="00634A83">
            <w:pPr>
              <w:pStyle w:val="ListParagraph"/>
              <w:numPr>
                <w:ilvl w:val="0"/>
                <w:numId w:val="29"/>
              </w:numPr>
            </w:pPr>
            <w:r w:rsidRPr="1274FCB3">
              <w:t>upskilling aftercare service staff in effective approaches for working with children and young people, and exploring the co-location of youth workers in universal aftercare services.</w:t>
            </w:r>
          </w:p>
        </w:tc>
      </w:tr>
      <w:tr w:rsidR="00D81ABA" w14:paraId="1FB2F354" w14:textId="77777777" w:rsidTr="00D81ABA">
        <w:trPr>
          <w:trHeight w:val="300"/>
        </w:trPr>
        <w:tc>
          <w:tcPr>
            <w:tcW w:w="1268" w:type="dxa"/>
          </w:tcPr>
          <w:p w14:paraId="7D69BC73" w14:textId="11DDE6E4" w:rsidR="00D81ABA" w:rsidRDefault="00756397" w:rsidP="00634A83">
            <w:pPr>
              <w:rPr>
                <w:b/>
                <w:bCs/>
              </w:rPr>
            </w:pPr>
            <w:r>
              <w:t>k</w:t>
            </w:r>
            <w:r w:rsidR="00D81ABA">
              <w:t>o8.2d</w:t>
            </w:r>
          </w:p>
        </w:tc>
        <w:tc>
          <w:tcPr>
            <w:tcW w:w="7799" w:type="dxa"/>
            <w:tcMar>
              <w:top w:w="28" w:type="dxa"/>
              <w:bottom w:w="28" w:type="dxa"/>
            </w:tcMar>
          </w:tcPr>
          <w:p w14:paraId="6C7F5815" w14:textId="7D5CEE37" w:rsidR="00D81ABA" w:rsidRDefault="00D81ABA" w:rsidP="00634A83">
            <w:pPr>
              <w:rPr>
                <w:b/>
                <w:bCs/>
              </w:rPr>
            </w:pPr>
            <w:r>
              <w:t>Resource dedicated care coordination roles to support people with chronic suicidal thoughts and people with suicidal thoughts who have complex needs.</w:t>
            </w:r>
          </w:p>
        </w:tc>
      </w:tr>
    </w:tbl>
    <w:p w14:paraId="1D6E6334" w14:textId="3ED53CD4" w:rsidR="00682A5B" w:rsidRPr="00B768A1" w:rsidRDefault="3F740B22" w:rsidP="00D81ABA">
      <w:pPr>
        <w:pStyle w:val="heading3support"/>
      </w:pPr>
      <w:r>
        <w:t>8.3</w:t>
      </w:r>
      <w:r w:rsidR="00682A5B" w:rsidRPr="00B768A1">
        <w:t xml:space="preserve"> Collaboration across services</w:t>
      </w:r>
    </w:p>
    <w:p w14:paraId="2EE07212" w14:textId="1933510D" w:rsidR="00682A5B" w:rsidRPr="00B768A1" w:rsidRDefault="3605BDAC" w:rsidP="00634A83">
      <w:r w:rsidRPr="00B768A1">
        <w:t xml:space="preserve">Collaboration across services can </w:t>
      </w:r>
      <w:r w:rsidR="04A45D1D" w:rsidRPr="00B768A1">
        <w:t xml:space="preserve">improve the </w:t>
      </w:r>
      <w:r w:rsidRPr="00B768A1">
        <w:t>efficien</w:t>
      </w:r>
      <w:r w:rsidR="04A45D1D" w:rsidRPr="00B768A1">
        <w:t>cy</w:t>
      </w:r>
      <w:r w:rsidRPr="00B768A1">
        <w:t xml:space="preserve"> and effective</w:t>
      </w:r>
      <w:r w:rsidR="04A45D1D" w:rsidRPr="00B768A1">
        <w:t>ness</w:t>
      </w:r>
      <w:r w:rsidRPr="00B768A1">
        <w:t xml:space="preserve"> of care by reducing waiting times, overcoming access barriers and supporting smooth transitions between services.</w:t>
      </w:r>
      <w:r w:rsidR="25156064" w:rsidRPr="00B768A1">
        <w:t xml:space="preserve"> </w:t>
      </w:r>
      <w:r w:rsidRPr="00B768A1">
        <w:t>Effective collaboration requires policy, processes and infrastructure that facilitate efficient sharing of information.</w:t>
      </w:r>
      <w:hyperlink w:anchor="_ENREF_233" w:tooltip="B, 2019 #100" w:history="1">
        <w:r w:rsidR="002D6F18">
          <w:fldChar w:fldCharType="begin"/>
        </w:r>
        <w:r w:rsidR="002D6F18">
          <w:instrText xml:space="preserve"> ADDIN EN.CITE &lt;EndNote&gt;&lt;Cite&gt;&lt;Author&gt;B&lt;/Author&gt;&lt;Year&gt;2019&lt;/Year&gt;&lt;RecNum&gt;100&lt;/RecNum&gt;&lt;DisplayText&gt;&lt;style face="superscript"&gt;233&lt;/style&gt;&lt;/DisplayText&gt;&lt;record&gt;&lt;rec-number&gt;100&lt;/rec-number&gt;&lt;foreign-keys&gt;&lt;key app="EN" db-id="rsettzd2isasdweewww55s9lffasxav0d0ft" timestamp="1700699467" guid="808fbf68-00bd-4e1a-8dc7-417b5b44469d"&gt;100&lt;/key&gt;&lt;/foreign-keys&gt;&lt;ref-type name="Web Page"&gt;12&lt;/ref-type&gt;&lt;contributors&gt;&lt;authors&gt;&lt;author&gt;Williams B&lt;/author&gt;&lt;/authors&gt;&lt;tertiary-authors&gt;&lt;author&gt;Eastern Mental Health Service Coordination Alliance&lt;/author&gt;&lt;/tertiary-authors&gt;&lt;/contributors&gt;&lt;titles&gt;&lt;title&gt;Collaborative and Coordinated Care: An Investigation of the Enablers and Barriers for Adults who Experience Mental Ill-Health in Eastern Melbourne: EMHSCA Care Coordination Research Summary&lt;/title&gt;&lt;/titles&gt;&lt;dates&gt;&lt;year&gt;2019&lt;/year&gt;&lt;/dates&gt;&lt;pub-location&gt;Melbourne, Victoria&lt;/pub-location&gt;&lt;work-type&gt;Internet&lt;/work-type&gt;&lt;urls&gt;&lt;related-urls&gt;&lt;url&gt;https://www.emphn.org.au/images/uploads/files/EMHSCA-Care-Coordination-study-2019.pdf&lt;/url&gt;&lt;/related-urls&gt;&lt;/urls&gt;&lt;custom1&gt;2023&lt;/custom1&gt;&lt;custom2&gt;November 05&lt;/custom2&gt;&lt;/record&gt;&lt;/Cite&gt;&lt;/EndNote&gt;</w:instrText>
        </w:r>
        <w:r w:rsidR="002D6F18">
          <w:fldChar w:fldCharType="separate"/>
        </w:r>
        <w:r w:rsidR="002D6F18" w:rsidRPr="00C559B5">
          <w:rPr>
            <w:noProof/>
            <w:vertAlign w:val="superscript"/>
          </w:rPr>
          <w:t>233</w:t>
        </w:r>
        <w:r w:rsidR="002D6F18">
          <w:fldChar w:fldCharType="end"/>
        </w:r>
      </w:hyperlink>
    </w:p>
    <w:p w14:paraId="7384EE82" w14:textId="5E10B477" w:rsidR="00682A5B" w:rsidRPr="00B768A1" w:rsidRDefault="3605BDAC" w:rsidP="00634A83">
      <w:r w:rsidRPr="00B768A1">
        <w:t xml:space="preserve">The </w:t>
      </w:r>
      <w:r w:rsidRPr="48215A0F">
        <w:rPr>
          <w:i/>
          <w:iCs/>
        </w:rPr>
        <w:t xml:space="preserve">Strengthening Medicare Taskforce </w:t>
      </w:r>
      <w:r w:rsidR="0F0FAFEC" w:rsidRPr="48215A0F">
        <w:rPr>
          <w:i/>
          <w:iCs/>
        </w:rPr>
        <w:t>R</w:t>
      </w:r>
      <w:r w:rsidR="73A30E6E" w:rsidRPr="48215A0F">
        <w:rPr>
          <w:i/>
          <w:iCs/>
        </w:rPr>
        <w:t>eport</w:t>
      </w:r>
      <w:r w:rsidRPr="00B768A1">
        <w:t xml:space="preserve"> recommended better data </w:t>
      </w:r>
      <w:r w:rsidR="5071D4D2" w:rsidRPr="00B768A1">
        <w:t xml:space="preserve">infrastructure and processes </w:t>
      </w:r>
      <w:r w:rsidRPr="00B768A1">
        <w:t xml:space="preserve">across the health system to </w:t>
      </w:r>
      <w:r w:rsidR="680583F5" w:rsidRPr="00B768A1">
        <w:t xml:space="preserve">enable </w:t>
      </w:r>
      <w:r w:rsidRPr="00B768A1">
        <w:t xml:space="preserve">safe </w:t>
      </w:r>
      <w:r w:rsidR="680583F5" w:rsidRPr="00B768A1">
        <w:t xml:space="preserve">sharing of </w:t>
      </w:r>
      <w:r w:rsidRPr="00B768A1">
        <w:t>patient information to support better diagnosis and healthcare management and empower people to participate in their own health</w:t>
      </w:r>
      <w:r w:rsidR="77C0BD5E" w:rsidRPr="00B768A1">
        <w:t xml:space="preserve"> </w:t>
      </w:r>
      <w:r w:rsidRPr="00B768A1">
        <w:t>care.</w:t>
      </w:r>
      <w:hyperlink w:anchor="_ENREF_253" w:tooltip="Care, 2022 #442" w:history="1">
        <w:r w:rsidR="002D6F18">
          <w:fldChar w:fldCharType="begin"/>
        </w:r>
        <w:r w:rsidR="002D6F18">
          <w:instrText xml:space="preserve"> ADDIN EN.CITE &lt;EndNote&gt;&lt;Cite&gt;&lt;Author&gt;Care&lt;/Author&gt;&lt;Year&gt;2022&lt;/Year&gt;&lt;RecNum&gt;442&lt;/RecNum&gt;&lt;DisplayText&gt;&lt;style face="superscript"&gt;253&lt;/style&gt;&lt;/DisplayText&gt;&lt;record&gt;&lt;rec-number&gt;442&lt;/rec-number&gt;&lt;foreign-keys&gt;&lt;key app="EN" db-id="rsettzd2isasdweewww55s9lffasxav0d0ft" timestamp="1700699473" guid="d984e670-8a26-498a-9ed4-08caf3c53070"&gt;442&lt;/key&gt;&lt;/foreign-keys&gt;&lt;ref-type name="Web Page"&gt;12&lt;/ref-type&gt;&lt;contributors&gt;&lt;authors&gt;&lt;author&gt;Department of Health and Aged Care&lt;/author&gt;&lt;/authors&gt;&lt;/contributors&gt;&lt;titles&gt;&lt;title&gt;Strengthening Medicare Taskforce Report, December 2022&lt;/title&gt;&lt;/titles&gt;&lt;dates&gt;&lt;year&gt;2022&lt;/year&gt;&lt;/dates&gt;&lt;publisher&gt;Department of Health and Aged Care&lt;/publisher&gt;&lt;work-type&gt;Internet&lt;/work-type&gt;&lt;urls&gt;&lt;related-urls&gt;&lt;url&gt;https://www.health.gov.au/sites/default/files/2023-02/strengthening-medicare-taskforce-report_0.pdf&lt;/url&gt;&lt;/related-urls&gt;&lt;/urls&gt;&lt;custom1&gt;2023&lt;/custom1&gt;&lt;custom2&gt;November 05&lt;/custom2&gt;&lt;/record&gt;&lt;/Cite&gt;&lt;/EndNote&gt;</w:instrText>
        </w:r>
        <w:r w:rsidR="002D6F18">
          <w:fldChar w:fldCharType="separate"/>
        </w:r>
        <w:r w:rsidR="002D6F18" w:rsidRPr="00C559B5">
          <w:rPr>
            <w:noProof/>
            <w:vertAlign w:val="superscript"/>
          </w:rPr>
          <w:t>253</w:t>
        </w:r>
        <w:r w:rsidR="002D6F18">
          <w:fldChar w:fldCharType="end"/>
        </w:r>
      </w:hyperlink>
      <w:r w:rsidR="009C243D">
        <w:t xml:space="preserve"> </w:t>
      </w:r>
      <w:r w:rsidRPr="00B768A1">
        <w:t>Making these changes would support improved collaboration across health services that support people with suicidal thoughts and behaviours</w:t>
      </w:r>
      <w:r w:rsidR="1AFE93D4" w:rsidRPr="00B768A1">
        <w:t xml:space="preserve"> (</w:t>
      </w:r>
      <w:r w:rsidR="74F71D45">
        <w:t>action ko</w:t>
      </w:r>
      <w:r w:rsidR="4E34F826">
        <w:t>8.3</w:t>
      </w:r>
      <w:r w:rsidR="1AFE93D4" w:rsidRPr="00B768A1">
        <w:t>a)</w:t>
      </w:r>
      <w:r w:rsidRPr="00B768A1">
        <w:t>.</w:t>
      </w:r>
    </w:p>
    <w:p w14:paraId="4DBEE67D" w14:textId="3556D1CD" w:rsidR="00682A5B" w:rsidRPr="00B768A1" w:rsidRDefault="00036184" w:rsidP="00634A83">
      <w:r w:rsidRPr="00B768A1">
        <w:t>I</w:t>
      </w:r>
      <w:r w:rsidR="00682A5B" w:rsidRPr="00B768A1">
        <w:t>mproving collaboration across sectors</w:t>
      </w:r>
      <w:r w:rsidRPr="00B768A1">
        <w:t>, such as health, education, social services and justice,</w:t>
      </w:r>
      <w:r w:rsidR="00682A5B" w:rsidRPr="00B768A1">
        <w:t xml:space="preserve"> would enable more effective holistic support </w:t>
      </w:r>
      <w:r w:rsidR="00A150E6" w:rsidRPr="00B768A1">
        <w:t xml:space="preserve">for </w:t>
      </w:r>
      <w:r w:rsidR="00B2760F" w:rsidRPr="00B768A1">
        <w:t xml:space="preserve">people’s </w:t>
      </w:r>
      <w:r w:rsidR="00682A5B" w:rsidRPr="00B768A1">
        <w:t>health and other needs. Currently, collaboration across support services relies primarily on the relationships between individual workers at a local service level.</w:t>
      </w:r>
    </w:p>
    <w:p w14:paraId="2F9D2D97" w14:textId="4850F6A1" w:rsidR="00682A5B" w:rsidRDefault="3605BDAC" w:rsidP="00634A83">
      <w:r w:rsidRPr="00B768A1">
        <w:t xml:space="preserve">The </w:t>
      </w:r>
      <w:r w:rsidRPr="48215A0F">
        <w:rPr>
          <w:i/>
          <w:iCs/>
        </w:rPr>
        <w:t>National Guidelines to improve coordination of treatment and supports for people with severe and complex mental illness</w:t>
      </w:r>
      <w:r w:rsidR="46AEC4E5" w:rsidRPr="00B768A1">
        <w:t>,</w:t>
      </w:r>
      <w:r w:rsidRPr="00B768A1">
        <w:t xml:space="preserve"> released in 2022</w:t>
      </w:r>
      <w:r w:rsidR="46AEC4E5" w:rsidRPr="00B768A1">
        <w:t>,</w:t>
      </w:r>
      <w:r w:rsidRPr="00B768A1">
        <w:t xml:space="preserve"> </w:t>
      </w:r>
      <w:r w:rsidR="209FB13E" w:rsidRPr="00B768A1">
        <w:t>include</w:t>
      </w:r>
      <w:r w:rsidRPr="00B768A1">
        <w:t xml:space="preserve"> recommendations to improve collaboration across services relevant to supporting people with suicidal thoughts and behaviours.</w:t>
      </w:r>
      <w:hyperlink w:anchor="_ENREF_234" w:tooltip="Care, 2022 #98" w:history="1">
        <w:r w:rsidR="002D6F18">
          <w:fldChar w:fldCharType="begin"/>
        </w:r>
        <w:r w:rsidR="002D6F18">
          <w:instrText xml:space="preserve"> ADDIN EN.CITE &lt;EndNote&gt;&lt;Cite&gt;&lt;Author&gt;Care&lt;/Author&gt;&lt;Year&gt;2022&lt;/Year&gt;&lt;RecNum&gt;98&lt;/RecNum&gt;&lt;DisplayText&gt;&lt;style face="superscript"&gt;234&lt;/style&gt;&lt;/DisplayText&gt;&lt;record&gt;&lt;rec-number&gt;98&lt;/rec-number&gt;&lt;foreign-keys&gt;&lt;key app="EN" db-id="rsettzd2isasdweewww55s9lffasxav0d0ft" timestamp="1700699467" guid="b6ae8d9c-a980-4f98-8de4-841ff1b12293"&gt;98&lt;/key&gt;&lt;/foreign-keys&gt;&lt;ref-type name="Web Page"&gt;12&lt;/ref-type&gt;&lt;contributors&gt;&lt;authors&gt;&lt;author&gt;Department of Health and Aged Care&lt;/author&gt;&lt;/authors&gt;&lt;/contributors&gt;&lt;titles&gt;&lt;title&gt;National Guidelines to Improve Coordination of Treatment and Supports for People with Severe and Complex Mental Illness: Australian Government Department of Health, March 2022&lt;/title&gt;&lt;/titles&gt;&lt;dates&gt;&lt;year&gt;2022&lt;/year&gt;&lt;/dates&gt;&lt;publisher&gt;Department of Health and Aged Care&lt;/publisher&gt;&lt;work-type&gt;Internet&lt;/work-type&gt;&lt;urls&gt;&lt;related-urls&gt;&lt;url&gt;https://www.health.gov.au/resources/collections/national-guidelines-to-improve-coordination-of-treatment-and-supports-for-people-with-severe-and-complex-mental-illness&lt;/url&gt;&lt;/related-urls&gt;&lt;/urls&gt;&lt;custom1&gt;2023&lt;/custom1&gt;&lt;custom2&gt;November 05&lt;/custom2&gt;&lt;/record&gt;&lt;/Cite&gt;&lt;/EndNote&gt;</w:instrText>
        </w:r>
        <w:r w:rsidR="002D6F18">
          <w:fldChar w:fldCharType="separate"/>
        </w:r>
        <w:r w:rsidR="002D6F18" w:rsidRPr="00C559B5">
          <w:rPr>
            <w:noProof/>
            <w:vertAlign w:val="superscript"/>
          </w:rPr>
          <w:t>234</w:t>
        </w:r>
        <w:r w:rsidR="002D6F18">
          <w:fldChar w:fldCharType="end"/>
        </w:r>
      </w:hyperlink>
      <w:r w:rsidR="009C243D">
        <w:t xml:space="preserve"> </w:t>
      </w:r>
      <w:r w:rsidR="482862F7" w:rsidRPr="00B768A1">
        <w:t>L</w:t>
      </w:r>
      <w:r w:rsidRPr="00B768A1">
        <w:t xml:space="preserve">everaging </w:t>
      </w:r>
      <w:r w:rsidR="482862F7" w:rsidRPr="00B768A1">
        <w:t>these Guidelines</w:t>
      </w:r>
      <w:r w:rsidRPr="00B768A1">
        <w:t xml:space="preserve"> would identify and progress system changes to improve collaboration between services across sectors</w:t>
      </w:r>
      <w:r w:rsidR="157576CB" w:rsidRPr="00B768A1">
        <w:t xml:space="preserve"> (</w:t>
      </w:r>
      <w:r w:rsidR="74F71D45">
        <w:t>action ko</w:t>
      </w:r>
      <w:r w:rsidR="4E34F826">
        <w:t>8.3</w:t>
      </w:r>
      <w:r w:rsidR="157576CB" w:rsidRPr="00B768A1">
        <w:t>b)</w:t>
      </w:r>
      <w:r w:rsidRPr="00B768A1">
        <w:t>.</w:t>
      </w:r>
    </w:p>
    <w:p w14:paraId="521B1E5E" w14:textId="58D2C8EF" w:rsidR="00BD76E3" w:rsidRDefault="00BD76E3" w:rsidP="00634A83">
      <w:r>
        <w:t xml:space="preserve">The recommended actions to </w:t>
      </w:r>
      <w:r w:rsidR="00334CE7">
        <w:t xml:space="preserve">enhance collaboration across services </w:t>
      </w:r>
      <w:r>
        <w:t>are described in</w:t>
      </w:r>
      <w:r w:rsidR="00F04C6C">
        <w:t xml:space="preserve"> </w:t>
      </w:r>
      <w:r w:rsidR="00F04C6C">
        <w:fldChar w:fldCharType="begin"/>
      </w:r>
      <w:r w:rsidR="00F04C6C">
        <w:instrText xml:space="preserve"> REF _Ref162240909 \h </w:instrText>
      </w:r>
      <w:r w:rsidR="00F04C6C">
        <w:fldChar w:fldCharType="separate"/>
      </w:r>
      <w:r w:rsidR="009F12B4">
        <w:t xml:space="preserve">Table </w:t>
      </w:r>
      <w:r w:rsidR="009F12B4">
        <w:rPr>
          <w:noProof/>
        </w:rPr>
        <w:t>24</w:t>
      </w:r>
      <w:r w:rsidR="00F04C6C">
        <w:fldChar w:fldCharType="end"/>
      </w:r>
      <w:r>
        <w:t>.</w:t>
      </w:r>
    </w:p>
    <w:p w14:paraId="77FE7012" w14:textId="33511196" w:rsidR="00BD76E3" w:rsidRPr="00B768A1" w:rsidRDefault="00BD76E3" w:rsidP="00745B34">
      <w:pPr>
        <w:pStyle w:val="Caption"/>
      </w:pPr>
      <w:bookmarkStart w:id="117" w:name="_Ref162240909"/>
      <w:r>
        <w:t xml:space="preserve">Table </w:t>
      </w:r>
      <w:r>
        <w:fldChar w:fldCharType="begin"/>
      </w:r>
      <w:r>
        <w:instrText>SEQ Table \* ARABIC</w:instrText>
      </w:r>
      <w:r>
        <w:fldChar w:fldCharType="separate"/>
      </w:r>
      <w:r w:rsidR="009F12B4">
        <w:rPr>
          <w:noProof/>
        </w:rPr>
        <w:t>24</w:t>
      </w:r>
      <w:r>
        <w:fldChar w:fldCharType="end"/>
      </w:r>
      <w:bookmarkEnd w:id="117"/>
      <w:r>
        <w:t>: Recommended actions</w:t>
      </w:r>
      <w:r w:rsidR="007948AE">
        <w:t xml:space="preserve"> for Support objective </w:t>
      </w:r>
      <w:r w:rsidR="38079293">
        <w:t>8</w:t>
      </w:r>
      <w:r w:rsidR="007948AE">
        <w:t>.</w:t>
      </w:r>
      <w:r w:rsidR="0FE78212">
        <w:t>3</w:t>
      </w:r>
      <w:r w:rsidR="007948AE">
        <w:t>: Collaboration across services</w:t>
      </w:r>
    </w:p>
    <w:tbl>
      <w:tblPr>
        <w:tblStyle w:val="TableGrid"/>
        <w:tblW w:w="4926" w:type="pct"/>
        <w:tblLook w:val="0420" w:firstRow="1" w:lastRow="0" w:firstColumn="0" w:lastColumn="0" w:noHBand="0" w:noVBand="1"/>
        <w:tblCaption w:val="Recommended actions for Support objective 5.1: Collaboration across services"/>
        <w:tblDescription w:val="Describes actions ko5.1a and ko5.1b."/>
      </w:tblPr>
      <w:tblGrid>
        <w:gridCol w:w="1256"/>
        <w:gridCol w:w="7671"/>
      </w:tblGrid>
      <w:tr w:rsidR="00D81ABA" w:rsidRPr="0023196B" w14:paraId="7E6719D4" w14:textId="77777777" w:rsidTr="48215A0F">
        <w:trPr>
          <w:cnfStyle w:val="100000000000" w:firstRow="1" w:lastRow="0" w:firstColumn="0" w:lastColumn="0" w:oddVBand="0" w:evenVBand="0" w:oddHBand="0" w:evenHBand="0" w:firstRowFirstColumn="0" w:firstRowLastColumn="0" w:lastRowFirstColumn="0" w:lastRowLastColumn="0"/>
          <w:cantSplit/>
          <w:tblHeader/>
        </w:trPr>
        <w:tc>
          <w:tcPr>
            <w:tcW w:w="1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9782"/>
          </w:tcPr>
          <w:p w14:paraId="7539E347" w14:textId="488E51D9" w:rsidR="00D81ABA" w:rsidRPr="0023196B" w:rsidRDefault="00D81ABA" w:rsidP="004F5B0E">
            <w:pPr>
              <w:pStyle w:val="NMHCTableHeaderRow"/>
            </w:pPr>
            <w:r w:rsidRPr="0023196B">
              <w:t>Action</w:t>
            </w:r>
          </w:p>
        </w:tc>
        <w:tc>
          <w:tcPr>
            <w:tcW w:w="76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9782"/>
            <w:tcMar>
              <w:top w:w="28" w:type="dxa"/>
              <w:bottom w:w="28" w:type="dxa"/>
            </w:tcMar>
          </w:tcPr>
          <w:p w14:paraId="48D1159A" w14:textId="327D0C47" w:rsidR="00D81ABA" w:rsidRPr="0023196B" w:rsidRDefault="00D81ABA" w:rsidP="004F5B0E">
            <w:pPr>
              <w:pStyle w:val="NMHCTableHeaderRow"/>
            </w:pPr>
            <w:r>
              <w:t>Description</w:t>
            </w:r>
          </w:p>
        </w:tc>
      </w:tr>
      <w:tr w:rsidR="00D81ABA" w:rsidRPr="00B768A1" w14:paraId="36075D8B" w14:textId="77777777" w:rsidTr="48215A0F">
        <w:trPr>
          <w:trHeight w:val="1251"/>
        </w:trPr>
        <w:tc>
          <w:tcPr>
            <w:tcW w:w="1256" w:type="dxa"/>
            <w:tcBorders>
              <w:top w:val="single" w:sz="4" w:space="0" w:color="FFFFFF" w:themeColor="background1"/>
            </w:tcBorders>
          </w:tcPr>
          <w:p w14:paraId="1F66551D" w14:textId="59BEEBB1" w:rsidR="00D81ABA" w:rsidRPr="00B768A1" w:rsidRDefault="00D81ABA" w:rsidP="00634A83">
            <w:pPr>
              <w:rPr>
                <w:b/>
                <w:bCs/>
              </w:rPr>
            </w:pPr>
            <w:r>
              <w:t>ko8.3a</w:t>
            </w:r>
          </w:p>
        </w:tc>
        <w:tc>
          <w:tcPr>
            <w:tcW w:w="7670" w:type="dxa"/>
            <w:tcBorders>
              <w:top w:val="single" w:sz="4" w:space="0" w:color="FFFFFF" w:themeColor="background1"/>
            </w:tcBorders>
            <w:tcMar>
              <w:top w:w="28" w:type="dxa"/>
              <w:bottom w:w="28" w:type="dxa"/>
            </w:tcMar>
          </w:tcPr>
          <w:p w14:paraId="33DBF0E9" w14:textId="32897989" w:rsidR="00D81ABA" w:rsidRPr="00B768A1" w:rsidRDefault="00D81ABA" w:rsidP="00634A83">
            <w:pPr>
              <w:rPr>
                <w:b/>
              </w:rPr>
            </w:pPr>
            <w:r w:rsidRPr="00B768A1">
              <w:t>Facilitate timely sharing of clinical information across health services through improved use of technology to connect data across all parts of the health system. This work should be supported by robust national governance, legislative frameworks and regulation of clinical software.</w:t>
            </w:r>
          </w:p>
        </w:tc>
      </w:tr>
      <w:tr w:rsidR="00D81ABA" w:rsidRPr="00B768A1" w14:paraId="2A9A287B" w14:textId="77777777" w:rsidTr="48215A0F">
        <w:tc>
          <w:tcPr>
            <w:tcW w:w="1256" w:type="dxa"/>
          </w:tcPr>
          <w:p w14:paraId="539C7F34" w14:textId="5C367480" w:rsidR="00D81ABA" w:rsidRPr="00B768A1" w:rsidRDefault="00D81ABA" w:rsidP="00634A83">
            <w:r>
              <w:t>Ko8.3b</w:t>
            </w:r>
          </w:p>
        </w:tc>
        <w:tc>
          <w:tcPr>
            <w:tcW w:w="7670" w:type="dxa"/>
            <w:tcMar>
              <w:top w:w="28" w:type="dxa"/>
              <w:bottom w:w="28" w:type="dxa"/>
            </w:tcMar>
          </w:tcPr>
          <w:p w14:paraId="5141E8BE" w14:textId="358CBC98" w:rsidR="00D81ABA" w:rsidRPr="00B768A1" w:rsidRDefault="784A9AD1" w:rsidP="00634A83">
            <w:pPr>
              <w:rPr>
                <w:b/>
                <w:bCs/>
              </w:rPr>
            </w:pPr>
            <w:r w:rsidRPr="00B768A1">
              <w:t xml:space="preserve">Implement the </w:t>
            </w:r>
            <w:r w:rsidRPr="48215A0F">
              <w:rPr>
                <w:i/>
                <w:iCs/>
              </w:rPr>
              <w:t>National Guidelines to improve coordination of treatment and supports for people with severe and complex mental illness</w:t>
            </w:r>
            <w:hyperlink w:anchor="_ENREF_234" w:tooltip="Care, 2022 #98" w:history="1">
              <w:r w:rsidR="002D6F18" w:rsidRPr="00C676DF">
                <w:fldChar w:fldCharType="begin"/>
              </w:r>
              <w:r w:rsidR="002D6F18">
                <w:instrText xml:space="preserve"> ADDIN EN.CITE &lt;EndNote&gt;&lt;Cite&gt;&lt;Author&gt;Care&lt;/Author&gt;&lt;Year&gt;2022&lt;/Year&gt;&lt;RecNum&gt;98&lt;/RecNum&gt;&lt;DisplayText&gt;&lt;style face="superscript"&gt;234&lt;/style&gt;&lt;/DisplayText&gt;&lt;record&gt;&lt;rec-number&gt;98&lt;/rec-number&gt;&lt;foreign-keys&gt;&lt;key app="EN" db-id="rsettzd2isasdweewww55s9lffasxav0d0ft" timestamp="1700699467" guid="b6ae8d9c-a980-4f98-8de4-841ff1b12293"&gt;98&lt;/key&gt;&lt;/foreign-keys&gt;&lt;ref-type name="Web Page"&gt;12&lt;/ref-type&gt;&lt;contributors&gt;&lt;authors&gt;&lt;author&gt;Department of Health and Aged Care&lt;/author&gt;&lt;/authors&gt;&lt;/contributors&gt;&lt;titles&gt;&lt;title&gt;National Guidelines to Improve Coordination of Treatment and Supports for People with Severe and Complex Mental Illness: Australian Government Department of Health, March 2022&lt;/title&gt;&lt;/titles&gt;&lt;dates&gt;&lt;year&gt;2022&lt;/year&gt;&lt;/dates&gt;&lt;publisher&gt;Department of Health and Aged Care&lt;/publisher&gt;&lt;work-type&gt;Internet&lt;/work-type&gt;&lt;urls&gt;&lt;related-urls&gt;&lt;url&gt;https://www.health.gov.au/resources/collections/national-guidelines-to-improve-coordination-of-treatment-and-supports-for-people-with-severe-and-complex-mental-illness&lt;/url&gt;&lt;/related-urls&gt;&lt;/urls&gt;&lt;custom1&gt;2023&lt;/custom1&gt;&lt;custom2&gt;November 05&lt;/custom2&gt;&lt;/record&gt;&lt;/Cite&gt;&lt;/EndNote&gt;</w:instrText>
              </w:r>
              <w:r w:rsidR="002D6F18" w:rsidRPr="00C676DF">
                <w:fldChar w:fldCharType="separate"/>
              </w:r>
              <w:r w:rsidR="002D6F18" w:rsidRPr="00C559B5">
                <w:rPr>
                  <w:noProof/>
                  <w:vertAlign w:val="superscript"/>
                </w:rPr>
                <w:t>234</w:t>
              </w:r>
              <w:r w:rsidR="002D6F18" w:rsidRPr="00C676DF">
                <w:fldChar w:fldCharType="end"/>
              </w:r>
            </w:hyperlink>
            <w:r w:rsidR="00C676DF">
              <w:rPr>
                <w:i/>
                <w:iCs/>
              </w:rPr>
              <w:t xml:space="preserve"> </w:t>
            </w:r>
            <w:r w:rsidRPr="00B768A1">
              <w:t>to address gaps and changes required to improve collaboration between services across sectors in relation to suicide prevention.</w:t>
            </w:r>
          </w:p>
        </w:tc>
      </w:tr>
    </w:tbl>
    <w:p w14:paraId="2AE0AC70" w14:textId="1218ABD2" w:rsidR="00682A5B" w:rsidRPr="00B768A1" w:rsidRDefault="00682A5B" w:rsidP="00634A83">
      <w:pPr>
        <w:sectPr w:rsidR="00682A5B" w:rsidRPr="00B768A1" w:rsidSect="00996915">
          <w:endnotePr>
            <w:numFmt w:val="decimal"/>
          </w:endnotePr>
          <w:pgSz w:w="11907" w:h="16839" w:code="9"/>
          <w:pgMar w:top="1418" w:right="1418" w:bottom="1418" w:left="1418" w:header="680" w:footer="85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bookmarkStart w:id="118" w:name="_Toc152082308"/>
      <w:bookmarkEnd w:id="112"/>
      <w:bookmarkEnd w:id="113"/>
      <w:bookmarkEnd w:id="114"/>
    </w:p>
    <w:p w14:paraId="30422EA2" w14:textId="6AAEEF4A" w:rsidR="00682A5B" w:rsidRPr="00B768A1" w:rsidRDefault="00D22A81" w:rsidP="00D81ABA">
      <w:pPr>
        <w:pStyle w:val="heading2support"/>
      </w:pPr>
      <w:bookmarkStart w:id="119" w:name="_Toc1865538305"/>
      <w:bookmarkStart w:id="120" w:name="_Toc171459035"/>
      <w:r>
        <w:rPr>
          <w:color w:val="307363"/>
        </w:rPr>
        <w:drawing>
          <wp:anchor distT="0" distB="36195" distL="114300" distR="114300" simplePos="0" relativeHeight="251658257" behindDoc="1" locked="0" layoutInCell="1" allowOverlap="1" wp14:anchorId="1F0887F4" wp14:editId="3111DE9D">
            <wp:simplePos x="0" y="0"/>
            <wp:positionH relativeFrom="margin">
              <wp:align>right</wp:align>
            </wp:positionH>
            <wp:positionV relativeFrom="paragraph">
              <wp:posOffset>52231</wp:posOffset>
            </wp:positionV>
            <wp:extent cx="1414800" cy="900000"/>
            <wp:effectExtent l="0" t="0" r="0" b="0"/>
            <wp:wrapTight wrapText="bothSides">
              <wp:wrapPolygon edited="0">
                <wp:start x="0" y="0"/>
                <wp:lineTo x="0" y="21036"/>
                <wp:lineTo x="21232" y="21036"/>
                <wp:lineTo x="21232" y="0"/>
                <wp:lineTo x="0" y="0"/>
              </wp:wrapPolygon>
            </wp:wrapTight>
            <wp:docPr id="26" name="Picture 26" descr="Address full range of needs is Key objective 9 of the Strategy, within the domain of Support for people experiencing suicidal thoughts and behaviours, and those that care for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ddress full range of needs is Key objective 9 of the Strategy, within the domain of Support for people experiencing suicidal thoughts and behaviours, and those that care for them. "/>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14800" cy="900000"/>
                    </a:xfrm>
                    <a:prstGeom prst="rect">
                      <a:avLst/>
                    </a:prstGeom>
                  </pic:spPr>
                </pic:pic>
              </a:graphicData>
            </a:graphic>
            <wp14:sizeRelH relativeFrom="margin">
              <wp14:pctWidth>0</wp14:pctWidth>
            </wp14:sizeRelH>
            <wp14:sizeRelV relativeFrom="margin">
              <wp14:pctHeight>0</wp14:pctHeight>
            </wp14:sizeRelV>
          </wp:anchor>
        </w:drawing>
      </w:r>
      <w:r w:rsidR="00682A5B" w:rsidRPr="50DFD766">
        <w:t xml:space="preserve">Key </w:t>
      </w:r>
      <w:r w:rsidR="004E0E51" w:rsidRPr="50DFD766">
        <w:t>o</w:t>
      </w:r>
      <w:r w:rsidR="00682A5B" w:rsidRPr="50DFD766">
        <w:t xml:space="preserve">bjective </w:t>
      </w:r>
      <w:r w:rsidR="34095B26" w:rsidRPr="36504061">
        <w:t>9</w:t>
      </w:r>
      <w:r w:rsidR="00682A5B" w:rsidRPr="50DFD766">
        <w:t xml:space="preserve">: </w:t>
      </w:r>
      <w:r w:rsidR="353CB637" w:rsidRPr="50DFD766">
        <w:t xml:space="preserve">Holistic </w:t>
      </w:r>
      <w:r w:rsidR="0E44E480">
        <w:t>approaches</w:t>
      </w:r>
      <w:bookmarkEnd w:id="118"/>
      <w:bookmarkEnd w:id="119"/>
      <w:bookmarkEnd w:id="120"/>
    </w:p>
    <w:p w14:paraId="6A35D862" w14:textId="60A920DE" w:rsidR="00682A5B" w:rsidRPr="0019675A" w:rsidRDefault="26DD8253" w:rsidP="352D6B08">
      <w:pPr>
        <w:rPr>
          <w:rFonts w:eastAsia="Century Gothic"/>
        </w:rPr>
      </w:pPr>
      <w:r>
        <w:t xml:space="preserve">Approaches to supporting people with suicidal thoughts and behaviours need to </w:t>
      </w:r>
      <w:r w:rsidR="2FAC5288">
        <w:t>be holistic</w:t>
      </w:r>
      <w:r w:rsidR="002F59C8">
        <w:t xml:space="preserve">. </w:t>
      </w:r>
      <w:r w:rsidR="00BB158D">
        <w:t xml:space="preserve">This means that care should focus on understanding each person’s specific situation and needs, and on addressing the underlying drivers of suicidal distress (for example, physical health, substance use, or financial, legal or interpersonal stressors). It also means that supports need to be available for as long as necessary, not just in times of crisis, particularly for people who experience chronic suicidal thoughts. All supports </w:t>
      </w:r>
      <w:r w:rsidR="00BB158D" w:rsidRPr="352D6B08">
        <w:rPr>
          <w:rFonts w:eastAsia="Century Gothic"/>
        </w:rPr>
        <w:t xml:space="preserve">should </w:t>
      </w:r>
      <w:r w:rsidR="00BB158D">
        <w:rPr>
          <w:rFonts w:eastAsia="Century Gothic"/>
        </w:rPr>
        <w:t xml:space="preserve">seek to </w:t>
      </w:r>
      <w:r w:rsidR="00BB158D" w:rsidRPr="352D6B08">
        <w:rPr>
          <w:rFonts w:eastAsia="Century Gothic"/>
        </w:rPr>
        <w:t>sustain long-term engagement and wellbeing</w:t>
      </w:r>
      <w:r w:rsidR="383DE3AB" w:rsidRPr="352D6B08">
        <w:rPr>
          <w:rFonts w:eastAsia="Century Gothic"/>
        </w:rPr>
        <w:t>.</w:t>
      </w:r>
    </w:p>
    <w:p w14:paraId="09C85A4C" w14:textId="1379EAEA" w:rsidR="00296309" w:rsidRPr="00B768A1" w:rsidRDefault="00296309" w:rsidP="00634A83">
      <w:pPr>
        <w:pStyle w:val="BT-Livedexperience-Green-Heading"/>
      </w:pPr>
      <w:r w:rsidRPr="00B768A1">
        <w:t xml:space="preserve">What </w:t>
      </w:r>
      <w:r w:rsidR="00DE14DA">
        <w:t xml:space="preserve">do </w:t>
      </w:r>
      <w:r w:rsidRPr="00B768A1">
        <w:t xml:space="preserve">we </w:t>
      </w:r>
      <w:r w:rsidR="00DE14DA">
        <w:t xml:space="preserve">need </w:t>
      </w:r>
      <w:r w:rsidRPr="00B768A1">
        <w:t>to achieve?</w:t>
      </w:r>
    </w:p>
    <w:p w14:paraId="1B288EFA" w14:textId="2DFCE70A" w:rsidR="36504061" w:rsidRDefault="5EA90CA7" w:rsidP="00634A83">
      <w:pPr>
        <w:pStyle w:val="BT-Livedexperience-Green"/>
      </w:pPr>
      <w:r>
        <w:t xml:space="preserve">People impacted by suicidal thoughts and behaviours receive </w:t>
      </w:r>
      <w:r w:rsidR="5FC6F111">
        <w:t xml:space="preserve">holistic </w:t>
      </w:r>
      <w:r>
        <w:t>support that meets their needs</w:t>
      </w:r>
      <w:r w:rsidR="6A59101F">
        <w:t>,</w:t>
      </w:r>
      <w:r w:rsidR="1D71E66F">
        <w:t xml:space="preserve"> </w:t>
      </w:r>
      <w:r w:rsidR="1A494F26">
        <w:t>h</w:t>
      </w:r>
      <w:r w:rsidR="1D71E66F">
        <w:t>elping to both reduce immediate distress and</w:t>
      </w:r>
      <w:r>
        <w:t xml:space="preserve"> </w:t>
      </w:r>
      <w:r w:rsidR="1D71E66F">
        <w:t>address</w:t>
      </w:r>
      <w:r>
        <w:t xml:space="preserve"> what was fundamentally driving their distress</w:t>
      </w:r>
      <w:r w:rsidR="2EDCC8C7">
        <w:t>.</w:t>
      </w:r>
      <w:r w:rsidR="00D44557">
        <w:t xml:space="preserve"> </w:t>
      </w:r>
    </w:p>
    <w:p w14:paraId="19DB4987" w14:textId="4DEAAE31" w:rsidR="00682A5B" w:rsidRPr="00B768A1" w:rsidRDefault="6EB2E547" w:rsidP="00D81ABA">
      <w:pPr>
        <w:pStyle w:val="heading3support"/>
      </w:pPr>
      <w:r>
        <w:t xml:space="preserve">9.1 </w:t>
      </w:r>
      <w:r w:rsidR="3F895E53">
        <w:t xml:space="preserve">Person-centred </w:t>
      </w:r>
      <w:r w:rsidR="4BAA54E9">
        <w:t>approach</w:t>
      </w:r>
    </w:p>
    <w:p w14:paraId="0CA075EB" w14:textId="23816991" w:rsidR="00682A5B" w:rsidRPr="00B768A1" w:rsidRDefault="085D8D51" w:rsidP="48215A0F">
      <w:pPr>
        <w:rPr>
          <w:rStyle w:val="BodyTextChar"/>
        </w:rPr>
      </w:pPr>
      <w:r>
        <w:t>L</w:t>
      </w:r>
      <w:r w:rsidR="3605BDAC">
        <w:t>ong</w:t>
      </w:r>
      <w:r w:rsidR="3605BDAC" w:rsidRPr="00B768A1">
        <w:t xml:space="preserve"> wait times </w:t>
      </w:r>
      <w:r w:rsidR="142B7C22" w:rsidRPr="00B768A1">
        <w:t xml:space="preserve">and </w:t>
      </w:r>
      <w:r w:rsidR="3605BDAC" w:rsidRPr="00B768A1">
        <w:t>negative experiences (</w:t>
      </w:r>
      <w:r w:rsidR="5F5540F1" w:rsidRPr="00B768A1">
        <w:t>for example</w:t>
      </w:r>
      <w:r w:rsidR="5CDD4DF6" w:rsidRPr="00B768A1">
        <w:t>,</w:t>
      </w:r>
      <w:r w:rsidR="3605BDAC" w:rsidRPr="00B768A1">
        <w:t xml:space="preserve"> use of restrictive practices in emergency departments, feeling judged or not believed) are commonly cited as </w:t>
      </w:r>
      <w:r w:rsidR="3605BDAC" w:rsidRPr="00B768A1" w:rsidDel="00EF6077">
        <w:t xml:space="preserve">a </w:t>
      </w:r>
      <w:r w:rsidR="3605BDAC" w:rsidRPr="00B768A1">
        <w:t xml:space="preserve">disincentive to seek support in </w:t>
      </w:r>
      <w:r w:rsidR="0538B1B5" w:rsidRPr="00B768A1">
        <w:t>subsequent suicidal crises.</w:t>
      </w:r>
      <w:hyperlink w:anchor="_ENREF_220" w:tooltip="D, 2021 #276" w:history="1">
        <w:r w:rsidR="002D6F18">
          <w:fldChar w:fldCharType="begin"/>
        </w:r>
        <w:r w:rsidR="002D6F18">
          <w:instrText xml:space="preserve"> ADDIN EN.CITE &lt;EndNote&gt;&lt;Cite&gt;&lt;Author&gt;D&lt;/Author&gt;&lt;Year&gt;2021&lt;/Year&gt;&lt;RecNum&gt;276&lt;/RecNum&gt;&lt;DisplayText&gt;&lt;style face="superscript"&gt;220&lt;/style&gt;&lt;/DisplayText&gt;&lt;record&gt;&lt;rec-number&gt;276&lt;/rec-number&gt;&lt;foreign-keys&gt;&lt;key app="EN" db-id="rsettzd2isasdweewww55s9lffasxav0d0ft" timestamp="1700699470" guid="4fbf333f-e59b-47a4-b59d-80fb37eca786"&gt;276&lt;/key&gt;&lt;/foreign-keys&gt;&lt;ref-type name="Journal Article"&gt;17&lt;/ref-type&gt;&lt;contributors&gt;&lt;authors&gt;&lt;author&gt;Rheinberger D&lt;/author&gt;&lt;author&gt;Macdonald D&lt;/author&gt;&lt;author&gt;McGillivray L&lt;/author&gt;&lt;author&gt;Maple M&lt;/author&gt;&lt;author&gt;Torok M&lt;/author&gt;&lt;author&gt;Nicolopoulos A&lt;/author&gt;&lt;author&gt;Shand F&lt;/author&gt;&lt;/authors&gt;&lt;/contributors&gt;&lt;titles&gt;&lt;title&gt;“A Sustained, Productive, Constructive Relationship with Someone Who Can Help”—A Qualitative Exploration of the Experiences of Help Seekers and Support Persons Using the Emergency Department during a Suicide Crisis&lt;/title&gt;&lt;secondary-title&gt;International Journal of Environmental Research and Public Health&lt;/secondary-title&gt;&lt;/titles&gt;&lt;periodical&gt;&lt;full-title&gt;International Journal of Environmental Research and Public Health&lt;/full-title&gt;&lt;/periodical&gt;&lt;dates&gt;&lt;year&gt;2021&lt;/year&gt;&lt;/dates&gt;&lt;urls&gt;&lt;/urls&gt;&lt;electronic-resource-num&gt;DOI: 10.3390/ijerph181910262&lt;/electronic-resource-num&gt;&lt;/record&gt;&lt;/Cite&gt;&lt;/EndNote&gt;</w:instrText>
        </w:r>
        <w:r w:rsidR="002D6F18">
          <w:fldChar w:fldCharType="separate"/>
        </w:r>
        <w:r w:rsidR="002D6F18" w:rsidRPr="00C559B5">
          <w:rPr>
            <w:noProof/>
            <w:vertAlign w:val="superscript"/>
          </w:rPr>
          <w:t>220</w:t>
        </w:r>
        <w:r w:rsidR="002D6F18">
          <w:fldChar w:fldCharType="end"/>
        </w:r>
      </w:hyperlink>
      <w:r w:rsidR="774B7F26" w:rsidRPr="48215A0F">
        <w:rPr>
          <w:rStyle w:val="BodyTextChar"/>
          <w:vertAlign w:val="superscript"/>
        </w:rPr>
        <w:t xml:space="preserve">   </w:t>
      </w:r>
    </w:p>
    <w:p w14:paraId="02D882DB" w14:textId="0666DD19" w:rsidR="00682A5B" w:rsidRPr="00B768A1" w:rsidRDefault="3605BDAC" w:rsidP="00634A83">
      <w:r w:rsidRPr="00B768A1">
        <w:t xml:space="preserve">Reviews of emergency department access, including the </w:t>
      </w:r>
      <w:r w:rsidRPr="48215A0F">
        <w:rPr>
          <w:i/>
          <w:iCs/>
        </w:rPr>
        <w:t>Nowhere Else To Go</w:t>
      </w:r>
      <w:r w:rsidRPr="00B768A1">
        <w:t xml:space="preserve"> report</w:t>
      </w:r>
      <w:hyperlink w:anchor="_ENREF_240" w:tooltip="M, 2020 #230" w:history="1">
        <w:r w:rsidR="002D6F18">
          <w:fldChar w:fldCharType="begin"/>
        </w:r>
        <w:r w:rsidR="002D6F18">
          <w:instrText xml:space="preserve"> ADDIN EN.CITE &lt;EndNote&gt;&lt;Cite&gt;&lt;Author&gt;M&lt;/Author&gt;&lt;Year&gt;2020&lt;/Year&gt;&lt;RecNum&gt;230&lt;/RecNum&gt;&lt;DisplayText&gt;&lt;style face="superscript"&gt;240&lt;/style&gt;&lt;/DisplayText&gt;&lt;record&gt;&lt;rec-number&gt;230&lt;/rec-number&gt;&lt;foreign-keys&gt;&lt;key app="EN" db-id="rsettzd2isasdweewww55s9lffasxav0d0ft" timestamp="1700699469" guid="9c824dcd-3bc7-4fae-8bf9-a7ac18d55380"&gt;230&lt;/key&gt;&lt;/foreign-keys&gt;&lt;ref-type name="Web Page"&gt;12&lt;/ref-type&gt;&lt;contributors&gt;&lt;authors&gt;&lt;author&gt;Duggan M&lt;/author&gt;&lt;author&gt;Harris B&lt;/author&gt;&lt;author&gt;Chislett W-K&lt;/author&gt;&lt;author&gt;Calder R&lt;/author&gt;&lt;/authors&gt;&lt;/contributors&gt;&lt;titles&gt;&lt;title&gt;Nowhere Else To Go: Why Australia’s Health System Results in People with Mental Illness Getting ‘Stuck&amp;apos; in Emergency Departments&lt;/title&gt;&lt;/titles&gt;&lt;dates&gt;&lt;year&gt;2020&lt;/year&gt;&lt;/dates&gt;&lt;publisher&gt;Mitchell Institute for Education and Health Policy, Victoria University&lt;/publisher&gt;&lt;work-type&gt;Internet&lt;/work-type&gt;&lt;urls&gt;&lt;related-urls&gt;&lt;url&gt;https://vuir.vu.edu.au/41956/1/nowhere-else-to-go-people-mental-illness-stuck-emergency-departments-report-mitchell-institute.pdf&lt;/url&gt;&lt;/related-urls&gt;&lt;/urls&gt;&lt;custom1&gt;2023&lt;/custom1&gt;&lt;custom2&gt;November 05&lt;/custom2&gt;&lt;/record&gt;&lt;/Cite&gt;&lt;/EndNote&gt;</w:instrText>
        </w:r>
        <w:r w:rsidR="002D6F18">
          <w:fldChar w:fldCharType="separate"/>
        </w:r>
        <w:r w:rsidR="002D6F18" w:rsidRPr="00C559B5">
          <w:rPr>
            <w:noProof/>
            <w:vertAlign w:val="superscript"/>
          </w:rPr>
          <w:t>240</w:t>
        </w:r>
        <w:r w:rsidR="002D6F18">
          <w:fldChar w:fldCharType="end"/>
        </w:r>
      </w:hyperlink>
      <w:r w:rsidRPr="00B768A1">
        <w:t xml:space="preserve">, have recommended </w:t>
      </w:r>
      <w:r w:rsidR="47AF2D7C" w:rsidRPr="00B768A1">
        <w:t xml:space="preserve">that </w:t>
      </w:r>
      <w:r w:rsidRPr="00B768A1">
        <w:t xml:space="preserve">emergency departments </w:t>
      </w:r>
      <w:r w:rsidR="6B37FEF0" w:rsidRPr="00B768A1">
        <w:t xml:space="preserve">be </w:t>
      </w:r>
      <w:r w:rsidRPr="00B768A1">
        <w:t xml:space="preserve">resourced to provide the same quality of care to people in suicidal distress as </w:t>
      </w:r>
      <w:r w:rsidR="60D92A97" w:rsidRPr="00B768A1">
        <w:t xml:space="preserve">to </w:t>
      </w:r>
      <w:r w:rsidRPr="00B768A1">
        <w:t>those with physical health emergencies. Improved processes are needed to support emergency department staff to collaborat</w:t>
      </w:r>
      <w:r w:rsidR="116635F0" w:rsidRPr="00B768A1">
        <w:t>e</w:t>
      </w:r>
      <w:r w:rsidRPr="00B768A1">
        <w:t xml:space="preserve"> with mental health, suicide prevention and other staff to facilitate consistent high</w:t>
      </w:r>
      <w:r w:rsidR="116635F0" w:rsidRPr="00B768A1">
        <w:t>-</w:t>
      </w:r>
      <w:r w:rsidRPr="00B768A1">
        <w:t xml:space="preserve">quality </w:t>
      </w:r>
      <w:r w:rsidR="560E90ED">
        <w:t xml:space="preserve">person-centred </w:t>
      </w:r>
      <w:r w:rsidRPr="00B768A1">
        <w:t>care</w:t>
      </w:r>
      <w:r w:rsidR="65ABDBDA" w:rsidRPr="00B768A1">
        <w:t xml:space="preserve"> (</w:t>
      </w:r>
      <w:r w:rsidR="11E2C074">
        <w:t>action </w:t>
      </w:r>
      <w:r w:rsidR="11770CB0">
        <w:t>ko</w:t>
      </w:r>
      <w:r w:rsidR="4E34F826">
        <w:t>9.1</w:t>
      </w:r>
      <w:r w:rsidR="65ABDBDA" w:rsidRPr="00B768A1">
        <w:t>a)</w:t>
      </w:r>
      <w:r w:rsidRPr="00B768A1">
        <w:t>.</w:t>
      </w:r>
    </w:p>
    <w:p w14:paraId="4720ADCD" w14:textId="251D959B" w:rsidR="00682A5B" w:rsidRPr="00B768A1" w:rsidRDefault="3605BDAC" w:rsidP="00634A83">
      <w:r w:rsidRPr="00B768A1">
        <w:t xml:space="preserve">While safety is already central to current suicide prevention practices, </w:t>
      </w:r>
      <w:r w:rsidR="00E37BF0">
        <w:t xml:space="preserve">there is a need for a </w:t>
      </w:r>
      <w:r w:rsidRPr="00B768A1">
        <w:t xml:space="preserve">shift </w:t>
      </w:r>
      <w:r w:rsidR="0D968644" w:rsidRPr="00B768A1">
        <w:t xml:space="preserve">in the way safety is understood. </w:t>
      </w:r>
      <w:r w:rsidR="60D489C1" w:rsidRPr="00B768A1">
        <w:t xml:space="preserve">Instead of </w:t>
      </w:r>
      <w:r w:rsidRPr="00B768A1">
        <w:t>focusing on whether service providers deem a person to be safe from imminent suicidal behaviours</w:t>
      </w:r>
      <w:r w:rsidR="60D489C1" w:rsidRPr="00B768A1">
        <w:t>, sui</w:t>
      </w:r>
      <w:r w:rsidR="3246210C" w:rsidRPr="00B768A1">
        <w:t>ci</w:t>
      </w:r>
      <w:r w:rsidR="60D489C1" w:rsidRPr="00B768A1">
        <w:t>de prevention practices should</w:t>
      </w:r>
      <w:r w:rsidRPr="00B768A1">
        <w:t xml:space="preserve"> focus on whether the person feels safe to work on understanding and addressing their reasons for feeling suicidal</w:t>
      </w:r>
      <w:r w:rsidR="288455D0" w:rsidRPr="00B768A1">
        <w:t xml:space="preserve"> (</w:t>
      </w:r>
      <w:r w:rsidR="11770CB0">
        <w:t>action ko</w:t>
      </w:r>
      <w:r w:rsidR="4E34F826">
        <w:t>9.1</w:t>
      </w:r>
      <w:r w:rsidR="288455D0" w:rsidRPr="00B768A1">
        <w:t>b)</w:t>
      </w:r>
      <w:r w:rsidRPr="00B768A1">
        <w:t xml:space="preserve">. </w:t>
      </w:r>
      <w:r w:rsidR="3246210C" w:rsidRPr="00B768A1">
        <w:t>C</w:t>
      </w:r>
      <w:r w:rsidR="39C581CB" w:rsidRPr="00B768A1">
        <w:t xml:space="preserve">urrent </w:t>
      </w:r>
      <w:r w:rsidR="3246210C" w:rsidRPr="00B768A1">
        <w:t xml:space="preserve">practice involves </w:t>
      </w:r>
      <w:r w:rsidRPr="00B768A1">
        <w:t>risk assessments that stratify a person’s experience</w:t>
      </w:r>
      <w:r w:rsidR="31D07800" w:rsidRPr="00B768A1">
        <w:t xml:space="preserve"> (a process </w:t>
      </w:r>
      <w:r w:rsidR="2CABC843">
        <w:t xml:space="preserve">known </w:t>
      </w:r>
      <w:r w:rsidR="31D07800" w:rsidRPr="00B768A1">
        <w:t>to be flawed</w:t>
      </w:r>
      <w:r w:rsidR="06984C68" w:rsidRPr="00B768A1">
        <w:t>)</w:t>
      </w:r>
      <w:r w:rsidRPr="00B768A1" w:rsidDel="00C06B95">
        <w:t xml:space="preserve">, which then </w:t>
      </w:r>
      <w:r w:rsidR="1443E5EE" w:rsidRPr="00B768A1">
        <w:t>determines</w:t>
      </w:r>
      <w:r w:rsidR="099E3483" w:rsidRPr="00B768A1">
        <w:t xml:space="preserve"> </w:t>
      </w:r>
      <w:r w:rsidRPr="00B768A1">
        <w:t>treatment options</w:t>
      </w:r>
      <w:r w:rsidR="099E3483" w:rsidRPr="00B768A1">
        <w:t>.</w:t>
      </w:r>
      <w:hyperlink w:anchor="_ENREF_254" w:tooltip="A, 2015 #1042" w:history="1">
        <w:r w:rsidR="002D6F18">
          <w:fldChar w:fldCharType="begin"/>
        </w:r>
        <w:r w:rsidR="002D6F18">
          <w:instrText xml:space="preserve"> ADDIN EN.CITE &lt;EndNote&gt;&lt;Cite&gt;&lt;Author&gt;A&lt;/Author&gt;&lt;Year&gt;2015&lt;/Year&gt;&lt;RecNum&gt;1042&lt;/RecNum&gt;&lt;DisplayText&gt;&lt;style face="superscript"&gt;254&lt;/style&gt;&lt;/DisplayText&gt;&lt;record&gt;&lt;rec-number&gt;1042&lt;/rec-number&gt;&lt;foreign-keys&gt;&lt;key app="EN" db-id="rsettzd2isasdweewww55s9lffasxav0d0ft" timestamp="1720488521" guid="02314061-50ed-4bdb-a79a-2b806a2c3f3b"&gt;1042&lt;/key&gt;&lt;/foreign-keys&gt;&lt;ref-type name="Journal Article"&gt;17&lt;/ref-type&gt;&lt;contributors&gt;&lt;authors&gt;&lt;author&gt;Pisani A&lt;/author&gt;&lt;author&gt;Murrie D&lt;/author&gt;&lt;author&gt;Silverman M&lt;/author&gt;&lt;/authors&gt;&lt;/contributors&gt;&lt;titles&gt;&lt;title&gt;Reformulating Suicide Risk Formulation: From Prediction to Prevention&lt;/title&gt;&lt;secondary-title&gt;Academic Psychiatry&lt;/secondary-title&gt;&lt;/titles&gt;&lt;periodical&gt;&lt;full-title&gt;Academic Psychiatry&lt;/full-title&gt;&lt;/periodical&gt;&lt;volume&gt;40&lt;/volume&gt;&lt;dates&gt;&lt;year&gt;2015&lt;/year&gt;&lt;pub-dates&gt;&lt;date&gt;12/14&lt;/date&gt;&lt;/pub-dates&gt;&lt;/dates&gt;&lt;urls&gt;&lt;/urls&gt;&lt;electronic-resource-num&gt;10.1007/s40596-015-0434-6&lt;/electronic-resource-num&gt;&lt;/record&gt;&lt;/Cite&gt;&lt;/EndNote&gt;</w:instrText>
        </w:r>
        <w:r w:rsidR="002D6F18">
          <w:fldChar w:fldCharType="separate"/>
        </w:r>
        <w:r w:rsidR="002D6F18" w:rsidRPr="00C559B5">
          <w:rPr>
            <w:noProof/>
            <w:vertAlign w:val="superscript"/>
          </w:rPr>
          <w:t>254</w:t>
        </w:r>
        <w:r w:rsidR="002D6F18">
          <w:fldChar w:fldCharType="end"/>
        </w:r>
      </w:hyperlink>
      <w:r w:rsidR="00C465C7">
        <w:t xml:space="preserve"> </w:t>
      </w:r>
      <w:r w:rsidR="099E3483" w:rsidRPr="00B768A1">
        <w:t xml:space="preserve">A focus on the person’s own feeling of safety </w:t>
      </w:r>
      <w:r w:rsidRPr="00B768A1">
        <w:t>involves a comprehensive</w:t>
      </w:r>
      <w:r w:rsidRPr="00B768A1" w:rsidDel="006D32F3">
        <w:t xml:space="preserve"> </w:t>
      </w:r>
      <w:r w:rsidRPr="00B768A1">
        <w:t xml:space="preserve">understanding of </w:t>
      </w:r>
      <w:r w:rsidR="099E3483" w:rsidRPr="00B768A1">
        <w:t xml:space="preserve">their </w:t>
      </w:r>
      <w:r w:rsidRPr="00B768A1">
        <w:t>situation and needs, helping them to uncover what is driving their distress, surfacing their own expertise to alleviate this distress, and collaboratively developing a plan to support them beyond the current crisis.</w:t>
      </w:r>
    </w:p>
    <w:p w14:paraId="4BB86BB0" w14:textId="29FF1C54" w:rsidR="00682A5B" w:rsidRDefault="355132B6" w:rsidP="00634A83">
      <w:r w:rsidRPr="00B768A1">
        <w:t>P</w:t>
      </w:r>
      <w:r w:rsidR="3605BDAC" w:rsidRPr="00B768A1">
        <w:t xml:space="preserve">romising approaches in Australia </w:t>
      </w:r>
      <w:r w:rsidR="00600C9C">
        <w:t xml:space="preserve">that </w:t>
      </w:r>
      <w:r w:rsidR="3605BDAC" w:rsidRPr="00B768A1">
        <w:t>are contributing to chang</w:t>
      </w:r>
      <w:r w:rsidR="1F14C453">
        <w:t xml:space="preserve">ing practice </w:t>
      </w:r>
      <w:r w:rsidR="3605BDAC" w:rsidRPr="00B768A1">
        <w:t>include capacity</w:t>
      </w:r>
      <w:r w:rsidR="607B70D6" w:rsidRPr="00B768A1">
        <w:t>-</w:t>
      </w:r>
      <w:r w:rsidR="4BFE748D" w:rsidRPr="00B768A1">
        <w:t>building of</w:t>
      </w:r>
      <w:r w:rsidR="3605BDAC" w:rsidRPr="00B768A1">
        <w:t xml:space="preserve"> emergency department staff to respond appropriately to people in suicidal distress</w:t>
      </w:r>
      <w:r w:rsidR="3EB1487D" w:rsidRPr="00B768A1">
        <w:t>;</w:t>
      </w:r>
      <w:r w:rsidR="3605BDAC" w:rsidRPr="00B768A1">
        <w:t xml:space="preserve"> changes to triage processes to </w:t>
      </w:r>
      <w:r w:rsidR="0398A6D1" w:rsidRPr="00B768A1">
        <w:t xml:space="preserve">include </w:t>
      </w:r>
      <w:r w:rsidR="633F0C13" w:rsidRPr="00B768A1">
        <w:t xml:space="preserve">support from </w:t>
      </w:r>
      <w:r w:rsidR="3605BDAC" w:rsidRPr="00B768A1">
        <w:t>staff in dedicated roles</w:t>
      </w:r>
      <w:r w:rsidR="3EB1487D" w:rsidRPr="00B768A1">
        <w:t>;</w:t>
      </w:r>
      <w:r w:rsidR="3605BDAC" w:rsidRPr="00B768A1">
        <w:t xml:space="preserve"> </w:t>
      </w:r>
      <w:r w:rsidR="56C4F654" w:rsidRPr="00B768A1">
        <w:t xml:space="preserve">the use of </w:t>
      </w:r>
      <w:r w:rsidR="3605BDAC" w:rsidRPr="00B768A1">
        <w:t>comprehensive psychosocial assessment</w:t>
      </w:r>
      <w:r w:rsidR="56C4F654" w:rsidRPr="00B768A1">
        <w:t>;</w:t>
      </w:r>
      <w:r w:rsidR="3605BDAC" w:rsidRPr="00B768A1">
        <w:t xml:space="preserve"> and </w:t>
      </w:r>
      <w:r w:rsidR="0059530C">
        <w:t>the</w:t>
      </w:r>
      <w:r w:rsidR="05AD95BD" w:rsidRPr="00B768A1">
        <w:t xml:space="preserve"> use of care pathways to improve consistency and quality of care</w:t>
      </w:r>
      <w:r w:rsidR="3605BDAC" w:rsidRPr="00B768A1">
        <w:t xml:space="preserve">. </w:t>
      </w:r>
      <w:r w:rsidR="2623030F" w:rsidRPr="00B768A1">
        <w:t xml:space="preserve">For example, the </w:t>
      </w:r>
      <w:r w:rsidR="3605BDAC" w:rsidRPr="00EC5BE5">
        <w:t xml:space="preserve">Suicide Risk Assessment and Management </w:t>
      </w:r>
      <w:r w:rsidR="7080E668" w:rsidRPr="00EC5BE5">
        <w:t xml:space="preserve">in </w:t>
      </w:r>
      <w:r w:rsidR="3605BDAC" w:rsidRPr="00EC5BE5">
        <w:t>Emergency Department Settings</w:t>
      </w:r>
      <w:hyperlink w:anchor="_ENREF_255" w:tooltip="Learning, 2023 #1094" w:history="1">
        <w:r w:rsidR="002D6F18">
          <w:fldChar w:fldCharType="begin"/>
        </w:r>
        <w:r w:rsidR="002D6F18">
          <w:instrText xml:space="preserve"> ADDIN EN.CITE &lt;EndNote&gt;&lt;Cite&gt;&lt;Author&gt;Learning&lt;/Author&gt;&lt;Year&gt;2023&lt;/Year&gt;&lt;RecNum&gt;1094&lt;/RecNum&gt;&lt;DisplayText&gt;&lt;style face="superscript"&gt;255&lt;/style&gt;&lt;/DisplayText&gt;&lt;record&gt;&lt;rec-number&gt;1094&lt;/rec-number&gt;&lt;foreign-keys&gt;&lt;key app="EN" db-id="rsettzd2isasdweewww55s9lffasxav0d0ft" timestamp="1720502812" guid="ae2e43f6-1b86-4fcb-93be-3b3514edb467"&gt;1094&lt;/key&gt;&lt;/foreign-keys&gt;&lt;ref-type name="Web Page"&gt;12&lt;/ref-type&gt;&lt;contributors&gt;&lt;authors&gt;&lt;author&gt;Queensland Centre for Mental Health Learning. Queensland Centre for Mental Health Learning &lt;/author&gt;&lt;/authors&gt;&lt;/contributors&gt;&lt;titles&gt;&lt;title&gt;Course outline for QC25 Suicide Risk Assessment and Management in Emergency Department settings (Train-the-trainer)&lt;/title&gt;&lt;/titles&gt;&lt;dates&gt;&lt;year&gt;2023&lt;/year&gt;&lt;/dates&gt;&lt;work-type&gt;Internet &lt;/work-type&gt;&lt;urls&gt;&lt;related-urls&gt;&lt;url&gt;https://www.qcmhl.qld.edu.au/course/index.php?categoryid=4&lt;/url&gt;&lt;/related-urls&gt;&lt;/urls&gt;&lt;custom1&gt;2023&lt;/custom1&gt;&lt;custom2&gt;November 21&lt;/custom2&gt;&lt;/record&gt;&lt;/Cite&gt;&lt;/EndNote&gt;</w:instrText>
        </w:r>
        <w:r w:rsidR="002D6F18">
          <w:fldChar w:fldCharType="separate"/>
        </w:r>
        <w:r w:rsidR="002D6F18" w:rsidRPr="00C559B5">
          <w:rPr>
            <w:noProof/>
            <w:vertAlign w:val="superscript"/>
          </w:rPr>
          <w:t>255</w:t>
        </w:r>
        <w:r w:rsidR="002D6F18">
          <w:fldChar w:fldCharType="end"/>
        </w:r>
      </w:hyperlink>
      <w:r w:rsidR="00C465C7">
        <w:t xml:space="preserve"> </w:t>
      </w:r>
      <w:r w:rsidR="3605BDAC" w:rsidRPr="00B768A1">
        <w:t xml:space="preserve">course </w:t>
      </w:r>
      <w:r w:rsidR="27471EC5" w:rsidRPr="00B768A1">
        <w:t xml:space="preserve">is </w:t>
      </w:r>
      <w:r w:rsidR="3605BDAC" w:rsidRPr="00B768A1">
        <w:t>designed to enhance the knowledge and skills of emergency department</w:t>
      </w:r>
      <w:r w:rsidR="0002504C">
        <w:t xml:space="preserve"> clinicians</w:t>
      </w:r>
      <w:r w:rsidR="1CC398F7" w:rsidRPr="00B768A1">
        <w:t>;</w:t>
      </w:r>
      <w:r w:rsidR="3605BDAC" w:rsidRPr="00B768A1">
        <w:t xml:space="preserve"> the </w:t>
      </w:r>
      <w:r w:rsidR="3605BDAC" w:rsidRPr="004E3592">
        <w:t>SafeSide</w:t>
      </w:r>
      <w:r w:rsidR="3605BDAC" w:rsidRPr="00B768A1">
        <w:t xml:space="preserve"> recovery-oriented framework pairs with training to guide best practice</w:t>
      </w:r>
      <w:hyperlink w:anchor="_ENREF_256" w:tooltip="Prevention,  #1095" w:history="1">
        <w:r w:rsidR="002D6F18">
          <w:fldChar w:fldCharType="begin"/>
        </w:r>
        <w:r w:rsidR="002D6F18">
          <w:instrText xml:space="preserve"> ADDIN EN.CITE &lt;EndNote&gt;&lt;Cite&gt;&lt;Author&gt;Prevention&lt;/Author&gt;&lt;RecNum&gt;1095&lt;/RecNum&gt;&lt;DisplayText&gt;&lt;style face="superscript"&gt;256&lt;/style&gt;&lt;/DisplayText&gt;&lt;record&gt;&lt;rec-number&gt;1095&lt;/rec-number&gt;&lt;foreign-keys&gt;&lt;key app="EN" db-id="rsettzd2isasdweewww55s9lffasxav0d0ft" timestamp="1720502932" guid="2a82096d-2672-45f4-aec5-ab3b18c03558"&gt;1095&lt;/key&gt;&lt;/foreign-keys&gt;&lt;ref-type name="Web Page"&gt;12&lt;/ref-type&gt;&lt;contributors&gt;&lt;authors&gt;&lt;author&gt;SafeSide Prevention &lt;/author&gt;&lt;/authors&gt;&lt;/contributors&gt;&lt;titles&gt;&lt;title&gt;Recovery-oriented framework for suicide prevention &lt;/title&gt;&lt;/titles&gt;&lt;dates&gt;&lt;/dates&gt;&lt;pub-location&gt;Rochester&lt;/pub-location&gt;&lt;work-type&gt;Internet&lt;/work-type&gt;&lt;urls&gt;&lt;related-urls&gt;&lt;url&gt;https://safesideprevention.com/approach/care-framework&lt;/url&gt;&lt;/related-urls&gt;&lt;/urls&gt;&lt;custom1&gt;2023&lt;/custom1&gt;&lt;custom2&gt;November 21&lt;/custom2&gt;&lt;/record&gt;&lt;/Cite&gt;&lt;/EndNote&gt;</w:instrText>
        </w:r>
        <w:r w:rsidR="002D6F18">
          <w:fldChar w:fldCharType="separate"/>
        </w:r>
        <w:r w:rsidR="002D6F18" w:rsidRPr="00C559B5">
          <w:rPr>
            <w:noProof/>
            <w:vertAlign w:val="superscript"/>
          </w:rPr>
          <w:t>256</w:t>
        </w:r>
        <w:r w:rsidR="002D6F18">
          <w:fldChar w:fldCharType="end"/>
        </w:r>
      </w:hyperlink>
      <w:r w:rsidR="22BE8917" w:rsidRPr="00B768A1">
        <w:t>;</w:t>
      </w:r>
      <w:r w:rsidR="3605BDAC" w:rsidRPr="00B768A1">
        <w:t xml:space="preserve"> and the Zero Suicide framework</w:t>
      </w:r>
      <w:r w:rsidR="3D04A577" w:rsidRPr="00B768A1">
        <w:t xml:space="preserve"> presents seven principles for safe </w:t>
      </w:r>
      <w:r w:rsidR="23CB3285" w:rsidRPr="00B768A1">
        <w:t xml:space="preserve">suicide </w:t>
      </w:r>
      <w:r w:rsidR="3D04A577" w:rsidRPr="00B768A1">
        <w:t>care</w:t>
      </w:r>
      <w:r w:rsidR="3605BDAC" w:rsidRPr="00B768A1">
        <w:t>.</w:t>
      </w:r>
      <w:hyperlink w:anchor="_ENREF_257" w:tooltip="Institute,  #1096" w:history="1">
        <w:r w:rsidR="002D6F18">
          <w:fldChar w:fldCharType="begin"/>
        </w:r>
        <w:r w:rsidR="002D6F18">
          <w:instrText xml:space="preserve"> ADDIN EN.CITE &lt;EndNote&gt;&lt;Cite&gt;&lt;Author&gt;Institute&lt;/Author&gt;&lt;RecNum&gt;1096&lt;/RecNum&gt;&lt;DisplayText&gt;&lt;style face="superscript"&gt;257&lt;/style&gt;&lt;/DisplayText&gt;&lt;record&gt;&lt;rec-number&gt;1096&lt;/rec-number&gt;&lt;foreign-keys&gt;&lt;key app="EN" db-id="rsettzd2isasdweewww55s9lffasxav0d0ft" timestamp="1720503090" guid="a2395f65-14b7-4cb2-8857-690fcb66f0bf"&gt;1096&lt;/key&gt;&lt;/foreign-keys&gt;&lt;ref-type name="Web Page"&gt;12&lt;/ref-type&gt;&lt;contributors&gt;&lt;authors&gt;&lt;author&gt;Zero Suicide Institute&lt;/author&gt;&lt;/authors&gt;&lt;/contributors&gt;&lt;titles&gt;&lt;title&gt;Zero Suicide Framework&lt;/title&gt;&lt;/titles&gt;&lt;dates&gt;&lt;/dates&gt;&lt;publisher&gt;Education Development Center&lt;/publisher&gt;&lt;work-type&gt;Internet&lt;/work-type&gt;&lt;urls&gt;&lt;related-urls&gt;&lt;url&gt;https://zerosuicide.edc.org/&lt;/url&gt;&lt;/related-urls&gt;&lt;/urls&gt;&lt;custom1&gt;2024&lt;/custom1&gt;&lt;custom2&gt;March 06&lt;/custom2&gt;&lt;/record&gt;&lt;/Cite&gt;&lt;/EndNote&gt;</w:instrText>
        </w:r>
        <w:r w:rsidR="002D6F18">
          <w:fldChar w:fldCharType="separate"/>
        </w:r>
        <w:r w:rsidR="002D6F18" w:rsidRPr="00C559B5">
          <w:rPr>
            <w:noProof/>
            <w:vertAlign w:val="superscript"/>
          </w:rPr>
          <w:t>257</w:t>
        </w:r>
        <w:r w:rsidR="002D6F18">
          <w:fldChar w:fldCharType="end"/>
        </w:r>
      </w:hyperlink>
      <w:r w:rsidR="00C465C7">
        <w:t xml:space="preserve"> </w:t>
      </w:r>
      <w:r w:rsidR="3605BDAC" w:rsidRPr="00B768A1">
        <w:t>There is also guidance that outlines best</w:t>
      </w:r>
      <w:r w:rsidR="39011EFE" w:rsidRPr="00B768A1">
        <w:t>-</w:t>
      </w:r>
      <w:r w:rsidR="3605BDAC" w:rsidRPr="00B768A1">
        <w:t>practice approaches</w:t>
      </w:r>
      <w:r w:rsidR="0DF73294" w:rsidRPr="00B768A1">
        <w:t>,</w:t>
      </w:r>
      <w:r w:rsidR="3605BDAC" w:rsidRPr="00B768A1">
        <w:t xml:space="preserve"> such as the </w:t>
      </w:r>
      <w:r w:rsidR="3605BDAC" w:rsidRPr="48215A0F">
        <w:rPr>
          <w:i/>
          <w:iCs/>
        </w:rPr>
        <w:t xml:space="preserve">Guidelines for integrated suicide-related crisis and follow-up care in </w:t>
      </w:r>
      <w:r w:rsidR="3E8F145E" w:rsidRPr="48215A0F">
        <w:rPr>
          <w:i/>
          <w:iCs/>
        </w:rPr>
        <w:t>e</w:t>
      </w:r>
      <w:r w:rsidR="3605BDAC" w:rsidRPr="48215A0F">
        <w:rPr>
          <w:i/>
          <w:iCs/>
        </w:rPr>
        <w:t xml:space="preserve">mergency </w:t>
      </w:r>
      <w:r w:rsidR="3E8F145E" w:rsidRPr="48215A0F">
        <w:rPr>
          <w:i/>
          <w:iCs/>
        </w:rPr>
        <w:t>d</w:t>
      </w:r>
      <w:r w:rsidR="3605BDAC" w:rsidRPr="48215A0F">
        <w:rPr>
          <w:i/>
          <w:iCs/>
        </w:rPr>
        <w:t>epartments and other acute settings</w:t>
      </w:r>
      <w:r w:rsidR="3605BDAC" w:rsidRPr="00B768A1">
        <w:t>.</w:t>
      </w:r>
      <w:hyperlink w:anchor="_ENREF_258" w:tooltip="NT, 2017 #1097" w:history="1">
        <w:r w:rsidR="002D6F18">
          <w:fldChar w:fldCharType="begin"/>
        </w:r>
        <w:r w:rsidR="002D6F18">
          <w:instrText xml:space="preserve"> ADDIN EN.CITE &lt;EndNote&gt;&lt;Cite&gt;&lt;Author&gt;NT&lt;/Author&gt;&lt;Year&gt;2017&lt;/Year&gt;&lt;RecNum&gt;1097&lt;/RecNum&gt;&lt;DisplayText&gt;&lt;style face="superscript"&gt;258&lt;/style&gt;&lt;/DisplayText&gt;&lt;record&gt;&lt;rec-number&gt;1097&lt;/rec-number&gt;&lt;foreign-keys&gt;&lt;key app="EN" db-id="rsettzd2isasdweewww55s9lffasxav0d0ft" timestamp="1720503252" guid="48640c81-b790-4864-81ff-7a31aa58e119"&gt;1097&lt;/key&gt;&lt;/foreign-keys&gt;&lt;ref-type name="Web Page"&gt;12&lt;/ref-type&gt;&lt;contributors&gt;&lt;authors&gt;&lt;author&gt;Hill NT&lt;/author&gt;&lt;author&gt;Halliday L&lt;/author&gt;&lt;author&gt;Reavley NJ&lt;/author&gt;&lt;/authors&gt;&lt;/contributors&gt;&lt;titles&gt;&lt;title&gt;Guidelines for integrated suicide-related crisis and follow-up care in emergency departments and other acute settings&lt;/title&gt;&lt;/titles&gt;&lt;dates&gt;&lt;year&gt;2017&lt;/year&gt;&lt;/dates&gt;&lt;pub-location&gt;Sydney&lt;/pub-location&gt;&lt;publisher&gt;Black Dog Institute &lt;/publisher&gt;&lt;work-type&gt;Internet&lt;/work-type&gt;&lt;urls&gt;&lt;related-urls&gt;&lt;url&gt;https://www.blackdoginstitute.org.au/wp-content/uploads/2020/04/delphi-guidelines-clinical-summary_web.pdf&lt;/url&gt;&lt;/related-urls&gt;&lt;/urls&gt;&lt;custom1&gt;2023&lt;/custom1&gt;&lt;custom2&gt;March 06&lt;/custom2&gt;&lt;/record&gt;&lt;/Cite&gt;&lt;/EndNote&gt;</w:instrText>
        </w:r>
        <w:r w:rsidR="002D6F18">
          <w:fldChar w:fldCharType="separate"/>
        </w:r>
        <w:r w:rsidR="002D6F18" w:rsidRPr="00C559B5">
          <w:rPr>
            <w:noProof/>
            <w:vertAlign w:val="superscript"/>
          </w:rPr>
          <w:t>258</w:t>
        </w:r>
        <w:r w:rsidR="002D6F18">
          <w:fldChar w:fldCharType="end"/>
        </w:r>
      </w:hyperlink>
    </w:p>
    <w:p w14:paraId="40170FFC" w14:textId="5586C040" w:rsidR="0058563E" w:rsidRDefault="0058563E" w:rsidP="00634A83">
      <w:r>
        <w:t xml:space="preserve">The recommended actions to </w:t>
      </w:r>
      <w:r w:rsidR="009077C5">
        <w:t xml:space="preserve">embed a person-centred approach </w:t>
      </w:r>
      <w:r>
        <w:t>are described in</w:t>
      </w:r>
      <w:r w:rsidR="00D44557">
        <w:t xml:space="preserve"> </w:t>
      </w:r>
      <w:r w:rsidR="00F04C6C">
        <w:fldChar w:fldCharType="begin"/>
      </w:r>
      <w:r w:rsidR="00F04C6C">
        <w:instrText xml:space="preserve"> REF _Ref164870067 \h </w:instrText>
      </w:r>
      <w:r w:rsidR="00F04C6C">
        <w:fldChar w:fldCharType="separate"/>
      </w:r>
      <w:r w:rsidR="009F12B4">
        <w:t xml:space="preserve">Table </w:t>
      </w:r>
      <w:r w:rsidR="009F12B4">
        <w:rPr>
          <w:noProof/>
        </w:rPr>
        <w:t>25</w:t>
      </w:r>
      <w:r w:rsidR="00F04C6C">
        <w:fldChar w:fldCharType="end"/>
      </w:r>
      <w:r>
        <w:t>.</w:t>
      </w:r>
    </w:p>
    <w:p w14:paraId="2C39B744" w14:textId="66F6BB90" w:rsidR="00AF0502" w:rsidRPr="00B768A1" w:rsidRDefault="2E769A7A" w:rsidP="00745B34">
      <w:pPr>
        <w:pStyle w:val="Caption"/>
      </w:pPr>
      <w:bookmarkStart w:id="121" w:name="_Ref162242822"/>
      <w:bookmarkStart w:id="122" w:name="_Ref164870067"/>
      <w:r>
        <w:t>Table</w:t>
      </w:r>
      <w:bookmarkEnd w:id="121"/>
      <w:r w:rsidR="0EA918AF">
        <w:t xml:space="preserve"> </w:t>
      </w:r>
      <w:r w:rsidR="00F9453E" w:rsidRPr="48215A0F">
        <w:fldChar w:fldCharType="begin"/>
      </w:r>
      <w:r w:rsidR="00F9453E">
        <w:instrText>SEQ Table \* ARABIC  \* MERGEFORMAT</w:instrText>
      </w:r>
      <w:r w:rsidR="00F9453E" w:rsidRPr="48215A0F">
        <w:fldChar w:fldCharType="separate"/>
      </w:r>
      <w:r w:rsidR="009F12B4">
        <w:rPr>
          <w:noProof/>
        </w:rPr>
        <w:t>25</w:t>
      </w:r>
      <w:r w:rsidR="00F9453E" w:rsidRPr="48215A0F">
        <w:rPr>
          <w:noProof/>
        </w:rPr>
        <w:fldChar w:fldCharType="end"/>
      </w:r>
      <w:bookmarkEnd w:id="122"/>
      <w:r>
        <w:t xml:space="preserve">: </w:t>
      </w:r>
      <w:r w:rsidR="6D9B14D6">
        <w:t xml:space="preserve">Recommended actions for Support objective </w:t>
      </w:r>
      <w:r w:rsidR="293B1C7E">
        <w:t>9.1</w:t>
      </w:r>
      <w:r w:rsidR="6D9B14D6">
        <w:t xml:space="preserve">: </w:t>
      </w:r>
      <w:r w:rsidR="716915AB">
        <w:t xml:space="preserve">Person-centred </w:t>
      </w:r>
      <w:r w:rsidR="447CCC9C">
        <w:t>approach</w:t>
      </w:r>
      <w:r w:rsidR="716915AB">
        <w:t xml:space="preserve"> </w:t>
      </w:r>
    </w:p>
    <w:tbl>
      <w:tblPr>
        <w:tblStyle w:val="TableGrid"/>
        <w:tblW w:w="9067" w:type="dxa"/>
        <w:tblLook w:val="0420" w:firstRow="1" w:lastRow="0" w:firstColumn="0" w:lastColumn="0" w:noHBand="0" w:noVBand="1"/>
        <w:tblCaption w:val="Recommended actions for Support objective 6.2: Provide a sense of safety"/>
        <w:tblDescription w:val="Describes actions ko6.2a and ko6.2b"/>
      </w:tblPr>
      <w:tblGrid>
        <w:gridCol w:w="1270"/>
        <w:gridCol w:w="7797"/>
      </w:tblGrid>
      <w:tr w:rsidR="00D81ABA" w:rsidRPr="00D85EFA" w14:paraId="06DA5ECE" w14:textId="77777777" w:rsidTr="00D81ABA">
        <w:trPr>
          <w:cnfStyle w:val="100000000000" w:firstRow="1" w:lastRow="0" w:firstColumn="0" w:lastColumn="0" w:oddVBand="0" w:evenVBand="0" w:oddHBand="0" w:evenHBand="0" w:firstRowFirstColumn="0" w:firstRowLastColumn="0" w:lastRowFirstColumn="0" w:lastRowLastColumn="0"/>
          <w:cantSplit/>
          <w:tblHeader/>
        </w:trPr>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9782"/>
          </w:tcPr>
          <w:p w14:paraId="265154BF" w14:textId="085066D7" w:rsidR="00D81ABA" w:rsidRPr="00D85EFA" w:rsidRDefault="00D81ABA" w:rsidP="004F5B0E">
            <w:pPr>
              <w:pStyle w:val="NMHCTableHeaderRow"/>
            </w:pPr>
            <w:r w:rsidRPr="00D85EFA">
              <w:t>Action</w:t>
            </w:r>
          </w:p>
        </w:tc>
        <w:tc>
          <w:tcPr>
            <w:tcW w:w="77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9782"/>
            <w:tcMar>
              <w:top w:w="28" w:type="dxa"/>
              <w:bottom w:w="28" w:type="dxa"/>
            </w:tcMar>
          </w:tcPr>
          <w:p w14:paraId="192CFAE8" w14:textId="097C5539" w:rsidR="00D81ABA" w:rsidRPr="00D85EFA" w:rsidRDefault="00D81ABA" w:rsidP="004F5B0E">
            <w:pPr>
              <w:pStyle w:val="NMHCTableHeaderRow"/>
            </w:pPr>
            <w:r w:rsidRPr="00D85EFA">
              <w:t>Description</w:t>
            </w:r>
          </w:p>
        </w:tc>
      </w:tr>
      <w:tr w:rsidR="00D81ABA" w:rsidRPr="00B768A1" w14:paraId="4EAD27E6" w14:textId="77777777" w:rsidTr="00F70D63">
        <w:trPr>
          <w:trHeight w:val="3633"/>
        </w:trPr>
        <w:tc>
          <w:tcPr>
            <w:tcW w:w="1270" w:type="dxa"/>
            <w:tcBorders>
              <w:top w:val="single" w:sz="4" w:space="0" w:color="FFFFFF" w:themeColor="background1"/>
            </w:tcBorders>
          </w:tcPr>
          <w:p w14:paraId="102120D0" w14:textId="1D3BE947" w:rsidR="00D81ABA" w:rsidRPr="00B768A1" w:rsidRDefault="00D81ABA" w:rsidP="00634A83">
            <w:pPr>
              <w:rPr>
                <w:b/>
              </w:rPr>
            </w:pPr>
            <w:r>
              <w:t>ko9.1a</w:t>
            </w:r>
          </w:p>
        </w:tc>
        <w:tc>
          <w:tcPr>
            <w:tcW w:w="7797" w:type="dxa"/>
            <w:tcBorders>
              <w:top w:val="single" w:sz="4" w:space="0" w:color="FFFFFF" w:themeColor="background1"/>
            </w:tcBorders>
            <w:tcMar>
              <w:top w:w="28" w:type="dxa"/>
              <w:bottom w:w="28" w:type="dxa"/>
            </w:tcMar>
          </w:tcPr>
          <w:p w14:paraId="5E0A8F92" w14:textId="438019FA" w:rsidR="00D81ABA" w:rsidRPr="00B768A1" w:rsidRDefault="00D81ABA" w:rsidP="00634A83">
            <w:r w:rsidRPr="00B768A1">
              <w:t>Develop national best-practice guidance for crisis support services, including emergency departments, to support people in suicidal crisis, with a view to resourcing nationally consistent implementation that includes:</w:t>
            </w:r>
          </w:p>
          <w:p w14:paraId="5632CA0D" w14:textId="545F48B7" w:rsidR="00D81ABA" w:rsidRPr="00B768A1" w:rsidRDefault="00D81ABA" w:rsidP="00634A83">
            <w:pPr>
              <w:pStyle w:val="ListParagraph"/>
              <w:numPr>
                <w:ilvl w:val="0"/>
                <w:numId w:val="41"/>
              </w:numPr>
            </w:pPr>
            <w:r w:rsidRPr="00B768A1">
              <w:t>mental health expertise being a core part of staff capability development</w:t>
            </w:r>
          </w:p>
          <w:p w14:paraId="757E31C8" w14:textId="4567071D" w:rsidR="00D81ABA" w:rsidRPr="00B768A1" w:rsidRDefault="00D81ABA" w:rsidP="00634A83">
            <w:pPr>
              <w:pStyle w:val="ListParagraph"/>
              <w:numPr>
                <w:ilvl w:val="0"/>
                <w:numId w:val="41"/>
              </w:numPr>
            </w:pPr>
            <w:r w:rsidRPr="00B768A1">
              <w:t>ongoing mental health and suicide prevention education, training and professional support for all service staff</w:t>
            </w:r>
          </w:p>
          <w:p w14:paraId="0548B66D" w14:textId="41CEDA64" w:rsidR="00D81ABA" w:rsidRPr="00B768A1" w:rsidRDefault="00D81ABA" w:rsidP="00634A83">
            <w:pPr>
              <w:pStyle w:val="ListParagraph"/>
              <w:numPr>
                <w:ilvl w:val="0"/>
                <w:numId w:val="41"/>
              </w:numPr>
            </w:pPr>
            <w:r w:rsidRPr="00B768A1">
              <w:t>applying accessible service</w:t>
            </w:r>
            <w:r w:rsidRPr="00B768A1" w:rsidDel="00CD0072">
              <w:t xml:space="preserve"> </w:t>
            </w:r>
            <w:r w:rsidRPr="00B768A1">
              <w:t>design principles that create low-stimulus, reassuring environments</w:t>
            </w:r>
          </w:p>
          <w:p w14:paraId="3446B183" w14:textId="4B884264" w:rsidR="00D81ABA" w:rsidRPr="00C61276" w:rsidRDefault="00D81ABA" w:rsidP="00634A83">
            <w:pPr>
              <w:pStyle w:val="ListParagraph"/>
              <w:numPr>
                <w:ilvl w:val="0"/>
                <w:numId w:val="41"/>
              </w:numPr>
            </w:pPr>
            <w:r w:rsidRPr="00B768A1">
              <w:t>trialling new workforce models to improve quality of care, including integrating suicide prevention peer workers into service teams</w:t>
            </w:r>
          </w:p>
          <w:p w14:paraId="61F481A9" w14:textId="4086D6F2" w:rsidR="00D81ABA" w:rsidRPr="00B768A1" w:rsidRDefault="00D81ABA" w:rsidP="00634A83">
            <w:pPr>
              <w:pStyle w:val="ListParagraph"/>
              <w:numPr>
                <w:ilvl w:val="0"/>
                <w:numId w:val="41"/>
              </w:numPr>
            </w:pPr>
            <w:r>
              <w:t>i</w:t>
            </w:r>
            <w:r w:rsidRPr="00B768A1">
              <w:t>nclusive practice that involves and supports families, carers and kin (with consent)</w:t>
            </w:r>
            <w:r>
              <w:t>.</w:t>
            </w:r>
          </w:p>
        </w:tc>
      </w:tr>
      <w:tr w:rsidR="00D81ABA" w:rsidRPr="00B768A1" w14:paraId="36F50CF6" w14:textId="77777777" w:rsidTr="00D81ABA">
        <w:tc>
          <w:tcPr>
            <w:tcW w:w="1270" w:type="dxa"/>
          </w:tcPr>
          <w:p w14:paraId="5726F143" w14:textId="183E0B66" w:rsidR="00D81ABA" w:rsidRPr="00B768A1" w:rsidRDefault="00C6751E" w:rsidP="00634A83">
            <w:pPr>
              <w:rPr>
                <w:b/>
              </w:rPr>
            </w:pPr>
            <w:r>
              <w:t>k</w:t>
            </w:r>
            <w:r w:rsidR="00D81ABA" w:rsidRPr="36504061">
              <w:t>o9.1b</w:t>
            </w:r>
          </w:p>
        </w:tc>
        <w:tc>
          <w:tcPr>
            <w:tcW w:w="7797" w:type="dxa"/>
            <w:tcMar>
              <w:top w:w="28" w:type="dxa"/>
              <w:bottom w:w="28" w:type="dxa"/>
            </w:tcMar>
          </w:tcPr>
          <w:p w14:paraId="0C0282FA" w14:textId="72AD97C2" w:rsidR="00D81ABA" w:rsidRPr="00B768A1" w:rsidRDefault="00D81ABA" w:rsidP="00634A83">
            <w:r w:rsidRPr="00B768A1">
              <w:t>Review approaches to risk assessment of people with suicidal thoughts and behaviours, with a view to creating an assessment approach based on collaborative care planning, rather than risk stratification or prediction.</w:t>
            </w:r>
          </w:p>
        </w:tc>
      </w:tr>
    </w:tbl>
    <w:p w14:paraId="6F55DFFB" w14:textId="055F39D5" w:rsidR="2D581C63" w:rsidRDefault="0E2D60AB" w:rsidP="00D81ABA">
      <w:pPr>
        <w:pStyle w:val="heading3support"/>
      </w:pPr>
      <w:r>
        <w:t>9.2</w:t>
      </w:r>
      <w:r w:rsidR="1BD1B084">
        <w:t xml:space="preserve"> Integrate support to address key drivers</w:t>
      </w:r>
    </w:p>
    <w:p w14:paraId="46140299" w14:textId="79CC64DF" w:rsidR="4A959FE5" w:rsidRDefault="00670ACB" w:rsidP="00634A83">
      <w:r w:rsidRPr="00F833FC">
        <w:t xml:space="preserve">Support </w:t>
      </w:r>
      <w:r w:rsidR="00707102">
        <w:t>for</w:t>
      </w:r>
      <w:r w:rsidRPr="00F833FC">
        <w:t xml:space="preserve"> people who experience suicidal thoughts and behaviours must address any underlying socio-economic factors that may be contributing to suicidal distress. This can be facilitated by</w:t>
      </w:r>
      <w:r w:rsidR="1BD1B084">
        <w:t>:</w:t>
      </w:r>
    </w:p>
    <w:p w14:paraId="7E06946A" w14:textId="4861BD15" w:rsidR="4A959FE5" w:rsidRDefault="568E7745" w:rsidP="00634A83">
      <w:pPr>
        <w:pStyle w:val="ListParagraph"/>
        <w:numPr>
          <w:ilvl w:val="0"/>
          <w:numId w:val="39"/>
        </w:numPr>
      </w:pPr>
      <w:r w:rsidRPr="50DFD766">
        <w:t>co-location of services—for example, health–justice partnerships that embed legal assistance within healthcare services, health–education partnerships that embed healthcare services within school settings, and co-locating mental health clinicians within primary care settings</w:t>
      </w:r>
      <w:hyperlink w:anchor="_ENREF_259" w:tooltip="C, 2021 #1125" w:history="1">
        <w:r w:rsidR="002D6F18">
          <w:fldChar w:fldCharType="begin">
            <w:fldData xml:space="preserve">PEVuZE5vdGU+PENpdGU+PEF1dGhvcj5DPC9BdXRob3I+PFllYXI+MjAyMTwvWWVhcj48UmVjTnVt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=
</w:fldData>
          </w:fldChar>
        </w:r>
        <w:r w:rsidR="002D6F18">
          <w:instrText xml:space="preserve"> ADDIN EN.CITE </w:instrText>
        </w:r>
        <w:r w:rsidR="002D6F18">
          <w:fldChar w:fldCharType="begin">
            <w:fldData xml:space="preserve">PEVuZE5vdGU+PENpdGU+PEF1dGhvcj5DPC9BdXRob3I+PFllYXI+MjAyMTwvWWVhcj48UmVjTnVt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=
</w:fldData>
          </w:fldChar>
        </w:r>
        <w:r w:rsidR="002D6F18">
          <w:instrText xml:space="preserve"> ADDIN EN.CITE.DATA </w:instrText>
        </w:r>
        <w:r w:rsidR="002D6F18">
          <w:fldChar w:fldCharType="end"/>
        </w:r>
        <w:r w:rsidR="002D6F18">
          <w:fldChar w:fldCharType="separate"/>
        </w:r>
        <w:r w:rsidR="002D6F18" w:rsidRPr="00C559B5">
          <w:rPr>
            <w:noProof/>
            <w:vertAlign w:val="superscript"/>
          </w:rPr>
          <w:t>259</w:t>
        </w:r>
        <w:r w:rsidR="002D6F18">
          <w:fldChar w:fldCharType="end"/>
        </w:r>
      </w:hyperlink>
      <w:r w:rsidRPr="50DFD766">
        <w:t xml:space="preserve"> </w:t>
      </w:r>
    </w:p>
    <w:p w14:paraId="58701D9C" w14:textId="3146A750" w:rsidR="4A959FE5" w:rsidRDefault="1BD1B084" w:rsidP="00634A83">
      <w:pPr>
        <w:pStyle w:val="ListParagraph"/>
        <w:numPr>
          <w:ilvl w:val="0"/>
          <w:numId w:val="39"/>
        </w:numPr>
      </w:pPr>
      <w:r w:rsidRPr="20F56C59">
        <w:t>agreements—for example, between health, education and social services to support coordination of service delivery to better meet the needs of children and young people</w:t>
      </w:r>
    </w:p>
    <w:p w14:paraId="1075AD07" w14:textId="7E8D7BE7" w:rsidR="4A959FE5" w:rsidRDefault="4A959FE5" w:rsidP="00634A83">
      <w:pPr>
        <w:pStyle w:val="ListParagraph"/>
        <w:numPr>
          <w:ilvl w:val="0"/>
          <w:numId w:val="39"/>
        </w:numPr>
      </w:pPr>
      <w:r w:rsidRPr="50DFD766">
        <w:t>establishing referral pathways—for example, between suicide prevention and housing support services.</w:t>
      </w:r>
    </w:p>
    <w:p w14:paraId="0AACB83A" w14:textId="3A0C14B5" w:rsidR="4A959FE5" w:rsidRDefault="4A959FE5" w:rsidP="00634A83">
      <w:r>
        <w:t xml:space="preserve">The recommended action to </w:t>
      </w:r>
      <w:r w:rsidR="00D26945">
        <w:t xml:space="preserve">integrate support for key drivers </w:t>
      </w:r>
      <w:r>
        <w:t>is described in</w:t>
      </w:r>
      <w:r w:rsidR="00F04C6C">
        <w:t xml:space="preserve"> </w:t>
      </w:r>
      <w:r w:rsidR="00F04C6C">
        <w:fldChar w:fldCharType="begin"/>
      </w:r>
      <w:r w:rsidR="00F04C6C">
        <w:instrText xml:space="preserve"> REF _Ref164870080 \h </w:instrText>
      </w:r>
      <w:r w:rsidR="00F04C6C">
        <w:fldChar w:fldCharType="separate"/>
      </w:r>
      <w:r w:rsidR="009F12B4">
        <w:t xml:space="preserve">Table </w:t>
      </w:r>
      <w:r w:rsidR="009F12B4">
        <w:rPr>
          <w:noProof/>
        </w:rPr>
        <w:t>26</w:t>
      </w:r>
      <w:r w:rsidR="00F04C6C">
        <w:fldChar w:fldCharType="end"/>
      </w:r>
      <w:r>
        <w:t>.</w:t>
      </w:r>
    </w:p>
    <w:p w14:paraId="1511F82F" w14:textId="1C75CEC1" w:rsidR="4A959FE5" w:rsidRDefault="1BD1B084" w:rsidP="00745B34">
      <w:pPr>
        <w:pStyle w:val="Caption"/>
      </w:pPr>
      <w:bookmarkStart w:id="123" w:name="_Ref164870080"/>
      <w:r>
        <w:t xml:space="preserve">Table </w:t>
      </w:r>
      <w:r w:rsidR="4A959FE5">
        <w:fldChar w:fldCharType="begin"/>
      </w:r>
      <w:r w:rsidR="4A959FE5">
        <w:instrText>SEQ Table \* ARABIC</w:instrText>
      </w:r>
      <w:r w:rsidR="4A959FE5">
        <w:fldChar w:fldCharType="separate"/>
      </w:r>
      <w:r w:rsidR="009F12B4">
        <w:rPr>
          <w:noProof/>
        </w:rPr>
        <w:t>26</w:t>
      </w:r>
      <w:r w:rsidR="4A959FE5">
        <w:fldChar w:fldCharType="end"/>
      </w:r>
      <w:bookmarkEnd w:id="123"/>
      <w:r>
        <w:t xml:space="preserve">: Recommended action for Support objective </w:t>
      </w:r>
      <w:r w:rsidR="70626CD3">
        <w:t>9.2</w:t>
      </w:r>
      <w:r>
        <w:t xml:space="preserve">: </w:t>
      </w:r>
      <w:r w:rsidR="7291B6B2">
        <w:t>Integrate</w:t>
      </w:r>
      <w:r w:rsidR="4A68095E">
        <w:t>d</w:t>
      </w:r>
      <w:r w:rsidR="7291B6B2">
        <w:t xml:space="preserve"> support to address key drivers</w:t>
      </w:r>
    </w:p>
    <w:tbl>
      <w:tblPr>
        <w:tblStyle w:val="TableGrid"/>
        <w:tblW w:w="9067" w:type="dxa"/>
        <w:tblLook w:val="0420" w:firstRow="1" w:lastRow="0" w:firstColumn="0" w:lastColumn="0" w:noHBand="0" w:noVBand="1"/>
        <w:tblCaption w:val="Recommended action for Support objective 6.1: Holistic support"/>
        <w:tblDescription w:val="Describes action ko6.1a"/>
      </w:tblPr>
      <w:tblGrid>
        <w:gridCol w:w="1270"/>
        <w:gridCol w:w="7797"/>
      </w:tblGrid>
      <w:tr w:rsidR="00D81ABA" w14:paraId="35CCF7CC" w14:textId="77777777" w:rsidTr="00D81ABA">
        <w:trPr>
          <w:cnfStyle w:val="100000000000" w:firstRow="1" w:lastRow="0" w:firstColumn="0" w:lastColumn="0" w:oddVBand="0" w:evenVBand="0" w:oddHBand="0" w:evenHBand="0" w:firstRowFirstColumn="0" w:firstRowLastColumn="0" w:lastRowFirstColumn="0" w:lastRowLastColumn="0"/>
          <w:trHeight w:val="300"/>
        </w:trPr>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9782"/>
          </w:tcPr>
          <w:p w14:paraId="0CE7B694" w14:textId="446A039B" w:rsidR="00D81ABA" w:rsidRDefault="00D81ABA" w:rsidP="004F5B0E">
            <w:pPr>
              <w:pStyle w:val="NMHCTableHeaderRow"/>
            </w:pPr>
            <w:r w:rsidRPr="50DFD766">
              <w:t>Action</w:t>
            </w:r>
          </w:p>
        </w:tc>
        <w:tc>
          <w:tcPr>
            <w:tcW w:w="77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9782"/>
            <w:tcMar>
              <w:top w:w="28" w:type="dxa"/>
              <w:bottom w:w="28" w:type="dxa"/>
            </w:tcMar>
          </w:tcPr>
          <w:p w14:paraId="5253BA71" w14:textId="19383D07" w:rsidR="00D81ABA" w:rsidRDefault="00D81ABA" w:rsidP="004F5B0E">
            <w:pPr>
              <w:pStyle w:val="NMHCTableHeaderRow"/>
            </w:pPr>
            <w:r w:rsidRPr="50DFD766">
              <w:t>Description</w:t>
            </w:r>
          </w:p>
        </w:tc>
      </w:tr>
      <w:tr w:rsidR="00D81ABA" w14:paraId="35B3FFA7" w14:textId="77777777" w:rsidTr="00D81ABA">
        <w:trPr>
          <w:trHeight w:val="300"/>
        </w:trPr>
        <w:tc>
          <w:tcPr>
            <w:tcW w:w="1270" w:type="dxa"/>
            <w:tcBorders>
              <w:top w:val="single" w:sz="4" w:space="0" w:color="FFFFFF" w:themeColor="background1"/>
            </w:tcBorders>
          </w:tcPr>
          <w:p w14:paraId="7CF77A28" w14:textId="7FE9B525" w:rsidR="00D81ABA" w:rsidRDefault="00D81ABA" w:rsidP="00634A83">
            <w:r>
              <w:t>ko9.2a</w:t>
            </w:r>
          </w:p>
        </w:tc>
        <w:tc>
          <w:tcPr>
            <w:tcW w:w="7797" w:type="dxa"/>
            <w:tcBorders>
              <w:top w:val="single" w:sz="4" w:space="0" w:color="FFFFFF" w:themeColor="background1"/>
            </w:tcBorders>
            <w:tcMar>
              <w:top w:w="28" w:type="dxa"/>
              <w:bottom w:w="28" w:type="dxa"/>
            </w:tcMar>
          </w:tcPr>
          <w:p w14:paraId="48B41E1E" w14:textId="3CCFD15F" w:rsidR="00D81ABA" w:rsidRDefault="00D81ABA" w:rsidP="00634A83">
            <w:r>
              <w:t>Trial and evaluate models that facilitate partnerships between health and non-health services to enable delivery of coordinated and holistic support that addresses diverse drivers of distress for people experiencing suicidal thoughts and behaviours and their family, carers and kin.</w:t>
            </w:r>
          </w:p>
        </w:tc>
      </w:tr>
    </w:tbl>
    <w:p w14:paraId="27BBEAFF" w14:textId="72BBD266" w:rsidR="00682A5B" w:rsidRPr="00C61276" w:rsidRDefault="63262AA3" w:rsidP="00D81ABA">
      <w:pPr>
        <w:pStyle w:val="heading3support"/>
      </w:pPr>
      <w:r>
        <w:t>9</w:t>
      </w:r>
      <w:r w:rsidR="2FF8C30D">
        <w:t xml:space="preserve">.3 </w:t>
      </w:r>
      <w:r w:rsidR="1ED96B22">
        <w:t>Extend beyond crisis support</w:t>
      </w:r>
    </w:p>
    <w:p w14:paraId="5747BA97" w14:textId="33589200" w:rsidR="00682A5B" w:rsidRPr="00D81ABA" w:rsidRDefault="3230FE84" w:rsidP="00634A83">
      <w:r w:rsidRPr="00D81ABA">
        <w:t>Currently, most service models focus on acute episodes of suicidal crisis. They are based on the premise that people will connect with supports when experiencing an increase in suicidal distress and their distress will be resolved in response to interventions</w:t>
      </w:r>
      <w:r w:rsidR="35320110" w:rsidRPr="00D81ABA">
        <w:t>. They often assume that when people disconnect from the service, the ‘problem is solved’ and suicidal distress will not occur again.</w:t>
      </w:r>
      <w:r w:rsidRPr="00D81ABA">
        <w:t xml:space="preserve"> </w:t>
      </w:r>
    </w:p>
    <w:p w14:paraId="415B6E25" w14:textId="2C6C53CD" w:rsidR="00682A5B" w:rsidRPr="00D81ABA" w:rsidRDefault="3A2A0A12" w:rsidP="00634A83">
      <w:pPr>
        <w:rPr>
          <w:vertAlign w:val="superscript"/>
        </w:rPr>
      </w:pPr>
      <w:r w:rsidRPr="00D81ABA">
        <w:t>However, not everyone who experiences suicidal thoughts will experience suicidal crisis. In addition, while suicidal distress is</w:t>
      </w:r>
      <w:r w:rsidR="42B0FC39" w:rsidRPr="00D81ABA">
        <w:t xml:space="preserve"> a</w:t>
      </w:r>
      <w:r w:rsidRPr="00D81ABA">
        <w:t xml:space="preserve"> rare</w:t>
      </w:r>
      <w:r w:rsidR="1E2A6F15" w:rsidRPr="00D81ABA">
        <w:t xml:space="preserve"> occu</w:t>
      </w:r>
      <w:r w:rsidR="66DA2F72" w:rsidRPr="00D81ABA">
        <w:t>rre</w:t>
      </w:r>
      <w:r w:rsidR="1E2A6F15" w:rsidRPr="00D81ABA">
        <w:t>nce</w:t>
      </w:r>
      <w:r w:rsidRPr="00D81ABA">
        <w:rPr>
          <w:color w:val="D13438"/>
          <w:u w:val="single"/>
        </w:rPr>
        <w:t xml:space="preserve"> </w:t>
      </w:r>
      <w:r w:rsidRPr="00D81ABA">
        <w:t xml:space="preserve">for some people, </w:t>
      </w:r>
      <w:r w:rsidR="1657EAF7" w:rsidRPr="00D81ABA">
        <w:t>for others it is a recurring experience over a longer period.</w:t>
      </w:r>
      <w:hyperlink w:anchor="_ENREF_260" w:tooltip="N, 2006 #264" w:history="1">
        <w:r w:rsidR="002D6F18" w:rsidRPr="00693CE3">
          <w:rPr>
            <w:vertAlign w:val="superscript"/>
          </w:rPr>
          <w:fldChar w:fldCharType="begin"/>
        </w:r>
        <w:r w:rsidR="002D6F18">
          <w:rPr>
            <w:vertAlign w:val="superscript"/>
          </w:rPr>
          <w:instrText xml:space="preserve"> ADDIN EN.CITE &lt;EndNote&gt;&lt;Cite&gt;&lt;Author&gt;N&lt;/Author&gt;&lt;Year&gt;2006&lt;/Year&gt;&lt;RecNum&gt;264&lt;/RecNum&gt;&lt;DisplayText&gt;&lt;style face="superscript"&gt;260&lt;/style&gt;&lt;/DisplayText&gt;&lt;record&gt;&lt;rec-number&gt;264&lt;/rec-number&gt;&lt;foreign-keys&gt;&lt;key app="EN" db-id="rsettzd2isasdweewww55s9lffasxav0d0ft" timestamp="1700699470" guid="d5141e92-6f9a-4644-9572-c3bdd130ae70"&gt;264&lt;/key&gt;&lt;/foreign-keys&gt;&lt;ref-type name="Journal Article"&gt;17&lt;/ref-type&gt;&lt;contributors&gt;&lt;authors&gt;&lt;author&gt;Kapur N&lt;/author&gt;&lt;author&gt;Cooper J&lt;/author&gt;&lt;author&gt;King-Hele S&lt;/author&gt;&lt;author&gt;Webb R&lt;/author&gt;&lt;author&gt;Lawlor M&lt;/author&gt;&lt;author&gt;Rodway C&lt;/author&gt;&lt;author&gt;Appleby L&lt;/author&gt;&lt;/authors&gt;&lt;/contributors&gt;&lt;titles&gt;&lt;title&gt;The Repetition of Suicidal Behavior: A Multicenter Cohort Study&lt;/title&gt;&lt;secondary-title&gt;The Journal of Clinical Psychiatry&lt;/secondary-title&gt;&lt;/titles&gt;&lt;periodical&gt;&lt;full-title&gt;The Journal of Clinical Psychiatry&lt;/full-title&gt;&lt;/periodical&gt;&lt;dates&gt;&lt;year&gt;2006&lt;/year&gt;&lt;/dates&gt;&lt;urls&gt;&lt;/urls&gt;&lt;electronic-resource-num&gt;DOI: 10.4088/JCP.v67n1016&lt;/electronic-resource-num&gt;&lt;/record&gt;&lt;/Cite&gt;&lt;/EndNote&gt;</w:instrText>
        </w:r>
        <w:r w:rsidR="002D6F18" w:rsidRPr="00693CE3">
          <w:rPr>
            <w:vertAlign w:val="superscript"/>
          </w:rPr>
          <w:fldChar w:fldCharType="separate"/>
        </w:r>
        <w:r w:rsidR="002D6F18">
          <w:rPr>
            <w:noProof/>
            <w:vertAlign w:val="superscript"/>
          </w:rPr>
          <w:t>260</w:t>
        </w:r>
        <w:r w:rsidR="002D6F18" w:rsidRPr="00693CE3">
          <w:rPr>
            <w:vertAlign w:val="superscript"/>
          </w:rPr>
          <w:fldChar w:fldCharType="end"/>
        </w:r>
      </w:hyperlink>
      <w:r w:rsidR="00693CE3" w:rsidRPr="00693CE3">
        <w:rPr>
          <w:vertAlign w:val="superscript"/>
        </w:rPr>
        <w:t>,</w:t>
      </w:r>
      <w:hyperlink w:anchor="_ENREF_261" w:tooltip="M, 2009 #267" w:history="1">
        <w:r w:rsidR="002D6F18" w:rsidRPr="00693CE3">
          <w:rPr>
            <w:vertAlign w:val="superscript"/>
          </w:rPr>
          <w:fldChar w:fldCharType="begin"/>
        </w:r>
        <w:r w:rsidR="002D6F18">
          <w:rPr>
            <w:vertAlign w:val="superscript"/>
          </w:rPr>
          <w:instrText xml:space="preserve"> ADDIN EN.CITE &lt;EndNote&gt;&lt;Cite&gt;&lt;Author&gt;M&lt;/Author&gt;&lt;Year&gt;2009&lt;/Year&gt;&lt;RecNum&gt;267&lt;/RecNum&gt;&lt;DisplayText&gt;&lt;style face="superscript"&gt;261&lt;/style&gt;&lt;/DisplayText&gt;&lt;record&gt;&lt;rec-number&gt;267&lt;/rec-number&gt;&lt;foreign-keys&gt;&lt;key app="EN" db-id="rsettzd2isasdweewww55s9lffasxav0d0ft" timestamp="1700699470" guid="dba3fae4-9c6e-44be-ae8d-c52d702d8d75"&gt;267&lt;/key&gt;&lt;/foreign-keys&gt;&lt;ref-type name="Journal Article"&gt;17&lt;/ref-type&gt;&lt;contributors&gt;&lt;authors&gt;&lt;author&gt;ten Have M&lt;/author&gt;&lt;author&gt;De Graaf R&lt;/author&gt;&lt;author&gt;Van Dorsselaer S&lt;/author&gt;&lt;author&gt;Verdurmen J&lt;/author&gt;&lt;author&gt;Van&amp;apos;t Land H&lt;/author&gt;&lt;author&gt;Vollebergh W&lt;/author&gt;&lt;author&gt;Beekman A&lt;/author&gt;&lt;/authors&gt;&lt;/contributors&gt;&lt;titles&gt;&lt;title&gt;Incidence and Course of Suicidal Ideation and Suicide Attempts in the General Population&lt;/title&gt;&lt;secondary-title&gt;The Canadian Journal of Psychiatry&lt;/secondary-title&gt;&lt;/titles&gt;&lt;periodical&gt;&lt;full-title&gt;The Canadian Journal of Psychiatry&lt;/full-title&gt;&lt;/periodical&gt;&lt;dates&gt;&lt;year&gt;2009&lt;/year&gt;&lt;/dates&gt;&lt;urls&gt;&lt;/urls&gt;&lt;electronic-resource-num&gt;DOI: 10.1177/070674370905401205&lt;/electronic-resource-num&gt;&lt;/record&gt;&lt;/Cite&gt;&lt;/EndNote&gt;</w:instrText>
        </w:r>
        <w:r w:rsidR="002D6F18" w:rsidRPr="00693CE3">
          <w:rPr>
            <w:vertAlign w:val="superscript"/>
          </w:rPr>
          <w:fldChar w:fldCharType="separate"/>
        </w:r>
        <w:r w:rsidR="002D6F18">
          <w:rPr>
            <w:noProof/>
            <w:vertAlign w:val="superscript"/>
          </w:rPr>
          <w:t>261</w:t>
        </w:r>
        <w:r w:rsidR="002D6F18" w:rsidRPr="00693CE3">
          <w:rPr>
            <w:vertAlign w:val="superscript"/>
          </w:rPr>
          <w:fldChar w:fldCharType="end"/>
        </w:r>
      </w:hyperlink>
      <w:r w:rsidR="00693CE3" w:rsidRPr="00693CE3">
        <w:rPr>
          <w:vertAlign w:val="superscript"/>
        </w:rPr>
        <w:t>,</w:t>
      </w:r>
      <w:hyperlink w:anchor="_ENREF_262" w:tooltip="J, 2002 #268" w:history="1">
        <w:r w:rsidR="002D6F18" w:rsidRPr="00693CE3">
          <w:rPr>
            <w:vertAlign w:val="superscript"/>
          </w:rPr>
          <w:fldChar w:fldCharType="begin"/>
        </w:r>
        <w:r w:rsidR="002D6F18">
          <w:rPr>
            <w:vertAlign w:val="superscript"/>
          </w:rPr>
          <w:instrText xml:space="preserve"> ADDIN EN.CITE &lt;EndNote&gt;&lt;Cite&gt;&lt;Author&gt;J&lt;/Author&gt;&lt;Year&gt;2002&lt;/Year&gt;&lt;RecNum&gt;268&lt;/RecNum&gt;&lt;DisplayText&gt;&lt;style face="superscript"&gt;262&lt;/style&gt;&lt;/DisplayText&gt;&lt;record&gt;&lt;rec-number&gt;268&lt;/rec-number&gt;&lt;foreign-keys&gt;&lt;key app="EN" db-id="rsettzd2isasdweewww55s9lffasxav0d0ft" timestamp="1700699470" guid="440c1269-5960-4d20-8f31-6de517cb8a11"&gt;268&lt;/key&gt;&lt;/foreign-keys&gt;&lt;ref-type name="Journal Article"&gt;17&lt;/ref-type&gt;&lt;contributors&gt;&lt;authors&gt;&lt;author&gt;Paris J&lt;/author&gt;&lt;/authors&gt;&lt;/contributors&gt;&lt;titles&gt;&lt;title&gt;Chronic Suicidality Among Patients with Borderline Personality Disorder&lt;/title&gt;&lt;secondary-title&gt;Psychiatric Services&lt;/secondary-title&gt;&lt;/titles&gt;&lt;periodical&gt;&lt;full-title&gt;Psychiatric Services&lt;/full-title&gt;&lt;/periodical&gt;&lt;dates&gt;&lt;year&gt;2002&lt;/year&gt;&lt;/dates&gt;&lt;urls&gt;&lt;/urls&gt;&lt;electronic-resource-num&gt;DOI: 10.1176/appi.ps.53.6.738&lt;/electronic-resource-num&gt;&lt;/record&gt;&lt;/Cite&gt;&lt;/EndNote&gt;</w:instrText>
        </w:r>
        <w:r w:rsidR="002D6F18" w:rsidRPr="00693CE3">
          <w:rPr>
            <w:vertAlign w:val="superscript"/>
          </w:rPr>
          <w:fldChar w:fldCharType="separate"/>
        </w:r>
        <w:r w:rsidR="002D6F18">
          <w:rPr>
            <w:noProof/>
            <w:vertAlign w:val="superscript"/>
          </w:rPr>
          <w:t>262</w:t>
        </w:r>
        <w:r w:rsidR="002D6F18" w:rsidRPr="00693CE3">
          <w:rPr>
            <w:vertAlign w:val="superscript"/>
          </w:rPr>
          <w:fldChar w:fldCharType="end"/>
        </w:r>
      </w:hyperlink>
      <w:r w:rsidR="1657EAF7" w:rsidRPr="00D81ABA">
        <w:t xml:space="preserve"> This latter experience—sometimes referred to as being chronically suicidal</w:t>
      </w:r>
      <w:r w:rsidR="0203FE07" w:rsidRPr="00D81ABA">
        <w:t xml:space="preserve"> </w:t>
      </w:r>
      <w:r w:rsidR="1657EAF7" w:rsidRPr="00D81ABA">
        <w:t>is often associated with severe or complex mental illness.</w:t>
      </w:r>
      <w:r w:rsidR="278C1B40" w:rsidRPr="00D81ABA">
        <w:t xml:space="preserve"> People who are chronically suicidal require longer-term support options and flexible access that reflects the ebb and flow of suicidal thoughts and behaviours.</w:t>
      </w:r>
      <w:hyperlink w:anchor="_ENREF_263" w:tooltip="B, 2023 #328" w:history="1">
        <w:r w:rsidR="002D6F18" w:rsidRPr="00535AF6">
          <w:rPr>
            <w:vertAlign w:val="superscript"/>
          </w:rPr>
          <w:fldChar w:fldCharType="begin"/>
        </w:r>
        <w:r w:rsidR="002D6F18">
          <w:rPr>
            <w:vertAlign w:val="superscript"/>
          </w:rPr>
          <w:instrText xml:space="preserve"> ADDIN EN.CITE &lt;EndNote&gt;&lt;Cite&gt;&lt;Author&gt;B&lt;/Author&gt;&lt;Year&gt;2023&lt;/Year&gt;&lt;RecNum&gt;328&lt;/RecNum&gt;&lt;DisplayText&gt;&lt;style face="superscript"&gt;263&lt;/style&gt;&lt;/DisplayText&gt;&lt;record&gt;&lt;rec-number&gt;328&lt;/rec-number&gt;&lt;foreign-keys&gt;&lt;key app="EN" db-id="rsettzd2isasdweewww55s9lffasxav0d0ft" timestamp="1700699471" guid="7ced630e-14fd-4dac-bb01-8df9ee599ce7"&gt;328&lt;/key&gt;&lt;/foreign-keys&gt;&lt;ref-type name="Web Page"&gt;12&lt;/ref-type&gt;&lt;contributors&gt;&lt;authors&gt;&lt;author&gt;Bassilios B&lt;/author&gt;&lt;author&gt;Dunt D&lt;/author&gt;&lt;author&gt;Currier D&lt;/author&gt;&lt;author&gt;Krysinska K&lt;/author&gt;&lt;author&gt;Machlin A&lt;/author&gt;&lt;author&gt;Newton D&lt;/author&gt;&lt;author&gt;Williamson M&lt;/author&gt;&lt;author&gt;Perkis J&lt;/author&gt;&lt;/authors&gt;&lt;/contributors&gt;&lt;titles&gt;&lt;title&gt;Environmental Scan of Suicide Prevention Activity in Australia: Summary Report&lt;/title&gt;&lt;/titles&gt;&lt;dates&gt;&lt;year&gt;2023&lt;/year&gt;&lt;/dates&gt;&lt;pub-location&gt;Melbourne&lt;/pub-location&gt;&lt;publisher&gt;Centre for Mental Health, The University of Melbourne&lt;/publisher&gt;&lt;urls&gt;&lt;related-urls&gt;&lt;url&gt;http://hdl.handle.net/11343/337092&lt;/url&gt;&lt;/related-urls&gt;&lt;/urls&gt;&lt;custom1&gt;2023&lt;/custom1&gt;&lt;custom2&gt;October 04&lt;/custom2&gt;&lt;/record&gt;&lt;/Cite&gt;&lt;/EndNote&gt;</w:instrText>
        </w:r>
        <w:r w:rsidR="002D6F18" w:rsidRPr="00535AF6">
          <w:rPr>
            <w:vertAlign w:val="superscript"/>
          </w:rPr>
          <w:fldChar w:fldCharType="separate"/>
        </w:r>
        <w:r w:rsidR="002D6F18">
          <w:rPr>
            <w:noProof/>
            <w:vertAlign w:val="superscript"/>
          </w:rPr>
          <w:t>263</w:t>
        </w:r>
        <w:r w:rsidR="002D6F18" w:rsidRPr="00535AF6">
          <w:rPr>
            <w:vertAlign w:val="superscript"/>
          </w:rPr>
          <w:fldChar w:fldCharType="end"/>
        </w:r>
      </w:hyperlink>
      <w:r w:rsidR="00535AF6" w:rsidRPr="00535AF6">
        <w:rPr>
          <w:vertAlign w:val="superscript"/>
        </w:rPr>
        <w:t>,</w:t>
      </w:r>
      <w:hyperlink w:anchor="_ENREF_264" w:tooltip="A, 2022 #271" w:history="1">
        <w:r w:rsidR="002D6F18" w:rsidRPr="00535AF6">
          <w:rPr>
            <w:vertAlign w:val="superscript"/>
          </w:rPr>
          <w:fldChar w:fldCharType="begin"/>
        </w:r>
        <w:r w:rsidR="002D6F18">
          <w:rPr>
            <w:vertAlign w:val="superscript"/>
          </w:rPr>
          <w:instrText xml:space="preserve"> ADDIN EN.CITE &lt;EndNote&gt;&lt;Cite&gt;&lt;Author&gt;A&lt;/Author&gt;&lt;Year&gt;2022&lt;/Year&gt;&lt;RecNum&gt;271&lt;/RecNum&gt;&lt;DisplayText&gt;&lt;style face="superscript"&gt;264&lt;/style&gt;&lt;/DisplayText&gt;&lt;record&gt;&lt;rec-number&gt;271&lt;/rec-number&gt;&lt;foreign-keys&gt;&lt;key app="EN" db-id="rsettzd2isasdweewww55s9lffasxav0d0ft" timestamp="1700699470" guid="7051d018-360a-4a36-824d-ad52d13c2261"&gt;271&lt;/key&gt;&lt;/foreign-keys&gt;&lt;ref-type name="Journal Article"&gt;17&lt;/ref-type&gt;&lt;contributors&gt;&lt;authors&gt;&lt;author&gt;Garakani A&lt;/author&gt;&lt;author&gt;Buono FD&lt;/author&gt;&lt;author&gt;Larkin K&lt;/author&gt;&lt;author&gt;Polonsky M&lt;/author&gt;&lt;author&gt;Goldberg JF&lt;/author&gt;&lt;/authors&gt;&lt;/contributors&gt;&lt;titles&gt;&lt;title&gt;Development and Validation of a New Scale to Measure Chronic Suicidal Ideation: The Chronic Suicidal Ideation Inventory-5 (CSI-5)&lt;/title&gt;&lt;secondary-title&gt;Journal of Psychiatric Research&lt;/secondary-title&gt;&lt;/titles&gt;&lt;periodical&gt;&lt;full-title&gt;Journal of Psychiatric Research&lt;/full-title&gt;&lt;/periodical&gt;&lt;dates&gt;&lt;year&gt;2022&lt;/year&gt;&lt;/dates&gt;&lt;urls&gt;&lt;/urls&gt;&lt;electronic-resource-num&gt;DOI: 10.1016/j.jpsychires.2022.03.021&lt;/electronic-resource-num&gt;&lt;/record&gt;&lt;/Cite&gt;&lt;/EndNote&gt;</w:instrText>
        </w:r>
        <w:r w:rsidR="002D6F18" w:rsidRPr="00535AF6">
          <w:rPr>
            <w:vertAlign w:val="superscript"/>
          </w:rPr>
          <w:fldChar w:fldCharType="separate"/>
        </w:r>
        <w:r w:rsidR="002D6F18">
          <w:rPr>
            <w:noProof/>
            <w:vertAlign w:val="superscript"/>
          </w:rPr>
          <w:t>264</w:t>
        </w:r>
        <w:r w:rsidR="002D6F18" w:rsidRPr="00535AF6">
          <w:rPr>
            <w:vertAlign w:val="superscript"/>
          </w:rPr>
          <w:fldChar w:fldCharType="end"/>
        </w:r>
      </w:hyperlink>
      <w:r w:rsidR="00535AF6">
        <w:t xml:space="preserve"> </w:t>
      </w:r>
      <w:r w:rsidR="278C1B40" w:rsidRPr="00D81ABA">
        <w:t>Given this, suicide prevention services should not be exclusively oriented towards crisis care. Strong primary care and community-based services that provide accessible long-term support to people with suicidal thoughts and behaviours should be mainstays of building and sustaining wellbeing.</w:t>
      </w:r>
      <w:hyperlink w:anchor="_ENREF_265" w:tooltip="J, 2010 #193" w:history="1">
        <w:r w:rsidR="002D6F18">
          <w:fldChar w:fldCharType="begin"/>
        </w:r>
        <w:r w:rsidR="002D6F18">
          <w:instrText xml:space="preserve"> ADDIN EN.CITE &lt;EndNote&gt;&lt;Cite&gt;&lt;Author&gt;J&lt;/Author&gt;&lt;Year&gt;2010&lt;/Year&gt;&lt;RecNum&gt;193&lt;/RecNum&gt;&lt;DisplayText&gt;&lt;style face="superscript"&gt;265&lt;/style&gt;&lt;/DisplayText&gt;&lt;record&gt;&lt;rec-number&gt;193&lt;/rec-number&gt;&lt;foreign-keys&gt;&lt;key app="EN" db-id="rsettzd2isasdweewww55s9lffasxav0d0ft" timestamp="1700699469" guid="c05a5291-6454-4070-a8a7-635402deaec0"&gt;193&lt;/key&gt;&lt;/foreign-keys&gt;&lt;ref-type name="Web Page"&gt;12&lt;/ref-type&gt;&lt;contributors&gt;&lt;authors&gt;&lt;author&gt;Mendoza J &lt;/author&gt;&lt;author&gt;Rosenberg S &lt;/author&gt;&lt;/authors&gt;&lt;/contributors&gt;&lt;titles&gt;&lt;title&gt;Breaking the Silence - Seminal Report on Suicide and Suicide Prevention in Australia&lt;/title&gt;&lt;/titles&gt;&lt;dates&gt;&lt;year&gt;2010&lt;/year&gt;&lt;/dates&gt;&lt;pub-location&gt;Moffat Beach&lt;/pub-location&gt;&lt;publisher&gt;ConNetica Consulting Pty Ltd&lt;/publisher&gt;&lt;work-type&gt;Internet&lt;/work-type&gt;&lt;urls&gt;&lt;related-urls&gt;&lt;url&gt;https://nceph.anu.edu.au/research/tools-resources/breaking-silence-seminal-report-suicide-and-suicide-prevention-australia&lt;/url&gt;&lt;/related-urls&gt;&lt;/urls&gt;&lt;custom1&gt;2023&lt;/custom1&gt;&lt;custom2&gt;November 02&lt;/custom2&gt;&lt;/record&gt;&lt;/Cite&gt;&lt;/EndNote&gt;</w:instrText>
        </w:r>
        <w:r w:rsidR="002D6F18">
          <w:fldChar w:fldCharType="separate"/>
        </w:r>
        <w:r w:rsidR="002D6F18" w:rsidRPr="00C559B5">
          <w:rPr>
            <w:noProof/>
            <w:vertAlign w:val="superscript"/>
          </w:rPr>
          <w:t>265</w:t>
        </w:r>
        <w:r w:rsidR="002D6F18">
          <w:fldChar w:fldCharType="end"/>
        </w:r>
      </w:hyperlink>
    </w:p>
    <w:p w14:paraId="44B731D7" w14:textId="62E44B45" w:rsidR="000A7BDA" w:rsidRPr="00D81ABA" w:rsidRDefault="289A6929" w:rsidP="00634A83">
      <w:r w:rsidRPr="00D81ABA">
        <w:t>A</w:t>
      </w:r>
      <w:r w:rsidR="3605BDAC" w:rsidRPr="00D81ABA">
        <w:t xml:space="preserve"> range of care types and models specific to this population should be explored and evaluated to build the evidence base and inform service planning and funding</w:t>
      </w:r>
      <w:r w:rsidR="0ABC8E1A" w:rsidRPr="00D81ABA">
        <w:t xml:space="preserve"> (</w:t>
      </w:r>
      <w:r w:rsidR="11770CB0" w:rsidRPr="00D81ABA">
        <w:t>action ko</w:t>
      </w:r>
      <w:r w:rsidR="4E34F826" w:rsidRPr="00D81ABA">
        <w:t>9</w:t>
      </w:r>
      <w:r w:rsidR="0ABC8E1A" w:rsidRPr="00D81ABA">
        <w:t>.3a)</w:t>
      </w:r>
      <w:r w:rsidR="14DAB60A" w:rsidRPr="00D81ABA">
        <w:t>.</w:t>
      </w:r>
      <w:hyperlink w:anchor="_ENREF_200" w:tooltip="NW, 2021 #38" w:history="1">
        <w:r w:rsidR="002D6F18">
          <w:fldChar w:fldCharType="begin"/>
        </w:r>
        <w:r w:rsidR="002D6F18">
          <w:instrText xml:space="preserve"> ADDIN EN.CITE &lt;EndNote&gt;&lt;Cite&gt;&lt;Author&gt;NW&lt;/Author&gt;&lt;Year&gt;2021&lt;/Year&gt;&lt;RecNum&gt;38&lt;/RecNum&gt;&lt;DisplayText&gt;&lt;style face="superscript"&gt;200&lt;/style&gt;&lt;/DisplayText&gt;&lt;record&gt;&lt;rec-number&gt;38&lt;/rec-number&gt;&lt;foreign-keys&gt;&lt;key app="EN" db-id="rsettzd2isasdweewww55s9lffasxav0d0ft" timestamp="1700699466" guid="8b12b083-7760-4115-9d94-e89a810633b5"&gt;38&lt;/key&gt;&lt;/foreign-keys&gt;&lt;ref-type name="Journal Article"&gt;17&lt;/ref-type&gt;&lt;contributors&gt;&lt;authors&gt;&lt;author&gt;Bowersox NW&lt;/author&gt;&lt;author&gt;Jagusch J&lt;/author&gt;&lt;author&gt;Garlick J&lt;/author&gt;&lt;author&gt;Chen JI&lt;/author&gt;&lt;author&gt;Pfeiffer PN&lt;/author&gt;&lt;/authors&gt;&lt;/contributors&gt;&lt;titles&gt;&lt;title&gt;Peer-Based Interventions Targeting Suicide Prevention: A Scoping Review&lt;/title&gt;&lt;secondary-title&gt;American Journal of Community Psychology&lt;/secondary-title&gt;&lt;/titles&gt;&lt;periodical&gt;&lt;full-title&gt;American Journal of Community Psychology&lt;/full-title&gt;&lt;/periodical&gt;&lt;dates&gt;&lt;year&gt;2021&lt;/year&gt;&lt;/dates&gt;&lt;urls&gt;&lt;/urls&gt;&lt;electronic-resource-num&gt;DOI: 10.1002/ajcp.12510&lt;/electronic-resource-num&gt;&lt;/record&gt;&lt;/Cite&gt;&lt;/EndNote&gt;</w:instrText>
        </w:r>
        <w:r w:rsidR="002D6F18">
          <w:fldChar w:fldCharType="separate"/>
        </w:r>
        <w:r w:rsidR="002D6F18" w:rsidRPr="00C559B5">
          <w:rPr>
            <w:noProof/>
            <w:vertAlign w:val="superscript"/>
          </w:rPr>
          <w:t>200</w:t>
        </w:r>
        <w:r w:rsidR="002D6F18">
          <w:fldChar w:fldCharType="end"/>
        </w:r>
      </w:hyperlink>
      <w:r w:rsidR="52B4ED72" w:rsidRPr="00D81ABA">
        <w:t xml:space="preserve"> </w:t>
      </w:r>
      <w:r w:rsidR="5275EA1C" w:rsidRPr="00D81ABA">
        <w:t>Many</w:t>
      </w:r>
      <w:r w:rsidR="3605BDAC" w:rsidRPr="00D81ABA">
        <w:t xml:space="preserve"> non-clinical and peer-led approaches </w:t>
      </w:r>
      <w:r w:rsidR="026CCFC7" w:rsidRPr="00D81ABA">
        <w:t>have shown promising outcomes</w:t>
      </w:r>
      <w:r w:rsidR="3605BDAC" w:rsidRPr="00D81ABA">
        <w:t xml:space="preserve"> </w:t>
      </w:r>
      <w:r w:rsidR="3B1DCA1F" w:rsidRPr="00D81ABA">
        <w:t>and their value</w:t>
      </w:r>
      <w:r w:rsidR="472E1119" w:rsidRPr="00D81ABA">
        <w:t xml:space="preserve"> is </w:t>
      </w:r>
      <w:r w:rsidR="472E1119" w:rsidRPr="00D81ABA">
        <w:rPr>
          <w:rFonts w:eastAsia="Century Gothic"/>
        </w:rPr>
        <w:t>increasingly well-recognised.</w:t>
      </w:r>
      <w:hyperlink w:anchor="_ENREF_266" w:tooltip="S, 2021 #229" w:history="1">
        <w:r w:rsidR="002D6F18" w:rsidRPr="00624D9A">
          <w:rPr>
            <w:rFonts w:eastAsia="Century Gothic"/>
            <w:vertAlign w:val="superscript"/>
          </w:rPr>
          <w:fldChar w:fldCharType="begin"/>
        </w:r>
        <w:r w:rsidR="002D6F18">
          <w:rPr>
            <w:rFonts w:eastAsia="Century Gothic"/>
            <w:vertAlign w:val="superscript"/>
          </w:rPr>
          <w:instrText xml:space="preserve"> ADDIN EN.CITE &lt;EndNote&gt;&lt;Cite&gt;&lt;Author&gt;S&lt;/Author&gt;&lt;Year&gt;2021&lt;/Year&gt;&lt;RecNum&gt;229&lt;/RecNum&gt;&lt;DisplayText&gt;&lt;style face="superscript"&gt;266&lt;/style&gt;&lt;/DisplayText&gt;&lt;record&gt;&lt;rec-number&gt;229&lt;/rec-number&gt;&lt;foreign-keys&gt;&lt;key app="EN" db-id="rsettzd2isasdweewww55s9lffasxav0d0ft" timestamp="1700699469" guid="0e12b15e-fba6-4246-826c-1044178a1bb6"&gt;229&lt;/key&gt;&lt;/foreign-keys&gt;&lt;ref-type name="Journal Article"&gt;17&lt;/ref-type&gt;&lt;contributors&gt;&lt;authors&gt;&lt;author&gt;Lawn S&lt;/author&gt;&lt;author&gt;Kaine C&lt;/author&gt;&lt;author&gt;Stevenson J&lt;/author&gt;&lt;author&gt;McMahon J&lt;/author&gt;&lt;/authors&gt;&lt;/contributors&gt;&lt;titles&gt;&lt;title&gt;Australian Mental Health Consumers’ Experiences of Service Engagement and Disengagement: A Descriptive Study&lt;/title&gt;&lt;secondary-title&gt;International Journal of Environmental Research and Public Health&lt;/secondary-title&gt;&lt;/titles&gt;&lt;periodical&gt;&lt;full-title&gt;International Journal of Environmental Research and Public Health&lt;/full-title&gt;&lt;/periodical&gt;&lt;dates&gt;&lt;year&gt;2021&lt;/year&gt;&lt;/dates&gt;&lt;urls&gt;&lt;/urls&gt;&lt;electronic-resource-num&gt;10.3390/ijerph181910464&lt;/electronic-resource-num&gt;&lt;/record&gt;&lt;/Cite&gt;&lt;/EndNote&gt;</w:instrText>
        </w:r>
        <w:r w:rsidR="002D6F18" w:rsidRPr="00624D9A">
          <w:rPr>
            <w:rFonts w:eastAsia="Century Gothic"/>
            <w:vertAlign w:val="superscript"/>
          </w:rPr>
          <w:fldChar w:fldCharType="separate"/>
        </w:r>
        <w:r w:rsidR="002D6F18">
          <w:rPr>
            <w:rFonts w:eastAsia="Century Gothic"/>
            <w:noProof/>
            <w:vertAlign w:val="superscript"/>
          </w:rPr>
          <w:t>266</w:t>
        </w:r>
        <w:r w:rsidR="002D6F18" w:rsidRPr="00624D9A">
          <w:rPr>
            <w:rFonts w:eastAsia="Century Gothic"/>
            <w:vertAlign w:val="superscript"/>
          </w:rPr>
          <w:fldChar w:fldCharType="end"/>
        </w:r>
      </w:hyperlink>
      <w:r w:rsidR="00624D9A" w:rsidRPr="00624D9A">
        <w:rPr>
          <w:rFonts w:eastAsia="Century Gothic"/>
          <w:vertAlign w:val="superscript"/>
        </w:rPr>
        <w:t>,</w:t>
      </w:r>
      <w:hyperlink w:anchor="_ENREF_267" w:tooltip="A, 2014 #225" w:history="1">
        <w:r w:rsidR="002D6F18" w:rsidRPr="00624D9A">
          <w:rPr>
            <w:rFonts w:eastAsia="Century Gothic"/>
            <w:vertAlign w:val="superscript"/>
          </w:rPr>
          <w:fldChar w:fldCharType="begin"/>
        </w:r>
        <w:r w:rsidR="002D6F18">
          <w:rPr>
            <w:rFonts w:eastAsia="Century Gothic"/>
            <w:vertAlign w:val="superscript"/>
          </w:rPr>
          <w:instrText xml:space="preserve"> ADDIN EN.CITE &lt;EndNote&gt;&lt;Cite&gt;&lt;Author&gt;A&lt;/Author&gt;&lt;Year&gt;2014&lt;/Year&gt;&lt;RecNum&gt;225&lt;/RecNum&gt;&lt;DisplayText&gt;&lt;style face="superscript"&gt;267&lt;/style&gt;&lt;/DisplayText&gt;&lt;record&gt;&lt;rec-number&gt;225&lt;/rec-number&gt;&lt;foreign-keys&gt;&lt;key app="EN" db-id="rsettzd2isasdweewww55s9lffasxav0d0ft" timestamp="1700699469" guid="e5b6b63f-3614-4655-8154-cbfa4390cc9e"&gt;225&lt;/key&gt;&lt;/foreign-keys&gt;&lt;ref-type name="Journal Article"&gt;17&lt;/ref-type&gt;&lt;contributors&gt;&lt;authors&gt;&lt;author&gt;Simpson A&lt;/author&gt;&lt;author&gt;Flood C&lt;/author&gt;&lt;author&gt;Rowe J&lt;/author&gt;&lt;author&gt;Quigley J&lt;/author&gt;&lt;author&gt;Henry S&lt;/author&gt;&lt;author&gt;Hall C&lt;/author&gt;&lt;author&gt;Evans R&lt;/author&gt;&lt;author&gt;Sherman P&lt;/author&gt;&lt;author&gt;Bowers L&lt;/author&gt;&lt;/authors&gt;&lt;/contributors&gt;&lt;titles&gt;&lt;title&gt;Results of a Pilot Randomised Controlled Trial to Measure the Clinical and Cost Effectiveness of Peer Support in Increasing Hope and Quality of Life in Mental Health Patients Discharged from Hospital in the UK&lt;/title&gt;&lt;secondary-title&gt;BMC Psychiatry&lt;/secondary-title&gt;&lt;/titles&gt;&lt;periodical&gt;&lt;full-title&gt;BMC Psychiatry&lt;/full-title&gt;&lt;/periodical&gt;&lt;dates&gt;&lt;year&gt;2014&lt;/year&gt;&lt;/dates&gt;&lt;urls&gt;&lt;/urls&gt;&lt;electronic-resource-num&gt;DOI: 10.1186/1471-244X-14-30&lt;/electronic-resource-num&gt;&lt;/record&gt;&lt;/Cite&gt;&lt;/EndNote&gt;</w:instrText>
        </w:r>
        <w:r w:rsidR="002D6F18" w:rsidRPr="00624D9A">
          <w:rPr>
            <w:rFonts w:eastAsia="Century Gothic"/>
            <w:vertAlign w:val="superscript"/>
          </w:rPr>
          <w:fldChar w:fldCharType="separate"/>
        </w:r>
        <w:r w:rsidR="002D6F18">
          <w:rPr>
            <w:rFonts w:eastAsia="Century Gothic"/>
            <w:noProof/>
            <w:vertAlign w:val="superscript"/>
          </w:rPr>
          <w:t>267</w:t>
        </w:r>
        <w:r w:rsidR="002D6F18" w:rsidRPr="00624D9A">
          <w:rPr>
            <w:rFonts w:eastAsia="Century Gothic"/>
            <w:vertAlign w:val="superscript"/>
          </w:rPr>
          <w:fldChar w:fldCharType="end"/>
        </w:r>
      </w:hyperlink>
      <w:r w:rsidR="00624D9A" w:rsidRPr="00624D9A">
        <w:rPr>
          <w:rFonts w:eastAsia="Century Gothic"/>
          <w:vertAlign w:val="superscript"/>
        </w:rPr>
        <w:t>,</w:t>
      </w:r>
      <w:hyperlink w:anchor="_ENREF_268" w:tooltip="S, 2020 #226" w:history="1">
        <w:r w:rsidR="002D6F18" w:rsidRPr="00624D9A">
          <w:rPr>
            <w:rFonts w:eastAsia="Century Gothic"/>
            <w:vertAlign w:val="superscript"/>
          </w:rPr>
          <w:fldChar w:fldCharType="begin"/>
        </w:r>
        <w:r w:rsidR="002D6F18">
          <w:rPr>
            <w:rFonts w:eastAsia="Century Gothic"/>
            <w:vertAlign w:val="superscript"/>
          </w:rPr>
          <w:instrText xml:space="preserve"> ADDIN EN.CITE &lt;EndNote&gt;&lt;Cite&gt;&lt;Author&gt;S&lt;/Author&gt;&lt;Year&gt;2020&lt;/Year&gt;&lt;RecNum&gt;226&lt;/RecNum&gt;&lt;DisplayText&gt;&lt;style face="superscript"&gt;268&lt;/style&gt;&lt;/DisplayText&gt;&lt;record&gt;&lt;rec-number&gt;226&lt;/rec-number&gt;&lt;foreign-keys&gt;&lt;key app="EN" db-id="rsettzd2isasdweewww55s9lffasxav0d0ft" timestamp="1700699469" guid="c9691a35-fa11-41e2-8e40-0f1936746a10"&gt;226&lt;/key&gt;&lt;/foreign-keys&gt;&lt;ref-type name="Journal Article"&gt;17&lt;/ref-type&gt;&lt;contributors&gt;&lt;authors&gt;&lt;author&gt;White S&lt;/author&gt;&lt;author&gt;Foster R&lt;/author&gt;&lt;author&gt;Marks J&lt;/author&gt;&lt;author&gt;Morshead R&lt;/author&gt;&lt;author&gt;Goldsmith L&lt;/author&gt;&lt;author&gt;Barlow S&lt;/author&gt;&lt;author&gt;Sin J&lt;/author&gt;&lt;author&gt;Gillard S&lt;/author&gt;&lt;/authors&gt;&lt;/contributors&gt;&lt;titles&gt;&lt;title&gt;The Effectiveness of One-to-One Peer Support in Mental Health Services: A Systematic Review and Meta-Analysis&lt;/title&gt;&lt;secondary-title&gt;BMC Psychiatry&lt;/secondary-title&gt;&lt;/titles&gt;&lt;periodical&gt;&lt;full-title&gt;BMC Psychiatry&lt;/full-title&gt;&lt;/periodical&gt;&lt;dates&gt;&lt;year&gt;2020&lt;/year&gt;&lt;/dates&gt;&lt;urls&gt;&lt;/urls&gt;&lt;electronic-resource-num&gt;DOI: 10.1186/s12888-020-02923-3&lt;/electronic-resource-num&gt;&lt;/record&gt;&lt;/Cite&gt;&lt;/EndNote&gt;</w:instrText>
        </w:r>
        <w:r w:rsidR="002D6F18" w:rsidRPr="00624D9A">
          <w:rPr>
            <w:rFonts w:eastAsia="Century Gothic"/>
            <w:vertAlign w:val="superscript"/>
          </w:rPr>
          <w:fldChar w:fldCharType="separate"/>
        </w:r>
        <w:r w:rsidR="002D6F18">
          <w:rPr>
            <w:rFonts w:eastAsia="Century Gothic"/>
            <w:noProof/>
            <w:vertAlign w:val="superscript"/>
          </w:rPr>
          <w:t>268</w:t>
        </w:r>
        <w:r w:rsidR="002D6F18" w:rsidRPr="00624D9A">
          <w:rPr>
            <w:rFonts w:eastAsia="Century Gothic"/>
            <w:vertAlign w:val="superscript"/>
          </w:rPr>
          <w:fldChar w:fldCharType="end"/>
        </w:r>
      </w:hyperlink>
      <w:r w:rsidR="00624D9A">
        <w:rPr>
          <w:rFonts w:eastAsia="Century Gothic"/>
        </w:rPr>
        <w:t xml:space="preserve"> </w:t>
      </w:r>
      <w:r w:rsidR="3605BDAC" w:rsidRPr="00D81ABA">
        <w:t xml:space="preserve">Peer-led approaches can decrease stigma, reduce barriers to care and provide more holistic and strengths-based </w:t>
      </w:r>
      <w:r w:rsidR="41C53AA3" w:rsidRPr="00D81ABA">
        <w:t>care</w:t>
      </w:r>
      <w:r w:rsidR="3605BDAC" w:rsidRPr="00D81ABA">
        <w:t>.</w:t>
      </w:r>
      <w:hyperlink w:anchor="_ENREF_269" w:tooltip="M, 2020 #309" w:history="1">
        <w:r w:rsidR="002D6F18">
          <w:fldChar w:fldCharType="begin"/>
        </w:r>
        <w:r w:rsidR="002D6F18">
          <w:instrText xml:space="preserve"> ADDIN EN.CITE &lt;EndNote&gt;&lt;Cite&gt;&lt;Author&gt;M&lt;/Author&gt;&lt;Year&gt;2020&lt;/Year&gt;&lt;RecNum&gt;309&lt;/RecNum&gt;&lt;DisplayText&gt;&lt;style face="superscript"&gt;269&lt;/style&gt;&lt;/DisplayText&gt;&lt;record&gt;&lt;rec-number&gt;309&lt;/rec-number&gt;&lt;foreign-keys&gt;&lt;key app="EN" db-id="rsettzd2isasdweewww55s9lffasxav0d0ft" timestamp="1700699471" guid="ff47e27a-6ff2-4233-a278-76bd30572941"&gt;309&lt;/key&gt;&lt;/foreign-keys&gt;&lt;ref-type name="Journal Article"&gt;17&lt;/ref-type&gt;&lt;contributors&gt;&lt;authors&gt;&lt;author&gt;Schlichthorst M&lt;/author&gt;&lt;author&gt;Ozols I&lt;/author&gt;&lt;author&gt;Reifels L&lt;/author&gt;&lt;author&gt;Morgan A&lt;/author&gt;&lt;/authors&gt;&lt;/contributors&gt;&lt;titles&gt;&lt;title&gt;Lived Experience Peer Support Programs for Suicide Prevention: A Systematic Scoping Review&lt;/title&gt;&lt;secondary-title&gt;International Journal of Mental Health Systems&lt;/secondary-title&gt;&lt;/titles&gt;&lt;periodical&gt;&lt;full-title&gt;International Journal of Mental Health Systems&lt;/full-title&gt;&lt;/periodical&gt;&lt;dates&gt;&lt;year&gt;2020&lt;/year&gt;&lt;/dates&gt;&lt;urls&gt;&lt;/urls&gt;&lt;electronic-resource-num&gt;DOI: 10.1186/s13033-020-00396-1&lt;/electronic-resource-num&gt;&lt;/record&gt;&lt;/Cite&gt;&lt;/EndNote&gt;</w:instrText>
        </w:r>
        <w:r w:rsidR="002D6F18">
          <w:fldChar w:fldCharType="separate"/>
        </w:r>
        <w:r w:rsidR="002D6F18" w:rsidRPr="00C559B5">
          <w:rPr>
            <w:noProof/>
            <w:vertAlign w:val="superscript"/>
          </w:rPr>
          <w:t>269</w:t>
        </w:r>
        <w:r w:rsidR="002D6F18">
          <w:fldChar w:fldCharType="end"/>
        </w:r>
      </w:hyperlink>
      <w:r w:rsidR="00624D9A">
        <w:t xml:space="preserve"> </w:t>
      </w:r>
      <w:r w:rsidR="013D370B" w:rsidRPr="00D81ABA">
        <w:t>These should be continued as part of a comprehensive suicide prevention system.</w:t>
      </w:r>
      <w:hyperlink w:anchor="_ENREF_270" w:tooltip="M, 2023 #227" w:history="1">
        <w:r w:rsidR="002D6F18" w:rsidRPr="00624D9A">
          <w:rPr>
            <w:vertAlign w:val="superscript"/>
          </w:rPr>
          <w:fldChar w:fldCharType="begin"/>
        </w:r>
        <w:r w:rsidR="002D6F18">
          <w:rPr>
            <w:vertAlign w:val="superscript"/>
          </w:rPr>
          <w:instrText xml:space="preserve"> ADDIN EN.CITE &lt;EndNote&gt;&lt;Cite&gt;&lt;Author&gt;M&lt;/Author&gt;&lt;Year&gt;2023&lt;/Year&gt;&lt;RecNum&gt;227&lt;/RecNum&gt;&lt;DisplayText&gt;&lt;style face="superscript"&gt;270&lt;/style&gt;&lt;/DisplayText&gt;&lt;record&gt;&lt;rec-number&gt;227&lt;/rec-number&gt;&lt;foreign-keys&gt;&lt;key app="EN" db-id="rsettzd2isasdweewww55s9lffasxav0d0ft" timestamp="1700699469" guid="3bb09670-b1a4-4f75-8f7e-5a69beda1bfd"&gt;227&lt;/key&gt;&lt;/foreign-keys&gt;&lt;ref-type name="Journal Article"&gt;17&lt;/ref-type&gt;&lt;contributors&gt;&lt;authors&gt;&lt;author&gt;Gibson M&lt;/author&gt;&lt;author&gt;Moreau N&lt;/author&gt;&lt;author&gt;Balzamo E&lt;/author&gt;&lt;author&gt;Crompton D&lt;/author&gt;&lt;/authors&gt;&lt;/contributors&gt;&lt;titles&gt;&lt;title&gt;Peer Intervention Following Suicide-Related Emergency Department Presentation: Evaluation of the PAUSE Pilot Program&lt;/title&gt;&lt;secondary-title&gt;International Journal of Environmental Research and Public Health&lt;/secondary-title&gt;&lt;/titles&gt;&lt;periodical&gt;&lt;full-title&gt;International Journal of Environmental Research and Public Health&lt;/full-title&gt;&lt;/periodical&gt;&lt;dates&gt;&lt;year&gt;2023&lt;/year&gt;&lt;/dates&gt;&lt;urls&gt;&lt;/urls&gt;&lt;electronic-resource-num&gt;DOI: 10.3390/ijerph20043763&lt;/electronic-resource-num&gt;&lt;/record&gt;&lt;/Cite&gt;&lt;/EndNote&gt;</w:instrText>
        </w:r>
        <w:r w:rsidR="002D6F18" w:rsidRPr="00624D9A">
          <w:rPr>
            <w:vertAlign w:val="superscript"/>
          </w:rPr>
          <w:fldChar w:fldCharType="separate"/>
        </w:r>
        <w:r w:rsidR="002D6F18">
          <w:rPr>
            <w:noProof/>
            <w:vertAlign w:val="superscript"/>
          </w:rPr>
          <w:t>270</w:t>
        </w:r>
        <w:r w:rsidR="002D6F18" w:rsidRPr="00624D9A">
          <w:rPr>
            <w:vertAlign w:val="superscript"/>
          </w:rPr>
          <w:fldChar w:fldCharType="end"/>
        </w:r>
      </w:hyperlink>
      <w:r w:rsidR="00624D9A" w:rsidRPr="00624D9A">
        <w:rPr>
          <w:vertAlign w:val="superscript"/>
        </w:rPr>
        <w:t>,</w:t>
      </w:r>
      <w:hyperlink w:anchor="_ENREF_200" w:tooltip="NW, 2021 #38" w:history="1">
        <w:r w:rsidR="002D6F18" w:rsidRPr="00624D9A">
          <w:rPr>
            <w:vertAlign w:val="superscript"/>
          </w:rPr>
          <w:fldChar w:fldCharType="begin"/>
        </w:r>
        <w:r w:rsidR="002D6F18">
          <w:rPr>
            <w:vertAlign w:val="superscript"/>
          </w:rPr>
          <w:instrText xml:space="preserve"> ADDIN EN.CITE &lt;EndNote&gt;&lt;Cite&gt;&lt;Author&gt;NW&lt;/Author&gt;&lt;Year&gt;2021&lt;/Year&gt;&lt;RecNum&gt;38&lt;/RecNum&gt;&lt;DisplayText&gt;&lt;style face="superscript"&gt;200&lt;/style&gt;&lt;/DisplayText&gt;&lt;record&gt;&lt;rec-number&gt;38&lt;/rec-number&gt;&lt;foreign-keys&gt;&lt;key app="EN" db-id="rsettzd2isasdweewww55s9lffasxav0d0ft" timestamp="1700699466" guid="8b12b083-7760-4115-9d94-e89a810633b5"&gt;38&lt;/key&gt;&lt;/foreign-keys&gt;&lt;ref-type name="Journal Article"&gt;17&lt;/ref-type&gt;&lt;contributors&gt;&lt;authors&gt;&lt;author&gt;Bowersox NW&lt;/author&gt;&lt;author&gt;Jagusch J&lt;/author&gt;&lt;author&gt;Garlick J&lt;/author&gt;&lt;author&gt;Chen JI&lt;/author&gt;&lt;author&gt;Pfeiffer PN&lt;/author&gt;&lt;/authors&gt;&lt;/contributors&gt;&lt;titles&gt;&lt;title&gt;Peer-Based Interventions Targeting Suicide Prevention: A Scoping Review&lt;/title&gt;&lt;secondary-title&gt;American Journal of Community Psychology&lt;/secondary-title&gt;&lt;/titles&gt;&lt;periodical&gt;&lt;full-title&gt;American Journal of Community Psychology&lt;/full-title&gt;&lt;/periodical&gt;&lt;dates&gt;&lt;year&gt;2021&lt;/year&gt;&lt;/dates&gt;&lt;urls&gt;&lt;/urls&gt;&lt;electronic-resource-num&gt;DOI: 10.1002/ajcp.12510&lt;/electronic-resource-num&gt;&lt;/record&gt;&lt;/Cite&gt;&lt;/EndNote&gt;</w:instrText>
        </w:r>
        <w:r w:rsidR="002D6F18" w:rsidRPr="00624D9A">
          <w:rPr>
            <w:vertAlign w:val="superscript"/>
          </w:rPr>
          <w:fldChar w:fldCharType="separate"/>
        </w:r>
        <w:r w:rsidR="002D6F18">
          <w:rPr>
            <w:noProof/>
            <w:vertAlign w:val="superscript"/>
          </w:rPr>
          <w:t>200</w:t>
        </w:r>
        <w:r w:rsidR="002D6F18" w:rsidRPr="00624D9A">
          <w:rPr>
            <w:vertAlign w:val="superscript"/>
          </w:rPr>
          <w:fldChar w:fldCharType="end"/>
        </w:r>
      </w:hyperlink>
    </w:p>
    <w:p w14:paraId="6DC45B13" w14:textId="190C2AFC" w:rsidR="008A6649" w:rsidRPr="00D81ABA" w:rsidRDefault="008A6649" w:rsidP="00634A83">
      <w:r w:rsidRPr="00D81ABA">
        <w:t xml:space="preserve">The recommended action to </w:t>
      </w:r>
      <w:r w:rsidR="00020F2A">
        <w:t>strengthen long-term support</w:t>
      </w:r>
      <w:r w:rsidR="00020F2A" w:rsidRPr="00D81ABA">
        <w:t xml:space="preserve"> </w:t>
      </w:r>
      <w:r w:rsidRPr="00D81ABA">
        <w:t>is described in</w:t>
      </w:r>
      <w:r w:rsidR="00F04C6C">
        <w:t xml:space="preserve"> </w:t>
      </w:r>
      <w:r w:rsidR="00F04C6C">
        <w:fldChar w:fldCharType="begin"/>
      </w:r>
      <w:r w:rsidR="00F04C6C">
        <w:instrText xml:space="preserve"> REF _Ref162243235 \h </w:instrText>
      </w:r>
      <w:r w:rsidR="00F04C6C">
        <w:fldChar w:fldCharType="separate"/>
      </w:r>
      <w:r w:rsidR="009F12B4">
        <w:t xml:space="preserve">Table </w:t>
      </w:r>
      <w:r w:rsidR="009F12B4">
        <w:rPr>
          <w:noProof/>
        </w:rPr>
        <w:t>27</w:t>
      </w:r>
      <w:r w:rsidR="00F04C6C">
        <w:fldChar w:fldCharType="end"/>
      </w:r>
      <w:r w:rsidRPr="00D81ABA">
        <w:t>.</w:t>
      </w:r>
    </w:p>
    <w:p w14:paraId="07FE03B7" w14:textId="77777777" w:rsidR="00517DE3" w:rsidRPr="00B768A1" w:rsidRDefault="00517DE3" w:rsidP="00634A83">
      <w:pPr>
        <w:pStyle w:val="BT-Beigebox-Heading"/>
        <w:rPr>
          <w:rStyle w:val="normaltextrun"/>
          <w:rFonts w:eastAsia="Roboto-Light" w:cstheme="minorHAnsi"/>
        </w:rPr>
      </w:pPr>
      <w:r w:rsidRPr="00B768A1">
        <w:rPr>
          <w:rStyle w:val="normaltextrun"/>
          <w:rFonts w:eastAsia="Roboto-Light" w:cstheme="minorHAnsi"/>
        </w:rPr>
        <w:t>Activit</w:t>
      </w:r>
      <w:r w:rsidRPr="00B768A1">
        <w:rPr>
          <w:rStyle w:val="normaltextrun"/>
          <w:rFonts w:eastAsia="Roboto-Light" w:cstheme="minorHAnsi"/>
          <w:iCs/>
        </w:rPr>
        <w:t>y</w:t>
      </w:r>
      <w:r w:rsidRPr="00B768A1">
        <w:rPr>
          <w:rStyle w:val="normaltextrun"/>
          <w:rFonts w:eastAsia="Roboto-Light" w:cstheme="minorHAnsi"/>
        </w:rPr>
        <w:t xml:space="preserve"> to build on</w:t>
      </w:r>
    </w:p>
    <w:p w14:paraId="317DCCB1" w14:textId="5DABA15B" w:rsidR="00605CB8" w:rsidRDefault="1D01E8D4" w:rsidP="00634A83">
      <w:pPr>
        <w:pStyle w:val="BT-Beigebox"/>
      </w:pPr>
      <w:r w:rsidRPr="00B768A1">
        <w:t>Peer support programs for people who experience suicidal thoughts or have attempted suicide are increasingly available in Australia</w:t>
      </w:r>
      <w:r w:rsidR="0F11EEE9">
        <w:t>.</w:t>
      </w:r>
      <w:r w:rsidR="6FA722CB" w:rsidRPr="00B768A1">
        <w:t xml:space="preserve"> </w:t>
      </w:r>
      <w:r w:rsidR="62CD19E2">
        <w:t xml:space="preserve">For example, </w:t>
      </w:r>
      <w:r w:rsidR="6FA722CB" w:rsidRPr="002151D3">
        <w:t xml:space="preserve">Alternatives to Suicide </w:t>
      </w:r>
      <w:r w:rsidR="6FA722CB" w:rsidRPr="00B768A1">
        <w:t>(Alt2Su)</w:t>
      </w:r>
      <w:hyperlink w:anchor="_ENREF_269" w:tooltip="M, 2020 #309" w:history="1">
        <w:r w:rsidR="002D6F18">
          <w:fldChar w:fldCharType="begin"/>
        </w:r>
        <w:r w:rsidR="002D6F18">
          <w:instrText xml:space="preserve"> ADDIN EN.CITE &lt;EndNote&gt;&lt;Cite&gt;&lt;Author&gt;M&lt;/Author&gt;&lt;Year&gt;2020&lt;/Year&gt;&lt;RecNum&gt;309&lt;/RecNum&gt;&lt;DisplayText&gt;&lt;style face="superscript"&gt;269&lt;/style&gt;&lt;/DisplayText&gt;&lt;record&gt;&lt;rec-number&gt;309&lt;/rec-number&gt;&lt;foreign-keys&gt;&lt;key app="EN" db-id="rsettzd2isasdweewww55s9lffasxav0d0ft" timestamp="1700699471" guid="ff47e27a-6ff2-4233-a278-76bd30572941"&gt;309&lt;/key&gt;&lt;/foreign-keys&gt;&lt;ref-type name="Journal Article"&gt;17&lt;/ref-type&gt;&lt;contributors&gt;&lt;authors&gt;&lt;author&gt;Schlichthorst M&lt;/author&gt;&lt;author&gt;Ozols I&lt;/author&gt;&lt;author&gt;Reifels L&lt;/author&gt;&lt;author&gt;Morgan A&lt;/author&gt;&lt;/authors&gt;&lt;/contributors&gt;&lt;titles&gt;&lt;title&gt;Lived Experience Peer Support Programs for Suicide Prevention: A Systematic Scoping Review&lt;/title&gt;&lt;secondary-title&gt;International Journal of Mental Health Systems&lt;/secondary-title&gt;&lt;/titles&gt;&lt;periodical&gt;&lt;full-title&gt;International Journal of Mental Health Systems&lt;/full-title&gt;&lt;/periodical&gt;&lt;dates&gt;&lt;year&gt;2020&lt;/year&gt;&lt;/dates&gt;&lt;urls&gt;&lt;/urls&gt;&lt;electronic-resource-num&gt;DOI: 10.1186/s13033-020-00396-1&lt;/electronic-resource-num&gt;&lt;/record&gt;&lt;/Cite&gt;&lt;/EndNote&gt;</w:instrText>
        </w:r>
        <w:r w:rsidR="002D6F18">
          <w:fldChar w:fldCharType="separate"/>
        </w:r>
        <w:r w:rsidR="002D6F18" w:rsidRPr="00C559B5">
          <w:rPr>
            <w:noProof/>
            <w:vertAlign w:val="superscript"/>
          </w:rPr>
          <w:t>269</w:t>
        </w:r>
        <w:r w:rsidR="002D6F18">
          <w:fldChar w:fldCharType="end"/>
        </w:r>
      </w:hyperlink>
      <w:r w:rsidR="6FA722CB" w:rsidRPr="00B768A1">
        <w:t xml:space="preserve"> </w:t>
      </w:r>
      <w:r w:rsidR="509D1584" w:rsidRPr="00B768A1">
        <w:t xml:space="preserve">is </w:t>
      </w:r>
      <w:r w:rsidRPr="00B768A1">
        <w:t xml:space="preserve">a peer support group providing the opportunity for adults to talk about suicidal experiences and other forms of emotional distress without fear of being put through a crisis management system. </w:t>
      </w:r>
      <w:r w:rsidR="4F5A1056">
        <w:t>T</w:t>
      </w:r>
      <w:r w:rsidRPr="00B768A1">
        <w:t xml:space="preserve">he </w:t>
      </w:r>
      <w:r w:rsidRPr="002151D3">
        <w:t>Lifeline Eclipse</w:t>
      </w:r>
      <w:r w:rsidRPr="00B768A1">
        <w:rPr>
          <w:b/>
          <w:bCs/>
        </w:rPr>
        <w:t xml:space="preserve"> </w:t>
      </w:r>
      <w:r w:rsidR="76C21E57" w:rsidRPr="002151D3">
        <w:t>a</w:t>
      </w:r>
      <w:r w:rsidRPr="002151D3">
        <w:t xml:space="preserve">ftercare </w:t>
      </w:r>
      <w:r w:rsidR="76C21E57" w:rsidRPr="002151D3">
        <w:t>p</w:t>
      </w:r>
      <w:r w:rsidRPr="002151D3">
        <w:t>rogram</w:t>
      </w:r>
      <w:r w:rsidR="4F5A1056">
        <w:t xml:space="preserve"> </w:t>
      </w:r>
      <w:r w:rsidR="12A20E2D" w:rsidRPr="00B768A1">
        <w:t xml:space="preserve">is </w:t>
      </w:r>
      <w:r w:rsidRPr="00B768A1">
        <w:t>a psychoeducational program providing the opportunity for adults to connect with peers who have survived a</w:t>
      </w:r>
      <w:r w:rsidR="12A20E2D" w:rsidRPr="00B768A1">
        <w:t xml:space="preserve"> suicide</w:t>
      </w:r>
      <w:r w:rsidRPr="00B768A1">
        <w:t xml:space="preserve"> attempt and learn skills that may help participants cope with feelings and thoughts of suicide, keeping them safe into the future</w:t>
      </w:r>
      <w:r w:rsidRPr="00B768A1" w:rsidDel="009238A2">
        <w:t>.</w:t>
      </w:r>
      <w:hyperlink w:anchor="_ENREF_271" w:tooltip="M, 2022 #279" w:history="1">
        <w:r w:rsidR="002D6F18">
          <w:fldChar w:fldCharType="begin"/>
        </w:r>
        <w:r w:rsidR="002D6F18">
          <w:instrText xml:space="preserve"> ADDIN EN.CITE &lt;EndNote&gt;&lt;Cite&gt;&lt;Author&gt;M&lt;/Author&gt;&lt;Year&gt;2022&lt;/Year&gt;&lt;RecNum&gt;279&lt;/RecNum&gt;&lt;DisplayText&gt;&lt;style face="superscript"&gt;271&lt;/style&gt;&lt;/DisplayText&gt;&lt;record&gt;&lt;rec-number&gt;279&lt;/rec-number&gt;&lt;foreign-keys&gt;&lt;key app="EN" db-id="rsettzd2isasdweewww55s9lffasxav0d0ft" timestamp="1700699470" guid="73b1afeb-86c0-4a21-a36e-f0437c6130aa"&gt;279&lt;/key&gt;&lt;/foreign-keys&gt;&lt;ref-type name="Journal Article"&gt;17&lt;/ref-type&gt;&lt;contributors&gt;&lt;authors&gt;&lt;author&gt;Maple M&lt;/author&gt;&lt;author&gt;Wayland S&lt;/author&gt;&lt;author&gt;Pearce T&lt;/author&gt;&lt;author&gt;Sanford R&lt;/author&gt;&lt;author&gt;Bhullar N&lt;/author&gt;&lt;/authors&gt;&lt;/contributors&gt;&lt;titles&gt;&lt;title&gt;A Psychoeducational Support Group Intervention for People Who Have Attempted Suicide: An Open Trial with Promising Preliminary Findings&lt;/title&gt;&lt;secondary-title&gt;Community Mental Health Journal&lt;/secondary-title&gt;&lt;/titles&gt;&lt;periodical&gt;&lt;full-title&gt;Community Mental Health Journal&lt;/full-title&gt;&lt;/periodical&gt;&lt;dates&gt;&lt;year&gt;2022&lt;/year&gt;&lt;/dates&gt;&lt;urls&gt;&lt;/urls&gt;&lt;electronic-resource-num&gt;DOI: 10.1007/s10597-022-00978-y&lt;/electronic-resource-num&gt;&lt;/record&gt;&lt;/Cite&gt;&lt;/EndNote&gt;</w:instrText>
        </w:r>
        <w:r w:rsidR="002D6F18">
          <w:fldChar w:fldCharType="separate"/>
        </w:r>
        <w:r w:rsidR="002D6F18" w:rsidRPr="00C559B5">
          <w:rPr>
            <w:noProof/>
            <w:vertAlign w:val="superscript"/>
          </w:rPr>
          <w:t>271</w:t>
        </w:r>
        <w:r w:rsidR="002D6F18">
          <w:fldChar w:fldCharType="end"/>
        </w:r>
      </w:hyperlink>
    </w:p>
    <w:p w14:paraId="0E85FE7F" w14:textId="7AB434F5" w:rsidR="00DF7AC1" w:rsidRPr="00B768A1" w:rsidRDefault="00DF7AC1" w:rsidP="00745B34">
      <w:pPr>
        <w:pStyle w:val="Caption"/>
      </w:pPr>
      <w:bookmarkStart w:id="124" w:name="_Ref162243235"/>
      <w:r>
        <w:t xml:space="preserve">Table </w:t>
      </w:r>
      <w:r>
        <w:fldChar w:fldCharType="begin"/>
      </w:r>
      <w:r>
        <w:instrText>SEQ Table \* ARABIC</w:instrText>
      </w:r>
      <w:r>
        <w:fldChar w:fldCharType="separate"/>
      </w:r>
      <w:r w:rsidR="009F12B4">
        <w:rPr>
          <w:noProof/>
        </w:rPr>
        <w:t>27</w:t>
      </w:r>
      <w:r>
        <w:fldChar w:fldCharType="end"/>
      </w:r>
      <w:bookmarkEnd w:id="124"/>
      <w:r>
        <w:t xml:space="preserve">: Recommended action for Support objective </w:t>
      </w:r>
      <w:r w:rsidR="3DC81D06">
        <w:t>9</w:t>
      </w:r>
      <w:r>
        <w:t xml:space="preserve">.3: </w:t>
      </w:r>
      <w:r w:rsidR="78F790B7">
        <w:t xml:space="preserve">Extend beyond crisis </w:t>
      </w:r>
      <w:r w:rsidR="68FBC059">
        <w:t>support</w:t>
      </w:r>
    </w:p>
    <w:tbl>
      <w:tblPr>
        <w:tblStyle w:val="TableGrid"/>
        <w:tblW w:w="9209" w:type="dxa"/>
        <w:tblLook w:val="0420" w:firstRow="1" w:lastRow="0" w:firstColumn="0" w:lastColumn="0" w:noHBand="0" w:noVBand="1"/>
        <w:tblCaption w:val="Recommended action for Support objective 6.3: Alleviate distress before and beyond the resolution of a crisis"/>
        <w:tblDescription w:val="Describes action ko6.3a."/>
      </w:tblPr>
      <w:tblGrid>
        <w:gridCol w:w="1270"/>
        <w:gridCol w:w="7939"/>
      </w:tblGrid>
      <w:tr w:rsidR="00D81ABA" w:rsidRPr="00D85EFA" w14:paraId="57BDA9A6" w14:textId="77777777" w:rsidTr="00D81ABA">
        <w:trPr>
          <w:cnfStyle w:val="100000000000" w:firstRow="1" w:lastRow="0" w:firstColumn="0" w:lastColumn="0" w:oddVBand="0" w:evenVBand="0" w:oddHBand="0" w:evenHBand="0" w:firstRowFirstColumn="0" w:firstRowLastColumn="0" w:lastRowFirstColumn="0" w:lastRowLastColumn="0"/>
          <w:cantSplit/>
          <w:tblHeader/>
        </w:trPr>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9782"/>
          </w:tcPr>
          <w:p w14:paraId="001FC470" w14:textId="4C360DE7" w:rsidR="00D81ABA" w:rsidRPr="00D85EFA" w:rsidRDefault="00D81ABA" w:rsidP="004F5B0E">
            <w:pPr>
              <w:pStyle w:val="NMHCTableHeaderRow"/>
            </w:pPr>
            <w:r w:rsidRPr="00D85EFA">
              <w:t>Action</w:t>
            </w:r>
          </w:p>
        </w:tc>
        <w:tc>
          <w:tcPr>
            <w:tcW w:w="79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9782"/>
            <w:tcMar>
              <w:top w:w="28" w:type="dxa"/>
              <w:bottom w:w="28" w:type="dxa"/>
            </w:tcMar>
          </w:tcPr>
          <w:p w14:paraId="5DBF9C02" w14:textId="6B02E7E5" w:rsidR="00D81ABA" w:rsidRPr="00D85EFA" w:rsidRDefault="00D81ABA" w:rsidP="004F5B0E">
            <w:pPr>
              <w:pStyle w:val="NMHCTableHeaderRow"/>
            </w:pPr>
            <w:r w:rsidRPr="00D85EFA">
              <w:t>Description</w:t>
            </w:r>
          </w:p>
        </w:tc>
      </w:tr>
      <w:tr w:rsidR="00D81ABA" w:rsidRPr="00B768A1" w14:paraId="56C16D65" w14:textId="77777777" w:rsidTr="00D81ABA">
        <w:tc>
          <w:tcPr>
            <w:tcW w:w="1270" w:type="dxa"/>
            <w:tcBorders>
              <w:top w:val="single" w:sz="4" w:space="0" w:color="FFFFFF" w:themeColor="background1"/>
            </w:tcBorders>
          </w:tcPr>
          <w:p w14:paraId="5B5AFB52" w14:textId="516CD0B4" w:rsidR="00D81ABA" w:rsidRPr="00B768A1" w:rsidRDefault="00D81ABA" w:rsidP="00634A83">
            <w:pPr>
              <w:rPr>
                <w:b/>
              </w:rPr>
            </w:pPr>
            <w:r w:rsidRPr="6B3C83F7">
              <w:t>ko9</w:t>
            </w:r>
            <w:r w:rsidRPr="50DFD766">
              <w:t>.3a</w:t>
            </w:r>
          </w:p>
        </w:tc>
        <w:tc>
          <w:tcPr>
            <w:tcW w:w="7939" w:type="dxa"/>
            <w:tcBorders>
              <w:top w:val="single" w:sz="4" w:space="0" w:color="FFFFFF" w:themeColor="background1"/>
            </w:tcBorders>
            <w:tcMar>
              <w:top w:w="28" w:type="dxa"/>
              <w:bottom w:w="28" w:type="dxa"/>
            </w:tcMar>
          </w:tcPr>
          <w:p w14:paraId="279C0D16" w14:textId="5CB7409F" w:rsidR="00D81ABA" w:rsidRPr="00B768A1" w:rsidRDefault="00D81ABA" w:rsidP="00634A83">
            <w:r w:rsidRPr="00B768A1">
              <w:t xml:space="preserve">Co-design, implement and evaluate community-based long-term support models for people who experience chronic suicidal thoughts, </w:t>
            </w:r>
            <w:r w:rsidRPr="00B768A1">
              <w:rPr>
                <w:rFonts w:cstheme="minorBidi"/>
              </w:rPr>
              <w:t>and their family, carers and kin,</w:t>
            </w:r>
            <w:r w:rsidRPr="00B768A1">
              <w:t xml:space="preserve"> to create, understand and continuously improve effective care.</w:t>
            </w:r>
          </w:p>
        </w:tc>
      </w:tr>
    </w:tbl>
    <w:p w14:paraId="415E9468" w14:textId="591A49F4" w:rsidR="00682A5B" w:rsidRPr="00B768A1" w:rsidRDefault="00682A5B" w:rsidP="00634A83">
      <w:pPr>
        <w:sectPr w:rsidR="00682A5B" w:rsidRPr="00B768A1" w:rsidSect="00996915">
          <w:endnotePr>
            <w:numFmt w:val="decimal"/>
          </w:endnotePr>
          <w:pgSz w:w="11907" w:h="16839" w:code="9"/>
          <w:pgMar w:top="1418" w:right="1418" w:bottom="1418" w:left="1418" w:header="680" w:footer="85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p>
    <w:p w14:paraId="74529C2F" w14:textId="6C3A67BA" w:rsidR="00682A5B" w:rsidRDefault="00BB0300" w:rsidP="00D81ABA">
      <w:pPr>
        <w:pStyle w:val="heading2support"/>
      </w:pPr>
      <w:bookmarkStart w:id="125" w:name="_Toc152082309"/>
      <w:bookmarkStart w:id="126" w:name="_Toc1471870329"/>
      <w:bookmarkStart w:id="127" w:name="_Toc1783345254"/>
      <w:bookmarkStart w:id="128" w:name="_Toc171459036"/>
      <w:r>
        <w:drawing>
          <wp:anchor distT="0" distB="0" distL="114300" distR="114300" simplePos="0" relativeHeight="251658258" behindDoc="1" locked="0" layoutInCell="1" allowOverlap="1" wp14:anchorId="3E3D4CE2" wp14:editId="7C0A454F">
            <wp:simplePos x="0" y="0"/>
            <wp:positionH relativeFrom="margin">
              <wp:align>right</wp:align>
            </wp:positionH>
            <wp:positionV relativeFrom="paragraph">
              <wp:posOffset>56022</wp:posOffset>
            </wp:positionV>
            <wp:extent cx="1406525" cy="899795"/>
            <wp:effectExtent l="0" t="0" r="3175" b="0"/>
            <wp:wrapTight wrapText="bothSides">
              <wp:wrapPolygon edited="0">
                <wp:start x="0" y="0"/>
                <wp:lineTo x="0" y="21036"/>
                <wp:lineTo x="21356" y="21036"/>
                <wp:lineTo x="21356" y="0"/>
                <wp:lineTo x="0" y="0"/>
              </wp:wrapPolygon>
            </wp:wrapTight>
            <wp:docPr id="27" name="Picture 27" descr="Increased connection is Key objective 10 of the Strategy, within the domain of Support for people experiencing suicidal thoughts and behaviours, and those that care for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ncreased connection is Key objective 10 of the Strategy, within the domain of Support for people experiencing suicidal thoughts and behaviours, and those that care for them. "/>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406525" cy="899795"/>
                    </a:xfrm>
                    <a:prstGeom prst="rect">
                      <a:avLst/>
                    </a:prstGeom>
                  </pic:spPr>
                </pic:pic>
              </a:graphicData>
            </a:graphic>
          </wp:anchor>
        </w:drawing>
      </w:r>
      <w:r w:rsidR="00682A5B" w:rsidRPr="50DFD766">
        <w:t xml:space="preserve">Key </w:t>
      </w:r>
      <w:r w:rsidR="004E0E51" w:rsidRPr="50DFD766">
        <w:t>o</w:t>
      </w:r>
      <w:r w:rsidR="00682A5B" w:rsidRPr="50DFD766">
        <w:t xml:space="preserve">bjective </w:t>
      </w:r>
      <w:r w:rsidR="4E99F843" w:rsidRPr="5275D090">
        <w:t>10</w:t>
      </w:r>
      <w:r w:rsidR="00682A5B" w:rsidRPr="50DFD766">
        <w:t>: Increased connection</w:t>
      </w:r>
      <w:bookmarkEnd w:id="125"/>
      <w:bookmarkEnd w:id="126"/>
      <w:bookmarkEnd w:id="127"/>
      <w:bookmarkEnd w:id="128"/>
    </w:p>
    <w:p w14:paraId="39051F95" w14:textId="4759E3BA" w:rsidR="00682A5B" w:rsidRPr="00B768A1" w:rsidRDefault="3605BDAC" w:rsidP="00634A83">
      <w:r w:rsidRPr="00B768A1">
        <w:t>As discussed in</w:t>
      </w:r>
      <w:r w:rsidR="265166C4">
        <w:t xml:space="preserve"> </w:t>
      </w:r>
      <w:r w:rsidR="094D7854" w:rsidRPr="00F833FC">
        <w:rPr>
          <w:b/>
          <w:bCs/>
        </w:rPr>
        <w:t>Prevention</w:t>
      </w:r>
      <w:r w:rsidR="094D7854" w:rsidRPr="59485962">
        <w:rPr>
          <w:b/>
          <w:bCs/>
        </w:rPr>
        <w:t xml:space="preserve"> </w:t>
      </w:r>
      <w:r w:rsidR="52B4ED72" w:rsidRPr="59485962">
        <w:rPr>
          <w:b/>
          <w:bCs/>
        </w:rPr>
        <w:t>of suicidal distress</w:t>
      </w:r>
      <w:r w:rsidRPr="00B768A1">
        <w:t>, feeling connected to other people</w:t>
      </w:r>
      <w:r w:rsidR="2086D968">
        <w:t xml:space="preserve"> and the community</w:t>
      </w:r>
      <w:r w:rsidRPr="00B768A1">
        <w:t xml:space="preserve"> helps to build wellbeing and reduce distress.</w:t>
      </w:r>
      <w:hyperlink w:anchor="_ENREF_39" w:tooltip="S, 2021 #131" w:history="1">
        <w:r w:rsidR="002D6F18" w:rsidRPr="00C363CE">
          <w:rPr>
            <w:vertAlign w:val="superscript"/>
          </w:rPr>
          <w:fldChar w:fldCharType="begin"/>
        </w:r>
        <w:r w:rsidR="002D6F18">
          <w:rPr>
            <w:vertAlign w:val="superscript"/>
          </w:rPr>
          <w:instrText xml:space="preserve"> ADDIN EN.CITE &lt;EndNote&gt;&lt;Cite&gt;&lt;Author&gt;S&lt;/Author&gt;&lt;Year&gt;2021&lt;/Year&gt;&lt;RecNum&gt;131&lt;/RecNum&gt;&lt;DisplayText&gt;&lt;style face="superscript"&gt;39&lt;/style&gt;&lt;/DisplayText&gt;&lt;record&gt;&lt;rec-number&gt;131&lt;/rec-number&gt;&lt;foreign-keys&gt;&lt;key app="EN" db-id="rsettzd2isasdweewww55s9lffasxav0d0ft" timestamp="1700699468" guid="80ba55dc-d9b2-4120-8d0b-55458dafa6c5"&gt;131&lt;/key&gt;&lt;/foreign-keys&gt;&lt;ref-type name="Journal Article"&gt;17&lt;/ref-type&gt;&lt;contributors&gt;&lt;authors&gt;&lt;author&gt;Dev S&lt;/author&gt;&lt;author&gt;Kim D&lt;/author&gt;&lt;/authors&gt;&lt;/contributors&gt;&lt;titles&gt;&lt;title&gt;State and County-Level Social Capital as Predictors of County-Level Suicide Rates in the United States: A Lagged Multilevel Study&lt;/title&gt;&lt;secondary-title&gt;Public Health Reports&lt;/secondary-title&gt;&lt;/titles&gt;&lt;periodical&gt;&lt;full-title&gt;Public Health Reports&lt;/full-title&gt;&lt;/periodical&gt;&lt;dates&gt;&lt;year&gt;2021&lt;/year&gt;&lt;/dates&gt;&lt;urls&gt;&lt;/urls&gt;&lt;electronic-resource-num&gt;10.1177/0033354920976555&lt;/electronic-resource-num&gt;&lt;/record&gt;&lt;/Cite&gt;&lt;/EndNote&gt;</w:instrText>
        </w:r>
        <w:r w:rsidR="002D6F18" w:rsidRPr="00C363CE">
          <w:rPr>
            <w:vertAlign w:val="superscript"/>
          </w:rPr>
          <w:fldChar w:fldCharType="separate"/>
        </w:r>
        <w:r w:rsidR="002D6F18">
          <w:rPr>
            <w:noProof/>
            <w:vertAlign w:val="superscript"/>
          </w:rPr>
          <w:t>39</w:t>
        </w:r>
        <w:r w:rsidR="002D6F18" w:rsidRPr="00C363CE">
          <w:rPr>
            <w:vertAlign w:val="superscript"/>
          </w:rPr>
          <w:fldChar w:fldCharType="end"/>
        </w:r>
      </w:hyperlink>
      <w:r w:rsidR="00C363CE" w:rsidRPr="00C363CE">
        <w:rPr>
          <w:vertAlign w:val="superscript"/>
        </w:rPr>
        <w:t>,</w:t>
      </w:r>
      <w:hyperlink w:anchor="_ENREF_40" w:tooltip="BD, 2009 #132" w:history="1">
        <w:r w:rsidR="002D6F18" w:rsidRPr="00C363CE">
          <w:rPr>
            <w:vertAlign w:val="superscript"/>
          </w:rPr>
          <w:fldChar w:fldCharType="begin"/>
        </w:r>
        <w:r w:rsidR="002D6F18">
          <w:rPr>
            <w:vertAlign w:val="superscript"/>
          </w:rPr>
          <w:instrText xml:space="preserve"> ADDIN EN.CITE &lt;EndNote&gt;&lt;Cite&gt;&lt;Author&gt;BD&lt;/Author&gt;&lt;Year&gt;2009&lt;/Year&gt;&lt;RecNum&gt;132&lt;/RecNum&gt;&lt;DisplayText&gt;&lt;style face="superscript"&gt;40&lt;/style&gt;&lt;/DisplayText&gt;&lt;record&gt;&lt;rec-number&gt;132&lt;/rec-number&gt;&lt;foreign-keys&gt;&lt;key app="EN" db-id="rsettzd2isasdweewww55s9lffasxav0d0ft" timestamp="1700699468" guid="b80467e6-c5a8-4942-9246-1c06e978a8f6"&gt;132&lt;/key&gt;&lt;/foreign-keys&gt;&lt;ref-type name="Journal Article"&gt;17&lt;/ref-type&gt;&lt;contributors&gt;&lt;authors&gt;&lt;author&gt;Kelly BD&lt;/author&gt;&lt;author&gt;Davoren M&lt;/author&gt;&lt;author&gt;Mhaoláin ÁN&lt;/author&gt;&lt;author&gt;Breen EG&lt;/author&gt;&lt;author&gt;Casey P&lt;/author&gt;&lt;/authors&gt;&lt;/contributors&gt;&lt;titles&gt;&lt;title&gt;Social Capital and Suicide in 11 European Countries: An Ecological Analysis&lt;/title&gt;&lt;secondary-title&gt;Social Psychiatry and Psychiatric Epidemiology&lt;/secondary-title&gt;&lt;/titles&gt;&lt;periodical&gt;&lt;full-title&gt;Social Psychiatry and Psychiatric Epidemiology&lt;/full-title&gt;&lt;/periodical&gt;&lt;dates&gt;&lt;year&gt;2009&lt;/year&gt;&lt;/dates&gt;&lt;urls&gt;&lt;/urls&gt;&lt;electronic-resource-num&gt;DOI: 10.1007/s00127-009-0018-4&lt;/electronic-resource-num&gt;&lt;/record&gt;&lt;/Cite&gt;&lt;/EndNote&gt;</w:instrText>
        </w:r>
        <w:r w:rsidR="002D6F18" w:rsidRPr="00C363CE">
          <w:rPr>
            <w:vertAlign w:val="superscript"/>
          </w:rPr>
          <w:fldChar w:fldCharType="separate"/>
        </w:r>
        <w:r w:rsidR="002D6F18">
          <w:rPr>
            <w:noProof/>
            <w:vertAlign w:val="superscript"/>
          </w:rPr>
          <w:t>40</w:t>
        </w:r>
        <w:r w:rsidR="002D6F18" w:rsidRPr="00C363CE">
          <w:rPr>
            <w:vertAlign w:val="superscript"/>
          </w:rPr>
          <w:fldChar w:fldCharType="end"/>
        </w:r>
      </w:hyperlink>
      <w:r w:rsidR="00C363CE" w:rsidRPr="00C363CE">
        <w:rPr>
          <w:vertAlign w:val="superscript"/>
        </w:rPr>
        <w:t>,</w:t>
      </w:r>
      <w:hyperlink w:anchor="_ENREF_41" w:tooltip="AE, 2013 #133" w:history="1">
        <w:r w:rsidR="002D6F18" w:rsidRPr="00C363CE">
          <w:rPr>
            <w:vertAlign w:val="superscript"/>
          </w:rPr>
          <w:fldChar w:fldCharType="begin"/>
        </w:r>
        <w:r w:rsidR="002D6F18">
          <w:rPr>
            <w:vertAlign w:val="superscript"/>
          </w:rPr>
          <w:instrText xml:space="preserve"> ADDIN EN.CITE &lt;EndNote&gt;&lt;Cite&gt;&lt;Author&gt;AE&lt;/Author&gt;&lt;Year&gt;2013&lt;/Year&gt;&lt;RecNum&gt;133&lt;/RecNum&gt;&lt;DisplayText&gt;&lt;style face="superscript"&gt;41&lt;/style&gt;&lt;/DisplayText&gt;&lt;record&gt;&lt;rec-number&gt;133&lt;/rec-number&gt;&lt;foreign-keys&gt;&lt;key app="EN" db-id="rsettzd2isasdweewww55s9lffasxav0d0ft" timestamp="1700699468" guid="abc4fefb-cddc-4bb4-9b48-352bb65bbd4e"&gt;133&lt;/key&gt;&lt;/foreign-keys&gt;&lt;ref-type name="Journal Article"&gt;17&lt;/ref-type&gt;&lt;contributors&gt;&lt;authors&gt;&lt;author&gt;Kunst AE&lt;/author&gt;&lt;author&gt;van Hooijdonk C&lt;/author&gt;&lt;author&gt;Droomers M&lt;/author&gt;&lt;author&gt;Mackenbach JP&lt;/author&gt;&lt;/authors&gt;&lt;/contributors&gt;&lt;titles&gt;&lt;title&gt;Community Social Capital and Suicide Mortality in the Netherlands: A Cross-Sectional Registry-Based Study&lt;/title&gt;&lt;secondary-title&gt;BMC Public Health&lt;/secondary-title&gt;&lt;/titles&gt;&lt;periodical&gt;&lt;full-title&gt;BMC Public Health&lt;/full-title&gt;&lt;/periodical&gt;&lt;dates&gt;&lt;year&gt;2013&lt;/year&gt;&lt;/dates&gt;&lt;urls&gt;&lt;/urls&gt;&lt;electronic-resource-num&gt;DOI: 10.1186/1471-2458-13-969&lt;/electronic-resource-num&gt;&lt;/record&gt;&lt;/Cite&gt;&lt;/EndNote&gt;</w:instrText>
        </w:r>
        <w:r w:rsidR="002D6F18" w:rsidRPr="00C363CE">
          <w:rPr>
            <w:vertAlign w:val="superscript"/>
          </w:rPr>
          <w:fldChar w:fldCharType="separate"/>
        </w:r>
        <w:r w:rsidR="002D6F18">
          <w:rPr>
            <w:noProof/>
            <w:vertAlign w:val="superscript"/>
          </w:rPr>
          <w:t>41</w:t>
        </w:r>
        <w:r w:rsidR="002D6F18" w:rsidRPr="00C363CE">
          <w:rPr>
            <w:vertAlign w:val="superscript"/>
          </w:rPr>
          <w:fldChar w:fldCharType="end"/>
        </w:r>
      </w:hyperlink>
      <w:r w:rsidR="00C363CE">
        <w:t xml:space="preserve"> </w:t>
      </w:r>
      <w:r w:rsidRPr="00B768A1">
        <w:t xml:space="preserve">Building wellbeing through improving social </w:t>
      </w:r>
      <w:r w:rsidR="00A630AC">
        <w:t>connection</w:t>
      </w:r>
      <w:r w:rsidRPr="00B768A1">
        <w:t xml:space="preserve"> has a protective effect against suicide by cushioning the impact of risk factors.</w:t>
      </w:r>
      <w:hyperlink w:anchor="_ENREF_36" w:tooltip="J, 2022 #916" w:history="1">
        <w:r w:rsidR="002D6F18">
          <w:fldChar w:fldCharType="begin"/>
        </w:r>
        <w:r w:rsidR="002D6F18">
          <w:instrText xml:space="preserve"> ADDIN EN.CITE &lt;EndNote&gt;&lt;Cite&gt;&lt;Author&gt;J&lt;/Author&gt;&lt;Year&gt;2022&lt;/Year&gt;&lt;RecNum&gt;43&lt;/RecNum&gt;&lt;DisplayText&gt;&lt;style face="superscript"&gt;36&lt;/style&gt;&lt;/DisplayText&gt;&lt;record&gt;&lt;rec-number&gt;43&lt;/rec-number&gt;&lt;foreign-keys&gt;&lt;key app="EN" db-id="rsettzd2isasdweewww55s9lffasxav0d0ft" timestamp="1700699466" guid="3a8717cb-fce2-43a5-854b-586027b067a0"&gt;43&lt;/key&gt;&lt;/foreign-keys&gt;&lt;ref-type name="Web Page"&gt;12&lt;/ref-type&gt;&lt;contributors&gt;&lt;authors&gt;&lt;author&gt;Pirkis J&lt;/author&gt;&lt;author&gt;Robinson J&lt;/author&gt;&lt;author&gt;Gunnell D&lt;/author&gt;&lt;author&gt;Hawton K&lt;/author&gt;&lt;author&gt;Hetrick S&lt;/author&gt;&lt;author&gt;Niederkrotenthaler T&lt;/author&gt;&lt;author&gt;Sinyor M&lt;/author&gt;&lt;author&gt;Yip P&lt;/author&gt;&lt;/authors&gt;&lt;tertiary-authors&gt;&lt;author&gt;Centre for Mental Health, The University of Melbourne&lt;/author&gt;&lt;/tertiary-authors&gt;&lt;/contributors&gt;&lt;titles&gt;&lt;title&gt;Understanding Suicide and Self-Harm&lt;/title&gt;&lt;/titles&gt;&lt;dates&gt;&lt;year&gt;2022&lt;/year&gt;&lt;/dates&gt;&lt;pub-location&gt;Melbourne&lt;/pub-location&gt;&lt;work-type&gt;Internet&lt;/work-type&gt;&lt;urls&gt;&lt;related-urls&gt;&lt;url&gt;Link to be updated once available&lt;/url&gt;&lt;/related-urls&gt;&lt;/urls&gt;&lt;custom1&gt;2023&lt;/custom1&gt;&lt;custom2&gt;October 23&lt;/custom2&gt;&lt;/record&gt;&lt;/Cite&gt;&lt;/EndNote&gt;</w:instrText>
        </w:r>
        <w:r w:rsidR="002D6F18">
          <w:fldChar w:fldCharType="separate"/>
        </w:r>
        <w:r w:rsidR="002D6F18" w:rsidRPr="0082082D">
          <w:rPr>
            <w:noProof/>
            <w:vertAlign w:val="superscript"/>
          </w:rPr>
          <w:t>36</w:t>
        </w:r>
        <w:r w:rsidR="002D6F18">
          <w:fldChar w:fldCharType="end"/>
        </w:r>
      </w:hyperlink>
      <w:r w:rsidRPr="00B768A1">
        <w:t xml:space="preserve"> </w:t>
      </w:r>
    </w:p>
    <w:p w14:paraId="203EB88D" w14:textId="742B866F" w:rsidR="00682A5B" w:rsidRPr="00B768A1" w:rsidRDefault="7C0C3A9E" w:rsidP="00634A83">
      <w:r w:rsidRPr="00B768A1">
        <w:t xml:space="preserve">Equipping people to build greater </w:t>
      </w:r>
      <w:r w:rsidR="7A8897DE" w:rsidRPr="00B768A1">
        <w:t>self-efficacy</w:t>
      </w:r>
      <w:r w:rsidR="01FB3E5C" w:rsidRPr="00B768A1">
        <w:t xml:space="preserve"> </w:t>
      </w:r>
      <w:r w:rsidR="5F4BF8D3" w:rsidRPr="00B768A1">
        <w:t xml:space="preserve">and </w:t>
      </w:r>
      <w:r w:rsidR="68D30CD5" w:rsidRPr="00B768A1">
        <w:t>develop and sustain</w:t>
      </w:r>
      <w:r w:rsidR="49E31462" w:rsidRPr="20F56C59">
        <w:t xml:space="preserve"> personal and community supports is therefore key to recovery following suicidal distress and crisis, and a necessary component of an effective approach to suicide prevention.</w:t>
      </w:r>
    </w:p>
    <w:p w14:paraId="4EC175A6" w14:textId="7346B0CC" w:rsidR="00AF0CE0" w:rsidRPr="00B768A1" w:rsidRDefault="00AF0CE0" w:rsidP="00634A83">
      <w:pPr>
        <w:pStyle w:val="BT-Livedexperience-Green-Heading"/>
      </w:pPr>
      <w:r w:rsidRPr="00B768A1">
        <w:t xml:space="preserve">What </w:t>
      </w:r>
      <w:r w:rsidR="00DE14DA">
        <w:t xml:space="preserve">do </w:t>
      </w:r>
      <w:r w:rsidRPr="00B768A1">
        <w:t xml:space="preserve">we </w:t>
      </w:r>
      <w:r w:rsidR="00DE14DA">
        <w:t xml:space="preserve">need </w:t>
      </w:r>
      <w:r w:rsidRPr="00B768A1">
        <w:t>to achieve?</w:t>
      </w:r>
    </w:p>
    <w:p w14:paraId="43C25FE2" w14:textId="77777777" w:rsidR="0009765A" w:rsidRDefault="00AF0CE0" w:rsidP="00634A83">
      <w:pPr>
        <w:pStyle w:val="BT-Livedexperience-Green"/>
      </w:pPr>
      <w:r w:rsidRPr="00B768A1">
        <w:t xml:space="preserve">People who have experienced suicidal thoughts and behaviours feel increased wellbeing through enhanced connection to supports, social-networks, community, </w:t>
      </w:r>
      <w:r w:rsidR="00614EEA" w:rsidRPr="00B768A1">
        <w:t>and culture</w:t>
      </w:r>
      <w:r w:rsidRPr="00B768A1">
        <w:t>.</w:t>
      </w:r>
    </w:p>
    <w:p w14:paraId="72B78632" w14:textId="10A09C1E" w:rsidR="00AF0CE0" w:rsidRPr="00B768A1" w:rsidRDefault="00AF0CE0" w:rsidP="00634A83">
      <w:pPr>
        <w:pStyle w:val="BT-Livedexperience-Green"/>
      </w:pPr>
      <w:r w:rsidRPr="00B768A1">
        <w:t>Families, carers and kin are empowered in their caring role and experience increased wellbeing by being supported through the impacts of their caring role.</w:t>
      </w:r>
    </w:p>
    <w:p w14:paraId="213ACE45" w14:textId="3C3E831C" w:rsidR="00682A5B" w:rsidRPr="00B768A1" w:rsidRDefault="51991AA4" w:rsidP="00D81ABA">
      <w:pPr>
        <w:pStyle w:val="heading3support"/>
      </w:pPr>
      <w:r>
        <w:t>10</w:t>
      </w:r>
      <w:r w:rsidR="00682A5B" w:rsidRPr="00B768A1">
        <w:t xml:space="preserve">.1 </w:t>
      </w:r>
      <w:r w:rsidR="004B221E" w:rsidRPr="00B768A1">
        <w:t>Reconnect with and s</w:t>
      </w:r>
      <w:r w:rsidR="00682A5B" w:rsidRPr="00B768A1">
        <w:t>trengthen personal support networks</w:t>
      </w:r>
    </w:p>
    <w:p w14:paraId="20581FF2" w14:textId="58FDB19F" w:rsidR="00682A5B" w:rsidRPr="00B768A1" w:rsidRDefault="4CE7211C" w:rsidP="00634A83">
      <w:pPr>
        <w:rPr>
          <w:rFonts w:eastAsiaTheme="minorEastAsia"/>
        </w:rPr>
      </w:pPr>
      <w:r w:rsidRPr="59485962">
        <w:t>P</w:t>
      </w:r>
      <w:r w:rsidR="3605BDAC" w:rsidRPr="59485962">
        <w:t>ersonal support networks</w:t>
      </w:r>
      <w:r w:rsidR="6DFB47CC" w:rsidRPr="59485962">
        <w:t>—</w:t>
      </w:r>
      <w:r w:rsidR="3605BDAC" w:rsidRPr="59485962">
        <w:t>that is, families, carers and kin</w:t>
      </w:r>
      <w:r w:rsidR="5896AD2C" w:rsidRPr="59485962">
        <w:t>, as well as other supports including friends and colleagues</w:t>
      </w:r>
      <w:r w:rsidR="6DFB47CC" w:rsidRPr="59485962">
        <w:t>—</w:t>
      </w:r>
      <w:r w:rsidRPr="59485962">
        <w:t xml:space="preserve">are </w:t>
      </w:r>
      <w:r w:rsidR="71DE2CB6" w:rsidRPr="59485962">
        <w:t>essential</w:t>
      </w:r>
      <w:r w:rsidR="3605BDAC" w:rsidRPr="59485962">
        <w:t xml:space="preserve"> to people who experience suicidal thoughts and behaviours. </w:t>
      </w:r>
      <w:bookmarkStart w:id="129" w:name="_Hlk151658314"/>
      <w:r w:rsidR="6E7CE861" w:rsidRPr="59485962">
        <w:t>S</w:t>
      </w:r>
      <w:r w:rsidR="3605BDAC" w:rsidRPr="59485962">
        <w:t>upport from families, carers and kin</w:t>
      </w:r>
      <w:r w:rsidR="25156064" w:rsidRPr="00B768A1">
        <w:t xml:space="preserve"> </w:t>
      </w:r>
      <w:r w:rsidR="3605BDAC" w:rsidRPr="59485962">
        <w:t xml:space="preserve">can </w:t>
      </w:r>
      <w:r w:rsidR="7FBB0384" w:rsidRPr="000431B6">
        <w:rPr>
          <w:rFonts w:eastAsia="Century Gothic"/>
        </w:rPr>
        <w:t>alleviate the distress and isolation associated with suicidal thoughts and behaviours</w:t>
      </w:r>
      <w:r w:rsidR="7FBB0384" w:rsidRPr="00F833FC">
        <w:rPr>
          <w:rFonts w:ascii="Century Gothic" w:eastAsia="Century Gothic" w:hAnsi="Century Gothic" w:cs="Century Gothic"/>
          <w:sz w:val="19"/>
          <w:szCs w:val="19"/>
        </w:rPr>
        <w:t>,</w:t>
      </w:r>
      <w:r w:rsidR="7FBB0384" w:rsidRPr="59485962">
        <w:rPr>
          <w:rFonts w:ascii="Century Gothic" w:eastAsia="Century Gothic" w:hAnsi="Century Gothic" w:cs="Century Gothic"/>
        </w:rPr>
        <w:t xml:space="preserve"> </w:t>
      </w:r>
      <w:r w:rsidR="3605BDAC" w:rsidRPr="59485962">
        <w:t>assist recovery following a suicidal crisis and facilitate future disclosures of suicidal distress, thereby reducing the risk of future suicide attempts.</w:t>
      </w:r>
      <w:bookmarkEnd w:id="129"/>
      <w:r w:rsidR="002D6F18">
        <w:fldChar w:fldCharType="begin"/>
      </w:r>
      <w:r w:rsidR="002D6F18">
        <w:instrText xml:space="preserve"> HYPERLINK \l "_ENREF_272" \o "LM, 2016 #270" </w:instrText>
      </w:r>
      <w:r w:rsidR="002D6F18">
        <w:fldChar w:fldCharType="separate"/>
      </w:r>
      <w:r w:rsidR="002D6F18" w:rsidRPr="00C363CE">
        <w:rPr>
          <w:vertAlign w:val="superscript"/>
        </w:rPr>
        <w:fldChar w:fldCharType="begin"/>
      </w:r>
      <w:r w:rsidR="002D6F18">
        <w:rPr>
          <w:vertAlign w:val="superscript"/>
        </w:rPr>
        <w:instrText xml:space="preserve"> ADDIN EN.CITE &lt;EndNote&gt;&lt;Cite&gt;&lt;Author&gt;LM&lt;/Author&gt;&lt;Year&gt;2016&lt;/Year&gt;&lt;RecNum&gt;270&lt;/RecNum&gt;&lt;DisplayText&gt;&lt;style face="superscript"&gt;272&lt;/style&gt;&lt;/DisplayText&gt;&lt;record&gt;&lt;rec-number&gt;270&lt;/rec-number&gt;&lt;foreign-keys&gt;&lt;key app="EN" db-id="rsettzd2isasdweewww55s9lffasxav0d0ft" timestamp="1700699470" guid="c64adeea-426a-4280-9e1b-f72d42af7077"&gt;270&lt;/key&gt;&lt;/foreign-keys&gt;&lt;ref-type name="Journal Article"&gt;17&lt;/ref-type&gt;&lt;contributors&gt;&lt;authors&gt;&lt;author&gt;Frey LM&lt;/author&gt;&lt;author&gt;Hans JD&lt;/author&gt;&lt;author&gt;Cerel J&lt;/author&gt;&lt;/authors&gt;&lt;/contributors&gt;&lt;titles&gt;&lt;title&gt;Suicide Disclosure in Suicide Attempt Survivors: Does Family Reaction Moderate or Mediate Disclosure&amp;apos;s Effect on Depression?&lt;/title&gt;&lt;secondary-title&gt;Suicide and Life‐Threatening Behavior&lt;/secondary-title&gt;&lt;/titles&gt;&lt;periodical&gt;&lt;full-title&gt;Suicide and Life‐Threatening Behavior&lt;/full-title&gt;&lt;/periodical&gt;&lt;dates&gt;&lt;year&gt;2016&lt;/year&gt;&lt;/dates&gt;&lt;urls&gt;&lt;/urls&gt;&lt;electronic-resource-num&gt;DOI: 10.1111/sltb.12175&lt;/electronic-resource-num&gt;&lt;/record&gt;&lt;/Cite&gt;&lt;/EndNote&gt;</w:instrText>
      </w:r>
      <w:r w:rsidR="002D6F18" w:rsidRPr="00C363CE">
        <w:rPr>
          <w:vertAlign w:val="superscript"/>
        </w:rPr>
        <w:fldChar w:fldCharType="separate"/>
      </w:r>
      <w:r w:rsidR="002D6F18">
        <w:rPr>
          <w:noProof/>
          <w:vertAlign w:val="superscript"/>
        </w:rPr>
        <w:t>272</w:t>
      </w:r>
      <w:r w:rsidR="002D6F18" w:rsidRPr="00C363CE">
        <w:rPr>
          <w:vertAlign w:val="superscript"/>
        </w:rPr>
        <w:fldChar w:fldCharType="end"/>
      </w:r>
      <w:r w:rsidR="002D6F18">
        <w:fldChar w:fldCharType="end"/>
      </w:r>
      <w:r w:rsidR="00C363CE" w:rsidRPr="00C363CE">
        <w:rPr>
          <w:vertAlign w:val="superscript"/>
        </w:rPr>
        <w:t>,</w:t>
      </w:r>
      <w:hyperlink w:anchor="_ENREF_273" w:tooltip="LM, 2017 #85" w:history="1">
        <w:r w:rsidR="002D6F18">
          <w:fldChar w:fldCharType="begin"/>
        </w:r>
        <w:r w:rsidR="002D6F18">
          <w:instrText xml:space="preserve"> ADDIN EN.CITE &lt;EndNote&gt;&lt;Cite&gt;&lt;Author&gt;LM&lt;/Author&gt;&lt;Year&gt;2017&lt;/Year&gt;&lt;RecNum&gt;85&lt;/RecNum&gt;&lt;DisplayText&gt;&lt;style face="superscript"&gt;273&lt;/style&gt;&lt;/DisplayText&gt;&lt;record&gt;&lt;rec-number&gt;85&lt;/rec-number&gt;&lt;foreign-keys&gt;&lt;key app="EN" db-id="rsettzd2isasdweewww55s9lffasxav0d0ft" timestamp="1700699467" guid="315a1841-ee8e-4712-8062-9144b36e5e0b"&gt;85&lt;/key&gt;&lt;/foreign-keys&gt;&lt;ref-type name="Journal Article"&gt;17&lt;/ref-type&gt;&lt;contributors&gt;&lt;authors&gt;&lt;author&gt;Frey LM&lt;/author&gt;&lt;author&gt;Fulginiti A&lt;/author&gt;&lt;/authors&gt;&lt;/contributors&gt;&lt;titles&gt;&lt;title&gt;Talking About Suicide May Not be Enough: Family Reaction as a Mediator Between Disclosure and Interpersonal Needs&lt;/title&gt;&lt;secondary-title&gt;Journal of Mental Health&lt;/secondary-title&gt;&lt;/titles&gt;&lt;periodical&gt;&lt;full-title&gt;Journal of Mental Health&lt;/full-title&gt;&lt;/periodical&gt;&lt;dates&gt;&lt;year&gt;2017&lt;/year&gt;&lt;/dates&gt;&lt;urls&gt;&lt;/urls&gt;&lt;electronic-resource-num&gt;DOI: 10.1080/09638237.2017.1340592&lt;/electronic-resource-num&gt;&lt;/record&gt;&lt;/Cite&gt;&lt;/EndNote&gt;</w:instrText>
        </w:r>
        <w:r w:rsidR="002D6F18">
          <w:fldChar w:fldCharType="separate"/>
        </w:r>
        <w:r w:rsidR="002D6F18" w:rsidRPr="00C559B5">
          <w:rPr>
            <w:noProof/>
            <w:vertAlign w:val="superscript"/>
          </w:rPr>
          <w:t>273</w:t>
        </w:r>
        <w:r w:rsidR="002D6F18">
          <w:fldChar w:fldCharType="end"/>
        </w:r>
      </w:hyperlink>
      <w:r w:rsidR="00C363CE">
        <w:t xml:space="preserve"> </w:t>
      </w:r>
      <w:r w:rsidR="2E01BB45" w:rsidRPr="59485962">
        <w:t xml:space="preserve">It is important to note that not all </w:t>
      </w:r>
      <w:r w:rsidR="2E01BB45" w:rsidRPr="7E232F61">
        <w:rPr>
          <w:rFonts w:eastAsiaTheme="minorEastAsia"/>
        </w:rPr>
        <w:t>families, carers and kin are safe and supportive, for example in the context of family violence, where including families, carers and kin could increase risk to a victim survivor.</w:t>
      </w:r>
    </w:p>
    <w:p w14:paraId="122C9B70" w14:textId="78C83E6F" w:rsidR="00682A5B" w:rsidRPr="00B768A1" w:rsidRDefault="3605BDAC" w:rsidP="00634A83">
      <w:bookmarkStart w:id="130" w:name="_Hlk151658342"/>
      <w:bookmarkStart w:id="131" w:name="_Hlk151658354"/>
      <w:r w:rsidRPr="7E232F61">
        <w:rPr>
          <w:rFonts w:cstheme="minorBidi"/>
        </w:rPr>
        <w:t>Including families, carers and kin in assessment</w:t>
      </w:r>
      <w:r w:rsidR="7A241FED" w:rsidRPr="7E232F61">
        <w:rPr>
          <w:rFonts w:cstheme="minorBidi"/>
        </w:rPr>
        <w:t>, care planning</w:t>
      </w:r>
      <w:r w:rsidRPr="7E232F61">
        <w:rPr>
          <w:rFonts w:cstheme="minorBidi"/>
        </w:rPr>
        <w:t xml:space="preserve"> and support for people with suicidal thoughts and behaviours </w:t>
      </w:r>
      <w:r w:rsidRPr="00B768A1">
        <w:t xml:space="preserve">may contribute to better outcomes, </w:t>
      </w:r>
      <w:r w:rsidR="3248175D" w:rsidRPr="00B768A1">
        <w:t xml:space="preserve">especially </w:t>
      </w:r>
      <w:r w:rsidRPr="00B768A1">
        <w:t>if interventions help to strengthen relationships or involve support people in the collaborative development and implementation of safety plans.</w:t>
      </w:r>
      <w:hyperlink w:anchor="_ENREF_274" w:tooltip="TM, 2021 #248" w:history="1">
        <w:r w:rsidR="002D6F18">
          <w:fldChar w:fldCharType="begin"/>
        </w:r>
        <w:r w:rsidR="002D6F18">
          <w:instrText xml:space="preserve"> ADDIN EN.CITE &lt;EndNote&gt;&lt;Cite&gt;&lt;Author&gt;TM&lt;/Author&gt;&lt;Year&gt;2021&lt;/Year&gt;&lt;RecNum&gt;248&lt;/RecNum&gt;&lt;DisplayText&gt;&lt;style face="superscript"&gt;274&lt;/style&gt;&lt;/DisplayText&gt;&lt;record&gt;&lt;rec-number&gt;248&lt;/rec-number&gt;&lt;foreign-keys&gt;&lt;key app="EN" db-id="rsettzd2isasdweewww55s9lffasxav0d0ft" timestamp="1700699470" guid="7d1de297-31cf-418e-94b3-5f896bde7b10"&gt;248&lt;/key&gt;&lt;/foreign-keys&gt;&lt;ref-type name="Journal Article"&gt;17&lt;/ref-type&gt;&lt;contributors&gt;&lt;authors&gt;&lt;author&gt;Edwards TM&lt;/author&gt;&lt;author&gt;Patterson JE&lt;/author&gt;&lt;author&gt;Griffith JL&lt;/author&gt;&lt;/authors&gt;&lt;/contributors&gt;&lt;titles&gt;&lt;title&gt;Suicide Prevention: The Role of Families and Carers&lt;/title&gt;&lt;secondary-title&gt;Asia‐Pacific Psychiatry&lt;/secondary-title&gt;&lt;/titles&gt;&lt;periodical&gt;&lt;full-title&gt;Asia‐Pacific Psychiatry&lt;/full-title&gt;&lt;/periodical&gt;&lt;dates&gt;&lt;year&gt;2021&lt;/year&gt;&lt;/dates&gt;&lt;urls&gt;&lt;/urls&gt;&lt;electronic-resource-num&gt;DOI: 10.1111/appy.12453&lt;/electronic-resource-num&gt;&lt;/record&gt;&lt;/Cite&gt;&lt;/EndNote&gt;</w:instrText>
        </w:r>
        <w:r w:rsidR="002D6F18">
          <w:fldChar w:fldCharType="separate"/>
        </w:r>
        <w:r w:rsidR="002D6F18" w:rsidRPr="00C559B5">
          <w:rPr>
            <w:noProof/>
            <w:vertAlign w:val="superscript"/>
          </w:rPr>
          <w:t>274</w:t>
        </w:r>
        <w:r w:rsidR="002D6F18">
          <w:fldChar w:fldCharType="end"/>
        </w:r>
      </w:hyperlink>
      <w:r w:rsidR="00A90E5B" w:rsidRPr="00980AE0">
        <w:rPr>
          <w:vertAlign w:val="superscript"/>
        </w:rPr>
        <w:t>,</w:t>
      </w:r>
      <w:hyperlink w:anchor="_ENREF_275" w:tooltip="Maple, 2020 #1126" w:history="1">
        <w:r w:rsidR="002D6F18">
          <w:fldChar w:fldCharType="begin"/>
        </w:r>
        <w:r w:rsidR="002D6F18">
          <w:instrText xml:space="preserve"> ADDIN EN.CITE &lt;EndNote&gt;&lt;Cite&gt;&lt;Author&gt;Maple&lt;/Author&gt;&lt;Year&gt;2020&lt;/Year&gt;&lt;RecNum&gt;1126&lt;/RecNum&gt;&lt;DisplayText&gt;&lt;style face="superscript"&gt;275&lt;/style&gt;&lt;/DisplayText&gt;&lt;record&gt;&lt;rec-number&gt;1126&lt;/rec-number&gt;&lt;foreign-keys&gt;&lt;key app="EN" db-id="rsettzd2isasdweewww55s9lffasxav0d0ft" timestamp="1720519344" guid="031ec8ab-4e0e-4c7c-b196-313d74a5d8ba"&gt;1126&lt;/key&gt;&lt;/foreign-keys&gt;&lt;ref-type name="Book"&gt;6&lt;/ref-type&gt;&lt;contributors&gt;&lt;authors&gt;&lt;author&gt;Maple, Myfanwy&lt;/author&gt;&lt;author&gt;Wayland, Sarah&lt;/author&gt;&lt;author&gt;McMahon, Andrew&lt;/author&gt;&lt;author&gt;McGill, Katie&lt;/author&gt;&lt;author&gt;Bhullar, Navjot&lt;/author&gt;&lt;/authors&gt;&lt;/contributors&gt;&lt;titles&gt;&lt;title&gt;“Suicide can’t always be prevented, but it can be postponed” Lived experiences of providing care and support to people who suicide attempt, and those who have gone on to die by suicide A report prepared for the National Suicide Prevention Advisor and National Suicide Prevention Taskforce&lt;/title&gt;&lt;/titles&gt;&lt;dates&gt;&lt;year&gt;2020&lt;/year&gt;&lt;/dates&gt;&lt;urls&gt;&lt;/urls&gt;&lt;/record&gt;&lt;/Cite&gt;&lt;/EndNote&gt;</w:instrText>
        </w:r>
        <w:r w:rsidR="002D6F18">
          <w:fldChar w:fldCharType="separate"/>
        </w:r>
        <w:r w:rsidR="002D6F18" w:rsidRPr="00C559B5">
          <w:rPr>
            <w:noProof/>
            <w:vertAlign w:val="superscript"/>
          </w:rPr>
          <w:t>275</w:t>
        </w:r>
        <w:r w:rsidR="002D6F18">
          <w:fldChar w:fldCharType="end"/>
        </w:r>
      </w:hyperlink>
      <w:r w:rsidR="00A90E5B">
        <w:t xml:space="preserve"> </w:t>
      </w:r>
      <w:r w:rsidRPr="7E232F61">
        <w:rPr>
          <w:rFonts w:cstheme="minorBidi"/>
        </w:rPr>
        <w:t xml:space="preserve">Families, carers and kin </w:t>
      </w:r>
      <w:r w:rsidRPr="00B768A1">
        <w:t>may also contribute vital information not recalled by the person experiencing suicidal distress</w:t>
      </w:r>
      <w:r w:rsidR="7A241FED" w:rsidRPr="00B768A1">
        <w:t xml:space="preserve"> </w:t>
      </w:r>
      <w:r w:rsidR="7A241FED" w:rsidRPr="7E232F61">
        <w:rPr>
          <w:rFonts w:cstheme="minorBidi"/>
        </w:rPr>
        <w:t>(</w:t>
      </w:r>
      <w:r w:rsidR="11770CB0" w:rsidRPr="7E232F61">
        <w:rPr>
          <w:rFonts w:cstheme="minorBidi"/>
        </w:rPr>
        <w:t>action ko</w:t>
      </w:r>
      <w:r w:rsidR="668B34E1" w:rsidRPr="7E232F61">
        <w:rPr>
          <w:rFonts w:cstheme="minorBidi"/>
        </w:rPr>
        <w:t>10</w:t>
      </w:r>
      <w:r w:rsidR="7A241FED" w:rsidRPr="7E232F61">
        <w:rPr>
          <w:rFonts w:cstheme="minorBidi"/>
        </w:rPr>
        <w:t>.1a)</w:t>
      </w:r>
      <w:r w:rsidR="0B8A62CD" w:rsidRPr="00B768A1">
        <w:t>.</w:t>
      </w:r>
      <w:hyperlink w:anchor="_ENREF_274" w:tooltip="TM, 2021 #248" w:history="1">
        <w:r w:rsidR="002D6F18">
          <w:fldChar w:fldCharType="begin"/>
        </w:r>
        <w:r w:rsidR="002D6F18">
          <w:instrText xml:space="preserve"> ADDIN EN.CITE &lt;EndNote&gt;&lt;Cite&gt;&lt;Author&gt;TM&lt;/Author&gt;&lt;Year&gt;2021&lt;/Year&gt;&lt;RecNum&gt;248&lt;/RecNum&gt;&lt;DisplayText&gt;&lt;style face="superscript"&gt;274&lt;/style&gt;&lt;/DisplayText&gt;&lt;record&gt;&lt;rec-number&gt;248&lt;/rec-number&gt;&lt;foreign-keys&gt;&lt;key app="EN" db-id="rsettzd2isasdweewww55s9lffasxav0d0ft" timestamp="1700699470" guid="7d1de297-31cf-418e-94b3-5f896bde7b10"&gt;248&lt;/key&gt;&lt;/foreign-keys&gt;&lt;ref-type name="Journal Article"&gt;17&lt;/ref-type&gt;&lt;contributors&gt;&lt;authors&gt;&lt;author&gt;Edwards TM&lt;/author&gt;&lt;author&gt;Patterson JE&lt;/author&gt;&lt;author&gt;Griffith JL&lt;/author&gt;&lt;/authors&gt;&lt;/contributors&gt;&lt;titles&gt;&lt;title&gt;Suicide Prevention: The Role of Families and Carers&lt;/title&gt;&lt;secondary-title&gt;Asia‐Pacific Psychiatry&lt;/secondary-title&gt;&lt;/titles&gt;&lt;periodical&gt;&lt;full-title&gt;Asia‐Pacific Psychiatry&lt;/full-title&gt;&lt;/periodical&gt;&lt;dates&gt;&lt;year&gt;2021&lt;/year&gt;&lt;/dates&gt;&lt;urls&gt;&lt;/urls&gt;&lt;electronic-resource-num&gt;DOI: 10.1111/appy.12453&lt;/electronic-resource-num&gt;&lt;/record&gt;&lt;/Cite&gt;&lt;/EndNote&gt;</w:instrText>
        </w:r>
        <w:r w:rsidR="002D6F18">
          <w:fldChar w:fldCharType="separate"/>
        </w:r>
        <w:r w:rsidR="002D6F18" w:rsidRPr="00C559B5">
          <w:rPr>
            <w:noProof/>
            <w:vertAlign w:val="superscript"/>
          </w:rPr>
          <w:t>274</w:t>
        </w:r>
        <w:r w:rsidR="002D6F18">
          <w:fldChar w:fldCharType="end"/>
        </w:r>
      </w:hyperlink>
    </w:p>
    <w:bookmarkEnd w:id="130"/>
    <w:bookmarkEnd w:id="131"/>
    <w:p w14:paraId="12A6F442" w14:textId="0308495F" w:rsidR="15B79849" w:rsidRDefault="62414693" w:rsidP="00634A83">
      <w:pPr>
        <w:rPr>
          <w:vertAlign w:val="superscript"/>
        </w:rPr>
      </w:pPr>
      <w:r w:rsidRPr="00756397">
        <w:t xml:space="preserve">However, </w:t>
      </w:r>
      <w:r w:rsidRPr="00756397">
        <w:rPr>
          <w:rFonts w:eastAsia="Century Gothic"/>
        </w:rPr>
        <w:t xml:space="preserve">families, carers and kin need to be supported in this role. </w:t>
      </w:r>
      <w:r w:rsidRPr="00756397">
        <w:t>Families, carers and kin may experience distress in relation to their loved one’s suicidal thoughts and behaviours</w:t>
      </w:r>
      <w:r>
        <w:t xml:space="preserve"> as well as their caring role. Carer stress is reduced when </w:t>
      </w:r>
      <w:r w:rsidRPr="7E232F61">
        <w:rPr>
          <w:rFonts w:cstheme="minorBidi"/>
        </w:rPr>
        <w:t xml:space="preserve">families, carers and kin </w:t>
      </w:r>
      <w:r>
        <w:t>are confident and knowledgeable about how to support a loved one who experiences suicidal thoughts and behaviours, including following a suicide attempt; are confident their loved one is receiving good health care; and receive quality support themselves to address their own needs (</w:t>
      </w:r>
      <w:r w:rsidR="7F78835F">
        <w:t>ko</w:t>
      </w:r>
      <w:r w:rsidR="00EBC196">
        <w:t>10</w:t>
      </w:r>
      <w:r>
        <w:t>.1</w:t>
      </w:r>
      <w:r w:rsidR="1CED380A">
        <w:t>b</w:t>
      </w:r>
      <w:r w:rsidRPr="7E232F61">
        <w:rPr>
          <w:rFonts w:cstheme="minorBidi"/>
        </w:rPr>
        <w:t>).</w:t>
      </w:r>
      <w:hyperlink w:anchor="_ENREF_8" w:tooltip="M, 2023 #280" w:history="1">
        <w:r w:rsidR="002D6F18" w:rsidRPr="00A90E5B">
          <w:rPr>
            <w:rFonts w:cstheme="minorBidi"/>
            <w:vertAlign w:val="superscript"/>
          </w:rPr>
          <w:fldChar w:fldCharType="begin"/>
        </w:r>
        <w:r w:rsidR="002D6F18">
          <w:rPr>
            <w:rFonts w:cstheme="minorBidi"/>
            <w:vertAlign w:val="superscript"/>
          </w:rPr>
          <w:instrText xml:space="preserve"> ADDIN EN.CITE &lt;EndNote&gt;&lt;Cite&gt;&lt;Author&gt;M&lt;/Author&gt;&lt;Year&gt;2023&lt;/Year&gt;&lt;RecNum&gt;280&lt;/RecNum&gt;&lt;DisplayText&gt;&lt;style face="superscript"&gt;8&lt;/style&gt;&lt;/DisplayText&gt;&lt;record&gt;&lt;rec-number&gt;280&lt;/rec-number&gt;&lt;foreign-keys&gt;&lt;key app="EN" db-id="rsettzd2isasdweewww55s9lffasxav0d0ft" timestamp="1700699470" guid="340ffcf0-2373-43e8-8ccc-ceac853a4379"&gt;280&lt;/key&gt;&lt;/foreign-keys&gt;&lt;ref-type name="Journal Article"&gt;17&lt;/ref-type&gt;&lt;contributors&gt;&lt;authors&gt;&lt;author&gt;Maple M&lt;/author&gt;&lt;author&gt;Wayland S&lt;/author&gt;&lt;author&gt;Sanford RL&lt;/author&gt;&lt;author&gt;Bhullar N&lt;/author&gt;&lt;/authors&gt;&lt;/contributors&gt;&lt;titles&gt;&lt;title&gt;Predictors of Caregiver Burden Among Carers of Suicide Attempt Survivors&lt;/title&gt;&lt;secondary-title&gt;Crisis: The Journal of Crisis Intervention and Suicide Prevention&lt;/secondary-title&gt;&lt;/titles&gt;&lt;periodical&gt;&lt;full-title&gt;Crisis: The Journal of Crisis Intervention and Suicide Prevention&lt;/full-title&gt;&lt;/periodical&gt;&lt;dates&gt;&lt;year&gt;2023&lt;/year&gt;&lt;/dates&gt;&lt;urls&gt;&lt;/urls&gt;&lt;electronic-resource-num&gt;DOI: 10.1027/0227-5910/a000836&lt;/electronic-resource-num&gt;&lt;/record&gt;&lt;/Cite&gt;&lt;/EndNote&gt;</w:instrText>
        </w:r>
        <w:r w:rsidR="002D6F18" w:rsidRPr="00A90E5B">
          <w:rPr>
            <w:rFonts w:cstheme="minorBidi"/>
            <w:vertAlign w:val="superscript"/>
          </w:rPr>
          <w:fldChar w:fldCharType="separate"/>
        </w:r>
        <w:r w:rsidR="002D6F18">
          <w:rPr>
            <w:rFonts w:cstheme="minorBidi"/>
            <w:noProof/>
            <w:vertAlign w:val="superscript"/>
          </w:rPr>
          <w:t>8</w:t>
        </w:r>
        <w:r w:rsidR="002D6F18" w:rsidRPr="00A90E5B">
          <w:rPr>
            <w:rFonts w:cstheme="minorBidi"/>
            <w:vertAlign w:val="superscript"/>
          </w:rPr>
          <w:fldChar w:fldCharType="end"/>
        </w:r>
      </w:hyperlink>
      <w:r w:rsidR="00A90E5B" w:rsidRPr="00A90E5B">
        <w:rPr>
          <w:rFonts w:cstheme="minorBidi"/>
          <w:vertAlign w:val="superscript"/>
        </w:rPr>
        <w:t>,</w:t>
      </w:r>
      <w:hyperlink w:anchor="_ENREF_276" w:tooltip="S, 2020 #1060" w:history="1">
        <w:r w:rsidR="002D6F18" w:rsidRPr="00A90E5B">
          <w:rPr>
            <w:rFonts w:cstheme="minorBidi"/>
            <w:vertAlign w:val="superscript"/>
          </w:rPr>
          <w:fldChar w:fldCharType="begin"/>
        </w:r>
        <w:r w:rsidR="002D6F18">
          <w:rPr>
            <w:rFonts w:cstheme="minorBidi"/>
            <w:vertAlign w:val="superscript"/>
          </w:rPr>
          <w:instrText xml:space="preserve"> ADDIN EN.CITE &lt;EndNote&gt;&lt;Cite&gt;&lt;Author&gt;S&lt;/Author&gt;&lt;Year&gt;2020&lt;/Year&gt;&lt;RecNum&gt;1060&lt;/RecNum&gt;&lt;DisplayText&gt;&lt;style face="superscript"&gt;276&lt;/style&gt;&lt;/DisplayText&gt;&lt;record&gt;&lt;rec-number&gt;1060&lt;/rec-number&gt;&lt;foreign-keys&gt;&lt;key app="EN" db-id="rsettzd2isasdweewww55s9lffasxav0d0ft" timestamp="1720488591" guid="9a0f9d08-d0f3-4a86-be9c-55f4609bf9df"&gt;1060&lt;/key&gt;&lt;/foreign-keys&gt;&lt;ref-type name="Journal Article"&gt;17&lt;/ref-type&gt;&lt;contributors&gt;&lt;authors&gt;&lt;author&gt;Wayland S&lt;/author&gt;&lt;author&gt;Coker S&lt;/author&gt;&lt;author&gt;Maple M&lt;/author&gt;&lt;/authors&gt;&lt;/contributors&gt;&lt;titles&gt;&lt;title&gt;The human approach to supportive interventions: The lived experience of people who care for others who suicide attempt&lt;/title&gt;&lt;secondary-title&gt;International Journal of Mental Health Nursing&lt;/secondary-title&gt;&lt;/titles&gt;&lt;periodical&gt;&lt;full-title&gt;International Journal of Mental Health Nursing&lt;/full-title&gt;&lt;/periodical&gt;&lt;volume&gt;30&lt;/volume&gt;&lt;dates&gt;&lt;year&gt;2020&lt;/year&gt;&lt;pub-dates&gt;&lt;date&gt;12/24&lt;/date&gt;&lt;/pub-dates&gt;&lt;/dates&gt;&lt;urls&gt;&lt;/urls&gt;&lt;electronic-resource-num&gt;10.1111/inm.12829&lt;/electronic-resource-num&gt;&lt;/record&gt;&lt;/Cite&gt;&lt;/EndNote&gt;</w:instrText>
        </w:r>
        <w:r w:rsidR="002D6F18" w:rsidRPr="00A90E5B">
          <w:rPr>
            <w:rFonts w:cstheme="minorBidi"/>
            <w:vertAlign w:val="superscript"/>
          </w:rPr>
          <w:fldChar w:fldCharType="separate"/>
        </w:r>
        <w:r w:rsidR="002D6F18">
          <w:rPr>
            <w:rFonts w:cstheme="minorBidi"/>
            <w:noProof/>
            <w:vertAlign w:val="superscript"/>
          </w:rPr>
          <w:t>276</w:t>
        </w:r>
        <w:r w:rsidR="002D6F18" w:rsidRPr="00A90E5B">
          <w:rPr>
            <w:rFonts w:cstheme="minorBidi"/>
            <w:vertAlign w:val="superscript"/>
          </w:rPr>
          <w:fldChar w:fldCharType="end"/>
        </w:r>
      </w:hyperlink>
    </w:p>
    <w:p w14:paraId="5453CDEF" w14:textId="7197948A" w:rsidR="00682A5B" w:rsidRDefault="49D8469E" w:rsidP="00634A83">
      <w:pPr>
        <w:rPr>
          <w:rFonts w:eastAsiaTheme="minorEastAsia"/>
        </w:rPr>
      </w:pPr>
      <w:r w:rsidRPr="00B768A1">
        <w:t xml:space="preserve">Support for </w:t>
      </w:r>
      <w:r w:rsidRPr="59485962">
        <w:t xml:space="preserve">families, carers and kin </w:t>
      </w:r>
      <w:r w:rsidRPr="00B768A1">
        <w:t xml:space="preserve">may include </w:t>
      </w:r>
      <w:r w:rsidRPr="59485962">
        <w:t>the provision of information and</w:t>
      </w:r>
      <w:r w:rsidR="0745FC0E" w:rsidRPr="59485962">
        <w:t xml:space="preserve"> assistance </w:t>
      </w:r>
      <w:r w:rsidRPr="59485962">
        <w:t xml:space="preserve">to increase their confidence and effectiveness in their caring role </w:t>
      </w:r>
      <w:r w:rsidRPr="00B768A1">
        <w:t xml:space="preserve">and alleviate their own distress. </w:t>
      </w:r>
      <w:r w:rsidR="79228BBB">
        <w:t>C</w:t>
      </w:r>
      <w:r w:rsidRPr="00B768A1">
        <w:t>arer peer support</w:t>
      </w:r>
      <w:r w:rsidR="0EE53487">
        <w:t>, while relatively new</w:t>
      </w:r>
      <w:r w:rsidRPr="00B768A1">
        <w:t xml:space="preserve"> in suicide prevention</w:t>
      </w:r>
      <w:r w:rsidR="133AAD8C">
        <w:t>,</w:t>
      </w:r>
      <w:r w:rsidRPr="00B768A1">
        <w:t xml:space="preserve"> has produced promising outcomes in the context of mental illness—both one-on-one and group formats have demonstrated improvements in carer wellbeing, reduced carer burden and improved empowerment</w:t>
      </w:r>
      <w:r w:rsidR="39F0321A">
        <w:t xml:space="preserve"> and should be explored further </w:t>
      </w:r>
      <w:r w:rsidRPr="00B768A1">
        <w:t>(</w:t>
      </w:r>
      <w:r w:rsidR="32A9EDB0">
        <w:t>ko</w:t>
      </w:r>
      <w:r w:rsidR="30C9FCE8">
        <w:t>10</w:t>
      </w:r>
      <w:r w:rsidRPr="00B768A1">
        <w:t>.1</w:t>
      </w:r>
      <w:r w:rsidR="5C1FCF84">
        <w:t>c</w:t>
      </w:r>
      <w:r w:rsidRPr="00B768A1">
        <w:t>)</w:t>
      </w:r>
      <w:r w:rsidR="73AFDBF0">
        <w:t>.</w:t>
      </w:r>
      <w:hyperlink w:anchor="_ENREF_277" w:tooltip="J, 2019 #1056" w:history="1">
        <w:r w:rsidR="002D6F18" w:rsidRPr="00A90E5B">
          <w:rPr>
            <w:vertAlign w:val="superscript"/>
          </w:rPr>
          <w:fldChar w:fldCharType="begin"/>
        </w:r>
        <w:r w:rsidR="002D6F18">
          <w:rPr>
            <w:vertAlign w:val="superscript"/>
          </w:rPr>
          <w:instrText xml:space="preserve"> ADDIN EN.CITE &lt;EndNote&gt;&lt;Cite&gt;&lt;Author&gt;J&lt;/Author&gt;&lt;Year&gt;2019&lt;/Year&gt;&lt;RecNum&gt;1056&lt;/RecNum&gt;&lt;DisplayText&gt;&lt;style face="superscript"&gt;277&lt;/style&gt;&lt;/DisplayText&gt;&lt;record&gt;&lt;rec-number&gt;1056&lt;/rec-number&gt;&lt;foreign-keys&gt;&lt;key app="EN" db-id="rsettzd2isasdweewww55s9lffasxav0d0ft" timestamp="1720488580" guid="b0332511-d89c-4aa2-acc9-6b4d575a2142"&gt;1056&lt;/key&gt;&lt;/foreign-keys&gt;&lt;ref-type name="Journal Article"&gt;17&lt;/ref-type&gt;&lt;contributors&gt;&lt;authors&gt;&lt;author&gt;Chiocchi J&lt;/author&gt;&lt;author&gt;Lamph G&lt;/author&gt;&lt;author&gt;Slevin P&lt;/author&gt;&lt;author&gt;Fisher-Smith D&lt;/author&gt;&lt;author&gt;Sampson M&lt;/author&gt;&lt;/authors&gt;&lt;/contributors&gt;&lt;titles&gt;&lt;title&gt;Can a carer (peer) led psychoeducation programme improve mental health carers well-being, reduce burden and enrich empowerment: a service evaluation study&lt;/title&gt;&lt;secondary-title&gt;The Journal of Mental Health Training, Education and Practice&lt;/secondary-title&gt;&lt;/titles&gt;&lt;periodical&gt;&lt;full-title&gt;The Journal of Mental Health Training, Education and Practice&lt;/full-title&gt;&lt;/periodical&gt;&lt;volume&gt;14&lt;/volume&gt;&lt;dates&gt;&lt;year&gt;2019&lt;/year&gt;&lt;pub-dates&gt;&lt;date&gt;03/15&lt;/date&gt;&lt;/pub-dates&gt;&lt;/dates&gt;&lt;urls&gt;&lt;/urls&gt;&lt;electronic-resource-num&gt;10.1108/JMHTEP-10-2018-0057&lt;/electronic-resource-num&gt;&lt;/record&gt;&lt;/Cite&gt;&lt;/EndNote&gt;</w:instrText>
        </w:r>
        <w:r w:rsidR="002D6F18" w:rsidRPr="00A90E5B">
          <w:rPr>
            <w:vertAlign w:val="superscript"/>
          </w:rPr>
          <w:fldChar w:fldCharType="separate"/>
        </w:r>
        <w:r w:rsidR="002D6F18">
          <w:rPr>
            <w:noProof/>
            <w:vertAlign w:val="superscript"/>
          </w:rPr>
          <w:t>277</w:t>
        </w:r>
        <w:r w:rsidR="002D6F18" w:rsidRPr="00A90E5B">
          <w:rPr>
            <w:vertAlign w:val="superscript"/>
          </w:rPr>
          <w:fldChar w:fldCharType="end"/>
        </w:r>
      </w:hyperlink>
      <w:r w:rsidR="00A90E5B" w:rsidRPr="00A90E5B">
        <w:rPr>
          <w:vertAlign w:val="superscript"/>
        </w:rPr>
        <w:t>,</w:t>
      </w:r>
      <w:hyperlink w:anchor="_ENREF_278" w:tooltip="B, 2018 #1055" w:history="1">
        <w:r w:rsidR="002D6F18" w:rsidRPr="00A90E5B">
          <w:rPr>
            <w:vertAlign w:val="superscript"/>
          </w:rPr>
          <w:fldChar w:fldCharType="begin"/>
        </w:r>
        <w:r w:rsidR="002D6F18">
          <w:rPr>
            <w:vertAlign w:val="superscript"/>
          </w:rPr>
          <w:instrText xml:space="preserve"> ADDIN EN.CITE &lt;EndNote&gt;&lt;Cite&gt;&lt;Author&gt;B&lt;/Author&gt;&lt;Year&gt;2018&lt;/Year&gt;&lt;RecNum&gt;1055&lt;/RecNum&gt;&lt;DisplayText&gt;&lt;style face="superscript"&gt;278&lt;/style&gt;&lt;/DisplayText&gt;&lt;record&gt;&lt;rec-number&gt;1055&lt;/rec-number&gt;&lt;foreign-keys&gt;&lt;key app="EN" db-id="rsettzd2isasdweewww55s9lffasxav0d0ft" timestamp="1720488577" guid="381ff3e6-6111-4372-ab08-b129107fcc4f"&gt;1055&lt;/key&gt;&lt;/foreign-keys&gt;&lt;ref-type name="Journal Article"&gt;17&lt;/ref-type&gt;&lt;contributors&gt;&lt;authors&gt;&lt;author&gt;Visa B&lt;/author&gt;&lt;author&gt;Harvey C&lt;/author&gt;&lt;/authors&gt;&lt;/contributors&gt;&lt;titles&gt;&lt;title&gt;Mental health carers’ experiences of an Australian Carer Peer Support program: Tailoring supports to carers’ needs&lt;/title&gt;&lt;secondary-title&gt;Health &amp;amp; Social Care in the Community&lt;/secondary-title&gt;&lt;/titles&gt;&lt;periodical&gt;&lt;full-title&gt;Health &amp;amp; Social Care in the Community&lt;/full-title&gt;&lt;/periodical&gt;&lt;volume&gt;27&lt;/volume&gt;&lt;dates&gt;&lt;year&gt;2018&lt;/year&gt;&lt;pub-dates&gt;&lt;date&gt;12/01&lt;/date&gt;&lt;/pub-dates&gt;&lt;/dates&gt;&lt;urls&gt;&lt;/urls&gt;&lt;electronic-resource-num&gt;10.1111/hsc.12689&lt;/electronic-resource-num&gt;&lt;/record&gt;&lt;/Cite&gt;&lt;/EndNote&gt;</w:instrText>
        </w:r>
        <w:r w:rsidR="002D6F18" w:rsidRPr="00A90E5B">
          <w:rPr>
            <w:vertAlign w:val="superscript"/>
          </w:rPr>
          <w:fldChar w:fldCharType="separate"/>
        </w:r>
        <w:r w:rsidR="002D6F18">
          <w:rPr>
            <w:noProof/>
            <w:vertAlign w:val="superscript"/>
          </w:rPr>
          <w:t>278</w:t>
        </w:r>
        <w:r w:rsidR="002D6F18" w:rsidRPr="00A90E5B">
          <w:rPr>
            <w:vertAlign w:val="superscript"/>
          </w:rPr>
          <w:fldChar w:fldCharType="end"/>
        </w:r>
      </w:hyperlink>
      <w:r w:rsidR="00A90E5B">
        <w:t xml:space="preserve">  </w:t>
      </w:r>
    </w:p>
    <w:p w14:paraId="39ECB9A3" w14:textId="1095B61C" w:rsidR="000F6909" w:rsidRPr="00B768A1" w:rsidRDefault="000F6909" w:rsidP="00634A83">
      <w:r>
        <w:t xml:space="preserve">The recommended actions to </w:t>
      </w:r>
      <w:r w:rsidR="003A6373">
        <w:t xml:space="preserve">strengthen personal support networks </w:t>
      </w:r>
      <w:r>
        <w:t>are described in</w:t>
      </w:r>
      <w:r w:rsidR="00F04C6C">
        <w:t xml:space="preserve"> </w:t>
      </w:r>
      <w:r w:rsidR="00F04C6C">
        <w:fldChar w:fldCharType="begin"/>
      </w:r>
      <w:r w:rsidR="00F04C6C">
        <w:instrText xml:space="preserve"> REF _Ref162244306 \h </w:instrText>
      </w:r>
      <w:r w:rsidR="00F04C6C">
        <w:fldChar w:fldCharType="separate"/>
      </w:r>
      <w:r w:rsidR="009F12B4">
        <w:t xml:space="preserve">Table </w:t>
      </w:r>
      <w:r w:rsidR="009F12B4">
        <w:rPr>
          <w:noProof/>
        </w:rPr>
        <w:t>28</w:t>
      </w:r>
      <w:r w:rsidR="00F04C6C">
        <w:fldChar w:fldCharType="end"/>
      </w:r>
      <w:r>
        <w:t>.</w:t>
      </w:r>
    </w:p>
    <w:p w14:paraId="59B94C0F" w14:textId="7E8A212C" w:rsidR="006B1B20" w:rsidRPr="00641D27" w:rsidDel="00641D27" w:rsidRDefault="378E79E0" w:rsidP="00D81ABA">
      <w:pPr>
        <w:pStyle w:val="BT-Livedexperience-Green-Heading"/>
        <w:ind w:firstLine="465"/>
      </w:pPr>
      <w:r>
        <w:rPr>
          <w:noProof/>
        </w:rPr>
        <w:drawing>
          <wp:anchor distT="0" distB="0" distL="114300" distR="114300" simplePos="0" relativeHeight="251658245" behindDoc="0" locked="0" layoutInCell="1" allowOverlap="1" wp14:anchorId="28CF3197" wp14:editId="4240C658">
            <wp:simplePos x="0" y="0"/>
            <wp:positionH relativeFrom="column">
              <wp:posOffset>67945</wp:posOffset>
            </wp:positionH>
            <wp:positionV relativeFrom="paragraph">
              <wp:posOffset>61595</wp:posOffset>
            </wp:positionV>
            <wp:extent cx="318864" cy="318864"/>
            <wp:effectExtent l="0" t="0" r="5080" b="5080"/>
            <wp:wrapNone/>
            <wp:docPr id="448584302" name="Graphic 448584302" descr="Start of quotation from Lived Experience Partnership Group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48584302"/>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rot="16200000">
                      <a:off x="0" y="0"/>
                      <a:ext cx="318864" cy="318864"/>
                    </a:xfrm>
                    <a:prstGeom prst="rect">
                      <a:avLst/>
                    </a:prstGeom>
                  </pic:spPr>
                </pic:pic>
              </a:graphicData>
            </a:graphic>
          </wp:anchor>
        </w:drawing>
      </w:r>
      <w:r w:rsidR="2BED6E68" w:rsidRPr="04A3B251">
        <w:t>Reflections from people with lived experience</w:t>
      </w:r>
    </w:p>
    <w:p w14:paraId="1077E011" w14:textId="77777777" w:rsidR="006E11FA" w:rsidRDefault="57779E09" w:rsidP="00634A83">
      <w:pPr>
        <w:pStyle w:val="BT-Livedexperience-Green"/>
      </w:pPr>
      <w:r>
        <w:t>“</w:t>
      </w:r>
      <w:r w:rsidR="0948A007">
        <w:t>When it comes down to it, the only reason that I am still alive is because of my wife. She and my three children are the pillars of strength,</w:t>
      </w:r>
      <w:r w:rsidR="0948A007" w:rsidRPr="00F833FC">
        <w:rPr>
          <w:color w:val="307363" w:themeColor="accent1"/>
        </w:rPr>
        <w:t xml:space="preserve"> </w:t>
      </w:r>
      <w:r w:rsidR="0948A007">
        <w:t>love and</w:t>
      </w:r>
      <w:r w:rsidR="0948A007" w:rsidRPr="00F833FC">
        <w:rPr>
          <w:color w:val="307363" w:themeColor="accent1"/>
        </w:rPr>
        <w:t xml:space="preserve"> </w:t>
      </w:r>
      <w:r w:rsidR="0948A007">
        <w:t>support. For years, I silently battled my undiagnosed mental health challenges</w:t>
      </w:r>
      <w:r w:rsidR="6AF858B6">
        <w:t>.</w:t>
      </w:r>
      <w:r w:rsidR="0948A007">
        <w:t xml:space="preserve"> </w:t>
      </w:r>
      <w:r w:rsidR="13482E0F">
        <w:t>M</w:t>
      </w:r>
      <w:r w:rsidR="0948A007">
        <w:t>y wife always stood by me</w:t>
      </w:r>
      <w:r w:rsidR="62DB9909">
        <w:t xml:space="preserve"> d</w:t>
      </w:r>
      <w:r w:rsidR="0948A007">
        <w:t xml:space="preserve">uring my darkest moments, like the time she found me in the shower and rushed me to hospital. For months, she drove for hours from our home to the hospital, with our young children, just to be by my side. She did it all alone. </w:t>
      </w:r>
    </w:p>
    <w:p w14:paraId="245C2B0F" w14:textId="77777777" w:rsidR="0039195D" w:rsidRDefault="0948A007" w:rsidP="00634A83">
      <w:pPr>
        <w:pStyle w:val="BT-Livedexperience-Green"/>
      </w:pPr>
      <w:r>
        <w:t xml:space="preserve">Once back home, her role changed over time. She transitioned from my partner to my </w:t>
      </w:r>
      <w:r w:rsidRPr="00F833FC">
        <w:t>primary care</w:t>
      </w:r>
      <w:r w:rsidR="74EDE4E2">
        <w:t>giver</w:t>
      </w:r>
      <w:r>
        <w:t xml:space="preserve">, managing my medications, accompanying me to appointments, holding me when I was overwhelmed and taking me back to hospital whenever I felt threatened by my own thoughts. She even left her job to focus on my wellbeing and our children. She had no support. Though I’ve been blessed with tremendous support, my wife often felt isolated, confronting societal biases and difficult discussions, all to keep her husband alive and our family intact. </w:t>
      </w:r>
    </w:p>
    <w:p w14:paraId="07794EE1" w14:textId="399F03A9" w:rsidR="00517DE3" w:rsidRPr="00B768A1" w:rsidRDefault="0948A007" w:rsidP="00634A83">
      <w:pPr>
        <w:pStyle w:val="BT-Livedexperience-Green"/>
      </w:pPr>
      <w:r>
        <w:t>She embodies the ‘invisible’</w:t>
      </w:r>
      <w:r w:rsidRPr="00F833FC">
        <w:t xml:space="preserve"> </w:t>
      </w:r>
      <w:r>
        <w:t xml:space="preserve">unsung heroes that we often overlook. They might not ask for help, but they need it. Such heroes, from families and caregivers, are invaluable to society. Like me, many owe their lives to them. </w:t>
      </w:r>
      <w:r w:rsidRPr="00F833FC">
        <w:t>Prioritising their wellbeing is not just gratitude, it's</w:t>
      </w:r>
      <w:r>
        <w:t xml:space="preserve"> a critical strategy for reducing our nation’s suicide rates.</w:t>
      </w:r>
      <w:r w:rsidR="57779E09">
        <w:t>”</w:t>
      </w:r>
    </w:p>
    <w:p w14:paraId="53D3B6CC" w14:textId="0631B509" w:rsidR="00517DE3" w:rsidRDefault="00517DE3" w:rsidP="005151F8">
      <w:pPr>
        <w:pStyle w:val="BT-Livedexperience-Green"/>
        <w:jc w:val="right"/>
        <w:rPr>
          <w:rStyle w:val="Strong"/>
          <w:b w:val="0"/>
          <w:bCs w:val="0"/>
        </w:rPr>
      </w:pPr>
      <w:r w:rsidRPr="00B768A1">
        <w:rPr>
          <w:rStyle w:val="Strong"/>
        </w:rPr>
        <w:t>Ben Farinazzo</w:t>
      </w:r>
      <w:r w:rsidRPr="008A4038">
        <w:rPr>
          <w:rStyle w:val="Strong"/>
          <w:b w:val="0"/>
          <w:bCs w:val="0"/>
        </w:rPr>
        <w:t xml:space="preserve">, Lived Experience Partnership </w:t>
      </w:r>
      <w:r w:rsidR="00664B11" w:rsidRPr="008A4038">
        <w:rPr>
          <w:rStyle w:val="Strong"/>
          <w:b w:val="0"/>
          <w:bCs w:val="0"/>
        </w:rPr>
        <w:t xml:space="preserve">Group </w:t>
      </w:r>
      <w:r w:rsidRPr="008A4038">
        <w:rPr>
          <w:rStyle w:val="Strong"/>
          <w:b w:val="0"/>
          <w:bCs w:val="0"/>
        </w:rPr>
        <w:t>member</w:t>
      </w:r>
    </w:p>
    <w:p w14:paraId="758C5985" w14:textId="01EDB59A" w:rsidR="000F6909" w:rsidRPr="00B768A1" w:rsidRDefault="000F6909" w:rsidP="00745B34">
      <w:pPr>
        <w:pStyle w:val="Caption"/>
        <w:rPr>
          <w:rStyle w:val="Strong"/>
        </w:rPr>
      </w:pPr>
      <w:bookmarkStart w:id="132" w:name="_Ref162244306"/>
      <w:r>
        <w:t xml:space="preserve">Table </w:t>
      </w:r>
      <w:r>
        <w:fldChar w:fldCharType="begin"/>
      </w:r>
      <w:r>
        <w:instrText>SEQ Table \* ARABIC</w:instrText>
      </w:r>
      <w:r>
        <w:fldChar w:fldCharType="separate"/>
      </w:r>
      <w:r w:rsidR="009F12B4">
        <w:rPr>
          <w:noProof/>
        </w:rPr>
        <w:t>28</w:t>
      </w:r>
      <w:r>
        <w:fldChar w:fldCharType="end"/>
      </w:r>
      <w:bookmarkEnd w:id="132"/>
      <w:r>
        <w:t xml:space="preserve">: </w:t>
      </w:r>
      <w:r w:rsidR="00AB017A">
        <w:t xml:space="preserve">Recommended actions for Support objective </w:t>
      </w:r>
      <w:r w:rsidR="1CC8B6E2">
        <w:t>10</w:t>
      </w:r>
      <w:r w:rsidR="00AB017A">
        <w:t xml:space="preserve">.1: </w:t>
      </w:r>
      <w:r w:rsidR="00AB017A" w:rsidRPr="00B768A1">
        <w:t>Reconnect with and strengthen personal support networks</w:t>
      </w:r>
    </w:p>
    <w:tbl>
      <w:tblPr>
        <w:tblStyle w:val="TableGrid"/>
        <w:tblW w:w="9209" w:type="dxa"/>
        <w:tblLook w:val="0420" w:firstRow="1" w:lastRow="0" w:firstColumn="0" w:lastColumn="0" w:noHBand="0" w:noVBand="1"/>
        <w:tblCaption w:val="Recommended actions for Support objective 7.1: Reconnect with and strengthen personal support networks"/>
        <w:tblDescription w:val="Describes actions ko7.1a, ko7.1b and ko7.1c."/>
      </w:tblPr>
      <w:tblGrid>
        <w:gridCol w:w="1270"/>
        <w:gridCol w:w="7939"/>
      </w:tblGrid>
      <w:tr w:rsidR="00D81ABA" w:rsidRPr="00F44FB4" w14:paraId="59C84A05" w14:textId="77777777" w:rsidTr="00D81ABA">
        <w:trPr>
          <w:cnfStyle w:val="100000000000" w:firstRow="1" w:lastRow="0" w:firstColumn="0" w:lastColumn="0" w:oddVBand="0" w:evenVBand="0" w:oddHBand="0" w:evenHBand="0" w:firstRowFirstColumn="0" w:firstRowLastColumn="0" w:lastRowFirstColumn="0" w:lastRowLastColumn="0"/>
          <w:cantSplit/>
          <w:tblHeader/>
        </w:trPr>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9782"/>
          </w:tcPr>
          <w:p w14:paraId="728241F7" w14:textId="78D19F87" w:rsidR="00D81ABA" w:rsidRPr="00F44FB4" w:rsidRDefault="00D81ABA" w:rsidP="004F5B0E">
            <w:pPr>
              <w:pStyle w:val="NMHCTableHeaderRow"/>
            </w:pPr>
            <w:r w:rsidRPr="00F44FB4">
              <w:t>Action</w:t>
            </w:r>
          </w:p>
        </w:tc>
        <w:tc>
          <w:tcPr>
            <w:tcW w:w="79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9782"/>
            <w:tcMar>
              <w:top w:w="28" w:type="dxa"/>
              <w:bottom w:w="28" w:type="dxa"/>
            </w:tcMar>
          </w:tcPr>
          <w:p w14:paraId="0A2987FD" w14:textId="17863BDA" w:rsidR="00D81ABA" w:rsidRPr="00F44FB4" w:rsidDel="00F92A72" w:rsidRDefault="00D81ABA" w:rsidP="004F5B0E">
            <w:pPr>
              <w:pStyle w:val="NMHCTableHeaderRow"/>
            </w:pPr>
            <w:r>
              <w:t>Description</w:t>
            </w:r>
          </w:p>
        </w:tc>
      </w:tr>
      <w:tr w:rsidR="00D81ABA" w:rsidRPr="00B768A1" w14:paraId="3EBC05C6" w14:textId="77777777" w:rsidTr="00F96BC6">
        <w:trPr>
          <w:trHeight w:val="1012"/>
        </w:trPr>
        <w:tc>
          <w:tcPr>
            <w:tcW w:w="1270" w:type="dxa"/>
            <w:tcBorders>
              <w:top w:val="single" w:sz="4" w:space="0" w:color="FFFFFF" w:themeColor="background1"/>
            </w:tcBorders>
          </w:tcPr>
          <w:p w14:paraId="4BE5C510" w14:textId="64309EB3" w:rsidR="00D81ABA" w:rsidRPr="00B768A1" w:rsidRDefault="00D81ABA" w:rsidP="00634A83">
            <w:pPr>
              <w:rPr>
                <w:b/>
              </w:rPr>
            </w:pPr>
            <w:r w:rsidRPr="5275D090">
              <w:t>ko10</w:t>
            </w:r>
            <w:r w:rsidRPr="50DFD766">
              <w:t>.1a</w:t>
            </w:r>
          </w:p>
        </w:tc>
        <w:tc>
          <w:tcPr>
            <w:tcW w:w="7939" w:type="dxa"/>
            <w:tcBorders>
              <w:top w:val="single" w:sz="4" w:space="0" w:color="FFFFFF" w:themeColor="background1"/>
            </w:tcBorders>
            <w:tcMar>
              <w:top w:w="28" w:type="dxa"/>
              <w:bottom w:w="28" w:type="dxa"/>
            </w:tcMar>
          </w:tcPr>
          <w:p w14:paraId="48C5CC01" w14:textId="3830734B" w:rsidR="00D81ABA" w:rsidRPr="00B768A1" w:rsidRDefault="00D81ABA" w:rsidP="00634A83">
            <w:r w:rsidRPr="00B768A1">
              <w:t>Comprehensively review barriers to involving families, carers and kin in care planning and delivery for people who experience suicidal thoughts and behaviours. Use the findings of this review to develop, trial and evaluate solutions.</w:t>
            </w:r>
          </w:p>
        </w:tc>
      </w:tr>
      <w:tr w:rsidR="00D81ABA" w:rsidRPr="00B768A1" w14:paraId="2C688EFB" w14:textId="77777777" w:rsidTr="00D81ABA">
        <w:tc>
          <w:tcPr>
            <w:tcW w:w="1270" w:type="dxa"/>
          </w:tcPr>
          <w:p w14:paraId="4E365A4A" w14:textId="25AA3A83" w:rsidR="00D81ABA" w:rsidRPr="00B371E4" w:rsidRDefault="00D81ABA" w:rsidP="00634A83">
            <w:r>
              <w:t>ko10.1b</w:t>
            </w:r>
          </w:p>
        </w:tc>
        <w:tc>
          <w:tcPr>
            <w:tcW w:w="7939" w:type="dxa"/>
            <w:tcMar>
              <w:top w:w="28" w:type="dxa"/>
              <w:bottom w:w="28" w:type="dxa"/>
            </w:tcMar>
          </w:tcPr>
          <w:p w14:paraId="09CE0B53" w14:textId="3CDA2738" w:rsidR="00D81ABA" w:rsidRPr="00B768A1" w:rsidRDefault="00D81ABA" w:rsidP="00634A83">
            <w:r>
              <w:t>Co-design, trial and evaluate face-to-face and online support programs for families, carers and kin of people who have experienced suicidal thoughts and behaviours.</w:t>
            </w:r>
          </w:p>
          <w:p w14:paraId="1632AF2A" w14:textId="5116D7D2" w:rsidR="00D81ABA" w:rsidRPr="003129F2" w:rsidRDefault="00D81ABA" w:rsidP="00634A83">
            <w:r>
              <w:t>Use findings to inform service planning and improve accessibility of effective programs.</w:t>
            </w:r>
          </w:p>
        </w:tc>
      </w:tr>
      <w:tr w:rsidR="00D81ABA" w:rsidRPr="00B768A1" w14:paraId="408CD5F4" w14:textId="77777777" w:rsidTr="00D81ABA">
        <w:tc>
          <w:tcPr>
            <w:tcW w:w="1270" w:type="dxa"/>
          </w:tcPr>
          <w:p w14:paraId="4241F2DF" w14:textId="7DBFABE9" w:rsidR="00D81ABA" w:rsidRPr="00AB017A" w:rsidRDefault="00D81ABA" w:rsidP="00634A83">
            <w:r>
              <w:t>ko10</w:t>
            </w:r>
            <w:r w:rsidRPr="00B768A1">
              <w:t>.1c</w:t>
            </w:r>
          </w:p>
        </w:tc>
        <w:tc>
          <w:tcPr>
            <w:tcW w:w="7939" w:type="dxa"/>
            <w:tcMar>
              <w:top w:w="28" w:type="dxa"/>
              <w:bottom w:w="28" w:type="dxa"/>
            </w:tcMar>
          </w:tcPr>
          <w:p w14:paraId="770F3DFC" w14:textId="5534CA85" w:rsidR="00D81ABA" w:rsidRPr="009D5067" w:rsidRDefault="00D81ABA" w:rsidP="00634A83">
            <w:r w:rsidRPr="00B768A1">
              <w:t>Trial the integration of carer peer workers in services supporting people who experience suicidal thoughts and behaviours to aid the engagement and support of families, carers and kin.</w:t>
            </w:r>
          </w:p>
        </w:tc>
      </w:tr>
    </w:tbl>
    <w:p w14:paraId="75F8BED0" w14:textId="1E014A31" w:rsidR="00682A5B" w:rsidRPr="00B768A1" w:rsidRDefault="0AF14F91" w:rsidP="00D81ABA">
      <w:pPr>
        <w:pStyle w:val="heading3support"/>
      </w:pPr>
      <w:r>
        <w:t>10</w:t>
      </w:r>
      <w:r w:rsidR="00682A5B" w:rsidRPr="00B768A1">
        <w:t xml:space="preserve">.2 </w:t>
      </w:r>
      <w:r w:rsidR="3DEFC1AF">
        <w:t>Connect with community supports</w:t>
      </w:r>
    </w:p>
    <w:p w14:paraId="069B9BEA" w14:textId="3C28743E" w:rsidR="00682A5B" w:rsidRPr="00B768A1" w:rsidRDefault="20CE6706" w:rsidP="00634A83">
      <w:r>
        <w:t>P</w:t>
      </w:r>
      <w:r w:rsidR="5BFC124A">
        <w:t xml:space="preserve">eople who experience suicidal thoughts and behaviours </w:t>
      </w:r>
      <w:r w:rsidR="31EF54D5">
        <w:t xml:space="preserve">gain </w:t>
      </w:r>
      <w:r w:rsidR="26DD8253">
        <w:t xml:space="preserve">enormous benefit </w:t>
      </w:r>
      <w:r w:rsidR="51962260">
        <w:t xml:space="preserve">from </w:t>
      </w:r>
      <w:r w:rsidR="26DD8253">
        <w:t>reconnecting with informal community-based supports</w:t>
      </w:r>
      <w:r w:rsidR="257FD6C3">
        <w:t>, including relationships with friends, neighbours, and other members of the community.</w:t>
      </w:r>
      <w:r w:rsidR="26DD8253">
        <w:t xml:space="preserve"> </w:t>
      </w:r>
    </w:p>
    <w:p w14:paraId="0FAF3801" w14:textId="3B857389" w:rsidR="00682A5B" w:rsidRPr="00B768A1" w:rsidRDefault="3605BDAC" w:rsidP="00634A83">
      <w:r w:rsidRPr="00B768A1">
        <w:t>The value of increased social participation is recognised through the emergence of ‘social prescribing’</w:t>
      </w:r>
      <w:r w:rsidR="322E140A" w:rsidRPr="00B768A1">
        <w:t xml:space="preserve">—when </w:t>
      </w:r>
      <w:r w:rsidRPr="00B768A1">
        <w:t xml:space="preserve">primary care providers refer people to non-clinical care, including social supports, to prevent </w:t>
      </w:r>
      <w:r w:rsidR="35B772BE" w:rsidRPr="00B768A1">
        <w:t xml:space="preserve">or </w:t>
      </w:r>
      <w:r w:rsidR="3585AEAA" w:rsidRPr="00B768A1">
        <w:t xml:space="preserve">mitigate the </w:t>
      </w:r>
      <w:r w:rsidRPr="00B768A1">
        <w:t>adverse effects of social determinants linked with health and wellbeing.</w:t>
      </w:r>
      <w:hyperlink w:anchor="_ENREF_279" w:tooltip="S, 2024 #1027" w:history="1">
        <w:r w:rsidR="002D6F18" w:rsidRPr="00FE31F3">
          <w:rPr>
            <w:vertAlign w:val="superscript"/>
          </w:rPr>
          <w:fldChar w:fldCharType="begin"/>
        </w:r>
        <w:r w:rsidR="002D6F18">
          <w:rPr>
            <w:vertAlign w:val="superscript"/>
          </w:rPr>
          <w:instrText xml:space="preserve"> ADDIN EN.CITE &lt;EndNote&gt;&lt;Cite&gt;&lt;Author&gt;S&lt;/Author&gt;&lt;Year&gt;2024&lt;/Year&gt;&lt;RecNum&gt;1027&lt;/RecNum&gt;&lt;DisplayText&gt;&lt;style face="superscript"&gt;279&lt;/style&gt;&lt;/DisplayText&gt;&lt;record&gt;&lt;rec-number&gt;1027&lt;/rec-number&gt;&lt;foreign-keys&gt;&lt;key app="EN" db-id="rsettzd2isasdweewww55s9lffasxav0d0ft" timestamp="1720488464" guid="aa95604e-e4a7-45b5-97c2-3a7c5217c89d"&gt;1027&lt;/key&gt;&lt;/foreign-keys&gt;&lt;ref-type name="Journal Article"&gt;17&lt;/ref-type&gt;&lt;contributors&gt;&lt;authors&gt;&lt;author&gt;Dash S&lt;/author&gt;&lt;author&gt;McNamara S&lt;/author&gt;&lt;author&gt;de Courten M&lt;/author&gt;&lt;author&gt;Calder R&lt;/author&gt;&lt;/authors&gt;&lt;/contributors&gt;&lt;titles&gt;&lt;title&gt;Social prescribing for suicide prevention: a rapid review&lt;/title&gt;&lt;secondary-title&gt;Frontiers in Public Health&lt;/secondary-title&gt;&lt;short-title&gt;Social Prescribing for Suicide Prevention&lt;/short-title&gt;&lt;/titles&gt;&lt;periodical&gt;&lt;full-title&gt;Frontiers in Public Health&lt;/full-title&gt;&lt;/periodical&gt;&lt;volume&gt;12&lt;/volume&gt;&lt;keywords&gt;&lt;keyword&gt;Suicide,Social prescribing,efficacy,prevention,review,evidence&lt;/keyword&gt;&lt;/keywords&gt;&lt;dates&gt;&lt;year&gt;2024&lt;/year&gt;&lt;pub-dates&gt;&lt;date&gt;2024-July-05&lt;/date&gt;&lt;/pub-dates&gt;&lt;/dates&gt;&lt;isbn&gt;2296-2565&lt;/isbn&gt;&lt;work-type&gt;Review&lt;/work-type&gt;&lt;urls&gt;&lt;related-urls&gt;&lt;url&gt;https://www.frontiersin.org/journals/public-health/articles/10.3389/fpubh.2024.1396614&lt;/url&gt;&lt;/related-urls&gt;&lt;/urls&gt;&lt;electronic-resource-num&gt;10.3389/fpubh.2024.1396614&lt;/electronic-resource-num&gt;&lt;language&gt;English&lt;/language&gt;&lt;/record&gt;&lt;/Cite&gt;&lt;/EndNote&gt;</w:instrText>
        </w:r>
        <w:r w:rsidR="002D6F18" w:rsidRPr="00FE31F3">
          <w:rPr>
            <w:vertAlign w:val="superscript"/>
          </w:rPr>
          <w:fldChar w:fldCharType="separate"/>
        </w:r>
        <w:r w:rsidR="002D6F18">
          <w:rPr>
            <w:noProof/>
            <w:vertAlign w:val="superscript"/>
          </w:rPr>
          <w:t>279</w:t>
        </w:r>
        <w:r w:rsidR="002D6F18" w:rsidRPr="00FE31F3">
          <w:rPr>
            <w:vertAlign w:val="superscript"/>
          </w:rPr>
          <w:fldChar w:fldCharType="end"/>
        </w:r>
      </w:hyperlink>
      <w:r w:rsidR="00EC4CB7" w:rsidRPr="00FE31F3">
        <w:rPr>
          <w:vertAlign w:val="superscript"/>
        </w:rPr>
        <w:t>,</w:t>
      </w:r>
      <w:hyperlink w:anchor="_ENREF_280" w:tooltip="L, 2017 #254" w:history="1">
        <w:r w:rsidR="002D6F18" w:rsidRPr="00FE31F3">
          <w:rPr>
            <w:vertAlign w:val="superscript"/>
          </w:rPr>
          <w:fldChar w:fldCharType="begin"/>
        </w:r>
        <w:r w:rsidR="002D6F18">
          <w:rPr>
            <w:vertAlign w:val="superscript"/>
          </w:rPr>
          <w:instrText xml:space="preserve"> ADDIN EN.CITE &lt;EndNote&gt;&lt;Cite&gt;&lt;Author&gt;L&lt;/Author&gt;&lt;Year&gt;2017&lt;/Year&gt;&lt;RecNum&gt;254&lt;/RecNum&gt;&lt;DisplayText&gt;&lt;style face="superscript"&gt;280&lt;/style&gt;&lt;/DisplayText&gt;&lt;record&gt;&lt;rec-number&gt;254&lt;/rec-number&gt;&lt;foreign-keys&gt;&lt;key app="EN" db-id="rsettzd2isasdweewww55s9lffasxav0d0ft" timestamp="1700699470" guid="e3726937-abeb-4e69-a6f8-41ea899c1e17"&gt;254&lt;/key&gt;&lt;/foreign-keys&gt;&lt;ref-type name="Journal Article"&gt;17&lt;/ref-type&gt;&lt;contributors&gt;&lt;authors&gt;&lt;author&gt;Bickerdike L&lt;/author&gt;&lt;author&gt;Booth A&lt;/author&gt;&lt;author&gt;Wilson PM&lt;/author&gt;&lt;author&gt;Farley K&lt;/author&gt;&lt;author&gt;Wright K&lt;/author&gt;&lt;/authors&gt;&lt;/contributors&gt;&lt;titles&gt;&lt;title&gt;Social Prescribing: Less Rhetoric and More Reality. A Systematic Review of the Evidence&lt;/title&gt;&lt;secondary-title&gt;BMJ Open&lt;/secondary-title&gt;&lt;/titles&gt;&lt;periodical&gt;&lt;full-title&gt;BMJ Open&lt;/full-title&gt;&lt;/periodical&gt;&lt;dates&gt;&lt;year&gt;2017&lt;/year&gt;&lt;/dates&gt;&lt;urls&gt;&lt;/urls&gt;&lt;electronic-resource-num&gt;DOI: 10.1136/bmjopen-2016-013384&lt;/electronic-resource-num&gt;&lt;/record&gt;&lt;/Cite&gt;&lt;/EndNote&gt;</w:instrText>
        </w:r>
        <w:r w:rsidR="002D6F18" w:rsidRPr="00FE31F3">
          <w:rPr>
            <w:vertAlign w:val="superscript"/>
          </w:rPr>
          <w:fldChar w:fldCharType="separate"/>
        </w:r>
        <w:r w:rsidR="002D6F18">
          <w:rPr>
            <w:noProof/>
            <w:vertAlign w:val="superscript"/>
          </w:rPr>
          <w:t>280</w:t>
        </w:r>
        <w:r w:rsidR="002D6F18" w:rsidRPr="00FE31F3">
          <w:rPr>
            <w:vertAlign w:val="superscript"/>
          </w:rPr>
          <w:fldChar w:fldCharType="end"/>
        </w:r>
      </w:hyperlink>
      <w:r w:rsidR="00EC4CB7" w:rsidRPr="00FE31F3">
        <w:rPr>
          <w:vertAlign w:val="superscript"/>
        </w:rPr>
        <w:t>,</w:t>
      </w:r>
      <w:hyperlink w:anchor="_ENREF_281" w:tooltip="K, 2019 #255" w:history="1">
        <w:r w:rsidR="002D6F18" w:rsidRPr="00FE31F3">
          <w:rPr>
            <w:vertAlign w:val="superscript"/>
          </w:rPr>
          <w:fldChar w:fldCharType="begin"/>
        </w:r>
        <w:r w:rsidR="002D6F18">
          <w:rPr>
            <w:vertAlign w:val="superscript"/>
          </w:rPr>
          <w:instrText xml:space="preserve"> ADDIN EN.CITE &lt;EndNote&gt;&lt;Cite&gt;&lt;Author&gt;K&lt;/Author&gt;&lt;Year&gt;2019&lt;/Year&gt;&lt;RecNum&gt;255&lt;/RecNum&gt;&lt;DisplayText&gt;&lt;style face="superscript"&gt;281&lt;/style&gt;&lt;/DisplayText&gt;&lt;record&gt;&lt;rec-number&gt;255&lt;/rec-number&gt;&lt;foreign-keys&gt;&lt;key app="EN" db-id="rsettzd2isasdweewww55s9lffasxav0d0ft" timestamp="1700699470" guid="a03fce35-d1f1-42f2-b26f-d34402768e90"&gt;255&lt;/key&gt;&lt;/foreign-keys&gt;&lt;ref-type name="Journal Article"&gt;17&lt;/ref-type&gt;&lt;contributors&gt;&lt;authors&gt;&lt;author&gt;Husk K&lt;/author&gt;&lt;author&gt;Elston J&lt;/author&gt;&lt;author&gt;Gradinger F&lt;/author&gt;&lt;author&gt;Callaghan L&lt;/author&gt;&lt;author&gt;Asthana S&lt;/author&gt;&lt;/authors&gt;&lt;/contributors&gt;&lt;titles&gt;&lt;title&gt;Social Prescribing: Where is the Evidence?&lt;/title&gt;&lt;secondary-title&gt;British Journal of General Practice&lt;/secondary-title&gt;&lt;/titles&gt;&lt;periodical&gt;&lt;full-title&gt;British Journal of General Practice&lt;/full-title&gt;&lt;/periodical&gt;&lt;dates&gt;&lt;year&gt;2019&lt;/year&gt;&lt;/dates&gt;&lt;urls&gt;&lt;/urls&gt;&lt;electronic-resource-num&gt;DOI: 10.3399/bjgp19X700325&lt;/electronic-resource-num&gt;&lt;/record&gt;&lt;/Cite&gt;&lt;/EndNote&gt;</w:instrText>
        </w:r>
        <w:r w:rsidR="002D6F18" w:rsidRPr="00FE31F3">
          <w:rPr>
            <w:vertAlign w:val="superscript"/>
          </w:rPr>
          <w:fldChar w:fldCharType="separate"/>
        </w:r>
        <w:r w:rsidR="002D6F18">
          <w:rPr>
            <w:noProof/>
            <w:vertAlign w:val="superscript"/>
          </w:rPr>
          <w:t>281</w:t>
        </w:r>
        <w:r w:rsidR="002D6F18" w:rsidRPr="00FE31F3">
          <w:rPr>
            <w:vertAlign w:val="superscript"/>
          </w:rPr>
          <w:fldChar w:fldCharType="end"/>
        </w:r>
      </w:hyperlink>
      <w:r w:rsidR="00EC4CB7" w:rsidRPr="00FE31F3">
        <w:rPr>
          <w:vertAlign w:val="superscript"/>
        </w:rPr>
        <w:t>,</w:t>
      </w:r>
      <w:hyperlink w:anchor="_ENREF_282" w:tooltip="G, 2021 #256" w:history="1">
        <w:r w:rsidR="002D6F18" w:rsidRPr="00FE31F3">
          <w:rPr>
            <w:vertAlign w:val="superscript"/>
          </w:rPr>
          <w:fldChar w:fldCharType="begin"/>
        </w:r>
        <w:r w:rsidR="002D6F18">
          <w:rPr>
            <w:vertAlign w:val="superscript"/>
          </w:rPr>
          <w:instrText xml:space="preserve"> ADDIN EN.CITE &lt;EndNote&gt;&lt;Cite&gt;&lt;Author&gt;G&lt;/Author&gt;&lt;Year&gt;2021&lt;/Year&gt;&lt;RecNum&gt;256&lt;/RecNum&gt;&lt;DisplayText&gt;&lt;style face="superscript"&gt;282&lt;/style&gt;&lt;/DisplayText&gt;&lt;record&gt;&lt;rec-number&gt;256&lt;/rec-number&gt;&lt;foreign-keys&gt;&lt;key app="EN" db-id="rsettzd2isasdweewww55s9lffasxav0d0ft" timestamp="1700699470" guid="d9f4220d-1198-46c2-b9da-189e4b097ef7"&gt;256&lt;/key&gt;&lt;/foreign-keys&gt;&lt;ref-type name="Journal Article"&gt;17&lt;/ref-type&gt;&lt;contributors&gt;&lt;authors&gt;&lt;author&gt;Thomas G&lt;/author&gt;&lt;author&gt;Lynch M&lt;/author&gt;&lt;author&gt;Spencer LH&lt;/author&gt;&lt;/authors&gt;&lt;/contributors&gt;&lt;titles&gt;&lt;title&gt;A Systematic Review to Examine the Evidence in Developing Social Prescribing Interventions that Apply a Co-Productive, Co-Designed Approach to Improve Well-Being Outcomes in a Community Setting&lt;/title&gt;&lt;secondary-title&gt;International Journal of Environmental Research and Public Health&lt;/secondary-title&gt;&lt;/titles&gt;&lt;periodical&gt;&lt;full-title&gt;International Journal of Environmental Research and Public Health&lt;/full-title&gt;&lt;/periodical&gt;&lt;dates&gt;&lt;year&gt;2021&lt;/year&gt;&lt;/dates&gt;&lt;urls&gt;&lt;/urls&gt;&lt;electronic-resource-num&gt;DOI: 10.3390/ijerph18083896&lt;/electronic-resource-num&gt;&lt;/record&gt;&lt;/Cite&gt;&lt;/EndNote&gt;</w:instrText>
        </w:r>
        <w:r w:rsidR="002D6F18" w:rsidRPr="00FE31F3">
          <w:rPr>
            <w:vertAlign w:val="superscript"/>
          </w:rPr>
          <w:fldChar w:fldCharType="separate"/>
        </w:r>
        <w:r w:rsidR="002D6F18">
          <w:rPr>
            <w:noProof/>
            <w:vertAlign w:val="superscript"/>
          </w:rPr>
          <w:t>282</w:t>
        </w:r>
        <w:r w:rsidR="002D6F18" w:rsidRPr="00FE31F3">
          <w:rPr>
            <w:vertAlign w:val="superscript"/>
          </w:rPr>
          <w:fldChar w:fldCharType="end"/>
        </w:r>
      </w:hyperlink>
      <w:r w:rsidR="00FE31F3" w:rsidRPr="00FE31F3">
        <w:rPr>
          <w:vertAlign w:val="superscript"/>
        </w:rPr>
        <w:t>,</w:t>
      </w:r>
      <w:hyperlink w:anchor="_ENREF_283" w:tooltip="D, 2022 #257" w:history="1">
        <w:r w:rsidR="002D6F18" w:rsidRPr="00FE31F3">
          <w:rPr>
            <w:vertAlign w:val="superscript"/>
          </w:rPr>
          <w:fldChar w:fldCharType="begin"/>
        </w:r>
        <w:r w:rsidR="002D6F18">
          <w:rPr>
            <w:vertAlign w:val="superscript"/>
          </w:rPr>
          <w:instrText xml:space="preserve"> ADDIN EN.CITE &lt;EndNote&gt;&lt;Cite&gt;&lt;Author&gt;D&lt;/Author&gt;&lt;Year&gt;2022&lt;/Year&gt;&lt;RecNum&gt;257&lt;/RecNum&gt;&lt;DisplayText&gt;&lt;style face="superscript"&gt;283&lt;/style&gt;&lt;/DisplayText&gt;&lt;record&gt;&lt;rec-number&gt;257&lt;/rec-number&gt;&lt;foreign-keys&gt;&lt;key app="EN" db-id="rsettzd2isasdweewww55s9lffasxav0d0ft" timestamp="1700699470" guid="33212a4d-a0ff-4405-afd2-e5b0358791e4"&gt;257&lt;/key&gt;&lt;/foreign-keys&gt;&lt;ref-type name="Journal Article"&gt;17&lt;/ref-type&gt;&lt;contributors&gt;&lt;authors&gt;&lt;author&gt;Rothe D&lt;/author&gt;&lt;author&gt;Heiss R&lt;/author&gt;&lt;/authors&gt;&lt;/contributors&gt;&lt;titles&gt;&lt;title&gt;Link Workers, Activities and Target Groups in Social Prescribing: A Literature Review&lt;/title&gt;&lt;secondary-title&gt;Journal of Integrated Care&lt;/secondary-title&gt;&lt;/titles&gt;&lt;periodical&gt;&lt;full-title&gt;Journal of Integrated Care&lt;/full-title&gt;&lt;/periodical&gt;&lt;dates&gt;&lt;year&gt;2022&lt;/year&gt;&lt;/dates&gt;&lt;urls&gt;&lt;/urls&gt;&lt;electronic-resource-num&gt;DOI: 10.1108/JICA-09-2021-0047&lt;/electronic-resource-num&gt;&lt;/record&gt;&lt;/Cite&gt;&lt;/EndNote&gt;</w:instrText>
        </w:r>
        <w:r w:rsidR="002D6F18" w:rsidRPr="00FE31F3">
          <w:rPr>
            <w:vertAlign w:val="superscript"/>
          </w:rPr>
          <w:fldChar w:fldCharType="separate"/>
        </w:r>
        <w:r w:rsidR="002D6F18">
          <w:rPr>
            <w:noProof/>
            <w:vertAlign w:val="superscript"/>
          </w:rPr>
          <w:t>283</w:t>
        </w:r>
        <w:r w:rsidR="002D6F18" w:rsidRPr="00FE31F3">
          <w:rPr>
            <w:vertAlign w:val="superscript"/>
          </w:rPr>
          <w:fldChar w:fldCharType="end"/>
        </w:r>
      </w:hyperlink>
      <w:r w:rsidR="00FE31F3">
        <w:t xml:space="preserve"> </w:t>
      </w:r>
      <w:r w:rsidR="4D228252" w:rsidRPr="00B768A1">
        <w:t xml:space="preserve">Social prescribing </w:t>
      </w:r>
      <w:r w:rsidRPr="00B768A1">
        <w:t xml:space="preserve">may include referrals to services to meet unmet material needs, such as food and housing, </w:t>
      </w:r>
      <w:r w:rsidR="6E9763EC" w:rsidRPr="00B768A1">
        <w:t xml:space="preserve">and </w:t>
      </w:r>
      <w:r w:rsidRPr="00B768A1">
        <w:t xml:space="preserve">connection with community services and activities to </w:t>
      </w:r>
      <w:r w:rsidR="160AC3D0" w:rsidRPr="00B768A1">
        <w:t xml:space="preserve">fill </w:t>
      </w:r>
      <w:r w:rsidRPr="00B768A1">
        <w:t>unmet social needs</w:t>
      </w:r>
      <w:r w:rsidR="5F5540F1" w:rsidRPr="00B768A1">
        <w:t>; for example,</w:t>
      </w:r>
      <w:r w:rsidRPr="00B768A1">
        <w:t xml:space="preserve"> </w:t>
      </w:r>
      <w:r w:rsidR="160AC3D0" w:rsidRPr="00B768A1">
        <w:t xml:space="preserve">to reduce </w:t>
      </w:r>
      <w:r w:rsidRPr="00B768A1">
        <w:t>loneliness</w:t>
      </w:r>
      <w:r w:rsidRPr="000431B6">
        <w:t>.</w:t>
      </w:r>
      <w:r w:rsidR="1F1BCB42" w:rsidRPr="000431B6">
        <w:t xml:space="preserve"> </w:t>
      </w:r>
      <w:r w:rsidR="1F1BCB42" w:rsidRPr="000431B6">
        <w:rPr>
          <w:rFonts w:eastAsia="Century Gothic"/>
        </w:rPr>
        <w:t>This is especially important for those who do not have active personal support networks</w:t>
      </w:r>
      <w:r w:rsidR="1F1BCB42" w:rsidRPr="00F833FC">
        <w:rPr>
          <w:rFonts w:ascii="Century Gothic" w:eastAsia="Century Gothic" w:hAnsi="Century Gothic" w:cs="Century Gothic"/>
          <w:sz w:val="19"/>
          <w:szCs w:val="19"/>
        </w:rPr>
        <w:t>.</w:t>
      </w:r>
      <w:r w:rsidR="53485241" w:rsidRPr="00B768A1">
        <w:t xml:space="preserve"> For Aboriginal and Torres Strait Islander people</w:t>
      </w:r>
      <w:r w:rsidR="160AC3D0" w:rsidRPr="00B768A1">
        <w:t>,</w:t>
      </w:r>
      <w:r w:rsidR="53485241" w:rsidRPr="00B768A1">
        <w:t xml:space="preserve"> social prescribing can include connection to </w:t>
      </w:r>
      <w:r w:rsidR="01823386" w:rsidRPr="00B768A1">
        <w:t xml:space="preserve">language, </w:t>
      </w:r>
      <w:r w:rsidR="53485241" w:rsidRPr="00B768A1">
        <w:t xml:space="preserve">cultural </w:t>
      </w:r>
      <w:r w:rsidR="6F002D8E" w:rsidRPr="00B768A1">
        <w:t xml:space="preserve">and </w:t>
      </w:r>
      <w:r w:rsidR="14EDCEFB" w:rsidRPr="00B768A1">
        <w:t>c</w:t>
      </w:r>
      <w:r w:rsidR="6F002D8E" w:rsidRPr="00B768A1">
        <w:t xml:space="preserve">ommunity </w:t>
      </w:r>
      <w:r w:rsidR="3D5F0B6E" w:rsidRPr="00B768A1">
        <w:t xml:space="preserve">activities </w:t>
      </w:r>
      <w:r w:rsidR="53DC9D67" w:rsidRPr="00B768A1">
        <w:t>(such as yarning)</w:t>
      </w:r>
      <w:r w:rsidR="3F9A7E78" w:rsidRPr="00B768A1">
        <w:t xml:space="preserve"> </w:t>
      </w:r>
      <w:r w:rsidR="3D5F0B6E" w:rsidRPr="00B768A1">
        <w:t xml:space="preserve">to improve </w:t>
      </w:r>
      <w:r w:rsidR="6A11E0A2" w:rsidRPr="00B768A1">
        <w:t xml:space="preserve">social and emotional </w:t>
      </w:r>
      <w:r w:rsidR="3D5F0B6E" w:rsidRPr="00B768A1">
        <w:t>wellbeing.</w:t>
      </w:r>
      <w:hyperlink w:anchor="_ENREF_284" w:tooltip="C, 2021 #1025" w:history="1">
        <w:r w:rsidR="002D6F18">
          <w:fldChar w:fldCharType="begin"/>
        </w:r>
        <w:r w:rsidR="002D6F18">
          <w:instrText xml:space="preserve"> ADDIN EN.CITE &lt;EndNote&gt;&lt;Cite&gt;&lt;Author&gt;C&lt;/Author&gt;&lt;Year&gt;2021&lt;/Year&gt;&lt;RecNum&gt;1025&lt;/RecNum&gt;&lt;DisplayText&gt;&lt;style face="superscript"&gt;284&lt;/style&gt;&lt;/DisplayText&gt;&lt;record&gt;&lt;rec-number&gt;1025&lt;/rec-number&gt;&lt;foreign-keys&gt;&lt;key app="EN" db-id="rsettzd2isasdweewww55s9lffasxav0d0ft" timestamp="1720488457" guid="c5bafcac-14d4-4bbd-87d6-54d1690275d2"&gt;1025&lt;/key&gt;&lt;/foreign-keys&gt;&lt;ref-type name="Journal Article"&gt;17&lt;/ref-type&gt;&lt;contributors&gt;&lt;authors&gt;&lt;author&gt;Murrup-Stewart C&lt;/author&gt;&lt;author&gt;Whyman T&lt;/author&gt;&lt;author&gt;Jobson L&lt;/author&gt;&lt;author&gt;Adams K&lt;/author&gt;&lt;/authors&gt;&lt;/contributors&gt;&lt;titles&gt;&lt;title&gt;“Connection to Culture Is Like a Massive Lifeline”: Yarning With Aboriginal Young People About Culture and Social and Emotional Wellbeing&lt;/title&gt;&lt;secondary-title&gt;Qualitative Health Research&lt;/secondary-title&gt;&lt;/titles&gt;&lt;periodical&gt;&lt;full-title&gt;Qualitative Health Research&lt;/full-title&gt;&lt;/periodical&gt;&lt;pages&gt;1833-1846&lt;/pages&gt;&lt;volume&gt;31&lt;/volume&gt;&lt;number&gt;10&lt;/number&gt;&lt;keywords&gt;&lt;keyword&gt;yarning,Australia,Aboriginal,Indigenous,Indigenous Research Methodology,youth,young adults,wellbeing,minorities,culture,urban issues,mental health and illness,determinants of health,reflexivity,qualitative,equality,inequality,social issues&lt;/keyword&gt;&lt;/keywords&gt;&lt;dates&gt;&lt;year&gt;2021&lt;/year&gt;&lt;/dates&gt;&lt;accession-num&gt;33938295&lt;/accession-num&gt;&lt;urls&gt;&lt;related-urls&gt;&lt;url&gt;https://journals.sagepub.com/doi/abs/10.1177/10497323211009475&lt;/url&gt;&lt;/related-urls&gt;&lt;/urls&gt;&lt;electronic-resource-num&gt;10.1177/10497323211009475&lt;/electronic-resource-num&gt;&lt;/record&gt;&lt;/Cite&gt;&lt;/EndNote&gt;</w:instrText>
        </w:r>
        <w:r w:rsidR="002D6F18">
          <w:fldChar w:fldCharType="separate"/>
        </w:r>
        <w:r w:rsidR="002D6F18" w:rsidRPr="00C559B5">
          <w:rPr>
            <w:noProof/>
            <w:vertAlign w:val="superscript"/>
          </w:rPr>
          <w:t>284</w:t>
        </w:r>
        <w:r w:rsidR="002D6F18">
          <w:fldChar w:fldCharType="end"/>
        </w:r>
      </w:hyperlink>
    </w:p>
    <w:p w14:paraId="50043A9B" w14:textId="136BCF6C" w:rsidR="00682A5B" w:rsidRPr="00462C3B" w:rsidRDefault="3605BDAC" w:rsidP="00634A83">
      <w:r w:rsidRPr="00B768A1">
        <w:t>While evidence for social prescribing has</w:t>
      </w:r>
      <w:r w:rsidR="43CFAD89" w:rsidRPr="00B768A1">
        <w:t xml:space="preserve"> </w:t>
      </w:r>
      <w:r w:rsidRPr="00B768A1">
        <w:t>n</w:t>
      </w:r>
      <w:r w:rsidR="43CFAD89" w:rsidRPr="00B768A1">
        <w:t>o</w:t>
      </w:r>
      <w:r w:rsidRPr="00B768A1">
        <w:t>t been developed specifically for suicide prevention, outcomes achieved through social prescribing are relevant for people who experience suicidal thoughts and behaviours. The available evidence indicates some positive impacts on suicide risk factors such as loneliness, belonging, social connectedness and sense of purpose.</w:t>
      </w:r>
      <w:hyperlink w:anchor="_ENREF_285" w:tooltip="J, 2019 #1058" w:history="1">
        <w:r w:rsidR="002D6F18" w:rsidRPr="00FE31F3">
          <w:rPr>
            <w:vertAlign w:val="superscript"/>
          </w:rPr>
          <w:fldChar w:fldCharType="begin"/>
        </w:r>
        <w:r w:rsidR="002D6F18">
          <w:rPr>
            <w:vertAlign w:val="superscript"/>
          </w:rPr>
          <w:instrText xml:space="preserve"> ADDIN EN.CITE &lt;EndNote&gt;&lt;Cite&gt;&lt;Author&gt;J&lt;/Author&gt;&lt;Year&gt;2019&lt;/Year&gt;&lt;RecNum&gt;1058&lt;/RecNum&gt;&lt;DisplayText&gt;&lt;style face="superscript"&gt;285&lt;/style&gt;&lt;/DisplayText&gt;&lt;record&gt;&lt;rec-number&gt;1058&lt;/rec-number&gt;&lt;foreign-keys&gt;&lt;key app="EN" db-id="rsettzd2isasdweewww55s9lffasxav0d0ft" timestamp="1720488584" guid="e3bb38f7-9c7e-4b33-bdb4-c25b089634e6"&gt;1058&lt;/key&gt;&lt;/foreign-keys&gt;&lt;ref-type name="Journal Article"&gt;17&lt;/ref-type&gt;&lt;contributors&gt;&lt;authors&gt;&lt;author&gt;Pescheny J&lt;/author&gt;&lt;author&gt;Randhawa G&lt;/author&gt;&lt;author&gt;Pappas Y&lt;/author&gt;&lt;/authors&gt;&lt;/contributors&gt;&lt;titles&gt;&lt;title&gt;The impact of social prescribing services on service users: a systematic review of the evidence&lt;/title&gt;&lt;secondary-title&gt;European journal of public health&lt;/secondary-title&gt;&lt;/titles&gt;&lt;periodical&gt;&lt;full-title&gt;European journal of public health&lt;/full-title&gt;&lt;/periodical&gt;&lt;volume&gt;30&lt;/volume&gt;&lt;dates&gt;&lt;year&gt;2019&lt;/year&gt;&lt;pub-dates&gt;&lt;date&gt;06/14&lt;/date&gt;&lt;/pub-dates&gt;&lt;/dates&gt;&lt;urls&gt;&lt;/urls&gt;&lt;electronic-resource-num&gt;10.1093/eurpub/ckz078&lt;/electronic-resource-num&gt;&lt;/record&gt;&lt;/Cite&gt;&lt;/EndNote&gt;</w:instrText>
        </w:r>
        <w:r w:rsidR="002D6F18" w:rsidRPr="00FE31F3">
          <w:rPr>
            <w:vertAlign w:val="superscript"/>
          </w:rPr>
          <w:fldChar w:fldCharType="separate"/>
        </w:r>
        <w:r w:rsidR="002D6F18">
          <w:rPr>
            <w:noProof/>
            <w:vertAlign w:val="superscript"/>
          </w:rPr>
          <w:t>285</w:t>
        </w:r>
        <w:r w:rsidR="002D6F18" w:rsidRPr="00FE31F3">
          <w:rPr>
            <w:vertAlign w:val="superscript"/>
          </w:rPr>
          <w:fldChar w:fldCharType="end"/>
        </w:r>
      </w:hyperlink>
      <w:r w:rsidR="00FE31F3" w:rsidRPr="00FE31F3">
        <w:rPr>
          <w:vertAlign w:val="superscript"/>
        </w:rPr>
        <w:t>,</w:t>
      </w:r>
      <w:hyperlink w:anchor="_ENREF_286" w:tooltip="GY, 2021 #1031" w:history="1">
        <w:r w:rsidR="002D6F18" w:rsidRPr="00FE31F3">
          <w:rPr>
            <w:vertAlign w:val="superscript"/>
          </w:rPr>
          <w:fldChar w:fldCharType="begin"/>
        </w:r>
        <w:r w:rsidR="002D6F18">
          <w:rPr>
            <w:vertAlign w:val="superscript"/>
          </w:rPr>
          <w:instrText xml:space="preserve"> ADDIN EN.CITE &lt;EndNote&gt;&lt;Cite&gt;&lt;Author&gt;GY&lt;/Author&gt;&lt;Year&gt;2021&lt;/Year&gt;&lt;RecNum&gt;1031&lt;/RecNum&gt;&lt;DisplayText&gt;&lt;style face="superscript"&gt;286&lt;/style&gt;&lt;/DisplayText&gt;&lt;record&gt;&lt;rec-number&gt;1031&lt;/rec-number&gt;&lt;foreign-keys&gt;&lt;key app="EN" db-id="rsettzd2isasdweewww55s9lffasxav0d0ft" timestamp="1720488479" guid="0f6a8c71-02e5-4638-a832-da0ecec42f09"&gt;1031&lt;/key&gt;&lt;/foreign-keys&gt;&lt;ref-type name="Journal Article"&gt;17&lt;/ref-type&gt;&lt;contributors&gt;&lt;authors&gt;&lt;author&gt;Reinhardt GY&lt;/author&gt;&lt;author&gt;Vidovic D&lt;/author&gt;&lt;author&gt;Hammerton C&lt;/author&gt;&lt;/authors&gt;&lt;/contributors&gt;&lt;auth-address&gt;Department of Government, University of Essex, Wivenhoe Park, Colchester CO4 3SQ, Essex, UK.&amp;#xD;University of Essex, Colchester, UK.&lt;/auth-address&gt;&lt;titles&gt;&lt;title&gt;Understanding loneliness: a systematic review of the impact of social prescribing initiatives on loneliness&lt;/title&gt;&lt;secondary-title&gt;Perspect Public Health&lt;/secondary-title&gt;&lt;/titles&gt;&lt;periodical&gt;&lt;full-title&gt;Perspect Public Health&lt;/full-title&gt;&lt;/periodical&gt;&lt;pages&gt;204-213&lt;/pages&gt;&lt;volume&gt;141&lt;/volume&gt;&lt;number&gt;4&lt;/number&gt;&lt;edition&gt;2021/06/24&lt;/edition&gt;&lt;keywords&gt;&lt;keyword&gt;Humans&lt;/keyword&gt;&lt;keyword&gt;*Loneliness&lt;/keyword&gt;&lt;keyword&gt;*Prescriptions&lt;/keyword&gt;&lt;keyword&gt;Program Evaluation&lt;/keyword&gt;&lt;keyword&gt;*Social Participation&lt;/keyword&gt;&lt;keyword&gt;evaluation&lt;/keyword&gt;&lt;keyword&gt;loneliness&lt;/keyword&gt;&lt;keyword&gt;public health&lt;/keyword&gt;&lt;keyword&gt;social model of health&lt;/keyword&gt;&lt;keyword&gt;social prescribing&lt;/keyword&gt;&lt;keyword&gt;wellbeing&lt;/keyword&gt;&lt;keyword&gt;with respect to the research, authorship, and/or publication of this article.&lt;/keyword&gt;&lt;/keywords&gt;&lt;dates&gt;&lt;year&gt;2021&lt;/year&gt;&lt;pub-dates&gt;&lt;date&gt;Jul&lt;/date&gt;&lt;/pub-dates&gt;&lt;/dates&gt;&lt;isbn&gt;1757-9139 (Print)&amp;#xD;1757-9147&lt;/isbn&gt;&lt;accession-num&gt;34159848&lt;/accession-num&gt;&lt;urls&gt;&lt;/urls&gt;&lt;custom2&gt;PMC8295963&lt;/custom2&gt;&lt;electronic-resource-num&gt;10.1177/1757913920967040&lt;/electronic-resource-num&gt;&lt;remote-database-provider&gt;NLM&lt;/remote-database-provider&gt;&lt;language&gt;eng&lt;/language&gt;&lt;/record&gt;&lt;/Cite&gt;&lt;/EndNote&gt;</w:instrText>
        </w:r>
        <w:r w:rsidR="002D6F18" w:rsidRPr="00FE31F3">
          <w:rPr>
            <w:vertAlign w:val="superscript"/>
          </w:rPr>
          <w:fldChar w:fldCharType="separate"/>
        </w:r>
        <w:r w:rsidR="002D6F18">
          <w:rPr>
            <w:noProof/>
            <w:vertAlign w:val="superscript"/>
          </w:rPr>
          <w:t>286</w:t>
        </w:r>
        <w:r w:rsidR="002D6F18" w:rsidRPr="00FE31F3">
          <w:rPr>
            <w:vertAlign w:val="superscript"/>
          </w:rPr>
          <w:fldChar w:fldCharType="end"/>
        </w:r>
      </w:hyperlink>
      <w:r w:rsidR="00FE31F3" w:rsidRPr="00FE31F3">
        <w:rPr>
          <w:vertAlign w:val="superscript"/>
        </w:rPr>
        <w:t>,</w:t>
      </w:r>
      <w:hyperlink w:anchor="_ENREF_287" w:tooltip="D, 2021 #1127" w:history="1">
        <w:r w:rsidR="002D6F18" w:rsidRPr="00FE31F3">
          <w:rPr>
            <w:vertAlign w:val="superscript"/>
          </w:rPr>
          <w:fldChar w:fldCharType="begin"/>
        </w:r>
        <w:r w:rsidR="002D6F18">
          <w:rPr>
            <w:vertAlign w:val="superscript"/>
          </w:rPr>
          <w:instrText xml:space="preserve"> ADDIN EN.CITE &lt;EndNote&gt;&lt;Cite&gt;&lt;Author&gt;D&lt;/Author&gt;&lt;Year&gt;2021&lt;/Year&gt;&lt;RecNum&gt;1127&lt;/RecNum&gt;&lt;DisplayText&gt;&lt;style face="superscript"&gt;287&lt;/style&gt;&lt;/DisplayText&gt;&lt;record&gt;&lt;rec-number&gt;1127&lt;/rec-number&gt;&lt;foreign-keys&gt;&lt;key app="EN" db-id="rsettzd2isasdweewww55s9lffasxav0d0ft" timestamp="1720520096" guid="a60a8f0d-b29c-48ce-8e65-92a807645ace"&gt;1127&lt;/key&gt;&lt;/foreign-keys&gt;&lt;ref-type name="Journal Article"&gt;17&lt;/ref-type&gt;&lt;contributors&gt;&lt;authors&gt;&lt;author&gt;Vidovic D&lt;/author&gt;&lt;author&gt;Reinhardt G&lt;/author&gt;&lt;author&gt;Hammerton C&lt;/author&gt;&lt;/authors&gt;&lt;/contributors&gt;&lt;titles&gt;&lt;title&gt;Can Social Prescribing Foster Individual and Community Well-Being? A Systematic Review of the Evidence&lt;/title&gt;&lt;secondary-title&gt;International Journal of Environmental Research and Public Health&lt;/secondary-title&gt;&lt;/titles&gt;&lt;periodical&gt;&lt;full-title&gt;International Journal of Environmental Research and Public Health&lt;/full-title&gt;&lt;/periodical&gt;&lt;pages&gt;5276&lt;/pages&gt;&lt;volume&gt;18&lt;/volume&gt;&lt;dates&gt;&lt;year&gt;2021&lt;/year&gt;&lt;pub-dates&gt;&lt;date&gt;05/15&lt;/date&gt;&lt;/pub-dates&gt;&lt;/dates&gt;&lt;urls&gt;&lt;/urls&gt;&lt;electronic-resource-num&gt;10.3390/ijerph18105276&lt;/electronic-resource-num&gt;&lt;/record&gt;&lt;/Cite&gt;&lt;/EndNote&gt;</w:instrText>
        </w:r>
        <w:r w:rsidR="002D6F18" w:rsidRPr="00FE31F3">
          <w:rPr>
            <w:vertAlign w:val="superscript"/>
          </w:rPr>
          <w:fldChar w:fldCharType="separate"/>
        </w:r>
        <w:r w:rsidR="002D6F18">
          <w:rPr>
            <w:noProof/>
            <w:vertAlign w:val="superscript"/>
          </w:rPr>
          <w:t>287</w:t>
        </w:r>
        <w:r w:rsidR="002D6F18" w:rsidRPr="00FE31F3">
          <w:rPr>
            <w:vertAlign w:val="superscript"/>
          </w:rPr>
          <w:fldChar w:fldCharType="end"/>
        </w:r>
      </w:hyperlink>
      <w:r w:rsidR="00FE31F3" w:rsidRPr="00FE31F3">
        <w:rPr>
          <w:vertAlign w:val="superscript"/>
        </w:rPr>
        <w:t>,</w:t>
      </w:r>
      <w:hyperlink w:anchor="_ENREF_282" w:tooltip="G, 2021 #256" w:history="1">
        <w:r w:rsidR="002D6F18" w:rsidRPr="00FE31F3">
          <w:rPr>
            <w:vertAlign w:val="superscript"/>
          </w:rPr>
          <w:fldChar w:fldCharType="begin"/>
        </w:r>
        <w:r w:rsidR="002D6F18">
          <w:rPr>
            <w:vertAlign w:val="superscript"/>
          </w:rPr>
          <w:instrText xml:space="preserve"> ADDIN EN.CITE &lt;EndNote&gt;&lt;Cite&gt;&lt;Author&gt;G&lt;/Author&gt;&lt;Year&gt;2021&lt;/Year&gt;&lt;RecNum&gt;256&lt;/RecNum&gt;&lt;DisplayText&gt;&lt;style face="superscript"&gt;282&lt;/style&gt;&lt;/DisplayText&gt;&lt;record&gt;&lt;rec-number&gt;256&lt;/rec-number&gt;&lt;foreign-keys&gt;&lt;key app="EN" db-id="rsettzd2isasdweewww55s9lffasxav0d0ft" timestamp="1700699470" guid="d9f4220d-1198-46c2-b9da-189e4b097ef7"&gt;256&lt;/key&gt;&lt;/foreign-keys&gt;&lt;ref-type name="Journal Article"&gt;17&lt;/ref-type&gt;&lt;contributors&gt;&lt;authors&gt;&lt;author&gt;Thomas G&lt;/author&gt;&lt;author&gt;Lynch M&lt;/author&gt;&lt;author&gt;Spencer LH&lt;/author&gt;&lt;/authors&gt;&lt;/contributors&gt;&lt;titles&gt;&lt;title&gt;A Systematic Review to Examine the Evidence in Developing Social Prescribing Interventions that Apply a Co-Productive, Co-Designed Approach to Improve Well-Being Outcomes in a Community Setting&lt;/title&gt;&lt;secondary-title&gt;International Journal of Environmental Research and Public Health&lt;/secondary-title&gt;&lt;/titles&gt;&lt;periodical&gt;&lt;full-title&gt;International Journal of Environmental Research and Public Health&lt;/full-title&gt;&lt;/periodical&gt;&lt;dates&gt;&lt;year&gt;2021&lt;/year&gt;&lt;/dates&gt;&lt;urls&gt;&lt;/urls&gt;&lt;electronic-resource-num&gt;DOI: 10.3390/ijerph18083896&lt;/electronic-resource-num&gt;&lt;/record&gt;&lt;/Cite&gt;&lt;/EndNote&gt;</w:instrText>
        </w:r>
        <w:r w:rsidR="002D6F18" w:rsidRPr="00FE31F3">
          <w:rPr>
            <w:vertAlign w:val="superscript"/>
          </w:rPr>
          <w:fldChar w:fldCharType="separate"/>
        </w:r>
        <w:r w:rsidR="002D6F18">
          <w:rPr>
            <w:noProof/>
            <w:vertAlign w:val="superscript"/>
          </w:rPr>
          <w:t>282</w:t>
        </w:r>
        <w:r w:rsidR="002D6F18" w:rsidRPr="00FE31F3">
          <w:rPr>
            <w:vertAlign w:val="superscript"/>
          </w:rPr>
          <w:fldChar w:fldCharType="end"/>
        </w:r>
      </w:hyperlink>
      <w:r w:rsidR="00FE31F3" w:rsidRPr="00FE31F3">
        <w:rPr>
          <w:vertAlign w:val="superscript"/>
        </w:rPr>
        <w:t>,</w:t>
      </w:r>
      <w:hyperlink w:anchor="_ENREF_288" w:tooltip="J, 2023 #1032" w:history="1">
        <w:r w:rsidR="002D6F18" w:rsidRPr="00FE31F3">
          <w:rPr>
            <w:vertAlign w:val="superscript"/>
          </w:rPr>
          <w:fldChar w:fldCharType="begin"/>
        </w:r>
        <w:r w:rsidR="002D6F18">
          <w:rPr>
            <w:vertAlign w:val="superscript"/>
          </w:rPr>
          <w:instrText xml:space="preserve"> ADDIN EN.CITE &lt;EndNote&gt;&lt;Cite&gt;&lt;Author&gt;J&lt;/Author&gt;&lt;Year&gt;2023&lt;/Year&gt;&lt;RecNum&gt;1032&lt;/RecNum&gt;&lt;DisplayText&gt;&lt;style face="superscript"&gt;288&lt;/style&gt;&lt;/DisplayText&gt;&lt;record&gt;&lt;rec-number&gt;1032&lt;/rec-number&gt;&lt;foreign-keys&gt;&lt;key app="EN" db-id="rsettzd2isasdweewww55s9lffasxav0d0ft" timestamp="1720488483" guid="4cbafd21-bc58-4155-9660-856154593412"&gt;1032&lt;/key&gt;&lt;/foreign-keys&gt;&lt;ref-type name="Journal Article"&gt;17&lt;/ref-type&gt;&lt;contributors&gt;&lt;authors&gt;&lt;author&gt;Wildman J&lt;/author&gt;&lt;author&gt;Wildman JM&lt;/author&gt;&lt;/authors&gt;&lt;/contributors&gt;&lt;auth-address&gt;Economics, Newcastle University Business School, Newcastle University, UK. Electronic address: john.wildman@newcastle.ac.uk.&amp;#xD;ScotCen, Scotiabank House, Edinburgh, UK.&lt;/auth-address&gt;&lt;titles&gt;&lt;title&gt;Impact of a link worker social prescribing intervention on non-elective admitted patient care costs: A quasi-experimental study&lt;/title&gt;&lt;secondary-title&gt;Soc Sci Med&lt;/secondary-title&gt;&lt;/titles&gt;&lt;periodical&gt;&lt;full-title&gt;Soc Sci Med&lt;/full-title&gt;&lt;/periodical&gt;&lt;pages&gt;115598&lt;/pages&gt;&lt;volume&gt;317&lt;/volume&gt;&lt;edition&gt;2022/12/18&lt;/edition&gt;&lt;keywords&gt;&lt;keyword&gt;Humans&lt;/keyword&gt;&lt;keyword&gt;Adult&lt;/keyword&gt;&lt;keyword&gt;Middle Aged&lt;/keyword&gt;&lt;keyword&gt;Aged&lt;/keyword&gt;&lt;keyword&gt;*Diabetes Mellitus, Type 2/drug therapy&lt;/keyword&gt;&lt;keyword&gt;Hospitalization&lt;/keyword&gt;&lt;keyword&gt;England&lt;/keyword&gt;&lt;keyword&gt;Comorbidity&lt;/keyword&gt;&lt;keyword&gt;Non-elective admissions and costs&lt;/keyword&gt;&lt;keyword&gt;Policy analysis&lt;/keyword&gt;&lt;keyword&gt;Social prescribing&lt;/keyword&gt;&lt;keyword&gt;competing financial interests or personal relationships that could have appeared&lt;/keyword&gt;&lt;keyword&gt;to influence the work reported in this paper.&lt;/keyword&gt;&lt;/keywords&gt;&lt;dates&gt;&lt;year&gt;2023&lt;/year&gt;&lt;pub-dates&gt;&lt;date&gt;Jan&lt;/date&gt;&lt;/pub-dates&gt;&lt;/dates&gt;&lt;isbn&gt;0277-9536&lt;/isbn&gt;&lt;accession-num&gt;36527893&lt;/accession-num&gt;&lt;urls&gt;&lt;/urls&gt;&lt;electronic-resource-num&gt;10.1016/j.socscimed.2022.115598&lt;/electronic-resource-num&gt;&lt;remote-database-provider&gt;NLM&lt;/remote-database-provider&gt;&lt;language&gt;eng&lt;/language&gt;&lt;/record&gt;&lt;/Cite&gt;&lt;/EndNote&gt;</w:instrText>
        </w:r>
        <w:r w:rsidR="002D6F18" w:rsidRPr="00FE31F3">
          <w:rPr>
            <w:vertAlign w:val="superscript"/>
          </w:rPr>
          <w:fldChar w:fldCharType="separate"/>
        </w:r>
        <w:r w:rsidR="002D6F18">
          <w:rPr>
            <w:noProof/>
            <w:vertAlign w:val="superscript"/>
          </w:rPr>
          <w:t>288</w:t>
        </w:r>
        <w:r w:rsidR="002D6F18" w:rsidRPr="00FE31F3">
          <w:rPr>
            <w:vertAlign w:val="superscript"/>
          </w:rPr>
          <w:fldChar w:fldCharType="end"/>
        </w:r>
      </w:hyperlink>
      <w:r w:rsidR="00FE31F3" w:rsidRPr="00FE31F3">
        <w:rPr>
          <w:vertAlign w:val="superscript"/>
        </w:rPr>
        <w:t>,</w:t>
      </w:r>
      <w:hyperlink w:anchor="_ENREF_289" w:tooltip="C, 2022 #258" w:history="1">
        <w:r w:rsidR="002D6F18" w:rsidRPr="00FE31F3">
          <w:rPr>
            <w:vertAlign w:val="superscript"/>
          </w:rPr>
          <w:fldChar w:fldCharType="begin"/>
        </w:r>
        <w:r w:rsidR="002D6F18">
          <w:rPr>
            <w:vertAlign w:val="superscript"/>
          </w:rPr>
          <w:instrText xml:space="preserve"> ADDIN EN.CITE &lt;EndNote&gt;&lt;Cite&gt;&lt;Author&gt;C&lt;/Author&gt;&lt;Year&gt;2022&lt;/Year&gt;&lt;RecNum&gt;258&lt;/RecNum&gt;&lt;DisplayText&gt;&lt;style face="superscript"&gt;289&lt;/style&gt;&lt;/DisplayText&gt;&lt;record&gt;&lt;rec-number&gt;258&lt;/rec-number&gt;&lt;foreign-keys&gt;&lt;key app="EN" db-id="rsettzd2isasdweewww55s9lffasxav0d0ft" timestamp="1700699470" guid="6723eb19-13fb-41a3-852e-c410471a1266"&gt;258&lt;/key&gt;&lt;/foreign-keys&gt;&lt;ref-type name="Journal Article"&gt;17&lt;/ref-type&gt;&lt;contributors&gt;&lt;authors&gt;&lt;author&gt;Griffiths C&lt;/author&gt;&lt;author&gt;Hina F&lt;/author&gt;&lt;author&gt;Jiang H&lt;/author&gt;&lt;/authors&gt;&lt;/contributors&gt;&lt;titles&gt;&lt;title&gt;Social Prescribing through Primary Care: A Systematic Review of the Evidence&lt;/title&gt;&lt;secondary-title&gt;Open Journal of Preventive Medicine&lt;/secondary-title&gt;&lt;/titles&gt;&lt;periodical&gt;&lt;full-title&gt;Open Journal of Preventive Medicine&lt;/full-title&gt;&lt;/periodical&gt;&lt;dates&gt;&lt;year&gt;2022&lt;/year&gt;&lt;/dates&gt;&lt;urls&gt;&lt;/urls&gt;&lt;electronic-resource-num&gt;DOI: 10.4236/ojpm.2022.122003&lt;/electronic-resource-num&gt;&lt;/record&gt;&lt;/Cite&gt;&lt;/EndNote&gt;</w:instrText>
        </w:r>
        <w:r w:rsidR="002D6F18" w:rsidRPr="00FE31F3">
          <w:rPr>
            <w:vertAlign w:val="superscript"/>
          </w:rPr>
          <w:fldChar w:fldCharType="separate"/>
        </w:r>
        <w:r w:rsidR="002D6F18">
          <w:rPr>
            <w:noProof/>
            <w:vertAlign w:val="superscript"/>
          </w:rPr>
          <w:t>289</w:t>
        </w:r>
        <w:r w:rsidR="002D6F18" w:rsidRPr="00FE31F3">
          <w:rPr>
            <w:vertAlign w:val="superscript"/>
          </w:rPr>
          <w:fldChar w:fldCharType="end"/>
        </w:r>
      </w:hyperlink>
      <w:r w:rsidR="00FE31F3">
        <w:t xml:space="preserve"> </w:t>
      </w:r>
      <w:r w:rsidRPr="00B768A1">
        <w:t xml:space="preserve">Other </w:t>
      </w:r>
      <w:r w:rsidR="7350D418" w:rsidRPr="00B768A1">
        <w:t xml:space="preserve">potential </w:t>
      </w:r>
      <w:r w:rsidRPr="00B768A1">
        <w:t>benefits of social prescribing for people with suicidal thoughts and behaviours include improved self-reported health and wellbeing, self-management skills, physical activity, ability to carry out activities of daily living and enhanced quality of life, as well as reduced anxiety, social exclusion</w:t>
      </w:r>
      <w:r w:rsidR="0341A801" w:rsidRPr="00B768A1">
        <w:t xml:space="preserve"> and </w:t>
      </w:r>
      <w:r w:rsidRPr="00B768A1">
        <w:t>demand for health professionals to address non-medical needs</w:t>
      </w:r>
      <w:r w:rsidR="52A946A4" w:rsidRPr="00B768A1">
        <w:t xml:space="preserve"> (</w:t>
      </w:r>
      <w:r w:rsidR="11770CB0">
        <w:t>action ko</w:t>
      </w:r>
      <w:r w:rsidR="26D8E364">
        <w:t>10</w:t>
      </w:r>
      <w:r w:rsidR="52A946A4" w:rsidRPr="00B768A1">
        <w:t>.2a)</w:t>
      </w:r>
      <w:r w:rsidRPr="00B768A1">
        <w:t>.</w:t>
      </w:r>
      <w:hyperlink w:anchor="_ENREF_290" w:tooltip="J, 2018 #1052" w:history="1">
        <w:r w:rsidR="002D6F18" w:rsidRPr="00A75A9D">
          <w:rPr>
            <w:vertAlign w:val="superscript"/>
          </w:rPr>
          <w:fldChar w:fldCharType="begin"/>
        </w:r>
        <w:r w:rsidR="002D6F18">
          <w:rPr>
            <w:vertAlign w:val="superscript"/>
          </w:rPr>
          <w:instrText xml:space="preserve"> ADDIN EN.CITE &lt;EndNote&gt;&lt;Cite&gt;&lt;Author&gt;J&lt;/Author&gt;&lt;Year&gt;2018&lt;/Year&gt;&lt;RecNum&gt;1052&lt;/RecNum&gt;&lt;DisplayText&gt;&lt;style face="superscript"&gt;290&lt;/style&gt;&lt;/DisplayText&gt;&lt;record&gt;&lt;rec-number&gt;1052&lt;/rec-number&gt;&lt;foreign-keys&gt;&lt;key app="EN" db-id="rsettzd2isasdweewww55s9lffasxav0d0ft" timestamp="1720488568" guid="f2a1ccfb-8ad2-4ca9-bb8b-dcb38f43503b"&gt;1052&lt;/key&gt;&lt;/foreign-keys&gt;&lt;ref-type name="Journal Article"&gt;17&lt;/ref-type&gt;&lt;contributors&gt;&lt;authors&gt;&lt;author&gt;Pescheny J&lt;/author&gt;&lt;author&gt;Pappas Y&lt;/author&gt;&lt;author&gt;Randhawa G&lt;/author&gt;&lt;/authors&gt;&lt;/contributors&gt;&lt;titles&gt;&lt;title&gt;Facilitators and barriers of implementing and delivering social prescribing services: A systematic review&lt;/title&gt;&lt;secondary-title&gt;BMC Health Services Research&lt;/secondary-title&gt;&lt;/titles&gt;&lt;periodical&gt;&lt;full-title&gt;BMC Health Services Research&lt;/full-title&gt;&lt;/periodical&gt;&lt;pages&gt;86&lt;/pages&gt;&lt;volume&gt;18&lt;/volume&gt;&lt;dates&gt;&lt;year&gt;2018&lt;/year&gt;&lt;pub-dates&gt;&lt;date&gt;02/07&lt;/date&gt;&lt;/pub-dates&gt;&lt;/dates&gt;&lt;urls&gt;&lt;/urls&gt;&lt;electronic-resource-num&gt;10.1186/s12913-018-2893-4&lt;/electronic-resource-num&gt;&lt;/record&gt;&lt;/Cite&gt;&lt;/EndNote&gt;</w:instrText>
        </w:r>
        <w:r w:rsidR="002D6F18" w:rsidRPr="00A75A9D">
          <w:rPr>
            <w:vertAlign w:val="superscript"/>
          </w:rPr>
          <w:fldChar w:fldCharType="separate"/>
        </w:r>
        <w:r w:rsidR="002D6F18">
          <w:rPr>
            <w:noProof/>
            <w:vertAlign w:val="superscript"/>
          </w:rPr>
          <w:t>290</w:t>
        </w:r>
        <w:r w:rsidR="002D6F18" w:rsidRPr="00A75A9D">
          <w:rPr>
            <w:vertAlign w:val="superscript"/>
          </w:rPr>
          <w:fldChar w:fldCharType="end"/>
        </w:r>
      </w:hyperlink>
      <w:r w:rsidR="00036F20" w:rsidRPr="00A75A9D">
        <w:rPr>
          <w:vertAlign w:val="superscript"/>
        </w:rPr>
        <w:t>,</w:t>
      </w:r>
      <w:hyperlink w:anchor="_ENREF_291" w:tooltip="H, 2017 #1050" w:history="1">
        <w:r w:rsidR="002D6F18" w:rsidRPr="00A75A9D">
          <w:rPr>
            <w:vertAlign w:val="superscript"/>
          </w:rPr>
          <w:fldChar w:fldCharType="begin"/>
        </w:r>
        <w:r w:rsidR="002D6F18">
          <w:rPr>
            <w:vertAlign w:val="superscript"/>
          </w:rPr>
          <w:instrText xml:space="preserve"> ADDIN EN.CITE &lt;EndNote&gt;&lt;Cite&gt;&lt;Author&gt;H&lt;/Author&gt;&lt;Year&gt;2017&lt;/Year&gt;&lt;RecNum&gt;1050&lt;/RecNum&gt;&lt;DisplayText&gt;&lt;style face="superscript"&gt;291&lt;/style&gt;&lt;/DisplayText&gt;&lt;record&gt;&lt;rec-number&gt;1050&lt;/rec-number&gt;&lt;foreign-keys&gt;&lt;key app="EN" db-id="rsettzd2isasdweewww55s9lffasxav0d0ft" timestamp="1720488560" guid="dbe5f084-60c2-47cb-af7c-4d7fe3b60dfd"&gt;1050&lt;/key&gt;&lt;/foreign-keys&gt;&lt;ref-type name="Journal Article"&gt;17&lt;/ref-type&gt;&lt;contributors&gt;&lt;authors&gt;&lt;author&gt;Chatterjee H&lt;/author&gt;&lt;author&gt;Camic P&lt;/author&gt;&lt;author&gt;Lockyer B&lt;/author&gt;&lt;author&gt;Thomson L&lt;/author&gt;&lt;/authors&gt;&lt;/contributors&gt;&lt;titles&gt;&lt;title&gt;Non-clinical community interventions: a systematised review of social prescribing schemes&lt;/title&gt;&lt;secondary-title&gt;Arts &amp;amp; Health&lt;/secondary-title&gt;&lt;/titles&gt;&lt;periodical&gt;&lt;full-title&gt;Arts &amp;amp; Health&lt;/full-title&gt;&lt;/periodical&gt;&lt;pages&gt;1-27&lt;/pages&gt;&lt;volume&gt;10&lt;/volume&gt;&lt;dates&gt;&lt;year&gt;2017&lt;/year&gt;&lt;pub-dates&gt;&lt;date&gt;06/06&lt;/date&gt;&lt;/pub-dates&gt;&lt;/dates&gt;&lt;urls&gt;&lt;/urls&gt;&lt;electronic-resource-num&gt;10.1080/17533015.2017.1334002&lt;/electronic-resource-num&gt;&lt;/record&gt;&lt;/Cite&gt;&lt;/EndNote&gt;</w:instrText>
        </w:r>
        <w:r w:rsidR="002D6F18" w:rsidRPr="00A75A9D">
          <w:rPr>
            <w:vertAlign w:val="superscript"/>
          </w:rPr>
          <w:fldChar w:fldCharType="separate"/>
        </w:r>
        <w:r w:rsidR="002D6F18">
          <w:rPr>
            <w:noProof/>
            <w:vertAlign w:val="superscript"/>
          </w:rPr>
          <w:t>291</w:t>
        </w:r>
        <w:r w:rsidR="002D6F18" w:rsidRPr="00A75A9D">
          <w:rPr>
            <w:vertAlign w:val="superscript"/>
          </w:rPr>
          <w:fldChar w:fldCharType="end"/>
        </w:r>
      </w:hyperlink>
      <w:r w:rsidR="00036F20" w:rsidRPr="00A75A9D">
        <w:rPr>
          <w:vertAlign w:val="superscript"/>
        </w:rPr>
        <w:t>,</w:t>
      </w:r>
      <w:hyperlink w:anchor="_ENREF_292" w:tooltip="A, 2021 #1062" w:history="1">
        <w:r w:rsidR="002D6F18" w:rsidRPr="00A75A9D">
          <w:rPr>
            <w:vertAlign w:val="superscript"/>
          </w:rPr>
          <w:fldChar w:fldCharType="begin"/>
        </w:r>
        <w:r w:rsidR="002D6F18">
          <w:rPr>
            <w:vertAlign w:val="superscript"/>
          </w:rPr>
          <w:instrText xml:space="preserve"> ADDIN EN.CITE &lt;EndNote&gt;&lt;Cite&gt;&lt;Author&gt;A&lt;/Author&gt;&lt;Year&gt;2021&lt;/Year&gt;&lt;RecNum&gt;1062&lt;/RecNum&gt;&lt;DisplayText&gt;&lt;style face="superscript"&gt;292&lt;/style&gt;&lt;/DisplayText&gt;&lt;record&gt;&lt;rec-number&gt;1062&lt;/rec-number&gt;&lt;foreign-keys&gt;&lt;key app="EN" db-id="rsettzd2isasdweewww55s9lffasxav0d0ft" timestamp="1720488598" guid="cfe15fba-c377-467a-b097-8c2d2f400962"&gt;1062&lt;/key&gt;&lt;/foreign-keys&gt;&lt;ref-type name="Journal Article"&gt;17&lt;/ref-type&gt;&lt;contributors&gt;&lt;authors&gt;&lt;author&gt;Costa A&lt;/author&gt;&lt;author&gt;Sousa C&lt;/author&gt;&lt;author&gt;Seabra P&lt;/author&gt;&lt;author&gt;Virgolino A&lt;/author&gt;&lt;author&gt;Santos O&lt;/author&gt;&lt;author&gt;Lopes J&lt;/author&gt;&lt;author&gt;Henriques A&lt;/author&gt;&lt;author&gt;Nogueira P&lt;/author&gt;&lt;author&gt;Alarcão V&lt;/author&gt;&lt;/authors&gt;&lt;/contributors&gt;&lt;titles&gt;&lt;title&gt;Effectiveness of Social Prescribing Programs in the Primary Health-Care Context: A Systematic Literature Review&lt;/title&gt;&lt;secondary-title&gt;Sustainability&lt;/secondary-title&gt;&lt;/titles&gt;&lt;periodical&gt;&lt;full-title&gt;Sustainability&lt;/full-title&gt;&lt;/periodical&gt;&lt;pages&gt;1-21&lt;/pages&gt;&lt;volume&gt;13&lt;/volume&gt;&lt;dates&gt;&lt;year&gt;2021&lt;/year&gt;&lt;pub-dates&gt;&lt;date&gt;03/03&lt;/date&gt;&lt;/pub-dates&gt;&lt;/dates&gt;&lt;urls&gt;&lt;/urls&gt;&lt;electronic-resource-num&gt;10.3390/su13052731&lt;/electronic-resource-num&gt;&lt;/record&gt;&lt;/Cite&gt;&lt;/EndNote&gt;</w:instrText>
        </w:r>
        <w:r w:rsidR="002D6F18" w:rsidRPr="00A75A9D">
          <w:rPr>
            <w:vertAlign w:val="superscript"/>
          </w:rPr>
          <w:fldChar w:fldCharType="separate"/>
        </w:r>
        <w:r w:rsidR="002D6F18">
          <w:rPr>
            <w:noProof/>
            <w:vertAlign w:val="superscript"/>
          </w:rPr>
          <w:t>292</w:t>
        </w:r>
        <w:r w:rsidR="002D6F18" w:rsidRPr="00A75A9D">
          <w:rPr>
            <w:vertAlign w:val="superscript"/>
          </w:rPr>
          <w:fldChar w:fldCharType="end"/>
        </w:r>
      </w:hyperlink>
      <w:r w:rsidR="00A75A9D" w:rsidRPr="00A75A9D">
        <w:rPr>
          <w:vertAlign w:val="superscript"/>
        </w:rPr>
        <w:t>,</w:t>
      </w:r>
      <w:hyperlink w:anchor="_ENREF_286" w:tooltip="GY, 2021 #1031" w:history="1">
        <w:r w:rsidR="002D6F18" w:rsidRPr="00A75A9D">
          <w:rPr>
            <w:vertAlign w:val="superscript"/>
          </w:rPr>
          <w:fldChar w:fldCharType="begin"/>
        </w:r>
        <w:r w:rsidR="002D6F18">
          <w:rPr>
            <w:vertAlign w:val="superscript"/>
          </w:rPr>
          <w:instrText xml:space="preserve"> ADDIN EN.CITE &lt;EndNote&gt;&lt;Cite&gt;&lt;Author&gt;GY&lt;/Author&gt;&lt;Year&gt;2021&lt;/Year&gt;&lt;RecNum&gt;1031&lt;/RecNum&gt;&lt;DisplayText&gt;&lt;style face="superscript"&gt;286&lt;/style&gt;&lt;/DisplayText&gt;&lt;record&gt;&lt;rec-number&gt;1031&lt;/rec-number&gt;&lt;foreign-keys&gt;&lt;key app="EN" db-id="rsettzd2isasdweewww55s9lffasxav0d0ft" timestamp="1720488479" guid="0f6a8c71-02e5-4638-a832-da0ecec42f09"&gt;1031&lt;/key&gt;&lt;/foreign-keys&gt;&lt;ref-type name="Journal Article"&gt;17&lt;/ref-type&gt;&lt;contributors&gt;&lt;authors&gt;&lt;author&gt;Reinhardt GY&lt;/author&gt;&lt;author&gt;Vidovic D&lt;/author&gt;&lt;author&gt;Hammerton C&lt;/author&gt;&lt;/authors&gt;&lt;/contributors&gt;&lt;auth-address&gt;Department of Government, University of Essex, Wivenhoe Park, Colchester CO4 3SQ, Essex, UK.&amp;#xD;University of Essex, Colchester, UK.&lt;/auth-address&gt;&lt;titles&gt;&lt;title&gt;Understanding loneliness: a systematic review of the impact of social prescribing initiatives on loneliness&lt;/title&gt;&lt;secondary-title&gt;Perspect Public Health&lt;/secondary-title&gt;&lt;/titles&gt;&lt;periodical&gt;&lt;full-title&gt;Perspect Public Health&lt;/full-title&gt;&lt;/periodical&gt;&lt;pages&gt;204-213&lt;/pages&gt;&lt;volume&gt;141&lt;/volume&gt;&lt;number&gt;4&lt;/number&gt;&lt;edition&gt;2021/06/24&lt;/edition&gt;&lt;keywords&gt;&lt;keyword&gt;Humans&lt;/keyword&gt;&lt;keyword&gt;*Loneliness&lt;/keyword&gt;&lt;keyword&gt;*Prescriptions&lt;/keyword&gt;&lt;keyword&gt;Program Evaluation&lt;/keyword&gt;&lt;keyword&gt;*Social Participation&lt;/keyword&gt;&lt;keyword&gt;evaluation&lt;/keyword&gt;&lt;keyword&gt;loneliness&lt;/keyword&gt;&lt;keyword&gt;public health&lt;/keyword&gt;&lt;keyword&gt;social model of health&lt;/keyword&gt;&lt;keyword&gt;social prescribing&lt;/keyword&gt;&lt;keyword&gt;wellbeing&lt;/keyword&gt;&lt;keyword&gt;with respect to the research, authorship, and/or publication of this article.&lt;/keyword&gt;&lt;/keywords&gt;&lt;dates&gt;&lt;year&gt;2021&lt;/year&gt;&lt;pub-dates&gt;&lt;date&gt;Jul&lt;/date&gt;&lt;/pub-dates&gt;&lt;/dates&gt;&lt;isbn&gt;1757-9139 (Print)&amp;#xD;1757-9147&lt;/isbn&gt;&lt;accession-num&gt;34159848&lt;/accession-num&gt;&lt;urls&gt;&lt;/urls&gt;&lt;custom2&gt;PMC8295963&lt;/custom2&gt;&lt;electronic-resource-num&gt;10.1177/1757913920967040&lt;/electronic-resource-num&gt;&lt;remote-database-provider&gt;NLM&lt;/remote-database-provider&gt;&lt;language&gt;eng&lt;/language&gt;&lt;/record&gt;&lt;/Cite&gt;&lt;/EndNote&gt;</w:instrText>
        </w:r>
        <w:r w:rsidR="002D6F18" w:rsidRPr="00A75A9D">
          <w:rPr>
            <w:vertAlign w:val="superscript"/>
          </w:rPr>
          <w:fldChar w:fldCharType="separate"/>
        </w:r>
        <w:r w:rsidR="002D6F18">
          <w:rPr>
            <w:noProof/>
            <w:vertAlign w:val="superscript"/>
          </w:rPr>
          <w:t>286</w:t>
        </w:r>
        <w:r w:rsidR="002D6F18" w:rsidRPr="00A75A9D">
          <w:rPr>
            <w:vertAlign w:val="superscript"/>
          </w:rPr>
          <w:fldChar w:fldCharType="end"/>
        </w:r>
      </w:hyperlink>
      <w:r w:rsidR="00A75A9D" w:rsidRPr="00A75A9D">
        <w:rPr>
          <w:vertAlign w:val="superscript"/>
        </w:rPr>
        <w:t>,</w:t>
      </w:r>
      <w:hyperlink w:anchor="_ENREF_287" w:tooltip="D, 2021 #1127" w:history="1">
        <w:r w:rsidR="002D6F18" w:rsidRPr="00A75A9D">
          <w:rPr>
            <w:vertAlign w:val="superscript"/>
          </w:rPr>
          <w:fldChar w:fldCharType="begin"/>
        </w:r>
        <w:r w:rsidR="002D6F18">
          <w:rPr>
            <w:vertAlign w:val="superscript"/>
          </w:rPr>
          <w:instrText xml:space="preserve"> ADDIN EN.CITE &lt;EndNote&gt;&lt;Cite&gt;&lt;Author&gt;D&lt;/Author&gt;&lt;Year&gt;2021&lt;/Year&gt;&lt;RecNum&gt;1127&lt;/RecNum&gt;&lt;DisplayText&gt;&lt;style face="superscript"&gt;287&lt;/style&gt;&lt;/DisplayText&gt;&lt;record&gt;&lt;rec-number&gt;1127&lt;/rec-number&gt;&lt;foreign-keys&gt;&lt;key app="EN" db-id="rsettzd2isasdweewww55s9lffasxav0d0ft" timestamp="1720520096" guid="a60a8f0d-b29c-48ce-8e65-92a807645ace"&gt;1127&lt;/key&gt;&lt;/foreign-keys&gt;&lt;ref-type name="Journal Article"&gt;17&lt;/ref-type&gt;&lt;contributors&gt;&lt;authors&gt;&lt;author&gt;Vidovic D&lt;/author&gt;&lt;author&gt;Reinhardt G&lt;/author&gt;&lt;author&gt;Hammerton C&lt;/author&gt;&lt;/authors&gt;&lt;/contributors&gt;&lt;titles&gt;&lt;title&gt;Can Social Prescribing Foster Individual and Community Well-Being? A Systematic Review of the Evidence&lt;/title&gt;&lt;secondary-title&gt;International Journal of Environmental Research and Public Health&lt;/secondary-title&gt;&lt;/titles&gt;&lt;periodical&gt;&lt;full-title&gt;International Journal of Environmental Research and Public Health&lt;/full-title&gt;&lt;/periodical&gt;&lt;pages&gt;5276&lt;/pages&gt;&lt;volume&gt;18&lt;/volume&gt;&lt;dates&gt;&lt;year&gt;2021&lt;/year&gt;&lt;pub-dates&gt;&lt;date&gt;05/15&lt;/date&gt;&lt;/pub-dates&gt;&lt;/dates&gt;&lt;urls&gt;&lt;/urls&gt;&lt;electronic-resource-num&gt;10.3390/ijerph18105276&lt;/electronic-resource-num&gt;&lt;/record&gt;&lt;/Cite&gt;&lt;/EndNote&gt;</w:instrText>
        </w:r>
        <w:r w:rsidR="002D6F18" w:rsidRPr="00A75A9D">
          <w:rPr>
            <w:vertAlign w:val="superscript"/>
          </w:rPr>
          <w:fldChar w:fldCharType="separate"/>
        </w:r>
        <w:r w:rsidR="002D6F18">
          <w:rPr>
            <w:noProof/>
            <w:vertAlign w:val="superscript"/>
          </w:rPr>
          <w:t>287</w:t>
        </w:r>
        <w:r w:rsidR="002D6F18" w:rsidRPr="00A75A9D">
          <w:rPr>
            <w:vertAlign w:val="superscript"/>
          </w:rPr>
          <w:fldChar w:fldCharType="end"/>
        </w:r>
      </w:hyperlink>
      <w:r w:rsidR="00A75A9D">
        <w:t xml:space="preserve">  </w:t>
      </w:r>
    </w:p>
    <w:p w14:paraId="7E19DC04" w14:textId="333F4130" w:rsidR="00462C3B" w:rsidRPr="00B768A1" w:rsidRDefault="00462C3B" w:rsidP="00634A83">
      <w:r>
        <w:t xml:space="preserve">The recommended action to </w:t>
      </w:r>
      <w:r w:rsidR="0006457C">
        <w:t xml:space="preserve">connect people to community supports </w:t>
      </w:r>
      <w:r>
        <w:t>is described in</w:t>
      </w:r>
      <w:r w:rsidR="00F04C6C">
        <w:t xml:space="preserve"> </w:t>
      </w:r>
      <w:r w:rsidR="00F04C6C">
        <w:fldChar w:fldCharType="begin"/>
      </w:r>
      <w:r w:rsidR="00F04C6C">
        <w:instrText xml:space="preserve"> REF _Ref164870119 \h </w:instrText>
      </w:r>
      <w:r w:rsidR="00F04C6C">
        <w:fldChar w:fldCharType="separate"/>
      </w:r>
      <w:r w:rsidR="009F12B4">
        <w:t xml:space="preserve">Table </w:t>
      </w:r>
      <w:r w:rsidR="009F12B4">
        <w:rPr>
          <w:noProof/>
        </w:rPr>
        <w:t>29</w:t>
      </w:r>
      <w:r w:rsidR="00F04C6C">
        <w:fldChar w:fldCharType="end"/>
      </w:r>
      <w:r>
        <w:t>.</w:t>
      </w:r>
    </w:p>
    <w:p w14:paraId="6E0286DE" w14:textId="17F42B0A" w:rsidR="00462C3B" w:rsidRPr="005F6255" w:rsidRDefault="005F6255" w:rsidP="00745B34">
      <w:pPr>
        <w:pStyle w:val="Caption"/>
      </w:pPr>
      <w:bookmarkStart w:id="133" w:name="_Ref164870119"/>
      <w:r>
        <w:t xml:space="preserve">Table </w:t>
      </w:r>
      <w:r>
        <w:fldChar w:fldCharType="begin"/>
      </w:r>
      <w:r>
        <w:instrText>SEQ Table \* ARABIC</w:instrText>
      </w:r>
      <w:r>
        <w:fldChar w:fldCharType="separate"/>
      </w:r>
      <w:r w:rsidR="009F12B4">
        <w:rPr>
          <w:noProof/>
        </w:rPr>
        <w:t>29</w:t>
      </w:r>
      <w:r>
        <w:fldChar w:fldCharType="end"/>
      </w:r>
      <w:bookmarkEnd w:id="133"/>
      <w:r>
        <w:t xml:space="preserve">: Recommended action for Support objective </w:t>
      </w:r>
      <w:r w:rsidR="14A8E113">
        <w:t>10</w:t>
      </w:r>
      <w:r>
        <w:t xml:space="preserve">.2: </w:t>
      </w:r>
      <w:r w:rsidR="3F76519E">
        <w:t>Connect with community supports</w:t>
      </w:r>
    </w:p>
    <w:tbl>
      <w:tblPr>
        <w:tblStyle w:val="TableGrid"/>
        <w:tblW w:w="9067" w:type="dxa"/>
        <w:tblLayout w:type="fixed"/>
        <w:tblLook w:val="0420" w:firstRow="1" w:lastRow="0" w:firstColumn="0" w:lastColumn="0" w:noHBand="0" w:noVBand="1"/>
        <w:tblCaption w:val="Recommended action for Support objective 7.2: Integrate formal supports"/>
        <w:tblDescription w:val="Describes action ko7.2a"/>
      </w:tblPr>
      <w:tblGrid>
        <w:gridCol w:w="1270"/>
        <w:gridCol w:w="7797"/>
      </w:tblGrid>
      <w:tr w:rsidR="00D81ABA" w:rsidRPr="00F44FB4" w14:paraId="5796AD22" w14:textId="77777777" w:rsidTr="00D81ABA">
        <w:trPr>
          <w:cnfStyle w:val="100000000000" w:firstRow="1" w:lastRow="0" w:firstColumn="0" w:lastColumn="0" w:oddVBand="0" w:evenVBand="0" w:oddHBand="0" w:evenHBand="0" w:firstRowFirstColumn="0" w:firstRowLastColumn="0" w:lastRowFirstColumn="0" w:lastRowLastColumn="0"/>
          <w:cantSplit/>
          <w:tblHeader/>
        </w:trPr>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9782"/>
          </w:tcPr>
          <w:p w14:paraId="44B8AFDF" w14:textId="61B8554E" w:rsidR="00D81ABA" w:rsidRPr="00F44FB4" w:rsidRDefault="00D81ABA" w:rsidP="004F5B0E">
            <w:pPr>
              <w:pStyle w:val="NMHCTableHeaderRow"/>
            </w:pPr>
            <w:r w:rsidRPr="00F44FB4">
              <w:t>Action</w:t>
            </w:r>
          </w:p>
        </w:tc>
        <w:tc>
          <w:tcPr>
            <w:tcW w:w="77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9782"/>
            <w:tcMar>
              <w:top w:w="28" w:type="dxa"/>
              <w:bottom w:w="28" w:type="dxa"/>
            </w:tcMar>
          </w:tcPr>
          <w:p w14:paraId="7C3FD08B" w14:textId="3C1DF47D" w:rsidR="00D81ABA" w:rsidRPr="00F44FB4" w:rsidRDefault="00D81ABA" w:rsidP="004F5B0E">
            <w:pPr>
              <w:pStyle w:val="NMHCTableHeaderRow"/>
            </w:pPr>
            <w:r>
              <w:t>Description</w:t>
            </w:r>
          </w:p>
        </w:tc>
      </w:tr>
      <w:tr w:rsidR="00D81ABA" w:rsidRPr="00B768A1" w14:paraId="5A304EA3" w14:textId="77777777" w:rsidTr="00D81ABA">
        <w:tc>
          <w:tcPr>
            <w:tcW w:w="1270" w:type="dxa"/>
            <w:tcBorders>
              <w:top w:val="single" w:sz="4" w:space="0" w:color="FFFFFF" w:themeColor="background1"/>
            </w:tcBorders>
          </w:tcPr>
          <w:p w14:paraId="3547036B" w14:textId="33C4839D" w:rsidR="00D81ABA" w:rsidRPr="00F44FB4" w:rsidRDefault="00D81ABA" w:rsidP="00634A83">
            <w:r w:rsidRPr="1274FCB3">
              <w:t>ko10.2a</w:t>
            </w:r>
          </w:p>
        </w:tc>
        <w:tc>
          <w:tcPr>
            <w:tcW w:w="7797" w:type="dxa"/>
            <w:tcBorders>
              <w:top w:val="single" w:sz="4" w:space="0" w:color="FFFFFF" w:themeColor="background1"/>
            </w:tcBorders>
            <w:tcMar>
              <w:top w:w="28" w:type="dxa"/>
              <w:bottom w:w="28" w:type="dxa"/>
            </w:tcMar>
          </w:tcPr>
          <w:p w14:paraId="005AE123" w14:textId="79D68B42" w:rsidR="00D81ABA" w:rsidRPr="00B768A1" w:rsidRDefault="00D81ABA" w:rsidP="00634A83">
            <w:r w:rsidRPr="1274FCB3">
              <w:t>Design, trial and evaluate a model of social prescribing for people with suicidal thoughts and behaviours, available through primary care settings, that includes a dedicated coordinator role and consideration of people’s cultural needs. This model should promote uptake by people who are not well connected socially and people living in communities where formal services are less readily available.</w:t>
            </w:r>
          </w:p>
        </w:tc>
      </w:tr>
    </w:tbl>
    <w:p w14:paraId="642717AF" w14:textId="77777777" w:rsidR="0090794F" w:rsidRDefault="0090794F" w:rsidP="00634A83"/>
    <w:p w14:paraId="6E92D5BE" w14:textId="77777777" w:rsidR="0090794F" w:rsidRDefault="0090794F" w:rsidP="00634A83">
      <w:r>
        <w:br w:type="page"/>
      </w:r>
    </w:p>
    <w:p w14:paraId="3AAB7656" w14:textId="0A462698" w:rsidR="00682A5B" w:rsidRPr="00F833FC" w:rsidRDefault="521889B4" w:rsidP="00634A83">
      <w:pPr>
        <w:pStyle w:val="BT-Livedexperience-Green-Heading"/>
        <w:rPr>
          <w:sz w:val="24"/>
          <w:szCs w:val="24"/>
        </w:rPr>
      </w:pPr>
      <w:r w:rsidRPr="00F833FC">
        <w:rPr>
          <w:sz w:val="24"/>
          <w:szCs w:val="24"/>
        </w:rPr>
        <w:t>Implementing this approach</w:t>
      </w:r>
    </w:p>
    <w:p w14:paraId="7CD388DC" w14:textId="3CAD57BC" w:rsidR="004D3D30" w:rsidRDefault="00F63F35" w:rsidP="00634A83">
      <w:pPr>
        <w:pStyle w:val="BT-Livedexperience-Green"/>
      </w:pPr>
      <w:r>
        <w:t xml:space="preserve">The Support domain has outlined five essential components of an </w:t>
      </w:r>
      <w:r w:rsidR="12209232">
        <w:t>effective</w:t>
      </w:r>
      <w:r>
        <w:t xml:space="preserve"> support system for people who experience suicidal distress and those who care for them.</w:t>
      </w:r>
      <w:r w:rsidR="00132760">
        <w:t xml:space="preserve"> </w:t>
      </w:r>
      <w:r>
        <w:t xml:space="preserve">Implementing the actions in </w:t>
      </w:r>
      <w:r w:rsidR="003C4743">
        <w:t>related to the five components</w:t>
      </w:r>
      <w:r w:rsidR="00F040A7">
        <w:t xml:space="preserve"> </w:t>
      </w:r>
      <w:r>
        <w:t>will facilitate higher-quality support. However</w:t>
      </w:r>
      <w:r w:rsidR="00A625EF">
        <w:t>, it</w:t>
      </w:r>
      <w:r w:rsidR="521889B4">
        <w:t xml:space="preserve"> is recognised that additional work is required to facilitate </w:t>
      </w:r>
      <w:r w:rsidR="0090794F">
        <w:t xml:space="preserve">the </w:t>
      </w:r>
      <w:r w:rsidR="521889B4">
        <w:t xml:space="preserve">model being used as a basis for service design, planning and delivery. Moving from current practices to the model outlined will require suicide prevention services to reflect on how they could improve the supports they offer and the way they offer them, in the context of their role in the overall support system. </w:t>
      </w:r>
      <w:r w:rsidR="00987F1F">
        <w:t>It will involve some degree of change for many services</w:t>
      </w:r>
      <w:r w:rsidR="009718C8">
        <w:t>.</w:t>
      </w:r>
    </w:p>
    <w:p w14:paraId="4DEE6A3E" w14:textId="1EB03DE3" w:rsidR="00682A5B" w:rsidRPr="00B768A1" w:rsidRDefault="521889B4" w:rsidP="00634A83">
      <w:pPr>
        <w:pStyle w:val="BT-Livedexperience-Green"/>
      </w:pPr>
      <w:r>
        <w:t>There is therefore a need for guidance which operationalises system-level coordination and provides clarity for key service types about how best to apply the model outlined in this Strategy</w:t>
      </w:r>
      <w:r w:rsidR="00523BA0">
        <w:t xml:space="preserve"> (</w:t>
      </w:r>
      <w:r w:rsidR="00523BA0" w:rsidRPr="0094360A">
        <w:t>action ko11.1a)</w:t>
      </w:r>
      <w:r>
        <w:t>.</w:t>
      </w:r>
      <w:r w:rsidR="009718C8">
        <w:t xml:space="preserve"> </w:t>
      </w:r>
      <w:r>
        <w:t>The guidance should, for example, illustrate how services focused on responding to people in crisis could maintain a focus on the fundamental drivers of distress and on increasing a person’s connection with supports. It should also outline how they need to work with other service types to ensure a coordinated approach.</w:t>
      </w:r>
    </w:p>
    <w:p w14:paraId="48D46E7C" w14:textId="423307BD" w:rsidR="00682A5B" w:rsidRPr="00B768A1" w:rsidRDefault="521889B4" w:rsidP="00634A83">
      <w:pPr>
        <w:pStyle w:val="BT-Livedexperience-Green"/>
      </w:pPr>
      <w:r>
        <w:t>This guidance will assist in maturing our understanding of the system architecture, the roles and responsibilities of the different services that make up the service landscape, and how they are meant to operate in an integrated way. This in turn will facilitate more intentional system design going forward, leading to improved system efficiency and experiences of care.</w:t>
      </w:r>
    </w:p>
    <w:p w14:paraId="7C86A6B3" w14:textId="360BAE0F" w:rsidR="00682A5B" w:rsidRPr="00B768A1" w:rsidRDefault="521889B4" w:rsidP="00634A83">
      <w:pPr>
        <w:pStyle w:val="BT-Livedexperience-Green"/>
      </w:pPr>
      <w:r>
        <w:t xml:space="preserve">The recommended action to </w:t>
      </w:r>
      <w:r w:rsidR="00482029">
        <w:t xml:space="preserve">implement the five components of the Support domain </w:t>
      </w:r>
      <w:r>
        <w:t>is described in</w:t>
      </w:r>
      <w:r w:rsidR="00F04C6C">
        <w:t xml:space="preserve"> </w:t>
      </w:r>
      <w:r w:rsidR="00F04C6C">
        <w:fldChar w:fldCharType="begin"/>
      </w:r>
      <w:r w:rsidR="00F04C6C">
        <w:instrText xml:space="preserve"> REF _Ref164870136 \h </w:instrText>
      </w:r>
      <w:r w:rsidR="00F04C6C">
        <w:fldChar w:fldCharType="separate"/>
      </w:r>
      <w:r w:rsidR="009F12B4">
        <w:t xml:space="preserve">Table </w:t>
      </w:r>
      <w:r w:rsidR="009F12B4">
        <w:rPr>
          <w:noProof/>
        </w:rPr>
        <w:t>30</w:t>
      </w:r>
      <w:r w:rsidR="00F04C6C">
        <w:fldChar w:fldCharType="end"/>
      </w:r>
      <w:r>
        <w:t>.</w:t>
      </w:r>
    </w:p>
    <w:p w14:paraId="578A2AA1" w14:textId="78FEDDDA" w:rsidR="00682A5B" w:rsidRPr="00B768A1" w:rsidRDefault="521889B4" w:rsidP="00745B34">
      <w:pPr>
        <w:pStyle w:val="Caption"/>
      </w:pPr>
      <w:bookmarkStart w:id="134" w:name="_Ref164870136"/>
      <w:r>
        <w:t xml:space="preserve">Table </w:t>
      </w:r>
      <w:r w:rsidR="616ADCC0">
        <w:fldChar w:fldCharType="begin"/>
      </w:r>
      <w:r w:rsidR="616ADCC0">
        <w:instrText>SEQ Table \* ARABIC</w:instrText>
      </w:r>
      <w:r w:rsidR="616ADCC0">
        <w:fldChar w:fldCharType="separate"/>
      </w:r>
      <w:r w:rsidR="009F12B4">
        <w:rPr>
          <w:noProof/>
        </w:rPr>
        <w:t>30</w:t>
      </w:r>
      <w:r w:rsidR="616ADCC0">
        <w:fldChar w:fldCharType="end"/>
      </w:r>
      <w:bookmarkEnd w:id="134"/>
      <w:r>
        <w:t xml:space="preserve">: Recommended action for Support objective </w:t>
      </w:r>
      <w:r w:rsidR="09DA78C7">
        <w:t>11.1</w:t>
      </w:r>
      <w:r>
        <w:t xml:space="preserve">: </w:t>
      </w:r>
      <w:r w:rsidR="04F2C391">
        <w:t>I</w:t>
      </w:r>
      <w:r w:rsidR="65F4AC15">
        <w:t>mplementing this approach</w:t>
      </w:r>
    </w:p>
    <w:tbl>
      <w:tblPr>
        <w:tblStyle w:val="TableGrid"/>
        <w:tblW w:w="9067" w:type="dxa"/>
        <w:tblLook w:val="0420" w:firstRow="1" w:lastRow="0" w:firstColumn="0" w:lastColumn="0" w:noHBand="0" w:noVBand="1"/>
        <w:tblCaption w:val="Recommended action for Support objective 7.2: Integrate informal supports"/>
        <w:tblDescription w:val="Describes action ko7.2b"/>
      </w:tblPr>
      <w:tblGrid>
        <w:gridCol w:w="1276"/>
        <w:gridCol w:w="7791"/>
      </w:tblGrid>
      <w:tr w:rsidR="00D81ABA" w14:paraId="63872056" w14:textId="77777777" w:rsidTr="00D81ABA">
        <w:trPr>
          <w:cnfStyle w:val="100000000000" w:firstRow="1" w:lastRow="0" w:firstColumn="0" w:lastColumn="0" w:oddVBand="0" w:evenVBand="0" w:oddHBand="0" w:evenHBand="0" w:firstRowFirstColumn="0" w:firstRowLastColumn="0" w:lastRowFirstColumn="0" w:lastRowLastColumn="0"/>
          <w:trHeight w:val="300"/>
        </w:trPr>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9782"/>
          </w:tcPr>
          <w:p w14:paraId="6132CEEC" w14:textId="7997D22F" w:rsidR="00D81ABA" w:rsidRDefault="00D81ABA" w:rsidP="004F5B0E">
            <w:pPr>
              <w:pStyle w:val="NMHCTableHeaderRow"/>
            </w:pPr>
            <w:r w:rsidRPr="20F56C59">
              <w:t>Action</w:t>
            </w:r>
          </w:p>
        </w:tc>
        <w:tc>
          <w:tcPr>
            <w:tcW w:w="779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3F9782"/>
            <w:tcMar>
              <w:top w:w="28" w:type="dxa"/>
              <w:bottom w:w="28" w:type="dxa"/>
            </w:tcMar>
          </w:tcPr>
          <w:p w14:paraId="131FDA14" w14:textId="10082795" w:rsidR="00D81ABA" w:rsidRDefault="00D81ABA" w:rsidP="004F5B0E">
            <w:pPr>
              <w:pStyle w:val="NMHCTableHeaderRow"/>
            </w:pPr>
            <w:r w:rsidRPr="20F56C59">
              <w:t xml:space="preserve">Description </w:t>
            </w:r>
          </w:p>
        </w:tc>
      </w:tr>
      <w:tr w:rsidR="00D81ABA" w14:paraId="594CB98B" w14:textId="77777777" w:rsidTr="00D81ABA">
        <w:trPr>
          <w:trHeight w:val="300"/>
        </w:trPr>
        <w:tc>
          <w:tcPr>
            <w:tcW w:w="1276" w:type="dxa"/>
            <w:tcBorders>
              <w:top w:val="single" w:sz="4" w:space="0" w:color="FFFFFF" w:themeColor="background1"/>
            </w:tcBorders>
          </w:tcPr>
          <w:p w14:paraId="1161AABE" w14:textId="20FF06F5" w:rsidR="00D81ABA" w:rsidRDefault="00D81ABA" w:rsidP="00634A83">
            <w:pPr>
              <w:rPr>
                <w:highlight w:val="cyan"/>
              </w:rPr>
            </w:pPr>
            <w:r>
              <w:t>k</w:t>
            </w:r>
            <w:r w:rsidRPr="00F833FC">
              <w:t>o11.1a</w:t>
            </w:r>
          </w:p>
        </w:tc>
        <w:tc>
          <w:tcPr>
            <w:tcW w:w="7791" w:type="dxa"/>
            <w:tcBorders>
              <w:top w:val="single" w:sz="4" w:space="0" w:color="FFFFFF" w:themeColor="background1"/>
            </w:tcBorders>
            <w:tcMar>
              <w:top w:w="28" w:type="dxa"/>
              <w:bottom w:w="28" w:type="dxa"/>
            </w:tcMar>
          </w:tcPr>
          <w:p w14:paraId="6A10351F" w14:textId="24B45FF1" w:rsidR="00D81ABA" w:rsidRDefault="00D81ABA" w:rsidP="00634A83">
            <w:r w:rsidRPr="1274FCB3">
              <w:t xml:space="preserve">Develop clear guidance on how the key service types (for example, crisis lines) could realise each of the key objectives outlined in the Support domain: culture of compassion, accessibility, system-level coordination, holistic </w:t>
            </w:r>
            <w:r w:rsidR="7579BEA0">
              <w:t>approaches</w:t>
            </w:r>
            <w:r w:rsidRPr="1274FCB3">
              <w:t>, and increased connection. Service delivery organisations would use this guidance for improved service planning, design and delivery.</w:t>
            </w:r>
          </w:p>
        </w:tc>
      </w:tr>
    </w:tbl>
    <w:p w14:paraId="0494E583" w14:textId="36E32E41" w:rsidR="00682A5B" w:rsidRPr="00B768A1" w:rsidRDefault="00682A5B" w:rsidP="00634A83">
      <w:pPr>
        <w:sectPr w:rsidR="00682A5B" w:rsidRPr="00B768A1" w:rsidSect="00996915">
          <w:endnotePr>
            <w:numFmt w:val="decimal"/>
          </w:endnotePr>
          <w:pgSz w:w="11907" w:h="16839" w:code="9"/>
          <w:pgMar w:top="1418" w:right="1418" w:bottom="1418" w:left="1418" w:header="680" w:footer="85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p>
    <w:p w14:paraId="08E92B4C" w14:textId="40DD7DF1" w:rsidR="00682A5B" w:rsidRPr="00E1682B" w:rsidRDefault="009F21D7" w:rsidP="004F5B0E">
      <w:pPr>
        <w:pStyle w:val="Heading1"/>
        <w:rPr>
          <w:color w:val="DC80B0"/>
          <w14:textFill>
            <w14:solidFill>
              <w14:srgbClr w14:val="DC80B0">
                <w14:lumMod w14:val="75000"/>
              </w14:srgbClr>
            </w14:solidFill>
          </w14:textFill>
        </w:rPr>
      </w:pPr>
      <w:bookmarkStart w:id="135" w:name="_Toc164868156"/>
      <w:bookmarkStart w:id="136" w:name="_Toc2075485108"/>
      <w:bookmarkStart w:id="137" w:name="_Toc1040915227"/>
      <w:bookmarkStart w:id="138" w:name="_Toc171459037"/>
      <w:r w:rsidRPr="00E1682B">
        <w:rPr>
          <w:color w:val="DC80B0"/>
          <w14:textFill>
            <w14:solidFill>
              <w14:srgbClr w14:val="DC80B0">
                <w14:lumMod w14:val="75000"/>
              </w14:srgbClr>
            </w14:solidFill>
          </w14:textFill>
        </w:rPr>
        <w:t>C</w:t>
      </w:r>
      <w:r w:rsidR="00C245A2" w:rsidRPr="00E1682B">
        <w:rPr>
          <w:color w:val="DC80B0"/>
          <w14:textFill>
            <w14:solidFill>
              <w14:srgbClr w14:val="DC80B0">
                <w14:lumMod w14:val="75000"/>
              </w14:srgbClr>
            </w14:solidFill>
          </w14:textFill>
        </w:rPr>
        <w:t xml:space="preserve">ritical </w:t>
      </w:r>
      <w:r w:rsidR="00BB5FEE" w:rsidRPr="00E1682B">
        <w:rPr>
          <w:color w:val="DC80B0"/>
          <w14:textFill>
            <w14:solidFill>
              <w14:srgbClr w14:val="DC80B0">
                <w14:lumMod w14:val="75000"/>
              </w14:srgbClr>
            </w14:solidFill>
          </w14:textFill>
        </w:rPr>
        <w:t>e</w:t>
      </w:r>
      <w:r w:rsidR="00682A5B" w:rsidRPr="00E1682B">
        <w:rPr>
          <w:color w:val="DC80B0"/>
          <w14:textFill>
            <w14:solidFill>
              <w14:srgbClr w14:val="DC80B0">
                <w14:lumMod w14:val="75000"/>
              </w14:srgbClr>
            </w14:solidFill>
          </w14:textFill>
        </w:rPr>
        <w:t>nablers</w:t>
      </w:r>
      <w:bookmarkEnd w:id="135"/>
      <w:bookmarkEnd w:id="136"/>
      <w:bookmarkEnd w:id="137"/>
      <w:bookmarkEnd w:id="138"/>
    </w:p>
    <w:p w14:paraId="77E4E3C2" w14:textId="2864A486" w:rsidR="00010BE8" w:rsidRPr="00B768A1" w:rsidRDefault="00682A5B" w:rsidP="00634A83">
      <w:bookmarkStart w:id="139" w:name="_Toc827204475"/>
      <w:bookmarkStart w:id="140" w:name="_Toc142407478"/>
      <w:bookmarkStart w:id="141" w:name="_Toc142403303"/>
      <w:r>
        <w:t xml:space="preserve">The </w:t>
      </w:r>
      <w:r w:rsidR="00355AD0">
        <w:t>c</w:t>
      </w:r>
      <w:r w:rsidR="00C245A2">
        <w:t>ritical</w:t>
      </w:r>
      <w:r>
        <w:t xml:space="preserve"> </w:t>
      </w:r>
      <w:r w:rsidR="00355AD0">
        <w:t>e</w:t>
      </w:r>
      <w:r>
        <w:t xml:space="preserve">nablers describe </w:t>
      </w:r>
      <w:r w:rsidR="677807D1">
        <w:t xml:space="preserve">the governance, lived and living experience involvement, </w:t>
      </w:r>
      <w:r w:rsidR="2085FB2F">
        <w:t>data and evidence shifts</w:t>
      </w:r>
      <w:r w:rsidR="500F4586">
        <w:t>, and workforce</w:t>
      </w:r>
      <w:r w:rsidR="2085FB2F">
        <w:t xml:space="preserve"> that are needed to</w:t>
      </w:r>
      <w:r>
        <w:t xml:space="preserve"> implement and sustain</w:t>
      </w:r>
      <w:r w:rsidR="4CA0FEE7">
        <w:t xml:space="preserve"> the</w:t>
      </w:r>
      <w:r>
        <w:t xml:space="preserve"> more coordinated, better</w:t>
      </w:r>
      <w:r w:rsidR="00710F43">
        <w:t>-</w:t>
      </w:r>
      <w:r>
        <w:t xml:space="preserve">quality, and </w:t>
      </w:r>
      <w:r w:rsidR="004E089C">
        <w:t xml:space="preserve">more </w:t>
      </w:r>
      <w:r>
        <w:t>effective suicide prevention system</w:t>
      </w:r>
      <w:r w:rsidR="6654E97C">
        <w:t xml:space="preserve"> outlined in earlier </w:t>
      </w:r>
      <w:r w:rsidR="4D1B12B4">
        <w:t>sections.</w:t>
      </w:r>
    </w:p>
    <w:p w14:paraId="742EAAB1" w14:textId="55022B23" w:rsidR="00682A5B" w:rsidRPr="00B768A1" w:rsidRDefault="00F1276D" w:rsidP="00634A83">
      <w:r>
        <w:t>T</w:t>
      </w:r>
      <w:r w:rsidR="005814D7">
        <w:t>h</w:t>
      </w:r>
      <w:r w:rsidR="00AD7CCE">
        <w:t>e</w:t>
      </w:r>
      <w:r w:rsidR="00114754">
        <w:t xml:space="preserve"> </w:t>
      </w:r>
      <w:r w:rsidR="00355AD0">
        <w:t>c</w:t>
      </w:r>
      <w:r w:rsidR="00114754">
        <w:t xml:space="preserve">ritical </w:t>
      </w:r>
      <w:r w:rsidR="00355AD0">
        <w:t>e</w:t>
      </w:r>
      <w:r w:rsidR="00114754">
        <w:t xml:space="preserve">nablers </w:t>
      </w:r>
      <w:r w:rsidR="001B6946">
        <w:t xml:space="preserve">have been structured </w:t>
      </w:r>
      <w:r w:rsidR="00DD4895">
        <w:t xml:space="preserve">around </w:t>
      </w:r>
      <w:r w:rsidR="00AC48B8">
        <w:t xml:space="preserve">four </w:t>
      </w:r>
      <w:r w:rsidR="00A663ED">
        <w:t xml:space="preserve">main </w:t>
      </w:r>
      <w:r w:rsidR="00E7502C">
        <w:t>areas of system reform</w:t>
      </w:r>
      <w:r w:rsidR="00994C69">
        <w:t xml:space="preserve">, </w:t>
      </w:r>
      <w:r w:rsidR="009053E7">
        <w:t xml:space="preserve">but </w:t>
      </w:r>
      <w:r w:rsidR="005F03AD">
        <w:t xml:space="preserve">in practice </w:t>
      </w:r>
      <w:r w:rsidR="00906663">
        <w:t xml:space="preserve">they </w:t>
      </w:r>
      <w:r w:rsidR="00D616A1">
        <w:t xml:space="preserve">are mutually reinforcing </w:t>
      </w:r>
      <w:r w:rsidR="00F95175">
        <w:t xml:space="preserve">and </w:t>
      </w:r>
      <w:r w:rsidR="00281750">
        <w:t>have many crossover</w:t>
      </w:r>
      <w:r w:rsidR="00D62126">
        <w:t>s</w:t>
      </w:r>
      <w:r w:rsidR="00FF562B">
        <w:t xml:space="preserve">. For this reason, </w:t>
      </w:r>
      <w:r w:rsidR="000E46BA">
        <w:t xml:space="preserve">the critical enablers </w:t>
      </w:r>
      <w:r w:rsidR="001A1891">
        <w:t xml:space="preserve">should be read </w:t>
      </w:r>
      <w:r w:rsidR="00570F42">
        <w:t xml:space="preserve">as </w:t>
      </w:r>
      <w:r w:rsidR="001A1891">
        <w:t xml:space="preserve">a group of </w:t>
      </w:r>
      <w:r w:rsidR="000B7ECB">
        <w:t xml:space="preserve">actions </w:t>
      </w:r>
      <w:r w:rsidR="00552BB7">
        <w:t xml:space="preserve">to be implemented </w:t>
      </w:r>
      <w:r w:rsidR="00AC13E4">
        <w:t>together</w:t>
      </w:r>
      <w:r w:rsidR="000610B3">
        <w:t>.</w:t>
      </w:r>
    </w:p>
    <w:p w14:paraId="3D574F52" w14:textId="36D168A2" w:rsidR="00682A5B" w:rsidRPr="00B768A1" w:rsidRDefault="00830D06" w:rsidP="00996915">
      <w:pPr>
        <w:pStyle w:val="Heading2"/>
      </w:pPr>
      <w:bookmarkStart w:id="142" w:name="_Toc1210076298"/>
      <w:bookmarkStart w:id="143" w:name="_Toc152082311"/>
      <w:bookmarkStart w:id="144" w:name="_Toc164868157"/>
      <w:bookmarkStart w:id="145" w:name="_Toc801211903"/>
      <w:bookmarkStart w:id="146" w:name="_Toc171459038"/>
      <w:bookmarkStart w:id="147" w:name="_Toc44466289"/>
      <w:bookmarkStart w:id="148" w:name="_Toc142403302"/>
      <w:bookmarkStart w:id="149" w:name="_Toc142407477"/>
      <w:bookmarkStart w:id="150" w:name="_Toc147844718"/>
      <w:r>
        <w:drawing>
          <wp:anchor distT="0" distB="0" distL="114300" distR="114300" simplePos="0" relativeHeight="251658259" behindDoc="1" locked="0" layoutInCell="1" allowOverlap="1" wp14:anchorId="522FBFF0" wp14:editId="72DF4FEE">
            <wp:simplePos x="0" y="0"/>
            <wp:positionH relativeFrom="margin">
              <wp:align>right</wp:align>
            </wp:positionH>
            <wp:positionV relativeFrom="paragraph">
              <wp:posOffset>53975</wp:posOffset>
            </wp:positionV>
            <wp:extent cx="1401445" cy="899795"/>
            <wp:effectExtent l="0" t="0" r="8255" b="0"/>
            <wp:wrapTight wrapText="bothSides">
              <wp:wrapPolygon edited="0">
                <wp:start x="0" y="0"/>
                <wp:lineTo x="0" y="21036"/>
                <wp:lineTo x="21434" y="21036"/>
                <wp:lineTo x="21434" y="0"/>
                <wp:lineTo x="0" y="0"/>
              </wp:wrapPolygon>
            </wp:wrapTight>
            <wp:docPr id="28" name="Picture 28" descr="Improved accountability is the first critical enabler in the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Improved accountability is the first critical enabler in the Strategy."/>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01445" cy="899795"/>
                    </a:xfrm>
                    <a:prstGeom prst="rect">
                      <a:avLst/>
                    </a:prstGeom>
                  </pic:spPr>
                </pic:pic>
              </a:graphicData>
            </a:graphic>
          </wp:anchor>
        </w:drawing>
      </w:r>
      <w:r w:rsidR="7095C272" w:rsidRPr="17FA49B8">
        <w:t xml:space="preserve">Critical </w:t>
      </w:r>
      <w:r w:rsidR="05A396BD" w:rsidRPr="17FA49B8">
        <w:t>enabler</w:t>
      </w:r>
      <w:r w:rsidR="00682A5B" w:rsidRPr="17FA49B8">
        <w:t xml:space="preserve"> 1: </w:t>
      </w:r>
      <w:r w:rsidR="007776BC" w:rsidRPr="17FA49B8">
        <w:t>Improve</w:t>
      </w:r>
      <w:r w:rsidR="6151687D" w:rsidRPr="17FA49B8">
        <w:t>d</w:t>
      </w:r>
      <w:r w:rsidR="003A470C" w:rsidRPr="17FA49B8">
        <w:t xml:space="preserve"> </w:t>
      </w:r>
      <w:r w:rsidR="6EEE9497" w:rsidRPr="17FA49B8">
        <w:t>governance</w:t>
      </w:r>
      <w:bookmarkEnd w:id="142"/>
      <w:bookmarkEnd w:id="143"/>
      <w:bookmarkEnd w:id="144"/>
      <w:bookmarkEnd w:id="145"/>
      <w:bookmarkEnd w:id="146"/>
    </w:p>
    <w:bookmarkEnd w:id="147"/>
    <w:bookmarkEnd w:id="148"/>
    <w:bookmarkEnd w:id="149"/>
    <w:bookmarkEnd w:id="150"/>
    <w:p w14:paraId="2D868423" w14:textId="45F93697" w:rsidR="00682A5B" w:rsidRPr="00B768A1" w:rsidRDefault="1B3D7A7A" w:rsidP="00634A83">
      <w:r>
        <w:t xml:space="preserve">Although </w:t>
      </w:r>
      <w:r w:rsidR="26DD8253">
        <w:t xml:space="preserve">suicide prevention activities have traditionally been funded and delivered through </w:t>
      </w:r>
      <w:r w:rsidR="1B84F449">
        <w:t xml:space="preserve">government </w:t>
      </w:r>
      <w:r w:rsidR="26DD8253">
        <w:t xml:space="preserve">health portfolios, many of the factors that </w:t>
      </w:r>
      <w:r w:rsidR="6798D61E">
        <w:t xml:space="preserve">contribute to </w:t>
      </w:r>
      <w:r w:rsidR="26DD8253">
        <w:t xml:space="preserve">or protect against suicide fall outside of the remit of health portfolios. </w:t>
      </w:r>
      <w:r w:rsidR="43F707A0">
        <w:t>In addition</w:t>
      </w:r>
      <w:r w:rsidR="5F27380F">
        <w:t>,</w:t>
      </w:r>
      <w:r w:rsidR="26DD8253">
        <w:t xml:space="preserve"> responsibility for suicide prevention activities </w:t>
      </w:r>
      <w:r w:rsidR="5F27380F">
        <w:t xml:space="preserve">in Australia </w:t>
      </w:r>
      <w:r w:rsidR="26DD8253">
        <w:t>sit</w:t>
      </w:r>
      <w:r w:rsidR="4D8CA9A9">
        <w:t>s</w:t>
      </w:r>
      <w:r w:rsidR="26DD8253">
        <w:t xml:space="preserve"> across different levels of government</w:t>
      </w:r>
      <w:r w:rsidR="54B503A0">
        <w:t>—</w:t>
      </w:r>
      <w:r w:rsidR="52AE43BF">
        <w:t>the Australian Government</w:t>
      </w:r>
      <w:r w:rsidR="26DD8253">
        <w:t>, state and territory</w:t>
      </w:r>
      <w:r w:rsidR="52AE43BF">
        <w:t xml:space="preserve"> governments</w:t>
      </w:r>
      <w:r w:rsidR="26DD8253">
        <w:t xml:space="preserve">, and local government. </w:t>
      </w:r>
      <w:r w:rsidR="2A44C972">
        <w:t>This has led to a lack of clarity over responsibility and accountability for suicide prevention.</w:t>
      </w:r>
    </w:p>
    <w:p w14:paraId="598AE2EA" w14:textId="678A4DF4" w:rsidR="00682A5B" w:rsidRPr="00B768A1" w:rsidRDefault="3605BDAC" w:rsidP="00634A83">
      <w:r w:rsidRPr="00B768A1">
        <w:t>A more comprehensive approach</w:t>
      </w:r>
      <w:r w:rsidR="0861B6BE" w:rsidRPr="00B768A1">
        <w:t xml:space="preserve"> to suicide prevention</w:t>
      </w:r>
      <w:r w:rsidRPr="00B768A1">
        <w:t xml:space="preserve"> </w:t>
      </w:r>
      <w:r w:rsidR="0399A15E" w:rsidRPr="00B768A1">
        <w:t>requires</w:t>
      </w:r>
      <w:r w:rsidRPr="00B768A1">
        <w:t xml:space="preserve"> clear accountability for agreed objectives.</w:t>
      </w:r>
      <w:hyperlink w:anchor="_ENREF_293" w:tooltip="Organization, 2021 #173" w:history="1">
        <w:r w:rsidR="002D6F18" w:rsidRPr="00B516AB">
          <w:rPr>
            <w:vertAlign w:val="superscript"/>
          </w:rPr>
          <w:fldChar w:fldCharType="begin"/>
        </w:r>
        <w:r w:rsidR="002D6F18">
          <w:rPr>
            <w:vertAlign w:val="superscript"/>
          </w:rPr>
          <w:instrText xml:space="preserve"> ADDIN EN.CITE &lt;EndNote&gt;&lt;Cite&gt;&lt;Author&gt;Organization&lt;/Author&gt;&lt;Year&gt;2021&lt;/Year&gt;&lt;RecNum&gt;173&lt;/RecNum&gt;&lt;DisplayText&gt;&lt;style face="superscript"&gt;293&lt;/style&gt;&lt;/DisplayText&gt;&lt;record&gt;&lt;rec-number&gt;173&lt;/rec-number&gt;&lt;foreign-keys&gt;&lt;key app="EN" db-id="rsettzd2isasdweewww55s9lffasxav0d0ft" timestamp="1700699468" guid="6d56be6a-e729-4283-b93c-6d45456777a8"&gt;173&lt;/key&gt;&lt;/foreign-keys&gt;&lt;ref-type name="Web Page"&gt;12&lt;/ref-type&gt;&lt;contributors&gt;&lt;authors&gt;&lt;author&gt;World Health Organization&lt;/author&gt;&lt;/authors&gt;&lt;/contributors&gt;&lt;titles&gt;&lt;title&gt;Live Life: An Implementation Guide for Suicide Prevention in Countries&lt;/title&gt;&lt;/titles&gt;&lt;dates&gt;&lt;year&gt;2021&lt;/year&gt;&lt;/dates&gt;&lt;publisher&gt;WHO&lt;/publisher&gt;&lt;work-type&gt;Internet&lt;/work-type&gt;&lt;urls&gt;&lt;related-urls&gt;&lt;url&gt;https://www.who.int/publications/i/item/9789240026629&lt;/url&gt;&lt;/related-urls&gt;&lt;/urls&gt;&lt;custom1&gt;2023&lt;/custom1&gt;&lt;custom2&gt;October 30&lt;/custom2&gt;&lt;/record&gt;&lt;/Cite&gt;&lt;/EndNote&gt;</w:instrText>
        </w:r>
        <w:r w:rsidR="002D6F18" w:rsidRPr="00B516AB">
          <w:rPr>
            <w:vertAlign w:val="superscript"/>
          </w:rPr>
          <w:fldChar w:fldCharType="separate"/>
        </w:r>
        <w:r w:rsidR="002D6F18">
          <w:rPr>
            <w:noProof/>
            <w:vertAlign w:val="superscript"/>
          </w:rPr>
          <w:t>293</w:t>
        </w:r>
        <w:r w:rsidR="002D6F18" w:rsidRPr="00B516AB">
          <w:rPr>
            <w:vertAlign w:val="superscript"/>
          </w:rPr>
          <w:fldChar w:fldCharType="end"/>
        </w:r>
      </w:hyperlink>
      <w:r w:rsidR="00B516AB" w:rsidRPr="00B516AB">
        <w:rPr>
          <w:vertAlign w:val="superscript"/>
        </w:rPr>
        <w:t>,</w:t>
      </w:r>
      <w:hyperlink w:anchor="_ENREF_294" w:tooltip="K, 2021 #281" w:history="1">
        <w:r w:rsidR="002D6F18" w:rsidRPr="00B516AB">
          <w:rPr>
            <w:vertAlign w:val="superscript"/>
          </w:rPr>
          <w:fldChar w:fldCharType="begin"/>
        </w:r>
        <w:r w:rsidR="002D6F18">
          <w:rPr>
            <w:vertAlign w:val="superscript"/>
          </w:rPr>
          <w:instrText xml:space="preserve"> ADDIN EN.CITE &lt;EndNote&gt;&lt;Cite&gt;&lt;Author&gt;K&lt;/Author&gt;&lt;Year&gt;2021&lt;/Year&gt;&lt;RecNum&gt;281&lt;/RecNum&gt;&lt;DisplayText&gt;&lt;style face="superscript"&gt;294&lt;/style&gt;&lt;/DisplayText&gt;&lt;record&gt;&lt;rec-number&gt;281&lt;/rec-number&gt;&lt;foreign-keys&gt;&lt;key app="EN" db-id="rsettzd2isasdweewww55s9lffasxav0d0ft" timestamp="1700699470" guid="f8b36efe-7cbc-45c2-b59f-ceefbe2160d0"&gt;281&lt;/key&gt;&lt;/foreign-keys&gt;&lt;ref-type name="Journal Article"&gt;17&lt;/ref-type&gt;&lt;contributors&gt;&lt;authors&gt;&lt;author&gt;Espeland K&lt;/author&gt;&lt;author&gt;Knizek BL&lt;/author&gt;&lt;author&gt;Hjelmeland H&lt;/author&gt;&lt;/authors&gt;&lt;/contributors&gt;&lt;titles&gt;&lt;title&gt;&amp;quot;Time to Try Something New&amp;quot; – Professionals&amp;apos; Experiences and Reflections on Suicide Prevention in Norway&lt;/title&gt;&lt;secondary-title&gt;Crisis: The Journal of Crisis Intervention and Suicide Prevention&lt;/secondary-title&gt;&lt;/titles&gt;&lt;periodical&gt;&lt;full-title&gt;Crisis: The Journal of Crisis Intervention and Suicide Prevention&lt;/full-title&gt;&lt;/periodical&gt;&lt;dates&gt;&lt;year&gt;2021&lt;/year&gt;&lt;/dates&gt;&lt;urls&gt;&lt;/urls&gt;&lt;electronic-resource-num&gt;DOI: 10.1027/0227-5910/a000740&lt;/electronic-resource-num&gt;&lt;/record&gt;&lt;/Cite&gt;&lt;/EndNote&gt;</w:instrText>
        </w:r>
        <w:r w:rsidR="002D6F18" w:rsidRPr="00B516AB">
          <w:rPr>
            <w:vertAlign w:val="superscript"/>
          </w:rPr>
          <w:fldChar w:fldCharType="separate"/>
        </w:r>
        <w:r w:rsidR="002D6F18">
          <w:rPr>
            <w:noProof/>
            <w:vertAlign w:val="superscript"/>
          </w:rPr>
          <w:t>294</w:t>
        </w:r>
        <w:r w:rsidR="002D6F18" w:rsidRPr="00B516AB">
          <w:rPr>
            <w:vertAlign w:val="superscript"/>
          </w:rPr>
          <w:fldChar w:fldCharType="end"/>
        </w:r>
      </w:hyperlink>
      <w:r w:rsidR="00B516AB" w:rsidRPr="00B516AB">
        <w:rPr>
          <w:vertAlign w:val="superscript"/>
        </w:rPr>
        <w:t>,</w:t>
      </w:r>
      <w:hyperlink w:anchor="_ENREF_295" w:tooltip="M, 2022 #286" w:history="1">
        <w:r w:rsidR="002D6F18" w:rsidRPr="00B516AB">
          <w:rPr>
            <w:vertAlign w:val="superscript"/>
          </w:rPr>
          <w:fldChar w:fldCharType="begin"/>
        </w:r>
        <w:r w:rsidR="002D6F18">
          <w:rPr>
            <w:vertAlign w:val="superscript"/>
          </w:rPr>
          <w:instrText xml:space="preserve"> ADDIN EN.CITE &lt;EndNote&gt;&lt;Cite&gt;&lt;Author&gt;M&lt;/Author&gt;&lt;Year&gt;2022&lt;/Year&gt;&lt;RecNum&gt;286&lt;/RecNum&gt;&lt;DisplayText&gt;&lt;style face="superscript"&gt;295&lt;/style&gt;&lt;/DisplayText&gt;&lt;record&gt;&lt;rec-number&gt;286&lt;/rec-number&gt;&lt;foreign-keys&gt;&lt;key app="EN" db-id="rsettzd2isasdweewww55s9lffasxav0d0ft" timestamp="1700699470" guid="ab531ae0-6b66-4218-934f-6204a9fb5966"&gt;286&lt;/key&gt;&lt;/foreign-keys&gt;&lt;ref-type name="Journal Article"&gt;17&lt;/ref-type&gt;&lt;contributors&gt;&lt;authors&gt;&lt;author&gt;Amri M&lt;/author&gt;&lt;author&gt;Chatur A&lt;/author&gt;&lt;author&gt;O&amp;apos;Campo P&lt;/author&gt;&lt;/authors&gt;&lt;/contributors&gt;&lt;titles&gt;&lt;title&gt;An Umbrella Review of Intersectoral and Multisectoral Approaches to Health Policy&lt;/title&gt;&lt;secondary-title&gt;Social Science &amp;amp; Medicine&lt;/secondary-title&gt;&lt;/titles&gt;&lt;periodical&gt;&lt;full-title&gt;Social Science &amp;amp; Medicine&lt;/full-title&gt;&lt;/periodical&gt;&lt;dates&gt;&lt;year&gt;2022&lt;/year&gt;&lt;/dates&gt;&lt;urls&gt;&lt;/urls&gt;&lt;electronic-resource-num&gt;DOI: 10.1016/j.socscimed.2022.115469&lt;/electronic-resource-num&gt;&lt;/record&gt;&lt;/Cite&gt;&lt;/EndNote&gt;</w:instrText>
        </w:r>
        <w:r w:rsidR="002D6F18" w:rsidRPr="00B516AB">
          <w:rPr>
            <w:vertAlign w:val="superscript"/>
          </w:rPr>
          <w:fldChar w:fldCharType="separate"/>
        </w:r>
        <w:r w:rsidR="002D6F18">
          <w:rPr>
            <w:noProof/>
            <w:vertAlign w:val="superscript"/>
          </w:rPr>
          <w:t>295</w:t>
        </w:r>
        <w:r w:rsidR="002D6F18" w:rsidRPr="00B516AB">
          <w:rPr>
            <w:vertAlign w:val="superscript"/>
          </w:rPr>
          <w:fldChar w:fldCharType="end"/>
        </w:r>
      </w:hyperlink>
      <w:r w:rsidR="00B516AB">
        <w:rPr>
          <w:vertAlign w:val="superscript"/>
        </w:rPr>
        <w:t xml:space="preserve"> </w:t>
      </w:r>
      <w:r w:rsidRPr="00B768A1">
        <w:t xml:space="preserve">Practically, </w:t>
      </w:r>
      <w:r w:rsidR="006B5801">
        <w:t>this means that</w:t>
      </w:r>
      <w:r w:rsidRPr="00B768A1">
        <w:t>:</w:t>
      </w:r>
    </w:p>
    <w:p w14:paraId="4E9BCE5E" w14:textId="77777777" w:rsidR="00D74985" w:rsidRPr="00B768A1" w:rsidRDefault="00D74985" w:rsidP="00D74985">
      <w:pPr>
        <w:pStyle w:val="ListParagraph"/>
        <w:numPr>
          <w:ilvl w:val="0"/>
          <w:numId w:val="30"/>
        </w:numPr>
      </w:pPr>
      <w:r>
        <w:t>T</w:t>
      </w:r>
      <w:r w:rsidRPr="00B768A1">
        <w:t xml:space="preserve">o ensure appropriate authority </w:t>
      </w:r>
      <w:r>
        <w:t xml:space="preserve">for </w:t>
      </w:r>
      <w:r w:rsidRPr="00B768A1">
        <w:t>suicide prevention</w:t>
      </w:r>
      <w:r>
        <w:t xml:space="preserve"> activities across the government, accountability</w:t>
      </w:r>
      <w:r w:rsidRPr="00B768A1">
        <w:t xml:space="preserve"> for suicide prevention should rest with the highest level within a government.</w:t>
      </w:r>
    </w:p>
    <w:p w14:paraId="4A48C7C9" w14:textId="77777777" w:rsidR="00D74985" w:rsidRPr="00B768A1" w:rsidRDefault="00D74985" w:rsidP="00D74985">
      <w:pPr>
        <w:pStyle w:val="ListParagraph"/>
        <w:numPr>
          <w:ilvl w:val="0"/>
          <w:numId w:val="30"/>
        </w:numPr>
      </w:pPr>
      <w:r>
        <w:t>To prevent duplication and gaps in services, a</w:t>
      </w:r>
      <w:r w:rsidRPr="00B768A1">
        <w:t>ll levels and parts of government should agree on priorities</w:t>
      </w:r>
      <w:r>
        <w:t xml:space="preserve">, clarify roles and responsibilities, and </w:t>
      </w:r>
      <w:r w:rsidRPr="00B768A1">
        <w:t>collaborate</w:t>
      </w:r>
      <w:r>
        <w:t xml:space="preserve"> where needed</w:t>
      </w:r>
      <w:r w:rsidRPr="00B768A1">
        <w:t xml:space="preserve"> on delivering suicide prevention activities. </w:t>
      </w:r>
      <w:r>
        <w:t xml:space="preserve"> </w:t>
      </w:r>
    </w:p>
    <w:p w14:paraId="6525497A" w14:textId="0EDC5E7E" w:rsidR="00D74985" w:rsidRPr="00B768A1" w:rsidRDefault="00D74985" w:rsidP="00D74985">
      <w:pPr>
        <w:pStyle w:val="ListParagraph"/>
        <w:numPr>
          <w:ilvl w:val="0"/>
          <w:numId w:val="30"/>
        </w:numPr>
        <w:rPr>
          <w:rFonts w:ascii="Roboto" w:hAnsi="Roboto" w:cs="Roboto"/>
        </w:rPr>
      </w:pPr>
      <w:r>
        <w:t>To provide transparency and accountability, t</w:t>
      </w:r>
      <w:r w:rsidRPr="00B768A1">
        <w:t xml:space="preserve">here should be joint reporting between all levels and parts of government on what has been done and how this has collectively influenced suicide. </w:t>
      </w:r>
    </w:p>
    <w:p w14:paraId="168CBAEE" w14:textId="2788C66F" w:rsidR="004670C0" w:rsidRPr="00B768A1" w:rsidRDefault="00D74985" w:rsidP="0D1DAC04">
      <w:pPr>
        <w:rPr>
          <w:rFonts w:asciiTheme="majorHAnsi" w:eastAsia="Roboto" w:hAnsiTheme="majorHAnsi" w:cstheme="majorBidi"/>
          <w:b/>
          <w:bCs/>
          <w:color w:val="DC80B0"/>
        </w:rPr>
      </w:pPr>
      <w:r>
        <w:t>To achieve this, s</w:t>
      </w:r>
      <w:r w:rsidR="3605BDAC" w:rsidRPr="00B768A1">
        <w:t xml:space="preserve">everal countries have formalised cross-portfolio commitment into partnership agreements (see the </w:t>
      </w:r>
      <w:r w:rsidR="3605BDAC" w:rsidRPr="007A145A">
        <w:rPr>
          <w:b/>
          <w:bCs/>
        </w:rPr>
        <w:t>International activity to draw upon</w:t>
      </w:r>
      <w:r w:rsidR="3605BDAC" w:rsidRPr="00B768A1">
        <w:t>) or Suicide Prevention Acts (for example</w:t>
      </w:r>
      <w:r w:rsidR="52E630BF" w:rsidRPr="00B768A1">
        <w:t>,</w:t>
      </w:r>
      <w:r w:rsidR="3605BDAC" w:rsidRPr="00B768A1">
        <w:t xml:space="preserve"> </w:t>
      </w:r>
      <w:r w:rsidR="45A1250E" w:rsidRPr="00B768A1">
        <w:t>Republic of</w:t>
      </w:r>
      <w:r w:rsidR="3605BDAC" w:rsidRPr="00B768A1">
        <w:t xml:space="preserve"> Korea</w:t>
      </w:r>
      <w:r w:rsidR="74D8BC10" w:rsidRPr="00B768A1">
        <w:t>).</w:t>
      </w:r>
      <w:hyperlink w:anchor="_ENREF_296" w:tooltip="K, 2021 #283" w:history="1">
        <w:r w:rsidR="002D6F18">
          <w:fldChar w:fldCharType="begin"/>
        </w:r>
        <w:r w:rsidR="002D6F18">
          <w:instrText xml:space="preserve"> ADDIN EN.CITE &lt;EndNote&gt;&lt;Cite&gt;&lt;Author&gt;K&lt;/Author&gt;&lt;Year&gt;2021&lt;/Year&gt;&lt;RecNum&gt;283&lt;/RecNum&gt;&lt;DisplayText&gt;&lt;style face="superscript"&gt;296&lt;/style&gt;&lt;/DisplayText&gt;&lt;record&gt;&lt;rec-number&gt;283&lt;/rec-number&gt;&lt;foreign-keys&gt;&lt;key app="EN" db-id="rsettzd2isasdweewww55s9lffasxav0d0ft" timestamp="1700699470" guid="32491a7d-0c2e-4533-8040-0c149d376e4f"&gt;283&lt;/key&gt;&lt;/foreign-keys&gt;&lt;ref-type name="Journal Article"&gt;17&lt;/ref-type&gt;&lt;contributors&gt;&lt;authors&gt;&lt;author&gt;Okamura K&lt;/author&gt;&lt;author&gt;Ikeshita K&lt;/author&gt;&lt;author&gt;Kimoto S&lt;/author&gt;&lt;author&gt;Makinodan M&lt;/author&gt;&lt;author&gt;Kishimoto T&lt;/author&gt;&lt;/authors&gt;&lt;/contributors&gt;&lt;titles&gt;&lt;title&gt;Suicide Prevention in Japan: Government and Community Measures, and High‐Risk Interventions&lt;/title&gt;&lt;secondary-title&gt;Asia‐Pacific Psychiatry&lt;/secondary-title&gt;&lt;/titles&gt;&lt;periodical&gt;&lt;full-title&gt;Asia‐Pacific Psychiatry&lt;/full-title&gt;&lt;/periodical&gt;&lt;dates&gt;&lt;year&gt;2021&lt;/year&gt;&lt;/dates&gt;&lt;urls&gt;&lt;/urls&gt;&lt;electronic-resource-num&gt;DOI: 10.1111/appy.12471&lt;/electronic-resource-num&gt;&lt;/record&gt;&lt;/Cite&gt;&lt;/EndNote&gt;</w:instrText>
        </w:r>
        <w:r w:rsidR="002D6F18">
          <w:fldChar w:fldCharType="separate"/>
        </w:r>
        <w:r w:rsidR="002D6F18" w:rsidRPr="00C559B5">
          <w:rPr>
            <w:noProof/>
            <w:vertAlign w:val="superscript"/>
          </w:rPr>
          <w:t>296</w:t>
        </w:r>
        <w:r w:rsidR="002D6F18">
          <w:fldChar w:fldCharType="end"/>
        </w:r>
      </w:hyperlink>
      <w:r w:rsidR="00B516AB">
        <w:t xml:space="preserve"> </w:t>
      </w:r>
    </w:p>
    <w:p w14:paraId="2FFDAD3B" w14:textId="33F819FF" w:rsidR="483B11CF" w:rsidRDefault="3BD2FAB1" w:rsidP="00634A83">
      <w:r>
        <w:t>Given the federated system of government in Australia, a whole-of-governments approach is needed to establish accountability across portfolios and across all levels of government—the Australian Government, state and territory governments, and local government.</w:t>
      </w:r>
      <w:hyperlink w:anchor="_ENREF_297" w:tooltip="Adviser, 2020 #345" w:history="1">
        <w:r w:rsidR="002D6F18">
          <w:fldChar w:fldCharType="begin"/>
        </w:r>
        <w:r w:rsidR="002D6F18">
          <w:instrText xml:space="preserve"> ADDIN EN.CITE &lt;EndNote&gt;&lt;Cite&gt;&lt;Author&gt;Adviser&lt;/Author&gt;&lt;Year&gt;2020&lt;/Year&gt;&lt;RecNum&gt;345&lt;/RecNum&gt;&lt;DisplayText&gt;&lt;style face="superscript"&gt;297&lt;/style&gt;&lt;/DisplayText&gt;&lt;record&gt;&lt;rec-number&gt;345&lt;/rec-number&gt;&lt;foreign-keys&gt;&lt;key app="EN" db-id="rsettzd2isasdweewww55s9lffasxav0d0ft" timestamp="1700699472" guid="af7f939b-3a0c-433d-91b3-bfedaf480c39"&gt;345&lt;/key&gt;&lt;/foreign-keys&gt;&lt;ref-type name="Web Page"&gt;12&lt;/ref-type&gt;&lt;contributors&gt;&lt;authors&gt;&lt;author&gt;National Suicide Prevention Adviser&lt;/author&gt;&lt;/authors&gt;&lt;/contributors&gt;&lt;titles&gt;&lt;title&gt;Connected and Compassionate: Implementing a National Whole-of-Governments Approach to Suicide Prevention&lt;/title&gt;&lt;/titles&gt;&lt;dates&gt;&lt;year&gt;2020&lt;/year&gt;&lt;/dates&gt;&lt;pub-location&gt;Canberra&lt;/pub-location&gt;&lt;publisher&gt;National Mental Health Commission&lt;/publisher&gt;&lt;work-type&gt;Internet&lt;/work-type&gt;&lt;urls&gt;&lt;related-urls&gt;&lt;url&gt;https://www.mentalhealthcommission.gov.au/getmedia/543d313c-5749-404d-b349-b08db3a7fd96/Connected-and-Compassionate&lt;/url&gt;&lt;/related-urls&gt;&lt;/urls&gt;&lt;custom1&gt;2023&lt;/custom1&gt;&lt;custom2&gt;October 05&lt;/custom2&gt;&lt;/record&gt;&lt;/Cite&gt;&lt;/EndNote&gt;</w:instrText>
        </w:r>
        <w:r w:rsidR="002D6F18">
          <w:fldChar w:fldCharType="separate"/>
        </w:r>
        <w:r w:rsidR="002D6F18" w:rsidRPr="00C559B5">
          <w:rPr>
            <w:noProof/>
            <w:vertAlign w:val="superscript"/>
          </w:rPr>
          <w:t>297</w:t>
        </w:r>
        <w:r w:rsidR="002D6F18">
          <w:fldChar w:fldCharType="end"/>
        </w:r>
      </w:hyperlink>
      <w:r w:rsidR="00B516AB">
        <w:t xml:space="preserve"> </w:t>
      </w:r>
      <w:r w:rsidR="00C5382C">
        <w:t>Regardless of the mechan</w:t>
      </w:r>
      <w:r w:rsidR="00274948">
        <w:t>ism, t</w:t>
      </w:r>
      <w:r>
        <w:t xml:space="preserve">his whole-of-governments effort </w:t>
      </w:r>
      <w:r w:rsidR="00485E42">
        <w:t>entails consideration of suicide prevention in all policies, clarifying responsibilities and strengthening regional efforts</w:t>
      </w:r>
      <w:r>
        <w:t>.</w:t>
      </w:r>
    </w:p>
    <w:p w14:paraId="6B4BE2F1" w14:textId="30746513" w:rsidR="1ECFF4A6" w:rsidRPr="00F40B4C" w:rsidRDefault="1ECFF4A6" w:rsidP="00634A83">
      <w:pPr>
        <w:pStyle w:val="BT-Livedexperience-Pink-Heading"/>
      </w:pPr>
      <w:r w:rsidRPr="00F40B4C">
        <w:t xml:space="preserve">What </w:t>
      </w:r>
      <w:r w:rsidR="00DE14DA">
        <w:t xml:space="preserve">do </w:t>
      </w:r>
      <w:r w:rsidRPr="00F40B4C">
        <w:t xml:space="preserve">we </w:t>
      </w:r>
      <w:r w:rsidR="00DE14DA">
        <w:t xml:space="preserve">need </w:t>
      </w:r>
      <w:r w:rsidRPr="00F40B4C">
        <w:t>to achieve?</w:t>
      </w:r>
    </w:p>
    <w:p w14:paraId="001DBF31" w14:textId="2CDBEF77" w:rsidR="5F6D7149" w:rsidRDefault="1ECFF4A6" w:rsidP="00634A83">
      <w:pPr>
        <w:pStyle w:val="BT-Livedexperience-Pink"/>
      </w:pPr>
      <w:r w:rsidRPr="00F40B4C">
        <w:t>Suicide prevention in Australia has clear accountability and coordination of efforts across portfolios and between levels of government.</w:t>
      </w:r>
    </w:p>
    <w:p w14:paraId="0359DE8C" w14:textId="77777777" w:rsidR="00E3707F" w:rsidRDefault="00E3707F" w:rsidP="00E3707F">
      <w:pPr>
        <w:pStyle w:val="BodyText"/>
      </w:pPr>
    </w:p>
    <w:p w14:paraId="31672D05" w14:textId="0A9EA62E" w:rsidR="00A35ABF" w:rsidRPr="00B768A1" w:rsidRDefault="00A35ABF" w:rsidP="00634A83">
      <w:pPr>
        <w:pStyle w:val="BT-Beigebox-Heading"/>
      </w:pPr>
      <w:r w:rsidRPr="00B768A1">
        <w:t>International activity to draw upon</w:t>
      </w:r>
    </w:p>
    <w:p w14:paraId="48F588EC" w14:textId="3DDA5D17" w:rsidR="00A35ABF" w:rsidRPr="00B768A1" w:rsidRDefault="51E1EBC0" w:rsidP="00634A83">
      <w:pPr>
        <w:pStyle w:val="BT-Beigebox"/>
      </w:pPr>
      <w:r w:rsidRPr="00B768A1">
        <w:t xml:space="preserve">England </w:t>
      </w:r>
      <w:r w:rsidR="067443FD" w:rsidRPr="00B768A1">
        <w:t>has a cross-</w:t>
      </w:r>
      <w:r w:rsidR="4DDCF007" w:rsidRPr="00B768A1">
        <w:t>sectoral</w:t>
      </w:r>
      <w:r w:rsidR="067443FD" w:rsidRPr="00B768A1">
        <w:t xml:space="preserve"> suicide prevention </w:t>
      </w:r>
      <w:r w:rsidR="03633EC5" w:rsidRPr="00B768A1">
        <w:t>strategy</w:t>
      </w:r>
      <w:r w:rsidR="067443FD" w:rsidRPr="00B768A1">
        <w:t xml:space="preserve"> that commits portfolio</w:t>
      </w:r>
      <w:r w:rsidR="0ECC28F7" w:rsidRPr="00B768A1">
        <w:t>s</w:t>
      </w:r>
      <w:r w:rsidR="067443FD" w:rsidRPr="00B768A1">
        <w:t xml:space="preserve"> to </w:t>
      </w:r>
      <w:r w:rsidR="30D3C223" w:rsidRPr="00B768A1">
        <w:t xml:space="preserve">suicide prevention </w:t>
      </w:r>
      <w:r w:rsidR="067443FD" w:rsidRPr="00B768A1">
        <w:t>act</w:t>
      </w:r>
      <w:r w:rsidR="5604B422" w:rsidRPr="00B768A1">
        <w:t>ions</w:t>
      </w:r>
      <w:r w:rsidR="364EC7EC">
        <w:t>,</w:t>
      </w:r>
      <w:r w:rsidR="20C9023F" w:rsidRPr="00B768A1">
        <w:t xml:space="preserve"> including</w:t>
      </w:r>
      <w:r w:rsidR="067443FD" w:rsidRPr="00B768A1">
        <w:t xml:space="preserve"> targets for monitoring progress.</w:t>
      </w:r>
      <w:hyperlink w:anchor="_ENREF_298" w:tooltip="Care, 2023 #1098" w:history="1">
        <w:r w:rsidR="002D6F18">
          <w:fldChar w:fldCharType="begin"/>
        </w:r>
        <w:r w:rsidR="002D6F18">
          <w:instrText xml:space="preserve"> ADDIN EN.CITE &lt;EndNote&gt;&lt;Cite&gt;&lt;Author&gt;Care&lt;/Author&gt;&lt;Year&gt;2023&lt;/Year&gt;&lt;RecNum&gt;1098&lt;/RecNum&gt;&lt;DisplayText&gt;&lt;style face="superscript"&gt;298&lt;/style&gt;&lt;/DisplayText&gt;&lt;record&gt;&lt;rec-number&gt;1098&lt;/rec-number&gt;&lt;foreign-keys&gt;&lt;key app="EN" db-id="rsettzd2isasdweewww55s9lffasxav0d0ft" timestamp="1720503330" guid="938fa0f7-4201-4937-a57d-48ec545e06a1"&gt;1098&lt;/key&gt;&lt;/foreign-keys&gt;&lt;ref-type name="Web Page"&gt;12&lt;/ref-type&gt;&lt;contributors&gt;&lt;authors&gt;&lt;author&gt;Department of Health and Social Care&lt;/author&gt;&lt;/authors&gt;&lt;/contributors&gt;&lt;titles&gt;&lt;title&gt;Policy paper: Suicide prevention in England: 5-year cross-sector strategy. &lt;/title&gt;&lt;/titles&gt;&lt;dates&gt;&lt;year&gt;2023&lt;/year&gt;&lt;/dates&gt;&lt;publisher&gt;UK Government&lt;/publisher&gt;&lt;work-type&gt;Internet&lt;/work-type&gt;&lt;urls&gt;&lt;related-urls&gt;&lt;url&gt; https://www.gov.uk/government/publications/suicide-prevention-strategy-for-england-2023-to-2028&lt;/url&gt;&lt;/related-urls&gt;&lt;/urls&gt;&lt;custom1&gt;2024&lt;/custom1&gt;&lt;custom2&gt;March 06&lt;/custom2&gt;&lt;/record&gt;&lt;/Cite&gt;&lt;/EndNote&gt;</w:instrText>
        </w:r>
        <w:r w:rsidR="002D6F18">
          <w:fldChar w:fldCharType="separate"/>
        </w:r>
        <w:r w:rsidR="002D6F18" w:rsidRPr="00C559B5">
          <w:rPr>
            <w:noProof/>
            <w:vertAlign w:val="superscript"/>
          </w:rPr>
          <w:t>298</w:t>
        </w:r>
        <w:r w:rsidR="002D6F18">
          <w:fldChar w:fldCharType="end"/>
        </w:r>
      </w:hyperlink>
      <w:r w:rsidR="00B516AB">
        <w:t xml:space="preserve"> </w:t>
      </w:r>
    </w:p>
    <w:p w14:paraId="0BE2C431" w14:textId="706DCA10" w:rsidR="00A35ABF" w:rsidRPr="00B768A1" w:rsidRDefault="067443FD" w:rsidP="00634A83">
      <w:pPr>
        <w:pStyle w:val="BT-Beigebox"/>
        <w:rPr>
          <w:vertAlign w:val="superscript"/>
        </w:rPr>
      </w:pPr>
      <w:r w:rsidRPr="00B768A1">
        <w:t>New Zealand has used a collective impact approach (a model that creates a network of stakeholders that collaborate and align their efforts to address a social problem</w:t>
      </w:r>
      <w:hyperlink w:anchor="_ENREF_299" w:tooltip="J, 2011 #284" w:history="1">
        <w:r w:rsidR="002D6F18">
          <w:fldChar w:fldCharType="begin"/>
        </w:r>
        <w:r w:rsidR="002D6F18">
          <w:instrText xml:space="preserve"> ADDIN EN.CITE &lt;EndNote&gt;&lt;Cite&gt;&lt;Author&gt;J&lt;/Author&gt;&lt;Year&gt;2011&lt;/Year&gt;&lt;RecNum&gt;284&lt;/RecNum&gt;&lt;DisplayText&gt;&lt;style face="superscript"&gt;299&lt;/style&gt;&lt;/DisplayText&gt;&lt;record&gt;&lt;rec-number&gt;284&lt;/rec-number&gt;&lt;foreign-keys&gt;&lt;key app="EN" db-id="rsettzd2isasdweewww55s9lffasxav0d0ft" timestamp="1700699470" guid="5461fc6d-4234-4a3b-8430-c00bb2ff5489"&gt;284&lt;/key&gt;&lt;/foreign-keys&gt;&lt;ref-type name="Web Page"&gt;12&lt;/ref-type&gt;&lt;contributors&gt;&lt;authors&gt;&lt;author&gt;Kania J&lt;/author&gt;&lt;author&gt;Kramer M&lt;/author&gt;&lt;/authors&gt;&lt;/contributors&gt;&lt;titles&gt;&lt;title&gt;Collective Impact&lt;/title&gt;&lt;/titles&gt;&lt;dates&gt;&lt;year&gt;2011&lt;/year&gt;&lt;/dates&gt;&lt;publisher&gt;Stanford Social Innovation Review&lt;/publisher&gt;&lt;work-type&gt;Internet&lt;/work-type&gt;&lt;urls&gt;&lt;related-urls&gt;&lt;url&gt;https://ssir.org/articles/entry/collective_impact/&lt;/url&gt;&lt;/related-urls&gt;&lt;/urls&gt;&lt;custom1&gt;2023&lt;/custom1&gt;&lt;custom2&gt;November 06&lt;/custom2&gt;&lt;/record&gt;&lt;/Cite&gt;&lt;/EndNote&gt;</w:instrText>
        </w:r>
        <w:r w:rsidR="002D6F18">
          <w:fldChar w:fldCharType="separate"/>
        </w:r>
        <w:r w:rsidR="002D6F18" w:rsidRPr="00C559B5">
          <w:rPr>
            <w:noProof/>
            <w:vertAlign w:val="superscript"/>
          </w:rPr>
          <w:t>299</w:t>
        </w:r>
        <w:r w:rsidR="002D6F18">
          <w:fldChar w:fldCharType="end"/>
        </w:r>
      </w:hyperlink>
      <w:r w:rsidRPr="00B768A1">
        <w:t xml:space="preserve">) </w:t>
      </w:r>
      <w:r w:rsidR="605CB81D" w:rsidRPr="00B768A1">
        <w:t xml:space="preserve">to </w:t>
      </w:r>
      <w:r w:rsidRPr="00B768A1">
        <w:t>suicide prevention</w:t>
      </w:r>
      <w:r w:rsidR="2DA36F54" w:rsidRPr="00B768A1">
        <w:t xml:space="preserve">. This includes </w:t>
      </w:r>
      <w:r w:rsidRPr="00B768A1">
        <w:t>cross-government governance and portfolio</w:t>
      </w:r>
      <w:r w:rsidR="1B6B0484" w:rsidRPr="00B768A1">
        <w:t>-</w:t>
      </w:r>
      <w:r w:rsidRPr="00B768A1">
        <w:t>specific indicators and targets (evidence-based and measurable goal</w:t>
      </w:r>
      <w:r w:rsidR="5AD8190F" w:rsidRPr="00B768A1">
        <w:t>s</w:t>
      </w:r>
      <w:r w:rsidRPr="00B768A1">
        <w:t>).</w:t>
      </w:r>
      <w:hyperlink w:anchor="_ENREF_58" w:tooltip="Health, 2019 #991" w:history="1">
        <w:r w:rsidR="002D6F18">
          <w:fldChar w:fldCharType="begin"/>
        </w:r>
        <w:r w:rsidR="002D6F18">
          <w:instrText xml:space="preserve"> ADDIN EN.CITE &lt;EndNote&gt;&lt;Cite&gt;&lt;Author&gt;Health&lt;/Author&gt;&lt;Year&gt;2019&lt;/Year&gt;&lt;RecNum&gt;991&lt;/RecNum&gt;&lt;DisplayText&gt;&lt;style face="superscript"&gt;58&lt;/style&gt;&lt;/DisplayText&gt;&lt;record&gt;&lt;rec-number&gt;991&lt;/rec-number&gt;&lt;foreign-keys&gt;&lt;key app="EN" db-id="rsettzd2isasdweewww55s9lffasxav0d0ft" timestamp="1720400765" guid="80cba4a3-a5dd-4f55-ba05-1de1c37a7af8"&gt;991&lt;/key&gt;&lt;/foreign-keys&gt;&lt;ref-type name="Web Page"&gt;12&lt;/ref-type&gt;&lt;contributors&gt;&lt;authors&gt;&lt;author&gt;Ministry of Health&lt;/author&gt;&lt;/authors&gt;&lt;/contributors&gt;&lt;titles&gt;&lt;title&gt;Every life matters  - He Tapu te Oranga o ia Tangata: Suicide Prevention Strategy 2019–2029 and Suicide Prevention Action Plan 2019–2024 for Aotearoa New Zealand&lt;/title&gt;&lt;/titles&gt;&lt;dates&gt;&lt;year&gt;2019&lt;/year&gt;&lt;/dates&gt;&lt;publisher&gt;New Zealand Government &lt;/publisher&gt;&lt;isbn&gt;978-1-98-859712-6 &lt;/isbn&gt;&lt;work-type&gt;Internet &lt;/work-type&gt;&lt;urls&gt;&lt;related-urls&gt;&lt;url&gt;https://www.health.govt.nz/our-work/mental-health-and-addiction/suicide-prevention-new-zealand/suicide-prevention-strategy-and-action-plan&lt;/url&gt;&lt;/related-urls&gt;&lt;/urls&gt;&lt;custom1&gt;2024&lt;/custom1&gt;&lt;custom2&gt;February 8&lt;/custom2&gt;&lt;/record&gt;&lt;/Cite&gt;&lt;/EndNote&gt;</w:instrText>
        </w:r>
        <w:r w:rsidR="002D6F18">
          <w:fldChar w:fldCharType="separate"/>
        </w:r>
        <w:r w:rsidR="002D6F18" w:rsidRPr="0082082D">
          <w:rPr>
            <w:noProof/>
            <w:vertAlign w:val="superscript"/>
          </w:rPr>
          <w:t>58</w:t>
        </w:r>
        <w:r w:rsidR="002D6F18">
          <w:fldChar w:fldCharType="end"/>
        </w:r>
      </w:hyperlink>
      <w:r w:rsidR="00B516AB">
        <w:t xml:space="preserve"> </w:t>
      </w:r>
    </w:p>
    <w:p w14:paraId="45F9DB70" w14:textId="3E53B596" w:rsidR="00A35ABF" w:rsidRPr="00B768A1" w:rsidRDefault="067443FD" w:rsidP="00634A83">
      <w:pPr>
        <w:pStyle w:val="BT-Beigebox"/>
      </w:pPr>
      <w:r w:rsidRPr="00B768A1">
        <w:t xml:space="preserve">Scotland is pursuing a whole-of-government approach to suicide prevention </w:t>
      </w:r>
      <w:r w:rsidR="72582D12" w:rsidRPr="00B768A1">
        <w:t xml:space="preserve">in which </w:t>
      </w:r>
      <w:r w:rsidRPr="00B768A1">
        <w:t>the Scottish Government and the Convention of Scottish Local Authorities hav</w:t>
      </w:r>
      <w:r w:rsidR="72582D12" w:rsidRPr="00B768A1">
        <w:t>e</w:t>
      </w:r>
      <w:r w:rsidRPr="00B768A1">
        <w:t xml:space="preserve"> joint responsibility for delivering outcomes, which will be subject to regular evaluation, monitoring and review at both national and local levels.</w:t>
      </w:r>
      <w:hyperlink w:anchor="_ENREF_57" w:tooltip="Authorities, 2022 #455" w:history="1">
        <w:r w:rsidR="002D6F18">
          <w:fldChar w:fldCharType="begin"/>
        </w:r>
        <w:r w:rsidR="002D6F18">
          <w:instrText xml:space="preserve"> ADDIN EN.CITE &lt;EndNote&gt;&lt;Cite&gt;&lt;Author&gt;Authorities&lt;/Author&gt;&lt;Year&gt;2022&lt;/Year&gt;&lt;RecNum&gt;455&lt;/RecNum&gt;&lt;DisplayText&gt;&lt;style face="superscript"&gt;57&lt;/style&gt;&lt;/DisplayText&gt;&lt;record&gt;&lt;rec-number&gt;455&lt;/rec-number&gt;&lt;foreign-keys&gt;&lt;key app="EN" db-id="rsettzd2isasdweewww55s9lffasxav0d0ft" timestamp="1700699474" guid="e2144bcd-1d73-49e6-b4b7-94d0a1e781ff"&gt;455&lt;/key&gt;&lt;/foreign-keys&gt;&lt;ref-type name="Web Page"&gt;12&lt;/ref-type&gt;&lt;contributors&gt;&lt;authors&gt;&lt;author&gt;The Scottish Government and the Convention of Scottish Local Authorities&lt;/author&gt;&lt;/authors&gt;&lt;/contributors&gt;&lt;titles&gt;&lt;title&gt;Creating Hope Together: Scotland&amp;apos;s Suicide Prevention Plan 2022-2025&lt;/title&gt;&lt;/titles&gt;&lt;dates&gt;&lt;year&gt;2022&lt;/year&gt;&lt;/dates&gt;&lt;pub-location&gt;Edinburgh, Scotland&lt;/pub-location&gt;&lt;publisher&gt;The Scottish Government&lt;/publisher&gt;&lt;isbn&gt;978-1-80435-977-8&lt;/isbn&gt;&lt;work-type&gt;Internet&lt;/work-type&gt;&lt;urls&gt;&lt;related-urls&gt;&lt;url&gt;https://www.gov.scot/publications/creating-hope-together-scotlands-suicide-prevention-action-plan-2022-2025/documents/&lt;/url&gt;&lt;/related-urls&gt;&lt;/urls&gt;&lt;custom1&gt;2023&lt;/custom1&gt;&lt;custom2&gt;November 06&lt;/custom2&gt;&lt;/record&gt;&lt;/Cite&gt;&lt;/EndNote&gt;</w:instrText>
        </w:r>
        <w:r w:rsidR="002D6F18">
          <w:fldChar w:fldCharType="separate"/>
        </w:r>
        <w:r w:rsidR="002D6F18" w:rsidRPr="0082082D">
          <w:rPr>
            <w:noProof/>
            <w:vertAlign w:val="superscript"/>
          </w:rPr>
          <w:t>57</w:t>
        </w:r>
        <w:r w:rsidR="002D6F18">
          <w:fldChar w:fldCharType="end"/>
        </w:r>
      </w:hyperlink>
      <w:r w:rsidR="00B516AB">
        <w:t xml:space="preserve"> </w:t>
      </w:r>
    </w:p>
    <w:p w14:paraId="16822D91" w14:textId="1F23F1EA" w:rsidR="00682A5B" w:rsidRPr="00B768A1" w:rsidRDefault="3B65A2F0" w:rsidP="00634A83">
      <w:pPr>
        <w:pStyle w:val="Heading3"/>
      </w:pPr>
      <w:r w:rsidRPr="5B74CE65">
        <w:t>ce</w:t>
      </w:r>
      <w:r w:rsidR="003C5A8A">
        <w:t>1.</w:t>
      </w:r>
      <w:r w:rsidR="00682A5B" w:rsidRPr="5B74CE65">
        <w:t>1 Implement ‘suicide prevention in all policies’</w:t>
      </w:r>
      <w:r w:rsidR="00012E64">
        <w:t xml:space="preserve"> </w:t>
      </w:r>
    </w:p>
    <w:p w14:paraId="1B1AD7F0" w14:textId="16B761B2" w:rsidR="00682A5B" w:rsidRDefault="3BC3804D" w:rsidP="00634A83">
      <w:r w:rsidRPr="00B768A1">
        <w:t>C</w:t>
      </w:r>
      <w:r w:rsidR="3B08971F" w:rsidRPr="00B768A1">
        <w:t>onsidering the wide range of factors that can</w:t>
      </w:r>
      <w:r w:rsidR="53A02F13" w:rsidRPr="00B768A1">
        <w:t xml:space="preserve"> influence suicide</w:t>
      </w:r>
      <w:r w:rsidR="4FDE5177">
        <w:t xml:space="preserve"> (see </w:t>
      </w:r>
      <w:r w:rsidR="4FDE5177" w:rsidRPr="00F833FC">
        <w:rPr>
          <w:b/>
          <w:bCs/>
        </w:rPr>
        <w:t>Prevention</w:t>
      </w:r>
      <w:r w:rsidR="6EDA4026" w:rsidRPr="59485962">
        <w:rPr>
          <w:b/>
          <w:bCs/>
        </w:rPr>
        <w:t xml:space="preserve"> of suicidal distress</w:t>
      </w:r>
      <w:r w:rsidR="4FDE5177">
        <w:t>)</w:t>
      </w:r>
      <w:r w:rsidR="3D7928CF" w:rsidRPr="00B768A1">
        <w:t>,</w:t>
      </w:r>
      <w:r w:rsidR="3605BDAC" w:rsidRPr="00B768A1">
        <w:t xml:space="preserve"> </w:t>
      </w:r>
      <w:r w:rsidR="58DE2783" w:rsidRPr="00B768A1">
        <w:t xml:space="preserve">all government policies should </w:t>
      </w:r>
      <w:r w:rsidR="2106954C" w:rsidRPr="00B768A1">
        <w:t>be</w:t>
      </w:r>
      <w:r w:rsidR="3605BDAC" w:rsidRPr="00B768A1">
        <w:t xml:space="preserve"> explicitly consider</w:t>
      </w:r>
      <w:r w:rsidR="3D9243F1" w:rsidRPr="00B768A1">
        <w:t>ed</w:t>
      </w:r>
      <w:r w:rsidR="3605BDAC" w:rsidRPr="00B768A1">
        <w:t xml:space="preserve"> </w:t>
      </w:r>
      <w:r w:rsidR="032B86F8" w:rsidRPr="00B768A1">
        <w:t>for</w:t>
      </w:r>
      <w:r w:rsidR="3605BDAC" w:rsidRPr="00B768A1">
        <w:t xml:space="preserve"> the</w:t>
      </w:r>
      <w:r w:rsidR="2E9472AC" w:rsidRPr="00B768A1">
        <w:t>ir</w:t>
      </w:r>
      <w:r w:rsidR="3605BDAC" w:rsidRPr="00B768A1">
        <w:t xml:space="preserve"> potential impact on suicide</w:t>
      </w:r>
      <w:r w:rsidR="62D141FE" w:rsidRPr="00B768A1">
        <w:t xml:space="preserve"> before they are endorsed</w:t>
      </w:r>
      <w:r w:rsidR="3605BDAC" w:rsidRPr="00B768A1">
        <w:t>.</w:t>
      </w:r>
      <w:hyperlink w:anchor="_ENREF_60" w:tooltip="J, 2023 #127" w:history="1">
        <w:r w:rsidR="002D6F18">
          <w:fldChar w:fldCharType="begin"/>
        </w:r>
        <w:r w:rsidR="002D6F18">
          <w:instrText xml:space="preserve"> ADDIN EN.CITE &lt;EndNote&gt;&lt;Cite&gt;&lt;Author&gt;J&lt;/Author&gt;&lt;Year&gt;2023&lt;/Year&gt;&lt;RecNum&gt;127&lt;/RecNum&gt;&lt;DisplayText&gt;&lt;style face="superscript"&gt;60&lt;/style&gt;&lt;/DisplayText&gt;&lt;record&gt;&lt;rec-number&gt;127&lt;/rec-number&gt;&lt;foreign-keys&gt;&lt;key app="EN" db-id="rsettzd2isasdweewww55s9lffasxav0d0ft" timestamp="1700699468" guid="ad055c94-1ea1-48f9-9a07-5dd88bac4804"&gt;127&lt;/key&gt;&lt;/foreign-keys&gt;&lt;ref-type name="Journal Article"&gt;17&lt;/ref-type&gt;&lt;contributors&gt;&lt;authors&gt;&lt;author&gt;Pirkis J&lt;/author&gt;&lt;author&gt;Gunnell D&lt;/author&gt;&lt;author&gt;Hawton K&lt;/author&gt;&lt;author&gt;Hetrick S&lt;/author&gt;&lt;author&gt;Niederkrotenthaler T&lt;/author&gt;&lt;author&gt;Sinyor M&lt;/author&gt;&lt;author&gt;Yip PSF&lt;/author&gt;&lt;author&gt;Robinson J&lt;/author&gt;&lt;/authors&gt;&lt;/contributors&gt;&lt;titles&gt;&lt;title&gt;A Public Health, Whole-of-Government Approach to National Suicide Prevention Strategies&lt;/title&gt;&lt;/titles&gt;&lt;dates&gt;&lt;year&gt;2023&lt;/year&gt;&lt;/dates&gt;&lt;publisher&gt;Crisis: The Journal of Crisis Intervention and Suicide Prevention&lt;/publisher&gt;&lt;urls&gt;&lt;/urls&gt;&lt;electronic-resource-num&gt;DOI: 10.1027/0227-5910/a000902&lt;/electronic-resource-num&gt;&lt;/record&gt;&lt;/Cite&gt;&lt;/EndNote&gt;</w:instrText>
        </w:r>
        <w:r w:rsidR="002D6F18">
          <w:fldChar w:fldCharType="separate"/>
        </w:r>
        <w:r w:rsidR="002D6F18" w:rsidRPr="0082082D">
          <w:rPr>
            <w:noProof/>
            <w:vertAlign w:val="superscript"/>
          </w:rPr>
          <w:t>60</w:t>
        </w:r>
        <w:r w:rsidR="002D6F18">
          <w:fldChar w:fldCharType="end"/>
        </w:r>
      </w:hyperlink>
      <w:r w:rsidR="3605BDAC" w:rsidRPr="00B768A1">
        <w:t xml:space="preserve"> This is called a ‘suicide prevention in all policies’ approach</w:t>
      </w:r>
      <w:r w:rsidR="6FE4899B" w:rsidRPr="00B768A1">
        <w:t xml:space="preserve"> and is </w:t>
      </w:r>
      <w:r w:rsidR="3605BDAC" w:rsidRPr="00B768A1">
        <w:t>based on the ‘</w:t>
      </w:r>
      <w:r w:rsidR="6FE4899B" w:rsidRPr="00B768A1">
        <w:t>h</w:t>
      </w:r>
      <w:r w:rsidR="3605BDAC" w:rsidRPr="00B768A1">
        <w:t xml:space="preserve">ealth in </w:t>
      </w:r>
      <w:r w:rsidR="6FE4899B" w:rsidRPr="00B768A1">
        <w:t>a</w:t>
      </w:r>
      <w:r w:rsidR="3605BDAC" w:rsidRPr="00B768A1">
        <w:t xml:space="preserve">ll </w:t>
      </w:r>
      <w:r w:rsidR="6FE4899B" w:rsidRPr="00B768A1">
        <w:t>p</w:t>
      </w:r>
      <w:r w:rsidR="3605BDAC" w:rsidRPr="00B768A1">
        <w:t>olicies’ approach.</w:t>
      </w:r>
      <w:hyperlink w:anchor="_ENREF_300" w:tooltip="F, 2022 #287" w:history="1">
        <w:r w:rsidR="002D6F18">
          <w:fldChar w:fldCharType="begin"/>
        </w:r>
        <w:r w:rsidR="002D6F18">
          <w:instrText xml:space="preserve"> ADDIN EN.CITE &lt;EndNote&gt;&lt;Cite&gt;&lt;Author&gt;F&lt;/Author&gt;&lt;Year&gt;2022&lt;/Year&gt;&lt;RecNum&gt;287&lt;/RecNum&gt;&lt;DisplayText&gt;&lt;style face="superscript"&gt;300&lt;/style&gt;&lt;/DisplayText&gt;&lt;record&gt;&lt;rec-number&gt;287&lt;/rec-number&gt;&lt;foreign-keys&gt;&lt;key app="EN" db-id="rsettzd2isasdweewww55s9lffasxav0d0ft" timestamp="1700699470" guid="c98f1148-164a-4e07-880e-b4cf3cf1ee7c"&gt;287&lt;/key&gt;&lt;/foreign-keys&gt;&lt;ref-type name="Journal Article"&gt;17&lt;/ref-type&gt;&lt;contributors&gt;&lt;authors&gt;&lt;author&gt;Ortenzi F&lt;/author&gt;&lt;author&gt;Marten R&lt;/author&gt;&lt;author&gt;Valentine NB&lt;/author&gt;&lt;author&gt;Kwamie A&lt;/author&gt;&lt;author&gt;Rasanathan K&lt;/author&gt;&lt;/authors&gt;&lt;/contributors&gt;&lt;titles&gt;&lt;title&gt;Whole-of-Government and Whole-of-Society Approaches: Call for Further Research to Improve Population Health and Health Equity&lt;/title&gt;&lt;/titles&gt;&lt;dates&gt;&lt;year&gt;2022&lt;/year&gt;&lt;/dates&gt;&lt;publisher&gt;BMJ Global Health&lt;/publisher&gt;&lt;urls&gt;&lt;/urls&gt;&lt;electronic-resource-num&gt;DOI: 10.1136/bmjgh-2022-009972&lt;/electronic-resource-num&gt;&lt;/record&gt;&lt;/Cite&gt;&lt;/EndNote&gt;</w:instrText>
        </w:r>
        <w:r w:rsidR="002D6F18">
          <w:fldChar w:fldCharType="separate"/>
        </w:r>
        <w:r w:rsidR="002D6F18" w:rsidRPr="00C559B5">
          <w:rPr>
            <w:noProof/>
            <w:vertAlign w:val="superscript"/>
          </w:rPr>
          <w:t>300</w:t>
        </w:r>
        <w:r w:rsidR="002D6F18">
          <w:fldChar w:fldCharType="end"/>
        </w:r>
      </w:hyperlink>
      <w:r w:rsidR="000319FE">
        <w:t xml:space="preserve"> </w:t>
      </w:r>
      <w:r w:rsidR="3605BDAC" w:rsidRPr="00B768A1">
        <w:t xml:space="preserve">It </w:t>
      </w:r>
      <w:r w:rsidR="5849C641" w:rsidRPr="00B768A1">
        <w:t xml:space="preserve">requires </w:t>
      </w:r>
      <w:r w:rsidR="3605BDAC" w:rsidRPr="00B768A1">
        <w:t xml:space="preserve">suicide prevention considerations </w:t>
      </w:r>
      <w:r w:rsidR="24E5EB47">
        <w:t xml:space="preserve">to be </w:t>
      </w:r>
      <w:r w:rsidR="3605BDAC" w:rsidRPr="00B768A1">
        <w:t xml:space="preserve">embedded into policy development </w:t>
      </w:r>
      <w:r w:rsidR="376744A5" w:rsidRPr="00B768A1">
        <w:t xml:space="preserve">as routine practice </w:t>
      </w:r>
      <w:r w:rsidR="3605BDAC" w:rsidRPr="00B768A1">
        <w:t>across governments.</w:t>
      </w:r>
      <w:hyperlink w:anchor="_ENREF_300" w:tooltip="F, 2022 #287" w:history="1">
        <w:r w:rsidR="002D6F18">
          <w:fldChar w:fldCharType="begin"/>
        </w:r>
        <w:r w:rsidR="002D6F18">
          <w:instrText xml:space="preserve"> ADDIN EN.CITE &lt;EndNote&gt;&lt;Cite&gt;&lt;Author&gt;F&lt;/Author&gt;&lt;Year&gt;2022&lt;/Year&gt;&lt;RecNum&gt;287&lt;/RecNum&gt;&lt;DisplayText&gt;&lt;style face="superscript"&gt;300&lt;/style&gt;&lt;/DisplayText&gt;&lt;record&gt;&lt;rec-number&gt;287&lt;/rec-number&gt;&lt;foreign-keys&gt;&lt;key app="EN" db-id="rsettzd2isasdweewww55s9lffasxav0d0ft" timestamp="1700699470" guid="c98f1148-164a-4e07-880e-b4cf3cf1ee7c"&gt;287&lt;/key&gt;&lt;/foreign-keys&gt;&lt;ref-type name="Journal Article"&gt;17&lt;/ref-type&gt;&lt;contributors&gt;&lt;authors&gt;&lt;author&gt;Ortenzi F&lt;/author&gt;&lt;author&gt;Marten R&lt;/author&gt;&lt;author&gt;Valentine NB&lt;/author&gt;&lt;author&gt;Kwamie A&lt;/author&gt;&lt;author&gt;Rasanathan K&lt;/author&gt;&lt;/authors&gt;&lt;/contributors&gt;&lt;titles&gt;&lt;title&gt;Whole-of-Government and Whole-of-Society Approaches: Call for Further Research to Improve Population Health and Health Equity&lt;/title&gt;&lt;/titles&gt;&lt;dates&gt;&lt;year&gt;2022&lt;/year&gt;&lt;/dates&gt;&lt;publisher&gt;BMJ Global Health&lt;/publisher&gt;&lt;urls&gt;&lt;/urls&gt;&lt;electronic-resource-num&gt;DOI: 10.1136/bmjgh-2022-009972&lt;/electronic-resource-num&gt;&lt;/record&gt;&lt;/Cite&gt;&lt;/EndNote&gt;</w:instrText>
        </w:r>
        <w:r w:rsidR="002D6F18">
          <w:fldChar w:fldCharType="separate"/>
        </w:r>
        <w:r w:rsidR="002D6F18" w:rsidRPr="00C559B5">
          <w:rPr>
            <w:noProof/>
            <w:vertAlign w:val="superscript"/>
          </w:rPr>
          <w:t>300</w:t>
        </w:r>
        <w:r w:rsidR="002D6F18">
          <w:fldChar w:fldCharType="end"/>
        </w:r>
      </w:hyperlink>
      <w:r w:rsidR="000319FE">
        <w:t xml:space="preserve"> </w:t>
      </w:r>
      <w:r w:rsidR="3605BDAC" w:rsidRPr="00B768A1">
        <w:t xml:space="preserve">This will </w:t>
      </w:r>
      <w:r w:rsidR="17755790" w:rsidRPr="00B768A1">
        <w:t xml:space="preserve">establish </w:t>
      </w:r>
      <w:r w:rsidR="3605BDAC" w:rsidRPr="00B768A1">
        <w:t>accountability for policymakers to</w:t>
      </w:r>
      <w:r w:rsidR="17755790" w:rsidRPr="00B768A1">
        <w:t>,</w:t>
      </w:r>
      <w:r w:rsidR="3605BDAC" w:rsidRPr="00B768A1">
        <w:t xml:space="preserve"> firstly</w:t>
      </w:r>
      <w:r w:rsidR="17755790" w:rsidRPr="00B768A1">
        <w:t>,</w:t>
      </w:r>
      <w:r w:rsidR="3605BDAC" w:rsidRPr="00B768A1">
        <w:t xml:space="preserve"> ensure their policies ‘do no harm’ and</w:t>
      </w:r>
      <w:r w:rsidR="17755790" w:rsidRPr="00B768A1">
        <w:t>,</w:t>
      </w:r>
      <w:r w:rsidR="3605BDAC" w:rsidRPr="00B768A1">
        <w:t xml:space="preserve"> secondly, build wellbeing as a protective factor for suicide. This may require capability building within government portfolios to ensure policymakers understand the relationship between suicide and their policy areas</w:t>
      </w:r>
      <w:r w:rsidR="32912CE9" w:rsidRPr="00B768A1">
        <w:t xml:space="preserve"> (</w:t>
      </w:r>
      <w:r w:rsidR="1D1E41CE">
        <w:t>action</w:t>
      </w:r>
      <w:r w:rsidR="0E798AFE">
        <w:t xml:space="preserve"> critical enabler</w:t>
      </w:r>
      <w:r w:rsidR="1D1E41CE">
        <w:t> </w:t>
      </w:r>
      <w:r w:rsidR="6F821B66">
        <w:t>(</w:t>
      </w:r>
      <w:r w:rsidR="1D1E41CE">
        <w:t>ce</w:t>
      </w:r>
      <w:r w:rsidR="32912CE9" w:rsidRPr="00B768A1">
        <w:t>1.1a)</w:t>
      </w:r>
      <w:r w:rsidR="3605BDAC" w:rsidRPr="00B768A1">
        <w:t>.</w:t>
      </w:r>
    </w:p>
    <w:p w14:paraId="1A3BCC51" w14:textId="48DC7767" w:rsidR="0034142D" w:rsidRDefault="0034142D" w:rsidP="00634A83">
      <w:r>
        <w:t xml:space="preserve">The recommended action to </w:t>
      </w:r>
      <w:r w:rsidR="000828AD">
        <w:t>implement this approach is</w:t>
      </w:r>
      <w:r>
        <w:t xml:space="preserve"> described in</w:t>
      </w:r>
      <w:r w:rsidR="00F04C6C">
        <w:t xml:space="preserve"> </w:t>
      </w:r>
      <w:r w:rsidR="00F04C6C">
        <w:fldChar w:fldCharType="begin"/>
      </w:r>
      <w:r w:rsidR="00F04C6C">
        <w:instrText xml:space="preserve"> REF _Ref162246286 \h </w:instrText>
      </w:r>
      <w:r w:rsidR="00F04C6C">
        <w:fldChar w:fldCharType="separate"/>
      </w:r>
      <w:r w:rsidR="009F12B4">
        <w:t xml:space="preserve">Table </w:t>
      </w:r>
      <w:r w:rsidR="009F12B4">
        <w:rPr>
          <w:noProof/>
        </w:rPr>
        <w:t>31</w:t>
      </w:r>
      <w:r w:rsidR="00F04C6C">
        <w:fldChar w:fldCharType="end"/>
      </w:r>
      <w:r>
        <w:t>.</w:t>
      </w:r>
    </w:p>
    <w:p w14:paraId="11026BC9" w14:textId="29AB5C11" w:rsidR="0034142D" w:rsidRPr="00B768A1" w:rsidRDefault="0034142D" w:rsidP="00745B34">
      <w:pPr>
        <w:pStyle w:val="Caption"/>
      </w:pPr>
      <w:bookmarkStart w:id="151" w:name="_Ref162246286"/>
      <w:r>
        <w:t xml:space="preserve">Table </w:t>
      </w:r>
      <w:r>
        <w:fldChar w:fldCharType="begin"/>
      </w:r>
      <w:r>
        <w:instrText>SEQ Table \* ARABIC</w:instrText>
      </w:r>
      <w:r>
        <w:fldChar w:fldCharType="separate"/>
      </w:r>
      <w:r w:rsidR="009F12B4">
        <w:rPr>
          <w:noProof/>
        </w:rPr>
        <w:t>31</w:t>
      </w:r>
      <w:r>
        <w:fldChar w:fldCharType="end"/>
      </w:r>
      <w:bookmarkEnd w:id="151"/>
      <w:r>
        <w:t>: Recommended action for critica</w:t>
      </w:r>
      <w:r w:rsidR="00313709">
        <w:t>l</w:t>
      </w:r>
      <w:r>
        <w:t xml:space="preserve"> enabler</w:t>
      </w:r>
      <w:r w:rsidR="00CF02D0">
        <w:t xml:space="preserve"> 1.1: Implement ‘suicide prevention in all policies’</w:t>
      </w:r>
    </w:p>
    <w:tbl>
      <w:tblPr>
        <w:tblStyle w:val="TableGrid"/>
        <w:tblW w:w="9213" w:type="dxa"/>
        <w:tblLook w:val="0420" w:firstRow="1" w:lastRow="0" w:firstColumn="0" w:lastColumn="0" w:noHBand="0" w:noVBand="1"/>
        <w:tblCaption w:val="Recommended action for critical enabler 1.1: Implement ‘suicide prevention in all policies’"/>
        <w:tblDescription w:val="Describes action ce1.1a."/>
      </w:tblPr>
      <w:tblGrid>
        <w:gridCol w:w="1270"/>
        <w:gridCol w:w="7943"/>
      </w:tblGrid>
      <w:tr w:rsidR="007F4592" w:rsidRPr="00B768A1" w14:paraId="26E6D5A6" w14:textId="77777777" w:rsidTr="45E58E07">
        <w:trPr>
          <w:cnfStyle w:val="100000000000" w:firstRow="1" w:lastRow="0" w:firstColumn="0" w:lastColumn="0" w:oddVBand="0" w:evenVBand="0" w:oddHBand="0" w:evenHBand="0" w:firstRowFirstColumn="0" w:firstRowLastColumn="0" w:lastRowFirstColumn="0" w:lastRowLastColumn="0"/>
          <w:cantSplit/>
          <w:trHeight w:val="300"/>
          <w:tblHeader/>
        </w:trPr>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80AD" w:themeFill="accent4"/>
          </w:tcPr>
          <w:p w14:paraId="7CD8AE9B" w14:textId="5D94B2E3" w:rsidR="007F4592" w:rsidRPr="00744039" w:rsidRDefault="007F4592" w:rsidP="004F5B0E">
            <w:pPr>
              <w:pStyle w:val="NMHCTableHeaderRow"/>
              <w:rPr>
                <w:u w:val="single"/>
              </w:rPr>
            </w:pPr>
            <w:r>
              <w:t xml:space="preserve">Action </w:t>
            </w:r>
          </w:p>
        </w:tc>
        <w:tc>
          <w:tcPr>
            <w:tcW w:w="7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80AD" w:themeFill="accent4"/>
            <w:tcMar>
              <w:top w:w="28" w:type="dxa"/>
              <w:bottom w:w="28" w:type="dxa"/>
            </w:tcMar>
          </w:tcPr>
          <w:p w14:paraId="1FAF65F3" w14:textId="49816B3D" w:rsidR="007F4592" w:rsidRPr="00B768A1" w:rsidRDefault="00D85EFA" w:rsidP="004F5B0E">
            <w:pPr>
              <w:pStyle w:val="NMHCTableHeaderRow"/>
            </w:pPr>
            <w:r>
              <w:t>Description</w:t>
            </w:r>
          </w:p>
        </w:tc>
      </w:tr>
      <w:tr w:rsidR="00682A5B" w:rsidRPr="00B768A1" w14:paraId="5D72929E" w14:textId="77777777" w:rsidTr="45E58E07">
        <w:trPr>
          <w:trHeight w:val="300"/>
        </w:trPr>
        <w:tc>
          <w:tcPr>
            <w:tcW w:w="1270" w:type="dxa"/>
            <w:tcBorders>
              <w:top w:val="single" w:sz="4" w:space="0" w:color="FFFFFF" w:themeColor="background1"/>
            </w:tcBorders>
          </w:tcPr>
          <w:p w14:paraId="2534C4DC" w14:textId="4FFE6B40" w:rsidR="00682A5B" w:rsidRPr="00F833FC" w:rsidRDefault="3B5D9A3B" w:rsidP="00634A83">
            <w:r w:rsidRPr="00F833FC">
              <w:t>ce</w:t>
            </w:r>
            <w:r w:rsidR="00682A5B" w:rsidRPr="00F833FC">
              <w:t>1.1</w:t>
            </w:r>
            <w:r w:rsidR="7C567E75" w:rsidRPr="00F833FC">
              <w:t>a</w:t>
            </w:r>
          </w:p>
        </w:tc>
        <w:tc>
          <w:tcPr>
            <w:tcW w:w="7943" w:type="dxa"/>
            <w:tcBorders>
              <w:top w:val="single" w:sz="4" w:space="0" w:color="FFFFFF" w:themeColor="background1"/>
            </w:tcBorders>
            <w:tcMar>
              <w:top w:w="28" w:type="dxa"/>
              <w:bottom w:w="28" w:type="dxa"/>
            </w:tcMar>
          </w:tcPr>
          <w:p w14:paraId="7470E90F" w14:textId="2BDF9098" w:rsidR="00682A5B" w:rsidRPr="00F833FC" w:rsidRDefault="00682A5B" w:rsidP="00634A83">
            <w:r w:rsidRPr="00F833FC">
              <w:t>Establish a ‘suicide prevention in all policies’ approach:</w:t>
            </w:r>
          </w:p>
          <w:p w14:paraId="2AA9ED0C" w14:textId="254C1311" w:rsidR="00682A5B" w:rsidRPr="00F833FC" w:rsidRDefault="00682A5B" w:rsidP="00634A83">
            <w:pPr>
              <w:pStyle w:val="ListParagraph"/>
              <w:numPr>
                <w:ilvl w:val="1"/>
                <w:numId w:val="31"/>
              </w:numPr>
            </w:pPr>
            <w:r w:rsidRPr="00F833FC">
              <w:t>Creat</w:t>
            </w:r>
            <w:r w:rsidR="3E0776FD" w:rsidRPr="00F833FC">
              <w:t>e</w:t>
            </w:r>
            <w:r w:rsidRPr="00F833FC">
              <w:t xml:space="preserve"> mechanisms that assess all new policies for their potential impact on suicide and provide guidance to policymakers on options for minimising risks.</w:t>
            </w:r>
          </w:p>
          <w:p w14:paraId="53F79DEE" w14:textId="704BC32B" w:rsidR="00682A5B" w:rsidRPr="00F833FC" w:rsidRDefault="00682A5B" w:rsidP="00634A83">
            <w:pPr>
              <w:pStyle w:val="ListParagraph"/>
              <w:numPr>
                <w:ilvl w:val="1"/>
                <w:numId w:val="31"/>
              </w:numPr>
            </w:pPr>
            <w:r w:rsidRPr="00F833FC">
              <w:t xml:space="preserve">Invest in building capability in all portfolios to ensure policymakers understand the relationship between </w:t>
            </w:r>
            <w:r w:rsidR="46228261" w:rsidRPr="00F833FC">
              <w:t xml:space="preserve">their policy areas and </w:t>
            </w:r>
            <w:r w:rsidRPr="00F833FC">
              <w:t>suicide.</w:t>
            </w:r>
          </w:p>
        </w:tc>
      </w:tr>
    </w:tbl>
    <w:p w14:paraId="0F6FAB77" w14:textId="14926191" w:rsidR="00682A5B" w:rsidRPr="00B768A1" w:rsidRDefault="0B0AD527" w:rsidP="00634A83">
      <w:pPr>
        <w:pStyle w:val="Heading3"/>
      </w:pPr>
      <w:r w:rsidRPr="5B74CE65">
        <w:t>ce</w:t>
      </w:r>
      <w:r w:rsidR="003C5A8A">
        <w:t>1</w:t>
      </w:r>
      <w:r w:rsidR="00682A5B" w:rsidRPr="5B74CE65">
        <w:t xml:space="preserve">.2 </w:t>
      </w:r>
      <w:r w:rsidR="373FCCD9">
        <w:t>Clarify</w:t>
      </w:r>
      <w:r w:rsidR="00682A5B" w:rsidRPr="5B74CE65">
        <w:t xml:space="preserve"> </w:t>
      </w:r>
      <w:r w:rsidR="000828AD">
        <w:t>responsibilities</w:t>
      </w:r>
      <w:r w:rsidR="00682A5B" w:rsidRPr="5B74CE65">
        <w:t xml:space="preserve"> for suicide prevention</w:t>
      </w:r>
    </w:p>
    <w:p w14:paraId="41AF9A48" w14:textId="77777777" w:rsidR="00D71A86" w:rsidRDefault="00DC55AA" w:rsidP="00634A83">
      <w:r w:rsidRPr="00B768A1">
        <w:t>A</w:t>
      </w:r>
      <w:r w:rsidR="00682A5B" w:rsidRPr="00B768A1">
        <w:t xml:space="preserve"> workable whole-of-governments approach to suicide prevention in Australia</w:t>
      </w:r>
      <w:r w:rsidRPr="00B768A1">
        <w:t xml:space="preserve"> requires</w:t>
      </w:r>
      <w:r w:rsidR="00682A5B" w:rsidRPr="00B768A1">
        <w:t xml:space="preserve"> accountability across portfolios and between all levels of government.</w:t>
      </w:r>
      <w:r w:rsidR="00214922">
        <w:t xml:space="preserve"> </w:t>
      </w:r>
    </w:p>
    <w:p w14:paraId="517716FB" w14:textId="1179872C" w:rsidR="007E61E9" w:rsidRPr="00B768A1" w:rsidRDefault="30CE5581" w:rsidP="00634A83">
      <w:r>
        <w:t xml:space="preserve">Currently, responsibility for suicide prevention is outlined in </w:t>
      </w:r>
      <w:r w:rsidR="3605BDAC" w:rsidRPr="00B768A1">
        <w:t xml:space="preserve">suicide prevention strategies and frameworks in place across states and territories. These </w:t>
      </w:r>
      <w:r w:rsidR="393E1E7F" w:rsidRPr="00B768A1">
        <w:t xml:space="preserve">strategies and frameworks </w:t>
      </w:r>
      <w:r w:rsidR="3605BDAC" w:rsidRPr="00B768A1">
        <w:t>are</w:t>
      </w:r>
      <w:r w:rsidR="3605BDAC" w:rsidRPr="00B768A1" w:rsidDel="00011562">
        <w:t xml:space="preserve"> </w:t>
      </w:r>
      <w:r w:rsidR="3605BDAC" w:rsidRPr="00B768A1">
        <w:t>broadly aligned in their priorities for suicide prevention, including reference</w:t>
      </w:r>
      <w:r w:rsidR="6DCAF966">
        <w:t>s</w:t>
      </w:r>
      <w:r w:rsidR="3605BDAC" w:rsidRPr="00B768A1">
        <w:t xml:space="preserve"> to shift</w:t>
      </w:r>
      <w:r w:rsidR="3D020C2C" w:rsidRPr="00B768A1">
        <w:t>ing</w:t>
      </w:r>
      <w:r w:rsidR="3605BDAC" w:rsidRPr="00B768A1">
        <w:t xml:space="preserve"> towards whole-of-government</w:t>
      </w:r>
      <w:r w:rsidR="6278A5C1" w:rsidRPr="00B768A1">
        <w:t>s</w:t>
      </w:r>
      <w:r w:rsidR="3605BDAC" w:rsidRPr="00B768A1">
        <w:t xml:space="preserve"> arrangements and</w:t>
      </w:r>
      <w:r w:rsidR="3605BDAC" w:rsidRPr="00B768A1" w:rsidDel="00901D8A">
        <w:t xml:space="preserve"> </w:t>
      </w:r>
      <w:r w:rsidR="3605BDAC" w:rsidRPr="00B768A1">
        <w:t>cross-portfolio governance structures.</w:t>
      </w:r>
      <w:hyperlink w:anchor="_ENREF_301" w:tooltip="Australia, 2021 #448" w:history="1">
        <w:r w:rsidR="002D6F18" w:rsidRPr="000319FE">
          <w:rPr>
            <w:vertAlign w:val="superscript"/>
          </w:rPr>
          <w:fldChar w:fldCharType="begin"/>
        </w:r>
        <w:r w:rsidR="002D6F18">
          <w:rPr>
            <w:vertAlign w:val="superscript"/>
          </w:rPr>
          <w:instrText xml:space="preserve"> ADDIN EN.CITE &lt;EndNote&gt;&lt;Cite&gt;&lt;Author&gt;Australia&lt;/Author&gt;&lt;Year&gt;2021&lt;/Year&gt;&lt;RecNum&gt;448&lt;/RecNum&gt;&lt;DisplayText&gt;&lt;style face="superscript"&gt;301&lt;/style&gt;&lt;/DisplayText&gt;&lt;record&gt;&lt;rec-number&gt;448&lt;/rec-number&gt;&lt;foreign-keys&gt;&lt;key app="EN" db-id="rsettzd2isasdweewww55s9lffasxav0d0ft" timestamp="1700699474" guid="f749870d-d88a-4116-a454-ff03e7c77fb0"&gt;448&lt;/key&gt;&lt;/foreign-keys&gt;&lt;ref-type name="Web Page"&gt;12&lt;/ref-type&gt;&lt;contributors&gt;&lt;authors&gt;&lt;author&gt;Government of South Australia&lt;/author&gt;&lt;/authors&gt;&lt;/contributors&gt;&lt;titles&gt;&lt;title&gt;Suicide Prevention Act 2021&lt;/title&gt;&lt;/titles&gt;&lt;dates&gt;&lt;year&gt;2021&lt;/year&gt;&lt;/dates&gt;&lt;pub-location&gt;Adelaide, South Australia&lt;/pub-location&gt;&lt;publisher&gt;Government of South Australia&lt;/publisher&gt;&lt;work-type&gt;Internet&lt;/work-type&gt;&lt;urls&gt;&lt;related-urls&gt;&lt;url&gt;https://www.legislation.sa.gov.au/__legislation/lz/v/a/2021/suicide%20prevention%20act%202021_51/2021.51.un.pdf&lt;/url&gt;&lt;/related-urls&gt;&lt;/urls&gt;&lt;custom1&gt;2023&lt;/custom1&gt;&lt;custom2&gt;November 06&lt;/custom2&gt;&lt;/record&gt;&lt;/Cite&gt;&lt;/EndNote&gt;</w:instrText>
        </w:r>
        <w:r w:rsidR="002D6F18" w:rsidRPr="000319FE">
          <w:rPr>
            <w:vertAlign w:val="superscript"/>
          </w:rPr>
          <w:fldChar w:fldCharType="separate"/>
        </w:r>
        <w:r w:rsidR="002D6F18">
          <w:rPr>
            <w:noProof/>
            <w:vertAlign w:val="superscript"/>
          </w:rPr>
          <w:t>301</w:t>
        </w:r>
        <w:r w:rsidR="002D6F18" w:rsidRPr="000319FE">
          <w:rPr>
            <w:vertAlign w:val="superscript"/>
          </w:rPr>
          <w:fldChar w:fldCharType="end"/>
        </w:r>
      </w:hyperlink>
      <w:r w:rsidR="000319FE" w:rsidRPr="000319FE">
        <w:rPr>
          <w:vertAlign w:val="superscript"/>
        </w:rPr>
        <w:t>,</w:t>
      </w:r>
      <w:hyperlink w:anchor="_ENREF_302" w:tooltip="Wales, 2022 #449" w:history="1">
        <w:r w:rsidR="002D6F18" w:rsidRPr="000319FE">
          <w:rPr>
            <w:vertAlign w:val="superscript"/>
          </w:rPr>
          <w:fldChar w:fldCharType="begin"/>
        </w:r>
        <w:r w:rsidR="002D6F18">
          <w:rPr>
            <w:vertAlign w:val="superscript"/>
          </w:rPr>
          <w:instrText xml:space="preserve"> ADDIN EN.CITE &lt;EndNote&gt;&lt;Cite&gt;&lt;Author&gt;Wales&lt;/Author&gt;&lt;Year&gt;2022&lt;/Year&gt;&lt;RecNum&gt;449&lt;/RecNum&gt;&lt;DisplayText&gt;&lt;style face="superscript"&gt;302&lt;/style&gt;&lt;/DisplayText&gt;&lt;record&gt;&lt;rec-number&gt;449&lt;/rec-number&gt;&lt;foreign-keys&gt;&lt;key app="EN" db-id="rsettzd2isasdweewww55s9lffasxav0d0ft" timestamp="1700699474" guid="987243b8-3b2c-4691-95e2-352c5ec73357"&gt;449&lt;/key&gt;&lt;/foreign-keys&gt;&lt;ref-type name="Web Page"&gt;12&lt;/ref-type&gt;&lt;contributors&gt;&lt;authors&gt;&lt;author&gt;Mental Health Commission of New South Wales&lt;/author&gt;&lt;/authors&gt;&lt;/contributors&gt;&lt;titles&gt;&lt;title&gt;Strategic Framework for Suicide Prevention in NSW 2022-2027&lt;/title&gt;&lt;/titles&gt;&lt;dates&gt;&lt;year&gt;2022&lt;/year&gt;&lt;/dates&gt;&lt;pub-location&gt;Sydney, New South Wales&lt;/pub-location&gt;&lt;publisher&gt;Mental Health Commission of New South Wales&lt;/publisher&gt;&lt;work-type&gt;Internet&lt;/work-type&gt;&lt;urls&gt;&lt;related-urls&gt;&lt;url&gt;https://www.health.nsw.gov.au/mentalhealth/Pages/suicide-prevention-strategic-framework.aspx&lt;/url&gt;&lt;/related-urls&gt;&lt;/urls&gt;&lt;custom1&gt;2023&lt;/custom1&gt;&lt;custom2&gt;November 06&lt;/custom2&gt;&lt;/record&gt;&lt;/Cite&gt;&lt;/EndNote&gt;</w:instrText>
        </w:r>
        <w:r w:rsidR="002D6F18" w:rsidRPr="000319FE">
          <w:rPr>
            <w:vertAlign w:val="superscript"/>
          </w:rPr>
          <w:fldChar w:fldCharType="separate"/>
        </w:r>
        <w:r w:rsidR="002D6F18">
          <w:rPr>
            <w:noProof/>
            <w:vertAlign w:val="superscript"/>
          </w:rPr>
          <w:t>302</w:t>
        </w:r>
        <w:r w:rsidR="002D6F18" w:rsidRPr="000319FE">
          <w:rPr>
            <w:vertAlign w:val="superscript"/>
          </w:rPr>
          <w:fldChar w:fldCharType="end"/>
        </w:r>
      </w:hyperlink>
      <w:r w:rsidR="000319FE" w:rsidRPr="000319FE">
        <w:rPr>
          <w:vertAlign w:val="superscript"/>
        </w:rPr>
        <w:t>,</w:t>
      </w:r>
      <w:hyperlink w:anchor="_ENREF_303" w:tooltip="Commission, 2021 #450" w:history="1">
        <w:r w:rsidR="002D6F18" w:rsidRPr="000319FE">
          <w:rPr>
            <w:vertAlign w:val="superscript"/>
          </w:rPr>
          <w:fldChar w:fldCharType="begin"/>
        </w:r>
        <w:r w:rsidR="002D6F18">
          <w:rPr>
            <w:vertAlign w:val="superscript"/>
          </w:rPr>
          <w:instrText xml:space="preserve"> ADDIN EN.CITE &lt;EndNote&gt;&lt;Cite&gt;&lt;Author&gt;Commission&lt;/Author&gt;&lt;Year&gt;2021&lt;/Year&gt;&lt;RecNum&gt;450&lt;/RecNum&gt;&lt;DisplayText&gt;&lt;style face="superscript"&gt;303&lt;/style&gt;&lt;/DisplayText&gt;&lt;record&gt;&lt;rec-number&gt;450&lt;/rec-number&gt;&lt;foreign-keys&gt;&lt;key app="EN" db-id="rsettzd2isasdweewww55s9lffasxav0d0ft" timestamp="1700699474" guid="a2176f05-bdd0-4826-b1ef-b69adb01c2b4"&gt;450&lt;/key&gt;&lt;/foreign-keys&gt;&lt;ref-type name="Web Page"&gt;12&lt;/ref-type&gt;&lt;contributors&gt;&lt;authors&gt;&lt;author&gt;Western Australia Mental Health Commission&lt;/author&gt;&lt;/authors&gt;&lt;/contributors&gt;&lt;titles&gt;&lt;title&gt;Western Australian Suicide Prevention Framework 2021-2025&lt;/title&gt;&lt;/titles&gt;&lt;dates&gt;&lt;year&gt;2021&lt;/year&gt;&lt;/dates&gt;&lt;pub-location&gt;Perth, Western Australia&lt;/pub-location&gt;&lt;publisher&gt;Western Australia Mental Health Commission&lt;/publisher&gt;&lt;work-type&gt;Internet&lt;/work-type&gt;&lt;urls&gt;&lt;related-urls&gt;&lt;url&gt;https://www.mhc.wa.gov.au/media/3505/wa-suicideprevention-a4-mk40-web-version.pdf&lt;/url&gt;&lt;/related-urls&gt;&lt;/urls&gt;&lt;custom1&gt;2023&lt;/custom1&gt;&lt;custom2&gt;November 06&lt;/custom2&gt;&lt;/record&gt;&lt;/Cite&gt;&lt;/EndNote&gt;</w:instrText>
        </w:r>
        <w:r w:rsidR="002D6F18" w:rsidRPr="000319FE">
          <w:rPr>
            <w:vertAlign w:val="superscript"/>
          </w:rPr>
          <w:fldChar w:fldCharType="separate"/>
        </w:r>
        <w:r w:rsidR="002D6F18">
          <w:rPr>
            <w:noProof/>
            <w:vertAlign w:val="superscript"/>
          </w:rPr>
          <w:t>303</w:t>
        </w:r>
        <w:r w:rsidR="002D6F18" w:rsidRPr="000319FE">
          <w:rPr>
            <w:vertAlign w:val="superscript"/>
          </w:rPr>
          <w:fldChar w:fldCharType="end"/>
        </w:r>
      </w:hyperlink>
      <w:r w:rsidR="000319FE" w:rsidRPr="000319FE">
        <w:rPr>
          <w:vertAlign w:val="superscript"/>
        </w:rPr>
        <w:t>,</w:t>
      </w:r>
      <w:hyperlink w:anchor="_ENREF_304" w:tooltip="Government, 2023 #341" w:history="1">
        <w:r w:rsidR="002D6F18" w:rsidRPr="000319FE">
          <w:rPr>
            <w:vertAlign w:val="superscript"/>
          </w:rPr>
          <w:fldChar w:fldCharType="begin"/>
        </w:r>
        <w:r w:rsidR="002D6F18">
          <w:rPr>
            <w:vertAlign w:val="superscript"/>
          </w:rPr>
          <w:instrText xml:space="preserve"> ADDIN EN.CITE &lt;EndNote&gt;&lt;Cite&gt;&lt;Author&gt;Government&lt;/Author&gt;&lt;Year&gt;2023&lt;/Year&gt;&lt;RecNum&gt;341&lt;/RecNum&gt;&lt;DisplayText&gt;&lt;style face="superscript"&gt;304&lt;/style&gt;&lt;/DisplayText&gt;&lt;record&gt;&lt;rec-number&gt;341&lt;/rec-number&gt;&lt;foreign-keys&gt;&lt;key app="EN" db-id="rsettzd2isasdweewww55s9lffasxav0d0ft" timestamp="1700699472" guid="6cd9c2da-d341-4a68-812f-5f679737a276"&gt;341&lt;/key&gt;&lt;/foreign-keys&gt;&lt;ref-type name="Web Page"&gt;12&lt;/ref-type&gt;&lt;contributors&gt;&lt;authors&gt;&lt;author&gt;Northern Territory Government&lt;/author&gt;&lt;/authors&gt;&lt;/contributors&gt;&lt;titles&gt;&lt;title&gt;Health and Wellbeing&lt;/title&gt;&lt;/titles&gt;&lt;dates&gt;&lt;year&gt;2023&lt;/year&gt;&lt;/dates&gt;&lt;publisher&gt;Northern Territory Government&lt;/publisher&gt;&lt;work-type&gt;Internet&lt;/work-type&gt;&lt;urls&gt;&lt;related-urls&gt;&lt;url&gt;https://nt.gov.au/wellbeing&lt;/url&gt;&lt;/related-urls&gt;&lt;/urls&gt;&lt;custom1&gt;2023&lt;/custom1&gt;&lt;custom2&gt;October 05&lt;/custom2&gt;&lt;/record&gt;&lt;/Cite&gt;&lt;/EndNote&gt;</w:instrText>
        </w:r>
        <w:r w:rsidR="002D6F18" w:rsidRPr="000319FE">
          <w:rPr>
            <w:vertAlign w:val="superscript"/>
          </w:rPr>
          <w:fldChar w:fldCharType="separate"/>
        </w:r>
        <w:r w:rsidR="002D6F18">
          <w:rPr>
            <w:noProof/>
            <w:vertAlign w:val="superscript"/>
          </w:rPr>
          <w:t>304</w:t>
        </w:r>
        <w:r w:rsidR="002D6F18" w:rsidRPr="000319FE">
          <w:rPr>
            <w:vertAlign w:val="superscript"/>
          </w:rPr>
          <w:fldChar w:fldCharType="end"/>
        </w:r>
      </w:hyperlink>
      <w:r w:rsidR="000319FE" w:rsidRPr="000319FE">
        <w:rPr>
          <w:vertAlign w:val="superscript"/>
        </w:rPr>
        <w:t>,</w:t>
      </w:r>
      <w:hyperlink w:anchor="_ENREF_305" w:tooltip="Mental Health, 2022 #36" w:history="1">
        <w:r w:rsidR="002D6F18" w:rsidRPr="000319FE">
          <w:rPr>
            <w:vertAlign w:val="superscript"/>
          </w:rPr>
          <w:fldChar w:fldCharType="begin"/>
        </w:r>
        <w:r w:rsidR="002D6F18">
          <w:rPr>
            <w:vertAlign w:val="superscript"/>
          </w:rPr>
          <w:instrText xml:space="preserve"> ADDIN EN.CITE &lt;EndNote&gt;&lt;Cite&gt;&lt;Author&gt;Mental Health&lt;/Author&gt;&lt;Year&gt;2022&lt;/Year&gt;&lt;RecNum&gt;36&lt;/RecNum&gt;&lt;DisplayText&gt;&lt;style face="superscript"&gt;305&lt;/style&gt;&lt;/DisplayText&gt;&lt;record&gt;&lt;rec-number&gt;36&lt;/rec-number&gt;&lt;foreign-keys&gt;&lt;key app="EN" db-id="rsettzd2isasdweewww55s9lffasxav0d0ft" timestamp="1700699466" guid="f5eeb6d8-62a1-4bf3-a222-62954a907881"&gt;36&lt;/key&gt;&lt;/foreign-keys&gt;&lt;ref-type name="Web Page"&gt;12&lt;/ref-type&gt;&lt;contributors&gt;&lt;authors&gt;&lt;author&gt;Mental Health, Alcohol and Drug Directorate&lt;/author&gt;&lt;/authors&gt;&lt;/contributors&gt;&lt;titles&gt;&lt;title&gt;Compassion and Connection: Tasmanian Suicide Prevention Strategy 2023-2027&lt;/title&gt;&lt;/titles&gt;&lt;dates&gt;&lt;year&gt;2022&lt;/year&gt;&lt;/dates&gt;&lt;pub-location&gt;Hobart, Tasmania&lt;/pub-location&gt;&lt;publisher&gt;Tasmanian Department of Health&lt;/publisher&gt;&lt;work-type&gt;Internet&lt;/work-type&gt;&lt;urls&gt;&lt;related-urls&gt;&lt;url&gt;https://www.health.tas.gov.au/publications/tasmanian-suicide-prevention-strategy-2023-2027&lt;/url&gt;&lt;/related-urls&gt;&lt;/urls&gt;&lt;custom1&gt;2023&lt;/custom1&gt;&lt;custom2&gt;November 06&lt;/custom2&gt;&lt;/record&gt;&lt;/Cite&gt;&lt;/EndNote&gt;</w:instrText>
        </w:r>
        <w:r w:rsidR="002D6F18" w:rsidRPr="000319FE">
          <w:rPr>
            <w:vertAlign w:val="superscript"/>
          </w:rPr>
          <w:fldChar w:fldCharType="separate"/>
        </w:r>
        <w:r w:rsidR="002D6F18">
          <w:rPr>
            <w:noProof/>
            <w:vertAlign w:val="superscript"/>
          </w:rPr>
          <w:t>305</w:t>
        </w:r>
        <w:r w:rsidR="002D6F18" w:rsidRPr="000319FE">
          <w:rPr>
            <w:vertAlign w:val="superscript"/>
          </w:rPr>
          <w:fldChar w:fldCharType="end"/>
        </w:r>
      </w:hyperlink>
      <w:r w:rsidR="000319FE" w:rsidRPr="000319FE">
        <w:rPr>
          <w:vertAlign w:val="superscript"/>
        </w:rPr>
        <w:t>,</w:t>
      </w:r>
      <w:hyperlink w:anchor="_ENREF_306" w:tooltip="Commission, 2019 #453" w:history="1">
        <w:r w:rsidR="002D6F18" w:rsidRPr="000319FE">
          <w:rPr>
            <w:vertAlign w:val="superscript"/>
          </w:rPr>
          <w:fldChar w:fldCharType="begin"/>
        </w:r>
        <w:r w:rsidR="002D6F18">
          <w:rPr>
            <w:vertAlign w:val="superscript"/>
          </w:rPr>
          <w:instrText xml:space="preserve"> ADDIN EN.CITE &lt;EndNote&gt;&lt;Cite&gt;&lt;Author&gt;Commission&lt;/Author&gt;&lt;Year&gt;2019&lt;/Year&gt;&lt;RecNum&gt;453&lt;/RecNum&gt;&lt;DisplayText&gt;&lt;style face="superscript"&gt;306&lt;/style&gt;&lt;/DisplayText&gt;&lt;record&gt;&lt;rec-number&gt;453&lt;/rec-number&gt;&lt;foreign-keys&gt;&lt;key app="EN" db-id="rsettzd2isasdweewww55s9lffasxav0d0ft" timestamp="1700699474" guid="5e57d720-8919-428e-8b41-c7660a7e3cb1"&gt;453&lt;/key&gt;&lt;/foreign-keys&gt;&lt;ref-type name="Web Page"&gt;12&lt;/ref-type&gt;&lt;contributors&gt;&lt;authors&gt;&lt;author&gt;Queensland Mental Health Commission&lt;/author&gt;&lt;/authors&gt;&lt;/contributors&gt;&lt;titles&gt;&lt;title&gt;Every Life: The Queensland Suicide Prevention Plan 2019-2029, Phase One&lt;/title&gt;&lt;/titles&gt;&lt;dates&gt;&lt;year&gt;2019&lt;/year&gt;&lt;/dates&gt;&lt;pub-location&gt;Brisbane, Queensland&lt;/pub-location&gt;&lt;publisher&gt;Queensland Mental Health Commission&lt;/publisher&gt;&lt;work-type&gt;Internet&lt;/work-type&gt;&lt;urls&gt;&lt;related-urls&gt;&lt;url&gt;https://www.qmhc.qld.gov.au/sites/default/files/every_life_the_queensland_suicide_prevention_plan_2019-2029_web.pdf&lt;/url&gt;&lt;/related-urls&gt;&lt;/urls&gt;&lt;custom1&gt;2023&lt;/custom1&gt;&lt;custom2&gt;November 06&lt;/custom2&gt;&lt;/record&gt;&lt;/Cite&gt;&lt;/EndNote&gt;</w:instrText>
        </w:r>
        <w:r w:rsidR="002D6F18" w:rsidRPr="000319FE">
          <w:rPr>
            <w:vertAlign w:val="superscript"/>
          </w:rPr>
          <w:fldChar w:fldCharType="separate"/>
        </w:r>
        <w:r w:rsidR="002D6F18">
          <w:rPr>
            <w:noProof/>
            <w:vertAlign w:val="superscript"/>
          </w:rPr>
          <w:t>306</w:t>
        </w:r>
        <w:r w:rsidR="002D6F18" w:rsidRPr="000319FE">
          <w:rPr>
            <w:vertAlign w:val="superscript"/>
          </w:rPr>
          <w:fldChar w:fldCharType="end"/>
        </w:r>
      </w:hyperlink>
      <w:r w:rsidR="000319FE" w:rsidRPr="000319FE">
        <w:rPr>
          <w:vertAlign w:val="superscript"/>
        </w:rPr>
        <w:t>,</w:t>
      </w:r>
      <w:hyperlink w:anchor="_ENREF_307" w:tooltip="Health, 2016 #452" w:history="1">
        <w:r w:rsidR="002D6F18" w:rsidRPr="000319FE">
          <w:rPr>
            <w:vertAlign w:val="superscript"/>
          </w:rPr>
          <w:fldChar w:fldCharType="begin"/>
        </w:r>
        <w:r w:rsidR="002D6F18">
          <w:rPr>
            <w:vertAlign w:val="superscript"/>
          </w:rPr>
          <w:instrText xml:space="preserve"> ADDIN EN.CITE &lt;EndNote&gt;&lt;Cite&gt;&lt;Author&gt;Health&lt;/Author&gt;&lt;Year&gt;2016&lt;/Year&gt;&lt;RecNum&gt;452&lt;/RecNum&gt;&lt;DisplayText&gt;&lt;style face="superscript"&gt;307&lt;/style&gt;&lt;/DisplayText&gt;&lt;record&gt;&lt;rec-number&gt;452&lt;/rec-number&gt;&lt;foreign-keys&gt;&lt;key app="EN" db-id="rsettzd2isasdweewww55s9lffasxav0d0ft" timestamp="1700699474" guid="ef29bcdc-c3f9-4b6b-bb69-5933ceb70de9"&gt;452&lt;/key&gt;&lt;/foreign-keys&gt;&lt;ref-type name="Web Page"&gt;12&lt;/ref-type&gt;&lt;contributors&gt;&lt;authors&gt;&lt;author&gt;Victorian Department of Health&lt;/author&gt;&lt;/authors&gt;&lt;/contributors&gt;&lt;titles&gt;&lt;title&gt;Victorian Suicide Prevention Framework 2016-2025&lt;/title&gt;&lt;/titles&gt;&lt;dates&gt;&lt;year&gt;2016&lt;/year&gt;&lt;/dates&gt;&lt;pub-location&gt;Melbourne, Victoria&lt;/pub-location&gt;&lt;publisher&gt;Victoria State Government&lt;/publisher&gt;&lt;work-type&gt;Internet&lt;/work-type&gt;&lt;urls&gt;&lt;related-urls&gt;&lt;url&gt;https://www.health.vic.gov.au/publications/victorian-suicide-prevention-framework-2016-2025&lt;/url&gt;&lt;/related-urls&gt;&lt;/urls&gt;&lt;custom1&gt;2023&lt;/custom1&gt;&lt;custom2&gt;November 06&lt;/custom2&gt;&lt;/record&gt;&lt;/Cite&gt;&lt;/EndNote&gt;</w:instrText>
        </w:r>
        <w:r w:rsidR="002D6F18" w:rsidRPr="000319FE">
          <w:rPr>
            <w:vertAlign w:val="superscript"/>
          </w:rPr>
          <w:fldChar w:fldCharType="separate"/>
        </w:r>
        <w:r w:rsidR="002D6F18">
          <w:rPr>
            <w:noProof/>
            <w:vertAlign w:val="superscript"/>
          </w:rPr>
          <w:t>307</w:t>
        </w:r>
        <w:r w:rsidR="002D6F18" w:rsidRPr="000319FE">
          <w:rPr>
            <w:vertAlign w:val="superscript"/>
          </w:rPr>
          <w:fldChar w:fldCharType="end"/>
        </w:r>
      </w:hyperlink>
      <w:r w:rsidR="000319FE">
        <w:t xml:space="preserve">  </w:t>
      </w:r>
    </w:p>
    <w:p w14:paraId="246F6481" w14:textId="38DFEEFD" w:rsidR="00682A5B" w:rsidRPr="00B768A1" w:rsidRDefault="3605BDAC" w:rsidP="00634A83">
      <w:r w:rsidRPr="00B768A1">
        <w:t xml:space="preserve">Additionally, the </w:t>
      </w:r>
      <w:r w:rsidRPr="48215A0F">
        <w:rPr>
          <w:i/>
          <w:iCs/>
        </w:rPr>
        <w:t>National Mental Health and Suicide Prevention Agreement</w:t>
      </w:r>
      <w:hyperlink w:anchor="_ENREF_29" w:tooltip="Relations, 2022 #986" w:history="1">
        <w:r w:rsidR="002D6F18">
          <w:rPr>
            <w:i/>
            <w:iCs/>
          </w:rPr>
          <w:fldChar w:fldCharType="begin"/>
        </w:r>
        <w:r w:rsidR="002D6F18">
          <w:rPr>
            <w:i/>
            <w:iCs/>
          </w:rPr>
          <w:instrText xml:space="preserve"> ADDIN EN.CITE &lt;EndNote&gt;&lt;Cite&gt;&lt;Author&gt;Relations&lt;/Author&gt;&lt;Year&gt;2022&lt;/Year&gt;&lt;RecNum&gt;986&lt;/RecNum&gt;&lt;DisplayText&gt;&lt;style face="superscript"&gt;29&lt;/style&gt;&lt;/DisplayText&gt;&lt;record&gt;&lt;rec-number&gt;986&lt;/rec-number&gt;&lt;foreign-keys&gt;&lt;key app="EN" db-id="rsettzd2isasdweewww55s9lffasxav0d0ft" timestamp="1720076948" guid="32964ad8-6066-45d7-88ee-95f279fee5d3"&gt;986&lt;/key&gt;&lt;/foreign-keys&gt;&lt;ref-type name="Government Document"&gt;46&lt;/ref-type&gt;&lt;contributors&gt;&lt;authors&gt;&lt;author&gt;Federal Financial Relations &lt;/author&gt;&lt;/authors&gt;&lt;/contributors&gt;&lt;titles&gt;&lt;title&gt;The National Mental Health and Suicide Prevention Agreement&lt;/title&gt;&lt;/titles&gt;&lt;dates&gt;&lt;year&gt;2022&lt;/year&gt;&lt;/dates&gt;&lt;publisher&gt;Commonwealth of Australia&lt;/publisher&gt;&lt;urls&gt;&lt;related-urls&gt;&lt;url&gt;https://federalfinancialrelations.gov.au/agreements/mental-health-suicide-prevention-agreement&lt;/url&gt;&lt;/related-urls&gt;&lt;/urls&gt;&lt;/record&gt;&lt;/Cite&gt;&lt;/EndNote&gt;</w:instrText>
        </w:r>
        <w:r w:rsidR="002D6F18">
          <w:rPr>
            <w:i/>
            <w:iCs/>
          </w:rPr>
          <w:fldChar w:fldCharType="separate"/>
        </w:r>
        <w:r w:rsidR="002D6F18" w:rsidRPr="0082082D">
          <w:rPr>
            <w:i/>
            <w:iCs/>
            <w:noProof/>
            <w:vertAlign w:val="superscript"/>
          </w:rPr>
          <w:t>29</w:t>
        </w:r>
        <w:r w:rsidR="002D6F18">
          <w:rPr>
            <w:i/>
            <w:iCs/>
          </w:rPr>
          <w:fldChar w:fldCharType="end"/>
        </w:r>
      </w:hyperlink>
      <w:r w:rsidR="00AE6FF1">
        <w:rPr>
          <w:i/>
          <w:iCs/>
        </w:rPr>
        <w:t xml:space="preserve"> </w:t>
      </w:r>
      <w:r w:rsidRPr="00B768A1">
        <w:t xml:space="preserve">and associated bilateral agreements outline the roles and responsibilities </w:t>
      </w:r>
      <w:r w:rsidR="0672C3E1" w:rsidRPr="00B768A1">
        <w:t xml:space="preserve">of </w:t>
      </w:r>
      <w:r w:rsidR="467C2B46" w:rsidRPr="00B768A1">
        <w:t xml:space="preserve">the Australian Government </w:t>
      </w:r>
      <w:r w:rsidRPr="00B768A1">
        <w:t xml:space="preserve">and </w:t>
      </w:r>
      <w:r w:rsidR="467C2B46" w:rsidRPr="00B768A1">
        <w:t xml:space="preserve">the </w:t>
      </w:r>
      <w:r w:rsidRPr="00B768A1">
        <w:t xml:space="preserve">state and territory governments in delivering mental health and suicide prevention services. </w:t>
      </w:r>
      <w:r w:rsidR="5ABE4769" w:rsidRPr="00B768A1">
        <w:t>T</w:t>
      </w:r>
      <w:r w:rsidRPr="00B768A1">
        <w:t xml:space="preserve">he </w:t>
      </w:r>
      <w:r w:rsidRPr="48215A0F">
        <w:rPr>
          <w:i/>
          <w:iCs/>
        </w:rPr>
        <w:t>National Agreement on Closing the Gap</w:t>
      </w:r>
      <w:hyperlink w:anchor="_ENREF_33" w:tooltip="Cabinet, 2020 #787" w:history="1">
        <w:r w:rsidR="002D6F18">
          <w:rPr>
            <w:i/>
            <w:iCs/>
          </w:rPr>
          <w:fldChar w:fldCharType="begin"/>
        </w:r>
        <w:r w:rsidR="002D6F18">
          <w:rPr>
            <w:i/>
            <w:iCs/>
          </w:rPr>
          <w:instrText xml:space="preserve"> ADDIN EN.CITE &lt;EndNote&gt;&lt;Cite&gt;&lt;Author&gt;Cabinet&lt;/Author&gt;&lt;Year&gt;2020&lt;/Year&gt;&lt;RecNum&gt;326&lt;/RecNum&gt;&lt;DisplayText&gt;&lt;style face="superscript"&gt;33&lt;/style&gt;&lt;/DisplayText&gt;&lt;record&gt;&lt;rec-number&gt;326&lt;/rec-number&gt;&lt;foreign-keys&gt;&lt;key app="EN" db-id="rsettzd2isasdweewww55s9lffasxav0d0ft" timestamp="1700699471" guid="a4238ffb-d198-47d8-82bc-b107f32af72a"&gt;326&lt;/key&gt;&lt;/foreign-keys&gt;&lt;ref-type name="Web Page"&gt;12&lt;/ref-type&gt;&lt;contributors&gt;&lt;authors&gt;&lt;author&gt;Department of the Prime Minister and Cabinet&lt;/author&gt;&lt;/authors&gt;&lt;/contributors&gt;&lt;titles&gt;&lt;title&gt;National Agreement on Closing the Gap&lt;/title&gt;&lt;/titles&gt;&lt;dates&gt;&lt;year&gt;2020&lt;/year&gt;&lt;/dates&gt;&lt;pub-location&gt;Canberra, Australian Capital Territory&lt;/pub-location&gt;&lt;publisher&gt;PM&amp;amp;C&lt;/publisher&gt;&lt;work-type&gt;Internet&lt;/work-type&gt;&lt;urls&gt;&lt;related-urls&gt;&lt;url&gt;https://www.closingthegap.gov.au/national-agreement&lt;/url&gt;&lt;/related-urls&gt;&lt;/urls&gt;&lt;custom1&gt;2023&lt;/custom1&gt;&lt;custom2&gt;October 04&lt;/custom2&gt;&lt;/record&gt;&lt;/Cite&gt;&lt;/EndNote&gt;</w:instrText>
        </w:r>
        <w:r w:rsidR="002D6F18">
          <w:rPr>
            <w:i/>
            <w:iCs/>
          </w:rPr>
          <w:fldChar w:fldCharType="separate"/>
        </w:r>
        <w:r w:rsidR="002D6F18" w:rsidRPr="0082082D">
          <w:rPr>
            <w:i/>
            <w:iCs/>
            <w:noProof/>
            <w:vertAlign w:val="superscript"/>
          </w:rPr>
          <w:t>33</w:t>
        </w:r>
        <w:r w:rsidR="002D6F18">
          <w:rPr>
            <w:i/>
            <w:iCs/>
          </w:rPr>
          <w:fldChar w:fldCharType="end"/>
        </w:r>
      </w:hyperlink>
      <w:r w:rsidR="00AE6FF1">
        <w:rPr>
          <w:i/>
          <w:iCs/>
        </w:rPr>
        <w:t xml:space="preserve"> </w:t>
      </w:r>
      <w:r w:rsidR="682E9CD9">
        <w:t xml:space="preserve">also </w:t>
      </w:r>
      <w:r w:rsidRPr="00B768A1">
        <w:t xml:space="preserve">commits governments to </w:t>
      </w:r>
      <w:r w:rsidR="4B597BDF" w:rsidRPr="00B768A1">
        <w:t>several</w:t>
      </w:r>
      <w:r w:rsidRPr="00B768A1">
        <w:t xml:space="preserve"> priority reforms </w:t>
      </w:r>
      <w:r w:rsidR="780E17AF" w:rsidRPr="004B0684">
        <w:rPr>
          <w:rFonts w:eastAsia="Century Gothic"/>
        </w:rPr>
        <w:t>to improve a range of outcomes</w:t>
      </w:r>
      <w:r w:rsidR="5348F7FB">
        <w:rPr>
          <w:rFonts w:eastAsia="Century Gothic"/>
        </w:rPr>
        <w:t>,</w:t>
      </w:r>
      <w:r w:rsidR="780E17AF" w:rsidRPr="004B0684">
        <w:rPr>
          <w:rFonts w:eastAsia="Century Gothic"/>
        </w:rPr>
        <w:t xml:space="preserve"> including the</w:t>
      </w:r>
      <w:r w:rsidRPr="00B768A1">
        <w:t xml:space="preserve"> </w:t>
      </w:r>
      <w:r w:rsidR="39153BC3" w:rsidRPr="00B768A1">
        <w:t>target of</w:t>
      </w:r>
      <w:r w:rsidRPr="00B768A1">
        <w:t xml:space="preserve"> a significant and sustained reduction in suicide of Aboriginal and Torres Strait Islander people towards zero.</w:t>
      </w:r>
      <w:hyperlink w:anchor="_ENREF_33" w:tooltip="Cabinet, 2020 #787" w:history="1">
        <w:r w:rsidR="002D6F18">
          <w:fldChar w:fldCharType="begin"/>
        </w:r>
        <w:r w:rsidR="002D6F18">
          <w:instrText xml:space="preserve"> ADDIN EN.CITE &lt;EndNote&gt;&lt;Cite&gt;&lt;Author&gt;Cabinet&lt;/Author&gt;&lt;Year&gt;2020&lt;/Year&gt;&lt;RecNum&gt;326&lt;/RecNum&gt;&lt;DisplayText&gt;&lt;style face="superscript"&gt;33&lt;/style&gt;&lt;/DisplayText&gt;&lt;record&gt;&lt;rec-number&gt;326&lt;/rec-number&gt;&lt;foreign-keys&gt;&lt;key app="EN" db-id="rsettzd2isasdweewww55s9lffasxav0d0ft" timestamp="1700699471" guid="a4238ffb-d198-47d8-82bc-b107f32af72a"&gt;326&lt;/key&gt;&lt;/foreign-keys&gt;&lt;ref-type name="Web Page"&gt;12&lt;/ref-type&gt;&lt;contributors&gt;&lt;authors&gt;&lt;author&gt;Department of the Prime Minister and Cabinet&lt;/author&gt;&lt;/authors&gt;&lt;/contributors&gt;&lt;titles&gt;&lt;title&gt;National Agreement on Closing the Gap&lt;/title&gt;&lt;/titles&gt;&lt;dates&gt;&lt;year&gt;2020&lt;/year&gt;&lt;/dates&gt;&lt;pub-location&gt;Canberra, Australian Capital Territory&lt;/pub-location&gt;&lt;publisher&gt;PM&amp;amp;C&lt;/publisher&gt;&lt;work-type&gt;Internet&lt;/work-type&gt;&lt;urls&gt;&lt;related-urls&gt;&lt;url&gt;https://www.closingthegap.gov.au/national-agreement&lt;/url&gt;&lt;/related-urls&gt;&lt;/urls&gt;&lt;custom1&gt;2023&lt;/custom1&gt;&lt;custom2&gt;October 04&lt;/custom2&gt;&lt;/record&gt;&lt;/Cite&gt;&lt;/EndNote&gt;</w:instrText>
        </w:r>
        <w:r w:rsidR="002D6F18">
          <w:fldChar w:fldCharType="separate"/>
        </w:r>
        <w:r w:rsidR="002D6F18" w:rsidRPr="0082082D">
          <w:rPr>
            <w:noProof/>
            <w:vertAlign w:val="superscript"/>
          </w:rPr>
          <w:t>33</w:t>
        </w:r>
        <w:r w:rsidR="002D6F18">
          <w:fldChar w:fldCharType="end"/>
        </w:r>
      </w:hyperlink>
      <w:r w:rsidR="00AE6FF1">
        <w:t xml:space="preserve">  </w:t>
      </w:r>
    </w:p>
    <w:p w14:paraId="1A50E364" w14:textId="639BAA75" w:rsidR="00924C0E" w:rsidRDefault="0087020B" w:rsidP="00634A83">
      <w:r>
        <w:t>While t</w:t>
      </w:r>
      <w:r w:rsidR="0007678B">
        <w:t xml:space="preserve">he </w:t>
      </w:r>
      <w:r w:rsidR="0007678B" w:rsidRPr="59485962">
        <w:rPr>
          <w:i/>
          <w:iCs/>
        </w:rPr>
        <w:t xml:space="preserve">National Mental Health and Suicide Prevention Agreement </w:t>
      </w:r>
      <w:r w:rsidR="0007678B">
        <w:t xml:space="preserve">provides a </w:t>
      </w:r>
      <w:r w:rsidR="001D5441">
        <w:t xml:space="preserve">robust </w:t>
      </w:r>
      <w:r w:rsidR="0007678B">
        <w:t>foundation</w:t>
      </w:r>
      <w:r>
        <w:t xml:space="preserve">, it </w:t>
      </w:r>
      <w:r w:rsidR="001D5441">
        <w:t xml:space="preserve">can </w:t>
      </w:r>
      <w:r>
        <w:t xml:space="preserve">be </w:t>
      </w:r>
      <w:r w:rsidR="002B24D1">
        <w:t>strengthened to build</w:t>
      </w:r>
      <w:r w:rsidR="0007678B">
        <w:t xml:space="preserve"> shared a</w:t>
      </w:r>
      <w:r w:rsidR="0007678B" w:rsidRPr="00B768A1">
        <w:t>ccountability for suicide prevention across portfolios and between all levels of government</w:t>
      </w:r>
      <w:r w:rsidR="0007678B">
        <w:t xml:space="preserve"> </w:t>
      </w:r>
      <w:r w:rsidR="0007678B" w:rsidRPr="00B768A1">
        <w:t>(</w:t>
      </w:r>
      <w:r w:rsidR="0007678B">
        <w:t>action ce</w:t>
      </w:r>
      <w:r w:rsidR="0007678B" w:rsidRPr="00B768A1">
        <w:t>1.2a)</w:t>
      </w:r>
      <w:r w:rsidR="0007678B">
        <w:t>.</w:t>
      </w:r>
      <w:r w:rsidR="002B24D1">
        <w:t xml:space="preserve"> </w:t>
      </w:r>
      <w:r w:rsidR="00924C0E">
        <w:t>I</w:t>
      </w:r>
      <w:r w:rsidR="1B7FB3D4">
        <w:t>n</w:t>
      </w:r>
      <w:r w:rsidR="00924C0E">
        <w:t xml:space="preserve"> addition, t</w:t>
      </w:r>
      <w:r w:rsidR="00BB360F">
        <w:t>he roles and contribution</w:t>
      </w:r>
      <w:r w:rsidR="00E900E2">
        <w:t>s</w:t>
      </w:r>
      <w:r w:rsidR="00BB360F">
        <w:t xml:space="preserve"> of </w:t>
      </w:r>
      <w:r w:rsidR="00E900E2">
        <w:t>portfolios beyond health can be further clarified and emphasised</w:t>
      </w:r>
      <w:r w:rsidR="00DB3017">
        <w:t>,</w:t>
      </w:r>
      <w:r w:rsidR="002B24D1">
        <w:t xml:space="preserve"> given the</w:t>
      </w:r>
      <w:r w:rsidR="001205CC">
        <w:t xml:space="preserve"> breadth of work underway </w:t>
      </w:r>
      <w:r w:rsidR="00D67364">
        <w:t xml:space="preserve">in </w:t>
      </w:r>
      <w:r w:rsidR="00DF7EB6">
        <w:t xml:space="preserve">non-health </w:t>
      </w:r>
      <w:r w:rsidR="00D67364">
        <w:t xml:space="preserve">portfolios to address </w:t>
      </w:r>
      <w:r w:rsidR="000C2FD4">
        <w:t>socio-economic factors</w:t>
      </w:r>
      <w:r w:rsidR="00DF7EB6">
        <w:t xml:space="preserve"> that </w:t>
      </w:r>
      <w:r w:rsidR="000C2FD4">
        <w:t>are associated with</w:t>
      </w:r>
      <w:r w:rsidR="005D5163">
        <w:t xml:space="preserve"> suicide</w:t>
      </w:r>
      <w:r w:rsidR="00682A5B" w:rsidRPr="00B768A1">
        <w:t>.</w:t>
      </w:r>
      <w:r w:rsidR="00BE6F74">
        <w:t xml:space="preserve"> </w:t>
      </w:r>
    </w:p>
    <w:p w14:paraId="2856FC8A" w14:textId="4310F659" w:rsidR="00294D30" w:rsidRDefault="00924C0E" w:rsidP="00634A83">
      <w:r>
        <w:t>A</w:t>
      </w:r>
      <w:r w:rsidR="00646643" w:rsidDel="00BE6F74">
        <w:t xml:space="preserve"> </w:t>
      </w:r>
      <w:r w:rsidR="003402C1">
        <w:t>strengthened approach</w:t>
      </w:r>
      <w:r w:rsidR="001F0353">
        <w:t xml:space="preserve"> </w:t>
      </w:r>
      <w:r w:rsidR="5EF51D52" w:rsidRPr="00B768A1">
        <w:t xml:space="preserve">should </w:t>
      </w:r>
      <w:r>
        <w:t xml:space="preserve">also </w:t>
      </w:r>
      <w:r w:rsidR="2A530EAA" w:rsidRPr="00B768A1">
        <w:t xml:space="preserve">facilitate </w:t>
      </w:r>
      <w:r w:rsidR="00B22AB0">
        <w:t xml:space="preserve">further </w:t>
      </w:r>
      <w:r w:rsidR="2A530EAA" w:rsidRPr="00B768A1">
        <w:t xml:space="preserve">partnership and shared decision-making between governments and Aboriginal and Torres Strait Islander organisations, communities and people </w:t>
      </w:r>
      <w:r w:rsidR="3732E432" w:rsidRPr="00B768A1">
        <w:t xml:space="preserve">in accordance with </w:t>
      </w:r>
      <w:r w:rsidR="6F0DDB0F" w:rsidRPr="00B768A1">
        <w:t>the</w:t>
      </w:r>
      <w:r w:rsidR="0D9E3439" w:rsidRPr="00B768A1">
        <w:t xml:space="preserve"> commitments by all </w:t>
      </w:r>
      <w:r w:rsidR="233DC9D2" w:rsidRPr="00B768A1">
        <w:t>governments</w:t>
      </w:r>
      <w:r w:rsidR="0D9E3439" w:rsidRPr="00B768A1">
        <w:t xml:space="preserve"> under the</w:t>
      </w:r>
      <w:r w:rsidR="6F0DDB0F" w:rsidRPr="00B768A1">
        <w:t xml:space="preserve"> </w:t>
      </w:r>
      <w:r w:rsidR="6F0DDB0F" w:rsidRPr="59485962">
        <w:rPr>
          <w:i/>
          <w:iCs/>
        </w:rPr>
        <w:t>National Agreement on Closing the Gap</w:t>
      </w:r>
      <w:r w:rsidR="2A530EAA" w:rsidRPr="00B768A1">
        <w:t>.</w:t>
      </w:r>
    </w:p>
    <w:p w14:paraId="04FDBFDB" w14:textId="63B0F18A" w:rsidR="001F282A" w:rsidRPr="00B768A1" w:rsidRDefault="001F282A" w:rsidP="00634A83">
      <w:r>
        <w:t xml:space="preserve">The recommended action to </w:t>
      </w:r>
      <w:r w:rsidR="00B237AB">
        <w:t xml:space="preserve">clarify responsibilities and accountability for suicide prevention </w:t>
      </w:r>
      <w:r>
        <w:t>is described in</w:t>
      </w:r>
      <w:r w:rsidR="00F04C6C">
        <w:t xml:space="preserve"> </w:t>
      </w:r>
      <w:r w:rsidR="00F04C6C">
        <w:fldChar w:fldCharType="begin"/>
      </w:r>
      <w:r w:rsidR="00F04C6C">
        <w:instrText xml:space="preserve"> REF _Ref162246881 \h </w:instrText>
      </w:r>
      <w:r w:rsidR="00F04C6C">
        <w:fldChar w:fldCharType="separate"/>
      </w:r>
      <w:r w:rsidR="009F12B4">
        <w:t xml:space="preserve">Table </w:t>
      </w:r>
      <w:r w:rsidR="009F12B4">
        <w:rPr>
          <w:noProof/>
        </w:rPr>
        <w:t>32</w:t>
      </w:r>
      <w:r w:rsidR="00F04C6C">
        <w:fldChar w:fldCharType="end"/>
      </w:r>
      <w:r>
        <w:t>.</w:t>
      </w:r>
    </w:p>
    <w:p w14:paraId="3BA78771" w14:textId="1865C977" w:rsidR="001F282A" w:rsidRPr="00B768A1" w:rsidRDefault="00BB0FC0" w:rsidP="00745B34">
      <w:pPr>
        <w:pStyle w:val="Caption"/>
      </w:pPr>
      <w:bookmarkStart w:id="152" w:name="_Ref162246881"/>
      <w:r>
        <w:t xml:space="preserve">Table </w:t>
      </w:r>
      <w:r>
        <w:fldChar w:fldCharType="begin"/>
      </w:r>
      <w:r>
        <w:instrText>SEQ Table \* ARABIC</w:instrText>
      </w:r>
      <w:r>
        <w:fldChar w:fldCharType="separate"/>
      </w:r>
      <w:r w:rsidR="009F12B4">
        <w:rPr>
          <w:noProof/>
        </w:rPr>
        <w:t>32</w:t>
      </w:r>
      <w:r>
        <w:fldChar w:fldCharType="end"/>
      </w:r>
      <w:bookmarkEnd w:id="152"/>
      <w:r>
        <w:t>: Recommended action for critical enabler 1.2</w:t>
      </w:r>
      <w:r w:rsidR="001C70DD">
        <w:t xml:space="preserve">: </w:t>
      </w:r>
      <w:r w:rsidR="00D31A0C">
        <w:t>Clarify responsibilities</w:t>
      </w:r>
      <w:r w:rsidR="001C70DD">
        <w:t xml:space="preserve"> for suicide prevention</w:t>
      </w:r>
    </w:p>
    <w:tbl>
      <w:tblPr>
        <w:tblStyle w:val="TableGrid"/>
        <w:tblW w:w="9067" w:type="dxa"/>
        <w:tblLook w:val="0420" w:firstRow="1" w:lastRow="0" w:firstColumn="0" w:lastColumn="0" w:noHBand="0" w:noVBand="1"/>
        <w:tblCaption w:val="Recommended actions for critical enabler 1.2: Establish accountability for suicide prevention"/>
        <w:tblDescription w:val="Describes action ce1.2a."/>
      </w:tblPr>
      <w:tblGrid>
        <w:gridCol w:w="1270"/>
        <w:gridCol w:w="7797"/>
      </w:tblGrid>
      <w:tr w:rsidR="001C70DD" w:rsidRPr="00B768A1" w14:paraId="0016AC69" w14:textId="77777777" w:rsidTr="45E58E07">
        <w:trPr>
          <w:cnfStyle w:val="100000000000" w:firstRow="1" w:lastRow="0" w:firstColumn="0" w:lastColumn="0" w:oddVBand="0" w:evenVBand="0" w:oddHBand="0" w:evenHBand="0" w:firstRowFirstColumn="0" w:firstRowLastColumn="0" w:lastRowFirstColumn="0" w:lastRowLastColumn="0"/>
          <w:trHeight w:val="300"/>
          <w:tblHeader/>
        </w:trPr>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80AD" w:themeFill="accent4"/>
          </w:tcPr>
          <w:p w14:paraId="6005E945" w14:textId="0591A159" w:rsidR="001C70DD" w:rsidRPr="00B768A1" w:rsidRDefault="00A87195" w:rsidP="004F5B0E">
            <w:pPr>
              <w:pStyle w:val="NMHCTableHeaderRow"/>
            </w:pPr>
            <w:r>
              <w:t>Action</w:t>
            </w:r>
          </w:p>
        </w:tc>
        <w:tc>
          <w:tcPr>
            <w:tcW w:w="779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80AD" w:themeFill="accent4"/>
            <w:tcMar>
              <w:top w:w="28" w:type="dxa"/>
              <w:bottom w:w="28" w:type="dxa"/>
            </w:tcMar>
          </w:tcPr>
          <w:p w14:paraId="5DD2EE8E" w14:textId="22C1F83F" w:rsidR="001C70DD" w:rsidRPr="00B768A1" w:rsidRDefault="00D85EFA" w:rsidP="004F5B0E">
            <w:pPr>
              <w:pStyle w:val="NMHCTableHeaderRow"/>
            </w:pPr>
            <w:r>
              <w:t>Description</w:t>
            </w:r>
          </w:p>
        </w:tc>
      </w:tr>
      <w:tr w:rsidR="00682A5B" w:rsidRPr="00B768A1" w14:paraId="05C84B64" w14:textId="77777777" w:rsidTr="45E58E07">
        <w:trPr>
          <w:trHeight w:val="300"/>
        </w:trPr>
        <w:tc>
          <w:tcPr>
            <w:tcW w:w="1270" w:type="dxa"/>
            <w:tcBorders>
              <w:top w:val="single" w:sz="4" w:space="0" w:color="FFFFFF" w:themeColor="background1"/>
            </w:tcBorders>
          </w:tcPr>
          <w:p w14:paraId="0ED75580" w14:textId="18C70D86" w:rsidR="00682A5B" w:rsidRPr="00F833FC" w:rsidRDefault="00752C00" w:rsidP="00634A83">
            <w:r w:rsidRPr="00F833FC">
              <w:t>ce</w:t>
            </w:r>
            <w:r w:rsidR="00682A5B" w:rsidRPr="00F833FC">
              <w:t>1.2</w:t>
            </w:r>
            <w:r w:rsidR="7C567E75" w:rsidRPr="00F833FC">
              <w:t>a</w:t>
            </w:r>
          </w:p>
        </w:tc>
        <w:tc>
          <w:tcPr>
            <w:tcW w:w="7797" w:type="dxa"/>
            <w:tcBorders>
              <w:top w:val="single" w:sz="4" w:space="0" w:color="FFFFFF" w:themeColor="background1"/>
            </w:tcBorders>
            <w:tcMar>
              <w:top w:w="28" w:type="dxa"/>
              <w:bottom w:w="28" w:type="dxa"/>
            </w:tcMar>
          </w:tcPr>
          <w:p w14:paraId="3CB505DB" w14:textId="0142EF34" w:rsidR="00682A5B" w:rsidRPr="00F833FC" w:rsidRDefault="00682A5B" w:rsidP="00634A83">
            <w:r w:rsidRPr="00F833FC">
              <w:t xml:space="preserve">Build on the </w:t>
            </w:r>
            <w:r w:rsidRPr="00F833FC">
              <w:rPr>
                <w:i/>
                <w:iCs/>
              </w:rPr>
              <w:t>National Mental Health and Suicide Prevention Agreement</w:t>
            </w:r>
            <w:r w:rsidRPr="00F833FC">
              <w:t xml:space="preserve"> to </w:t>
            </w:r>
            <w:r w:rsidR="768BFE7F" w:rsidRPr="00F833FC">
              <w:t>progress a national approach to suicide prevention that</w:t>
            </w:r>
            <w:r w:rsidR="7BF8B137" w:rsidRPr="00F833FC">
              <w:t xml:space="preserve"> enables</w:t>
            </w:r>
            <w:r w:rsidRPr="00F833FC">
              <w:t xml:space="preserve"> cross-portfolio and </w:t>
            </w:r>
            <w:r w:rsidR="2EE51B57" w:rsidRPr="00F833FC">
              <w:t>whole-of-</w:t>
            </w:r>
            <w:r w:rsidRPr="00F833FC">
              <w:t>government</w:t>
            </w:r>
            <w:r w:rsidR="2EFF18F0" w:rsidRPr="00F833FC">
              <w:t>s</w:t>
            </w:r>
            <w:r w:rsidRPr="00F833FC">
              <w:t xml:space="preserve"> planning, set</w:t>
            </w:r>
            <w:r w:rsidR="7FCB9FFC" w:rsidRPr="00F833FC">
              <w:t>s</w:t>
            </w:r>
            <w:r w:rsidRPr="00F833FC">
              <w:t xml:space="preserve"> priorities and targets, and outlines responsibilities and accountability for suicide prevention outcomes consistent with the suicide prevention model outlined in this Strategy</w:t>
            </w:r>
            <w:r w:rsidR="7FFE7704" w:rsidRPr="00F833FC">
              <w:t>.</w:t>
            </w:r>
            <w:r w:rsidR="29D6181D" w:rsidRPr="00F833FC">
              <w:t xml:space="preserve"> Key components of this work include:</w:t>
            </w:r>
          </w:p>
          <w:p w14:paraId="07AE7402" w14:textId="2877D2AD" w:rsidR="00682A5B" w:rsidRPr="00F833FC" w:rsidRDefault="2C80F6C5" w:rsidP="00634A83">
            <w:pPr>
              <w:pStyle w:val="ListParagraph"/>
              <w:numPr>
                <w:ilvl w:val="1"/>
                <w:numId w:val="31"/>
              </w:numPr>
            </w:pPr>
            <w:r w:rsidRPr="00F833FC">
              <w:t>a</w:t>
            </w:r>
            <w:r w:rsidR="40C3D7D5" w:rsidRPr="00F833FC">
              <w:t>llocat</w:t>
            </w:r>
            <w:r w:rsidR="1D0E3BEF" w:rsidRPr="00F833FC">
              <w:t>ing</w:t>
            </w:r>
            <w:r w:rsidR="40C3D7D5" w:rsidRPr="00F833FC">
              <w:t xml:space="preserve"> s</w:t>
            </w:r>
            <w:r w:rsidR="00682A5B" w:rsidRPr="00F833FC">
              <w:t xml:space="preserve">ufficient funding and </w:t>
            </w:r>
            <w:r w:rsidR="09B35012" w:rsidRPr="00F833FC">
              <w:t>develop</w:t>
            </w:r>
            <w:r w:rsidR="7066DD38" w:rsidRPr="00F833FC">
              <w:t>ing</w:t>
            </w:r>
            <w:r w:rsidR="09B35012" w:rsidRPr="00F833FC">
              <w:t xml:space="preserve"> </w:t>
            </w:r>
            <w:r w:rsidR="00682A5B" w:rsidRPr="00F833FC">
              <w:t xml:space="preserve">appropriate funding models </w:t>
            </w:r>
            <w:r w:rsidR="3C80D9C5" w:rsidRPr="00F833FC">
              <w:t xml:space="preserve">to </w:t>
            </w:r>
            <w:r w:rsidR="3C80D9C5" w:rsidRPr="00F833FC">
              <w:rPr>
                <w:color w:val="231C24" w:themeColor="text1"/>
              </w:rPr>
              <w:t xml:space="preserve">improve </w:t>
            </w:r>
            <w:r w:rsidR="4D37E0F8" w:rsidRPr="00F833FC">
              <w:rPr>
                <w:color w:val="231C24" w:themeColor="text1"/>
              </w:rPr>
              <w:t>quality and outcomes</w:t>
            </w:r>
            <w:r w:rsidR="4B650F01" w:rsidRPr="00F833FC">
              <w:rPr>
                <w:color w:val="231C24" w:themeColor="text1"/>
              </w:rPr>
              <w:t>,</w:t>
            </w:r>
            <w:r w:rsidR="4D37E0F8" w:rsidRPr="00F833FC">
              <w:rPr>
                <w:color w:val="231C24" w:themeColor="text1"/>
              </w:rPr>
              <w:t xml:space="preserve"> </w:t>
            </w:r>
            <w:r w:rsidR="4ED93EF2" w:rsidRPr="003E535C">
              <w:rPr>
                <w:rFonts w:eastAsia="Century Gothic" w:cs="Calibri"/>
                <w:color w:val="231C24" w:themeColor="text1"/>
              </w:rPr>
              <w:t>facilitate effective cross-portfolio collaboration,</w:t>
            </w:r>
            <w:r w:rsidR="4ED93EF2" w:rsidRPr="00F833FC">
              <w:rPr>
                <w:rFonts w:ascii="Century Gothic" w:eastAsia="Century Gothic" w:hAnsi="Century Gothic" w:cs="Century Gothic"/>
                <w:color w:val="231C24" w:themeColor="text1"/>
              </w:rPr>
              <w:t xml:space="preserve"> </w:t>
            </w:r>
            <w:r w:rsidR="4D37E0F8" w:rsidRPr="00F833FC">
              <w:rPr>
                <w:color w:val="231C24" w:themeColor="text1"/>
              </w:rPr>
              <w:t>and</w:t>
            </w:r>
            <w:r w:rsidR="00682A5B" w:rsidRPr="00F833FC">
              <w:rPr>
                <w:color w:val="231C24" w:themeColor="text1"/>
              </w:rPr>
              <w:t xml:space="preserve"> reduce </w:t>
            </w:r>
            <w:r w:rsidR="00682A5B" w:rsidRPr="00F833FC">
              <w:t>funding duplication and gaps</w:t>
            </w:r>
          </w:p>
          <w:p w14:paraId="3EF73335" w14:textId="75BB2839" w:rsidR="00682A5B" w:rsidRPr="00F833FC" w:rsidRDefault="45B22F07" w:rsidP="00634A83">
            <w:pPr>
              <w:pStyle w:val="ListParagraph"/>
              <w:numPr>
                <w:ilvl w:val="1"/>
                <w:numId w:val="31"/>
              </w:numPr>
            </w:pPr>
            <w:r w:rsidRPr="00F833FC">
              <w:t>e</w:t>
            </w:r>
            <w:r w:rsidR="06B808EA" w:rsidRPr="00F833FC">
              <w:t>stablish</w:t>
            </w:r>
            <w:r w:rsidR="72D33C70" w:rsidRPr="00F833FC">
              <w:t>ing</w:t>
            </w:r>
            <w:r w:rsidR="00682A5B" w:rsidRPr="00F833FC">
              <w:t xml:space="preserve"> processes for </w:t>
            </w:r>
            <w:r w:rsidR="36DB966E" w:rsidRPr="00F833FC">
              <w:t xml:space="preserve">data </w:t>
            </w:r>
            <w:r w:rsidR="00682A5B" w:rsidRPr="00F833FC">
              <w:t xml:space="preserve">sharing between governments and portfolios </w:t>
            </w:r>
            <w:r w:rsidR="437C7E33" w:rsidRPr="00F833FC">
              <w:t xml:space="preserve">to support evidence-informed decision-making, for </w:t>
            </w:r>
            <w:r w:rsidR="00682A5B" w:rsidRPr="00F833FC">
              <w:t>surveillance, monitoring and reporting,</w:t>
            </w:r>
            <w:r w:rsidR="44C4EF9F" w:rsidRPr="00F833FC">
              <w:t xml:space="preserve"> </w:t>
            </w:r>
            <w:r w:rsidR="00682A5B" w:rsidRPr="00F833FC">
              <w:t>and improvement purposes</w:t>
            </w:r>
          </w:p>
          <w:p w14:paraId="341458FC" w14:textId="17E8329B" w:rsidR="52BB112C" w:rsidRPr="00F833FC" w:rsidRDefault="412B4B93" w:rsidP="00634A83">
            <w:pPr>
              <w:pStyle w:val="ListParagraph"/>
              <w:numPr>
                <w:ilvl w:val="1"/>
                <w:numId w:val="31"/>
              </w:numPr>
            </w:pPr>
            <w:r w:rsidRPr="00F833FC">
              <w:t>d</w:t>
            </w:r>
            <w:r w:rsidR="78B1E2D8" w:rsidRPr="00F833FC">
              <w:t>evelop</w:t>
            </w:r>
            <w:r w:rsidR="20E119BC" w:rsidRPr="00F833FC">
              <w:t>ing</w:t>
            </w:r>
            <w:r w:rsidR="78B1E2D8" w:rsidRPr="00F833FC">
              <w:t xml:space="preserve"> </w:t>
            </w:r>
            <w:r w:rsidR="5D30131A" w:rsidRPr="00F833FC">
              <w:t xml:space="preserve">an agreed set of </w:t>
            </w:r>
            <w:r w:rsidR="78B1E2D8" w:rsidRPr="00F833FC">
              <w:t>suicide prevention outcomes at national and jurisdictional levels, for all portfolios responsible for actions in this Strategy</w:t>
            </w:r>
          </w:p>
          <w:p w14:paraId="0336AEA6" w14:textId="4DBBDEE3" w:rsidR="00682A5B" w:rsidRPr="00F833FC" w:rsidRDefault="412B4B93" w:rsidP="00634A83">
            <w:pPr>
              <w:pStyle w:val="ListParagraph"/>
              <w:numPr>
                <w:ilvl w:val="1"/>
                <w:numId w:val="31"/>
              </w:numPr>
            </w:pPr>
            <w:r w:rsidRPr="00F833FC">
              <w:t>m</w:t>
            </w:r>
            <w:r w:rsidR="00682A5B" w:rsidRPr="00F833FC">
              <w:t>eaningful collaboration with people with lived and living experience of suicide</w:t>
            </w:r>
            <w:r w:rsidR="3604E82B" w:rsidRPr="00F833FC">
              <w:t xml:space="preserve"> in the planning, implementation and evaluation</w:t>
            </w:r>
            <w:r w:rsidR="5B137B43" w:rsidRPr="00F833FC">
              <w:t xml:space="preserve"> of national suicide prevention work</w:t>
            </w:r>
          </w:p>
          <w:p w14:paraId="40D9FCE9" w14:textId="3F917F58" w:rsidR="00B27D1F" w:rsidRPr="00F833FC" w:rsidRDefault="1D5F2BC1" w:rsidP="00B27D1F">
            <w:pPr>
              <w:pStyle w:val="ListParagraph"/>
              <w:numPr>
                <w:ilvl w:val="1"/>
                <w:numId w:val="31"/>
              </w:numPr>
            </w:pPr>
            <w:r w:rsidRPr="00F833FC">
              <w:t>s</w:t>
            </w:r>
            <w:r w:rsidR="430E32B8" w:rsidRPr="00F833FC">
              <w:t>trengthened p</w:t>
            </w:r>
            <w:r w:rsidR="36F3BB6C" w:rsidRPr="00F833FC">
              <w:t>artnerships and shared decision-making arrangements and structures between Aboriginal Community Controlled Organisations, Aboriginal Community-Controlled Health Organisations, governments, Aboriginal and Torres Strait Islander communities, and people</w:t>
            </w:r>
            <w:r w:rsidR="3C361506" w:rsidRPr="00F833FC">
              <w:t xml:space="preserve"> to progress</w:t>
            </w:r>
            <w:r w:rsidR="7F4582F9" w:rsidRPr="00F833FC">
              <w:t xml:space="preserve"> a national approach to suicide prevention</w:t>
            </w:r>
            <w:r w:rsidR="19EDFF77" w:rsidRPr="00F833FC">
              <w:t>.</w:t>
            </w:r>
          </w:p>
        </w:tc>
      </w:tr>
    </w:tbl>
    <w:p w14:paraId="7000FF83" w14:textId="63159A49" w:rsidR="00682A5B" w:rsidRPr="00B768A1" w:rsidRDefault="52DDB21D" w:rsidP="00634A83">
      <w:pPr>
        <w:pStyle w:val="Heading3"/>
      </w:pPr>
      <w:r w:rsidRPr="5B74CE65">
        <w:t>ce</w:t>
      </w:r>
      <w:r w:rsidR="003C5A8A">
        <w:t>1</w:t>
      </w:r>
      <w:r w:rsidR="00682A5B" w:rsidRPr="5B74CE65">
        <w:t>.3 Strengthen regional suicide prevention</w:t>
      </w:r>
    </w:p>
    <w:p w14:paraId="715729AA" w14:textId="4429307D" w:rsidR="00682A5B" w:rsidRPr="00B768A1" w:rsidRDefault="0B035017" w:rsidP="00634A83">
      <w:pPr>
        <w:rPr>
          <w:rFonts w:ascii="Century Gothic" w:eastAsia="Century Gothic" w:hAnsi="Century Gothic" w:cs="Century Gothic"/>
        </w:rPr>
      </w:pPr>
      <w:r>
        <w:t>A</w:t>
      </w:r>
      <w:r w:rsidR="3605BDAC" w:rsidRPr="00B768A1">
        <w:t xml:space="preserve">ny effort to create greater collaboration and accountability for suicide prevention in Australia </w:t>
      </w:r>
      <w:r w:rsidR="11C737DE">
        <w:t xml:space="preserve">should </w:t>
      </w:r>
      <w:r w:rsidR="3605BDAC" w:rsidRPr="00B768A1">
        <w:t xml:space="preserve">consider and strengthen regional activity. </w:t>
      </w:r>
      <w:r w:rsidR="4CF8BA8A">
        <w:t>P</w:t>
      </w:r>
      <w:r w:rsidR="3605BDAC" w:rsidRPr="00B768A1">
        <w:t>lace-based and community-led suicide prevention</w:t>
      </w:r>
      <w:r w:rsidR="1177DDCD">
        <w:t xml:space="preserve"> approaches</w:t>
      </w:r>
      <w:r w:rsidR="3605BDAC">
        <w:t xml:space="preserve"> </w:t>
      </w:r>
      <w:r w:rsidR="7903C43C" w:rsidRPr="00B768A1">
        <w:t>tailor</w:t>
      </w:r>
      <w:r w:rsidR="3605BDAC" w:rsidRPr="00B768A1">
        <w:t xml:space="preserve"> activities to meet local needs </w:t>
      </w:r>
      <w:r w:rsidR="656DAEB0">
        <w:t>and</w:t>
      </w:r>
      <w:r w:rsidR="104AAC16">
        <w:t xml:space="preserve"> </w:t>
      </w:r>
      <w:r w:rsidR="0037B7CD" w:rsidRPr="00B768A1">
        <w:t>en</w:t>
      </w:r>
      <w:r w:rsidR="3605BDAC" w:rsidRPr="00B768A1">
        <w:t>sure local suicide prevention is effective. They have been shown to reduce local suicide rates by 7%</w:t>
      </w:r>
      <w:r w:rsidR="6037B64A">
        <w:t>,</w:t>
      </w:r>
      <w:hyperlink w:anchor="_ENREF_308" w:tooltip="A, 2022 #1069" w:history="1">
        <w:r w:rsidR="002D6F18">
          <w:fldChar w:fldCharType="begin"/>
        </w:r>
        <w:r w:rsidR="002D6F18">
          <w:instrText xml:space="preserve"> ADDIN EN.CITE &lt;EndNote&gt;&lt;Cite&gt;&lt;Author&gt;A&lt;/Author&gt;&lt;Year&gt;2022&lt;/Year&gt;&lt;RecNum&gt;1069&lt;/RecNum&gt;&lt;DisplayText&gt;&lt;style face="superscript"&gt;308&lt;/style&gt;&lt;/DisplayText&gt;&lt;record&gt;&lt;rec-number&gt;1069&lt;/rec-number&gt;&lt;foreign-keys&gt;&lt;key app="EN" db-id="rsettzd2isasdweewww55s9lffasxav0d0ft" timestamp="1720491365" guid="a639dcf7-ea40-4c81-95b0-4ebfa81e5536"&gt;1069&lt;/key&gt;&lt;/foreign-keys&gt;&lt;ref-type name="Journal Article"&gt;17&lt;/ref-type&gt;&lt;contributors&gt;&lt;authors&gt;&lt;author&gt;Morgan A&lt;/author&gt;&lt;author&gt;Roberts R&lt;/author&gt;&lt;author&gt;Mackinnon A&lt;/author&gt;&lt;author&gt;Reifels L&lt;/author&gt;&lt;/authors&gt;&lt;/contributors&gt;&lt;titles&gt;&lt;title&gt;The effectiveness of an Australian community suicide prevention networks program in preventing suicide: a controlled longitudinal study&lt;/title&gt;&lt;secondary-title&gt;BMC Public Health&lt;/secondary-title&gt;&lt;/titles&gt;&lt;periodical&gt;&lt;full-title&gt;BMC Public Health&lt;/full-title&gt;&lt;/periodical&gt;&lt;volume&gt;22&lt;/volume&gt;&lt;dates&gt;&lt;year&gt;2022&lt;/year&gt;&lt;pub-dates&gt;&lt;date&gt;10/19&lt;/date&gt;&lt;/pub-dates&gt;&lt;/dates&gt;&lt;urls&gt;&lt;/urls&gt;&lt;electronic-resource-num&gt;10.1186/s12889-022-14331-1&lt;/electronic-resource-num&gt;&lt;/record&gt;&lt;/Cite&gt;&lt;/EndNote&gt;</w:instrText>
        </w:r>
        <w:r w:rsidR="002D6F18">
          <w:fldChar w:fldCharType="separate"/>
        </w:r>
        <w:r w:rsidR="002D6F18" w:rsidRPr="00C559B5">
          <w:rPr>
            <w:noProof/>
            <w:vertAlign w:val="superscript"/>
          </w:rPr>
          <w:t>308</w:t>
        </w:r>
        <w:r w:rsidR="002D6F18">
          <w:fldChar w:fldCharType="end"/>
        </w:r>
      </w:hyperlink>
      <w:r w:rsidR="00AE6FF1">
        <w:t xml:space="preserve"> </w:t>
      </w:r>
      <w:r w:rsidR="3605BDAC" w:rsidRPr="00B768A1">
        <w:t xml:space="preserve">and broader positive community impacts </w:t>
      </w:r>
      <w:r w:rsidR="4E028024" w:rsidRPr="00B768A1">
        <w:t xml:space="preserve">arise </w:t>
      </w:r>
      <w:r w:rsidR="3605BDAC" w:rsidRPr="00B768A1">
        <w:t>from the local planning, coordination and commissioning of suicide prevention services</w:t>
      </w:r>
      <w:hyperlink w:anchor="_ENREF_309" w:tooltip="KPMG, 2022 #434" w:history="1">
        <w:r w:rsidR="002D6F18">
          <w:fldChar w:fldCharType="begin"/>
        </w:r>
        <w:r w:rsidR="002D6F18">
          <w:instrText xml:space="preserve"> ADDIN EN.CITE &lt;EndNote&gt;&lt;Cite&gt;&lt;Author&gt;KPMG&lt;/Author&gt;&lt;Year&gt;2022&lt;/Year&gt;&lt;RecNum&gt;434&lt;/RecNum&gt;&lt;DisplayText&gt;&lt;style face="superscript"&gt;309&lt;/style&gt;&lt;/DisplayText&gt;&lt;record&gt;&lt;rec-number&gt;434&lt;/rec-number&gt;&lt;foreign-keys&gt;&lt;key app="EN" db-id="rsettzd2isasdweewww55s9lffasxav0d0ft" timestamp="1700699473" guid="ce692230-69e6-44bc-8411-d04883a320d5"&gt;434&lt;/key&gt;&lt;/foreign-keys&gt;&lt;ref-type name="Web Page"&gt;12&lt;/ref-type&gt;&lt;contributors&gt;&lt;authors&gt;&lt;author&gt;KPMG&lt;/author&gt;&lt;/authors&gt;&lt;/contributors&gt;&lt;titles&gt;&lt;title&gt;Analysis of Suicide Prevention Trials: Evaluation Findings, Discussion Paper&lt;/title&gt;&lt;/titles&gt;&lt;dates&gt;&lt;year&gt;2022&lt;/year&gt;&lt;/dates&gt;&lt;publisher&gt;Department of Health and Aged Care&lt;/publisher&gt;&lt;work-type&gt;Internet&lt;/work-type&gt;&lt;urls&gt;&lt;related-urls&gt;&lt;url&gt;https://www.health.gov.au/resources/publications/analysis-of-suicide-prevention-trials-evaluation-findings-discussion-paper&lt;/url&gt;&lt;/related-urls&gt;&lt;/urls&gt;&lt;custom1&gt;2023&lt;/custom1&gt;&lt;custom2&gt;November 05&lt;/custom2&gt;&lt;/record&gt;&lt;/Cite&gt;&lt;/EndNote&gt;</w:instrText>
        </w:r>
        <w:r w:rsidR="002D6F18">
          <w:fldChar w:fldCharType="separate"/>
        </w:r>
        <w:r w:rsidR="002D6F18" w:rsidRPr="00C559B5">
          <w:rPr>
            <w:noProof/>
            <w:vertAlign w:val="superscript"/>
          </w:rPr>
          <w:t>309</w:t>
        </w:r>
        <w:r w:rsidR="002D6F18">
          <w:fldChar w:fldCharType="end"/>
        </w:r>
      </w:hyperlink>
      <w:r w:rsidR="00AE6FF1">
        <w:t xml:space="preserve"> </w:t>
      </w:r>
      <w:r w:rsidR="66202A86" w:rsidRPr="00B768A1">
        <w:t>(action ce1.</w:t>
      </w:r>
      <w:r w:rsidR="66202A86">
        <w:t>3a</w:t>
      </w:r>
      <w:r w:rsidR="66202A86" w:rsidRPr="00B768A1">
        <w:t xml:space="preserve">). </w:t>
      </w:r>
      <w:r w:rsidR="3605BDAC" w:rsidRPr="00B768A1">
        <w:t xml:space="preserve">The </w:t>
      </w:r>
      <w:r w:rsidR="3605BDAC" w:rsidRPr="48215A0F">
        <w:rPr>
          <w:i/>
          <w:iCs/>
        </w:rPr>
        <w:t>National Agreement on Closing the Gap</w:t>
      </w:r>
      <w:r w:rsidR="3605BDAC" w:rsidRPr="00B768A1">
        <w:t xml:space="preserve"> emphasises the importance of community-specific, community-led and placed-based approaches in addressing Aboriginal and Torres Strait Islander suicide,</w:t>
      </w:r>
      <w:hyperlink w:anchor="_ENREF_33" w:tooltip="Cabinet, 2020 #787" w:history="1">
        <w:r w:rsidR="002D6F18">
          <w:fldChar w:fldCharType="begin"/>
        </w:r>
        <w:r w:rsidR="002D6F18">
          <w:instrText xml:space="preserve"> ADDIN EN.CITE &lt;EndNote&gt;&lt;Cite&gt;&lt;Author&gt;Cabinet&lt;/Author&gt;&lt;Year&gt;2020&lt;/Year&gt;&lt;RecNum&gt;326&lt;/RecNum&gt;&lt;DisplayText&gt;&lt;style face="superscript"&gt;33&lt;/style&gt;&lt;/DisplayText&gt;&lt;record&gt;&lt;rec-number&gt;326&lt;/rec-number&gt;&lt;foreign-keys&gt;&lt;key app="EN" db-id="rsettzd2isasdweewww55s9lffasxav0d0ft" timestamp="1700699471" guid="a4238ffb-d198-47d8-82bc-b107f32af72a"&gt;326&lt;/key&gt;&lt;/foreign-keys&gt;&lt;ref-type name="Web Page"&gt;12&lt;/ref-type&gt;&lt;contributors&gt;&lt;authors&gt;&lt;author&gt;Department of the Prime Minister and Cabinet&lt;/author&gt;&lt;/authors&gt;&lt;/contributors&gt;&lt;titles&gt;&lt;title&gt;National Agreement on Closing the Gap&lt;/title&gt;&lt;/titles&gt;&lt;dates&gt;&lt;year&gt;2020&lt;/year&gt;&lt;/dates&gt;&lt;pub-location&gt;Canberra, Australian Capital Territory&lt;/pub-location&gt;&lt;publisher&gt;PM&amp;amp;C&lt;/publisher&gt;&lt;work-type&gt;Internet&lt;/work-type&gt;&lt;urls&gt;&lt;related-urls&gt;&lt;url&gt;https://www.closingthegap.gov.au/national-agreement&lt;/url&gt;&lt;/related-urls&gt;&lt;/urls&gt;&lt;custom1&gt;2023&lt;/custom1&gt;&lt;custom2&gt;October 04&lt;/custom2&gt;&lt;/record&gt;&lt;/Cite&gt;&lt;/EndNote&gt;</w:instrText>
        </w:r>
        <w:r w:rsidR="002D6F18">
          <w:fldChar w:fldCharType="separate"/>
        </w:r>
        <w:r w:rsidR="002D6F18" w:rsidRPr="0082082D">
          <w:rPr>
            <w:noProof/>
            <w:vertAlign w:val="superscript"/>
          </w:rPr>
          <w:t>33</w:t>
        </w:r>
        <w:r w:rsidR="002D6F18">
          <w:fldChar w:fldCharType="end"/>
        </w:r>
      </w:hyperlink>
      <w:r w:rsidR="00AE6FF1">
        <w:t xml:space="preserve"> </w:t>
      </w:r>
      <w:r w:rsidR="3605BDAC" w:rsidRPr="00B768A1">
        <w:t>providing</w:t>
      </w:r>
      <w:r w:rsidR="3605BDAC">
        <w:t xml:space="preserve"> </w:t>
      </w:r>
      <w:r w:rsidR="5E0501AA">
        <w:t>mechanisms</w:t>
      </w:r>
      <w:r w:rsidR="3605BDAC" w:rsidRPr="00B768A1">
        <w:t xml:space="preserve"> for empowering self-determination of local Aboriginal and Torres Strait Islander communities.</w:t>
      </w:r>
      <w:r w:rsidR="7BE316F7" w:rsidRPr="00B91915">
        <w:rPr>
          <w:rFonts w:eastAsia="Century Gothic"/>
        </w:rPr>
        <w:t xml:space="preserve"> The importance of Aboriginal</w:t>
      </w:r>
      <w:r w:rsidR="14CF3E1E">
        <w:rPr>
          <w:rFonts w:eastAsia="Century Gothic"/>
        </w:rPr>
        <w:t>-led</w:t>
      </w:r>
      <w:r w:rsidR="7BE316F7" w:rsidRPr="00B91915">
        <w:rPr>
          <w:rFonts w:eastAsia="Century Gothic"/>
        </w:rPr>
        <w:t xml:space="preserve"> and Torres Strait Islander-led</w:t>
      </w:r>
      <w:r w:rsidR="22E67631" w:rsidRPr="00B768A1">
        <w:t>,</w:t>
      </w:r>
      <w:r w:rsidR="7BE316F7" w:rsidRPr="00B91915">
        <w:rPr>
          <w:rFonts w:eastAsia="Century Gothic"/>
        </w:rPr>
        <w:t xml:space="preserve"> community-specific</w:t>
      </w:r>
      <w:r w:rsidR="22E67631" w:rsidRPr="00B768A1">
        <w:t>,</w:t>
      </w:r>
      <w:r w:rsidR="7BE316F7" w:rsidRPr="00321AFA">
        <w:rPr>
          <w:rFonts w:eastAsia="Century Gothic"/>
        </w:rPr>
        <w:t xml:space="preserve"> and place</w:t>
      </w:r>
      <w:r w:rsidR="162E17C4" w:rsidRPr="00321AFA">
        <w:rPr>
          <w:rFonts w:eastAsia="Century Gothic"/>
        </w:rPr>
        <w:t>-</w:t>
      </w:r>
      <w:r w:rsidR="7BE316F7" w:rsidRPr="00321AFA">
        <w:rPr>
          <w:rFonts w:eastAsia="Century Gothic"/>
        </w:rPr>
        <w:t xml:space="preserve">based responses are core principles of the </w:t>
      </w:r>
      <w:r w:rsidR="7BE316F7" w:rsidRPr="48215A0F">
        <w:rPr>
          <w:rFonts w:eastAsia="Century Gothic"/>
          <w:i/>
          <w:iCs/>
        </w:rPr>
        <w:t>National Aboriginal and Torres Strait Islander Suicide Prevention Strategy</w:t>
      </w:r>
      <w:r w:rsidR="68D9D79A" w:rsidRPr="00321AFA">
        <w:rPr>
          <w:rFonts w:eastAsia="Century Gothic"/>
        </w:rPr>
        <w:t>.</w:t>
      </w:r>
    </w:p>
    <w:p w14:paraId="46F7FE55" w14:textId="4F12B1A6" w:rsidR="001C5773" w:rsidRPr="00B768A1" w:rsidRDefault="001C5773" w:rsidP="00634A83">
      <w:pPr>
        <w:pStyle w:val="BT-Beigebox-Heading"/>
      </w:pPr>
      <w:r w:rsidRPr="00B768A1">
        <w:t>Activit</w:t>
      </w:r>
      <w:r w:rsidR="5B945902" w:rsidRPr="00B768A1">
        <w:t>y</w:t>
      </w:r>
      <w:r w:rsidRPr="00B768A1">
        <w:t xml:space="preserve"> to build on</w:t>
      </w:r>
    </w:p>
    <w:p w14:paraId="26844AE9" w14:textId="578FE34E" w:rsidR="001C5773" w:rsidRPr="00F833FC" w:rsidRDefault="3DB9D741" w:rsidP="00634A83">
      <w:pPr>
        <w:pStyle w:val="BT-Beigebox"/>
        <w:rPr>
          <w:vertAlign w:val="superscript"/>
          <w:lang w:eastAsia="en-US"/>
        </w:rPr>
      </w:pPr>
      <w:r w:rsidRPr="00F833FC">
        <w:rPr>
          <w:lang w:eastAsia="en-US"/>
        </w:rPr>
        <w:t>The National Suicide Prevention Trial 2016</w:t>
      </w:r>
      <w:r w:rsidR="63DEA214" w:rsidRPr="00F833FC">
        <w:rPr>
          <w:lang w:eastAsia="en-US"/>
        </w:rPr>
        <w:t>–</w:t>
      </w:r>
      <w:r w:rsidRPr="00F833FC">
        <w:rPr>
          <w:lang w:eastAsia="en-US"/>
        </w:rPr>
        <w:t xml:space="preserve">2021 </w:t>
      </w:r>
      <w:r w:rsidR="4C4164E6" w:rsidRPr="00F833FC">
        <w:rPr>
          <w:lang w:eastAsia="en-US"/>
        </w:rPr>
        <w:t xml:space="preserve">funded 11 primary health networks, across </w:t>
      </w:r>
      <w:r w:rsidRPr="00F833FC">
        <w:rPr>
          <w:lang w:eastAsia="en-US"/>
        </w:rPr>
        <w:t>12 regional areas</w:t>
      </w:r>
      <w:r w:rsidR="4C4164E6" w:rsidRPr="00F833FC">
        <w:rPr>
          <w:lang w:eastAsia="en-US"/>
        </w:rPr>
        <w:t>,</w:t>
      </w:r>
      <w:r w:rsidRPr="00F833FC">
        <w:rPr>
          <w:lang w:eastAsia="en-US"/>
        </w:rPr>
        <w:t xml:space="preserve"> to develop and implement a systems-based approach to suicide prevention at a local level for at-risk populations.</w:t>
      </w:r>
      <w:hyperlink w:anchor="_ENREF_310" w:tooltip="Care, 2023 #1099" w:history="1">
        <w:r w:rsidR="002D6F18">
          <w:rPr>
            <w:lang w:eastAsia="en-US"/>
          </w:rPr>
          <w:fldChar w:fldCharType="begin"/>
        </w:r>
        <w:r w:rsidR="002D6F18">
          <w:rPr>
            <w:lang w:eastAsia="en-US"/>
          </w:rPr>
          <w:instrText xml:space="preserve"> ADDIN EN.CITE &lt;EndNote&gt;&lt;Cite&gt;&lt;Author&gt;Care&lt;/Author&gt;&lt;Year&gt;2023&lt;/Year&gt;&lt;RecNum&gt;1099&lt;/RecNum&gt;&lt;DisplayText&gt;&lt;style face="superscript"&gt;310&lt;/style&gt;&lt;/DisplayText&gt;&lt;record&gt;&lt;rec-number&gt;1099&lt;/rec-number&gt;&lt;foreign-keys&gt;&lt;key app="EN" db-id="rsettzd2isasdweewww55s9lffasxav0d0ft" timestamp="1720503427" guid="3e3b5a98-9664-40d1-9f56-7b78994f9b6b"&gt;1099&lt;/key&gt;&lt;/foreign-keys&gt;&lt;ref-type name="Web Page"&gt;12&lt;/ref-type&gt;&lt;contributors&gt;&lt;authors&gt;&lt;author&gt;Department of Health and Aged Care&lt;/author&gt;&lt;/authors&gt;&lt;/contributors&gt;&lt;titles&gt;&lt;title&gt;National Suicide Prevention Trial&lt;/title&gt;&lt;/titles&gt;&lt;dates&gt;&lt;year&gt;2023&lt;/year&gt;&lt;/dates&gt;&lt;publisher&gt;DOHAC, Australian Government&lt;/publisher&gt;&lt;work-type&gt;Internet&lt;/work-type&gt;&lt;urls&gt;&lt;related-urls&gt;&lt;url&gt;https://www.health.gov.au/our-work/national-suicide-prevention-trial&lt;/url&gt;&lt;/related-urls&gt;&lt;/urls&gt;&lt;custom1&gt;2024&lt;/custom1&gt;&lt;custom2&gt;March 06&lt;/custom2&gt;&lt;/record&gt;&lt;/Cite&gt;&lt;/EndNote&gt;</w:instrText>
        </w:r>
        <w:r w:rsidR="002D6F18">
          <w:rPr>
            <w:lang w:eastAsia="en-US"/>
          </w:rPr>
          <w:fldChar w:fldCharType="separate"/>
        </w:r>
        <w:r w:rsidR="002D6F18" w:rsidRPr="00C559B5">
          <w:rPr>
            <w:noProof/>
            <w:vertAlign w:val="superscript"/>
            <w:lang w:eastAsia="en-US"/>
          </w:rPr>
          <w:t>310</w:t>
        </w:r>
        <w:r w:rsidR="002D6F18">
          <w:rPr>
            <w:lang w:eastAsia="en-US"/>
          </w:rPr>
          <w:fldChar w:fldCharType="end"/>
        </w:r>
      </w:hyperlink>
      <w:r w:rsidR="00AE6FF1">
        <w:rPr>
          <w:lang w:eastAsia="en-US"/>
        </w:rPr>
        <w:t xml:space="preserve"> </w:t>
      </w:r>
      <w:r w:rsidR="22D1D992" w:rsidRPr="00F833FC">
        <w:rPr>
          <w:lang w:eastAsia="en-US"/>
        </w:rPr>
        <w:t>The evaluation report of the trial identified that strengthened regional suicide prevention requires the inclusion of local governments as a partner, dedicated res</w:t>
      </w:r>
      <w:r w:rsidR="16A032F8" w:rsidRPr="00F833FC">
        <w:rPr>
          <w:lang w:eastAsia="en-US"/>
        </w:rPr>
        <w:t>ources to develop partnerships and networks, and support to take a long-term perspective to suicide prevention, with regular monitoring and reporting</w:t>
      </w:r>
      <w:r w:rsidR="010F46C0" w:rsidRPr="00F833FC">
        <w:rPr>
          <w:lang w:eastAsia="en-US"/>
        </w:rPr>
        <w:t xml:space="preserve"> to allow for continuous improvement of commissioned services.</w:t>
      </w:r>
      <w:hyperlink w:anchor="_ENREF_311" w:tooltip="Care, 2021 #1100" w:history="1">
        <w:r w:rsidR="002D6F18" w:rsidRPr="00AE6FF1">
          <w:rPr>
            <w:vertAlign w:val="superscript"/>
            <w:lang w:eastAsia="en-US"/>
          </w:rPr>
          <w:fldChar w:fldCharType="begin"/>
        </w:r>
        <w:r w:rsidR="002D6F18">
          <w:rPr>
            <w:vertAlign w:val="superscript"/>
            <w:lang w:eastAsia="en-US"/>
          </w:rPr>
          <w:instrText xml:space="preserve"> ADDIN EN.CITE &lt;EndNote&gt;&lt;Cite&gt;&lt;Author&gt;Care&lt;/Author&gt;&lt;Year&gt;2021&lt;/Year&gt;&lt;RecNum&gt;1100&lt;/RecNum&gt;&lt;DisplayText&gt;&lt;style face="superscript"&gt;311&lt;/style&gt;&lt;/DisplayText&gt;&lt;record&gt;&lt;rec-number&gt;1100&lt;/rec-number&gt;&lt;foreign-keys&gt;&lt;key app="EN" db-id="rsettzd2isasdweewww55s9lffasxav0d0ft" timestamp="1720503494" guid="03934ce4-b4ae-4717-8854-0815c6382633"&gt;1100&lt;/key&gt;&lt;/foreign-keys&gt;&lt;ref-type name="Web Page"&gt;12&lt;/ref-type&gt;&lt;contributors&gt;&lt;authors&gt;&lt;author&gt;Department of Health and Aged Care&lt;/author&gt;&lt;/authors&gt;&lt;/contributors&gt;&lt;titles&gt;&lt;title&gt;National Suicide Prevention Trial: final evaluation report. &lt;/title&gt;&lt;/titles&gt;&lt;dates&gt;&lt;year&gt;2021&lt;/year&gt;&lt;/dates&gt;&lt;publisher&gt;DOHAC, Australian Government&lt;/publisher&gt;&lt;work-type&gt;Internet&lt;/work-type&gt;&lt;urls&gt;&lt;related-urls&gt;&lt;url&gt;https://www.health.gov.au/resources/publications/national-suicide-prevention-trial-final-evaluation-report?language=en&lt;/url&gt;&lt;/related-urls&gt;&lt;/urls&gt;&lt;custom1&gt;2024&lt;/custom1&gt;&lt;custom2&gt;March 06&lt;/custom2&gt;&lt;/record&gt;&lt;/Cite&gt;&lt;/EndNote&gt;</w:instrText>
        </w:r>
        <w:r w:rsidR="002D6F18" w:rsidRPr="00AE6FF1">
          <w:rPr>
            <w:vertAlign w:val="superscript"/>
            <w:lang w:eastAsia="en-US"/>
          </w:rPr>
          <w:fldChar w:fldCharType="separate"/>
        </w:r>
        <w:r w:rsidR="002D6F18">
          <w:rPr>
            <w:noProof/>
            <w:vertAlign w:val="superscript"/>
            <w:lang w:eastAsia="en-US"/>
          </w:rPr>
          <w:t>311</w:t>
        </w:r>
        <w:r w:rsidR="002D6F18" w:rsidRPr="00AE6FF1">
          <w:rPr>
            <w:vertAlign w:val="superscript"/>
            <w:lang w:eastAsia="en-US"/>
          </w:rPr>
          <w:fldChar w:fldCharType="end"/>
        </w:r>
      </w:hyperlink>
      <w:r w:rsidR="00AE6FF1" w:rsidRPr="00AE6FF1">
        <w:rPr>
          <w:vertAlign w:val="superscript"/>
          <w:lang w:eastAsia="en-US"/>
        </w:rPr>
        <w:t>,</w:t>
      </w:r>
      <w:hyperlink w:anchor="_ENREF_312" w:tooltip="Care, 2022 #1101" w:history="1">
        <w:r w:rsidR="002D6F18" w:rsidRPr="00AE6FF1">
          <w:rPr>
            <w:vertAlign w:val="superscript"/>
            <w:lang w:eastAsia="en-US"/>
          </w:rPr>
          <w:fldChar w:fldCharType="begin"/>
        </w:r>
        <w:r w:rsidR="002D6F18">
          <w:rPr>
            <w:vertAlign w:val="superscript"/>
            <w:lang w:eastAsia="en-US"/>
          </w:rPr>
          <w:instrText xml:space="preserve"> ADDIN EN.CITE &lt;EndNote&gt;&lt;Cite&gt;&lt;Author&gt;Care&lt;/Author&gt;&lt;Year&gt;2022&lt;/Year&gt;&lt;RecNum&gt;1101&lt;/RecNum&gt;&lt;DisplayText&gt;&lt;style face="superscript"&gt;312&lt;/style&gt;&lt;/DisplayText&gt;&lt;record&gt;&lt;rec-number&gt;1101&lt;/rec-number&gt;&lt;foreign-keys&gt;&lt;key app="EN" db-id="rsettzd2isasdweewww55s9lffasxav0d0ft" timestamp="1720503571" guid="c3297743-5468-4380-ba90-32f5676e6607"&gt;1101&lt;/key&gt;&lt;/foreign-keys&gt;&lt;ref-type name="Web Page"&gt;12&lt;/ref-type&gt;&lt;contributors&gt;&lt;authors&gt;&lt;author&gt;Department of Health and Aged Care&lt;/author&gt;&lt;/authors&gt;&lt;/contributors&gt;&lt;titles&gt;&lt;title&gt;Analysis of suicide prevention trials evaluation findings: discussion paper&lt;/title&gt;&lt;/titles&gt;&lt;dates&gt;&lt;year&gt;2022&lt;/year&gt;&lt;/dates&gt;&lt;publisher&gt;DOHAC, Australian Government&lt;/publisher&gt;&lt;work-type&gt;Internet &lt;/work-type&gt;&lt;urls&gt;&lt;related-urls&gt;&lt;url&gt;https://www.health.gov.au/resources/publications/analysis-of-suicide-prevention-trials-evaluation-findings-discussion-paper?language=en&lt;/url&gt;&lt;/related-urls&gt;&lt;/urls&gt;&lt;custom1&gt;2024&lt;/custom1&gt;&lt;custom2&gt;March 06&lt;/custom2&gt;&lt;/record&gt;&lt;/Cite&gt;&lt;/EndNote&gt;</w:instrText>
        </w:r>
        <w:r w:rsidR="002D6F18" w:rsidRPr="00AE6FF1">
          <w:rPr>
            <w:vertAlign w:val="superscript"/>
            <w:lang w:eastAsia="en-US"/>
          </w:rPr>
          <w:fldChar w:fldCharType="separate"/>
        </w:r>
        <w:r w:rsidR="002D6F18">
          <w:rPr>
            <w:noProof/>
            <w:vertAlign w:val="superscript"/>
            <w:lang w:eastAsia="en-US"/>
          </w:rPr>
          <w:t>312</w:t>
        </w:r>
        <w:r w:rsidR="002D6F18" w:rsidRPr="00AE6FF1">
          <w:rPr>
            <w:vertAlign w:val="superscript"/>
            <w:lang w:eastAsia="en-US"/>
          </w:rPr>
          <w:fldChar w:fldCharType="end"/>
        </w:r>
      </w:hyperlink>
    </w:p>
    <w:p w14:paraId="7077CD32" w14:textId="53E570B7" w:rsidR="001C5773" w:rsidRPr="00B768A1" w:rsidRDefault="001C5773" w:rsidP="00634A83">
      <w:pPr>
        <w:pStyle w:val="BT-Beigebox"/>
        <w:rPr>
          <w:lang w:eastAsia="en-US"/>
        </w:rPr>
      </w:pPr>
      <w:r w:rsidRPr="00B768A1">
        <w:rPr>
          <w:lang w:eastAsia="en-US"/>
        </w:rPr>
        <w:t xml:space="preserve">The Culture Care Connect </w:t>
      </w:r>
      <w:r w:rsidR="56366A3E" w:rsidRPr="00B768A1">
        <w:rPr>
          <w:lang w:eastAsia="en-US"/>
        </w:rPr>
        <w:t xml:space="preserve">is a national, community-based </w:t>
      </w:r>
      <w:r w:rsidR="00755DDD" w:rsidRPr="00B768A1">
        <w:rPr>
          <w:lang w:eastAsia="en-US"/>
        </w:rPr>
        <w:t>p</w:t>
      </w:r>
      <w:r w:rsidRPr="00B768A1">
        <w:rPr>
          <w:lang w:eastAsia="en-US"/>
        </w:rPr>
        <w:t>rogram, coordinated by</w:t>
      </w:r>
      <w:r w:rsidR="00CA7E65" w:rsidRPr="00B768A1">
        <w:rPr>
          <w:lang w:eastAsia="en-US"/>
        </w:rPr>
        <w:t xml:space="preserve"> the</w:t>
      </w:r>
      <w:r w:rsidRPr="00B768A1">
        <w:rPr>
          <w:lang w:eastAsia="en-US"/>
        </w:rPr>
        <w:t xml:space="preserve"> </w:t>
      </w:r>
      <w:r w:rsidR="46184258" w:rsidRPr="00B768A1">
        <w:rPr>
          <w:lang w:eastAsia="en-US"/>
        </w:rPr>
        <w:t>National Aboriginal Community Controlled Health Organisation (NACCHO). The program</w:t>
      </w:r>
      <w:r w:rsidR="3D7D899F" w:rsidRPr="00B768A1">
        <w:rPr>
          <w:lang w:eastAsia="en-US"/>
        </w:rPr>
        <w:t xml:space="preserve"> </w:t>
      </w:r>
      <w:r w:rsidR="2CAFB658" w:rsidRPr="00B768A1">
        <w:rPr>
          <w:lang w:eastAsia="en-US"/>
        </w:rPr>
        <w:t>s</w:t>
      </w:r>
      <w:r w:rsidR="1608D644" w:rsidRPr="00B768A1">
        <w:rPr>
          <w:lang w:eastAsia="en-US"/>
        </w:rPr>
        <w:t>upports</w:t>
      </w:r>
      <w:r w:rsidRPr="00B768A1">
        <w:rPr>
          <w:lang w:eastAsia="en-US"/>
        </w:rPr>
        <w:t xml:space="preserve"> integrate</w:t>
      </w:r>
      <w:r w:rsidR="2E8F0767" w:rsidRPr="00B768A1">
        <w:rPr>
          <w:lang w:eastAsia="en-US"/>
        </w:rPr>
        <w:t>d</w:t>
      </w:r>
      <w:r w:rsidRPr="00B768A1">
        <w:rPr>
          <w:lang w:eastAsia="en-US"/>
        </w:rPr>
        <w:t xml:space="preserve"> suicide prevention planning and culturally safe response activity, whil</w:t>
      </w:r>
      <w:r w:rsidR="00B318BD" w:rsidRPr="00B768A1">
        <w:rPr>
          <w:lang w:eastAsia="en-US"/>
        </w:rPr>
        <w:t>e</w:t>
      </w:r>
      <w:r w:rsidRPr="00B768A1">
        <w:rPr>
          <w:lang w:eastAsia="en-US"/>
        </w:rPr>
        <w:t xml:space="preserve"> building a sustainable and supported workforce. </w:t>
      </w:r>
      <w:r w:rsidR="1EEA5CE7" w:rsidRPr="00B768A1">
        <w:rPr>
          <w:lang w:eastAsia="en-US"/>
        </w:rPr>
        <w:t xml:space="preserve">The program </w:t>
      </w:r>
      <w:r w:rsidRPr="00B768A1">
        <w:rPr>
          <w:lang w:eastAsia="en-US"/>
        </w:rPr>
        <w:t xml:space="preserve">aims to bring together </w:t>
      </w:r>
      <w:r w:rsidR="00780742" w:rsidRPr="00B768A1">
        <w:rPr>
          <w:lang w:eastAsia="en-US"/>
        </w:rPr>
        <w:t>c</w:t>
      </w:r>
      <w:r w:rsidRPr="00B768A1">
        <w:rPr>
          <w:lang w:eastAsia="en-US"/>
        </w:rPr>
        <w:t>ommunity leaders, local organisations and services to plan and coordinate suicide prevention activity that meets the unique needs of communities in an integrated and holistic manner.</w:t>
      </w:r>
    </w:p>
    <w:p w14:paraId="65A4076F" w14:textId="35395580" w:rsidR="00997306" w:rsidRDefault="477ADD9B" w:rsidP="00997306">
      <w:r>
        <w:t>In m</w:t>
      </w:r>
      <w:r w:rsidR="00682A5B">
        <w:t xml:space="preserve">any </w:t>
      </w:r>
      <w:r w:rsidR="485DFC7F">
        <w:t>regional settings</w:t>
      </w:r>
      <w:r w:rsidR="56AA4C26">
        <w:t>,</w:t>
      </w:r>
      <w:r w:rsidR="00682A5B">
        <w:t xml:space="preserve"> the components required to </w:t>
      </w:r>
      <w:r w:rsidR="639815BF">
        <w:t>implement a col</w:t>
      </w:r>
      <w:r w:rsidR="567C1FB4">
        <w:t>l</w:t>
      </w:r>
      <w:r w:rsidR="639815BF">
        <w:t xml:space="preserve">aborative approach to suicide prevention </w:t>
      </w:r>
      <w:r w:rsidR="00682A5B">
        <w:t xml:space="preserve">are already in place, such as the joint planning between </w:t>
      </w:r>
      <w:r w:rsidR="00E00C08">
        <w:t xml:space="preserve">primary health networks </w:t>
      </w:r>
      <w:r w:rsidR="00682A5B">
        <w:t xml:space="preserve">and </w:t>
      </w:r>
      <w:r w:rsidR="00E00C08">
        <w:t xml:space="preserve">local </w:t>
      </w:r>
      <w:r w:rsidR="00EF2093">
        <w:t>hospital</w:t>
      </w:r>
      <w:r w:rsidR="00E00C08">
        <w:t xml:space="preserve"> networks</w:t>
      </w:r>
      <w:r w:rsidR="00682A5B">
        <w:t xml:space="preserve">, as well as Aboriginal Community Controlled Organisations. This could be </w:t>
      </w:r>
      <w:r w:rsidR="00F33156">
        <w:t>enhanced</w:t>
      </w:r>
      <w:r w:rsidR="00682A5B">
        <w:t xml:space="preserve"> through involvement of local government partners, increasing links to communities and community organisations beyond </w:t>
      </w:r>
      <w:r w:rsidR="00553812">
        <w:t xml:space="preserve">those that are </w:t>
      </w:r>
      <w:r w:rsidR="00682A5B">
        <w:t xml:space="preserve">health-based. </w:t>
      </w:r>
      <w:r w:rsidR="00F4048C">
        <w:t>Funding arrangements</w:t>
      </w:r>
      <w:r w:rsidR="00682A5B">
        <w:t xml:space="preserve"> should aim to provide greater continuity of services and include key performance indicators to allow for monitoring and improvement of services. </w:t>
      </w:r>
      <w:r w:rsidR="6CA6638A">
        <w:t>More</w:t>
      </w:r>
      <w:r w:rsidR="00682A5B">
        <w:t xml:space="preserve"> resourc</w:t>
      </w:r>
      <w:r w:rsidR="7BD1EB99">
        <w:t>es</w:t>
      </w:r>
      <w:r w:rsidR="7D6D8A0B">
        <w:t xml:space="preserve"> will be</w:t>
      </w:r>
      <w:r w:rsidR="7BD1EB99">
        <w:t xml:space="preserve"> </w:t>
      </w:r>
      <w:r w:rsidR="00682A5B">
        <w:t>required</w:t>
      </w:r>
      <w:r w:rsidR="000F63EF">
        <w:t xml:space="preserve"> for regional suicide prevention planning and coordination</w:t>
      </w:r>
      <w:r w:rsidR="00682A5B">
        <w:t xml:space="preserve"> </w:t>
      </w:r>
      <w:r w:rsidR="00E14FF8">
        <w:t xml:space="preserve">roles </w:t>
      </w:r>
      <w:r w:rsidR="00682A5B">
        <w:t xml:space="preserve">to </w:t>
      </w:r>
      <w:r w:rsidR="05728EC8">
        <w:t xml:space="preserve">successfully </w:t>
      </w:r>
      <w:r w:rsidR="00682A5B">
        <w:t xml:space="preserve">engage with regional stakeholders and people with lived and living experience of suicide, and to establish networks, coordinate planning, and </w:t>
      </w:r>
      <w:r w:rsidR="33F8979B">
        <w:t>organise</w:t>
      </w:r>
      <w:r w:rsidR="00682A5B">
        <w:t xml:space="preserve"> </w:t>
      </w:r>
      <w:r>
        <w:t>activity</w:t>
      </w:r>
      <w:r w:rsidR="00FE7DB5">
        <w:t xml:space="preserve"> across the full range of suicide prevention activities </w:t>
      </w:r>
      <w:r w:rsidR="006C58CB">
        <w:t>identified in this Strategy</w:t>
      </w:r>
      <w:r w:rsidR="2F340473">
        <w:t xml:space="preserve">. </w:t>
      </w:r>
      <w:bookmarkStart w:id="153" w:name="_Hlk162249158"/>
    </w:p>
    <w:p w14:paraId="0D5815B1" w14:textId="2300E05C" w:rsidR="00997306" w:rsidRDefault="00030575" w:rsidP="00997306">
      <w:pPr>
        <w:rPr>
          <w:bCs/>
        </w:rPr>
      </w:pPr>
      <w:r w:rsidRPr="00997306">
        <w:rPr>
          <w:bCs/>
          <w:iCs/>
        </w:rPr>
        <w:t xml:space="preserve">The recommended action to </w:t>
      </w:r>
      <w:r w:rsidR="00AE1D19" w:rsidRPr="00997306">
        <w:rPr>
          <w:bCs/>
          <w:iCs/>
        </w:rPr>
        <w:t xml:space="preserve">strengthen regional suicide prevention </w:t>
      </w:r>
      <w:r w:rsidRPr="00997306">
        <w:rPr>
          <w:bCs/>
          <w:iCs/>
        </w:rPr>
        <w:t xml:space="preserve">is described </w:t>
      </w:r>
      <w:r w:rsidR="006A25AC">
        <w:rPr>
          <w:bCs/>
          <w:iCs/>
        </w:rPr>
        <w:t xml:space="preserve">in </w:t>
      </w:r>
      <w:r w:rsidR="00F04C6C" w:rsidRPr="00997306">
        <w:rPr>
          <w:bCs/>
          <w:iCs/>
        </w:rPr>
        <w:fldChar w:fldCharType="begin"/>
      </w:r>
      <w:r w:rsidR="00F04C6C" w:rsidRPr="00997306">
        <w:rPr>
          <w:bCs/>
          <w:iCs/>
        </w:rPr>
        <w:instrText xml:space="preserve"> REF _Ref162248310 \h </w:instrText>
      </w:r>
      <w:r w:rsidR="00997306" w:rsidRPr="00997306">
        <w:rPr>
          <w:bCs/>
          <w:iCs/>
        </w:rPr>
        <w:instrText xml:space="preserve"> \* MERGEFORMAT </w:instrText>
      </w:r>
      <w:r w:rsidR="00F04C6C" w:rsidRPr="00997306">
        <w:rPr>
          <w:bCs/>
          <w:iCs/>
        </w:rPr>
      </w:r>
      <w:r w:rsidR="00F04C6C" w:rsidRPr="00997306">
        <w:rPr>
          <w:bCs/>
          <w:iCs/>
        </w:rPr>
        <w:fldChar w:fldCharType="separate"/>
      </w:r>
      <w:r w:rsidR="009F12B4">
        <w:rPr>
          <w:noProof/>
        </w:rPr>
        <w:t>Table</w:t>
      </w:r>
      <w:r w:rsidR="009F12B4">
        <w:t xml:space="preserve"> </w:t>
      </w:r>
      <w:r w:rsidR="009F12B4">
        <w:rPr>
          <w:noProof/>
        </w:rPr>
        <w:t>33</w:t>
      </w:r>
      <w:r w:rsidR="00F04C6C" w:rsidRPr="00997306">
        <w:rPr>
          <w:bCs/>
        </w:rPr>
        <w:fldChar w:fldCharType="end"/>
      </w:r>
      <w:r w:rsidRPr="00997306">
        <w:rPr>
          <w:bCs/>
        </w:rPr>
        <w:t>.</w:t>
      </w:r>
      <w:bookmarkStart w:id="154" w:name="_Ref162248310"/>
      <w:bookmarkEnd w:id="153"/>
    </w:p>
    <w:p w14:paraId="73A7294F" w14:textId="43B5C749" w:rsidR="00030575" w:rsidRPr="00B768A1" w:rsidRDefault="00FF0C54" w:rsidP="00745B34">
      <w:pPr>
        <w:pStyle w:val="Caption"/>
      </w:pPr>
      <w:r>
        <w:t xml:space="preserve">Table </w:t>
      </w:r>
      <w:r>
        <w:fldChar w:fldCharType="begin"/>
      </w:r>
      <w:r>
        <w:instrText>SEQ Table \* ARABIC</w:instrText>
      </w:r>
      <w:r>
        <w:fldChar w:fldCharType="separate"/>
      </w:r>
      <w:r w:rsidR="009F12B4">
        <w:rPr>
          <w:noProof/>
        </w:rPr>
        <w:t>33</w:t>
      </w:r>
      <w:r>
        <w:fldChar w:fldCharType="end"/>
      </w:r>
      <w:bookmarkEnd w:id="154"/>
      <w:r>
        <w:t>: Recommended action for critical enabler 1.3: Strengthen regional suicide prevention</w:t>
      </w:r>
    </w:p>
    <w:tbl>
      <w:tblPr>
        <w:tblStyle w:val="TableGrid"/>
        <w:tblW w:w="9209" w:type="dxa"/>
        <w:tblLook w:val="0420" w:firstRow="1" w:lastRow="0" w:firstColumn="0" w:lastColumn="0" w:noHBand="0" w:noVBand="1"/>
        <w:tblCaption w:val="Recommended action for critical enabler 1.3: Strengthen regional suicide prevention"/>
        <w:tblDescription w:val="Describes action ce1.3a"/>
      </w:tblPr>
      <w:tblGrid>
        <w:gridCol w:w="1270"/>
        <w:gridCol w:w="7939"/>
      </w:tblGrid>
      <w:tr w:rsidR="00E06700" w:rsidRPr="00E06700" w14:paraId="00ADC603" w14:textId="77777777" w:rsidTr="48215A0F">
        <w:trPr>
          <w:cnfStyle w:val="100000000000" w:firstRow="1" w:lastRow="0" w:firstColumn="0" w:lastColumn="0" w:oddVBand="0" w:evenVBand="0" w:oddHBand="0" w:evenHBand="0" w:firstRowFirstColumn="0" w:firstRowLastColumn="0" w:lastRowFirstColumn="0" w:lastRowLastColumn="0"/>
          <w:trHeight w:val="300"/>
        </w:trPr>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80AD" w:themeFill="accent4"/>
          </w:tcPr>
          <w:p w14:paraId="73CB4B61" w14:textId="24630532" w:rsidR="00E06700" w:rsidRPr="00E06700" w:rsidRDefault="00E06700" w:rsidP="004F5B0E">
            <w:pPr>
              <w:pStyle w:val="NMHCTableHeaderRow"/>
            </w:pPr>
            <w:r w:rsidRPr="00E06700">
              <w:t>Action</w:t>
            </w:r>
          </w:p>
        </w:tc>
        <w:tc>
          <w:tcPr>
            <w:tcW w:w="79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80AD" w:themeFill="accent4"/>
          </w:tcPr>
          <w:p w14:paraId="5917CA03" w14:textId="003CA152" w:rsidR="00E06700" w:rsidRPr="00E06700" w:rsidRDefault="00D85EFA" w:rsidP="004F5B0E">
            <w:pPr>
              <w:pStyle w:val="NMHCTableHeaderRow"/>
            </w:pPr>
            <w:r>
              <w:t>Description</w:t>
            </w:r>
          </w:p>
        </w:tc>
      </w:tr>
      <w:tr w:rsidR="00682A5B" w:rsidRPr="00B768A1" w14:paraId="262C5B81" w14:textId="77777777" w:rsidTr="48215A0F">
        <w:trPr>
          <w:trHeight w:val="300"/>
        </w:trPr>
        <w:tc>
          <w:tcPr>
            <w:tcW w:w="1270" w:type="dxa"/>
            <w:tcBorders>
              <w:top w:val="single" w:sz="4" w:space="0" w:color="FFFFFF" w:themeColor="background1"/>
            </w:tcBorders>
          </w:tcPr>
          <w:p w14:paraId="17CBCE53" w14:textId="3B49D25B" w:rsidR="00682A5B" w:rsidRPr="00F833FC" w:rsidRDefault="00752C00" w:rsidP="00634A83">
            <w:r w:rsidRPr="00F833FC">
              <w:t>ce</w:t>
            </w:r>
            <w:r w:rsidR="00682A5B" w:rsidRPr="00F833FC">
              <w:t>1.3</w:t>
            </w:r>
            <w:r w:rsidR="7C567E75" w:rsidRPr="00F833FC">
              <w:t>a</w:t>
            </w:r>
          </w:p>
        </w:tc>
        <w:tc>
          <w:tcPr>
            <w:tcW w:w="7939" w:type="dxa"/>
            <w:tcBorders>
              <w:top w:val="single" w:sz="4" w:space="0" w:color="FFFFFF" w:themeColor="background1"/>
            </w:tcBorders>
          </w:tcPr>
          <w:p w14:paraId="00B6FFA0" w14:textId="7EEC37F2" w:rsidR="00682A5B" w:rsidRPr="00F833FC" w:rsidRDefault="00682A5B" w:rsidP="00634A83">
            <w:r w:rsidRPr="00F833FC">
              <w:t>Strengthen the ability for long-term regional planning and commissioning of suicide prevention:</w:t>
            </w:r>
          </w:p>
          <w:p w14:paraId="07795CD1" w14:textId="69593B1B" w:rsidR="00682A5B" w:rsidRPr="00F833FC" w:rsidRDefault="002868C7" w:rsidP="00634A83">
            <w:pPr>
              <w:pStyle w:val="ListParagraph"/>
              <w:numPr>
                <w:ilvl w:val="1"/>
                <w:numId w:val="31"/>
              </w:numPr>
            </w:pPr>
            <w:r>
              <w:t>Enhance</w:t>
            </w:r>
            <w:r w:rsidR="00682A5B" w:rsidRPr="00F833FC">
              <w:t xml:space="preserve"> the role of local government in suicide prevention, particularly with respect to informing regional suicide prevention activities </w:t>
            </w:r>
            <w:r w:rsidR="3E542188" w:rsidRPr="00F833FC">
              <w:t xml:space="preserve">in </w:t>
            </w:r>
            <w:r w:rsidR="00682A5B" w:rsidRPr="00F833FC">
              <w:t>a whole-of-governments approach to suicide prevention.</w:t>
            </w:r>
          </w:p>
          <w:p w14:paraId="55EA808A" w14:textId="65CB7BD0" w:rsidR="00682A5B" w:rsidRPr="00F833FC" w:rsidRDefault="00682A5B" w:rsidP="00634A83">
            <w:pPr>
              <w:pStyle w:val="ListParagraph"/>
              <w:numPr>
                <w:ilvl w:val="1"/>
                <w:numId w:val="31"/>
              </w:numPr>
            </w:pPr>
            <w:r w:rsidRPr="00F833FC">
              <w:t>Requir</w:t>
            </w:r>
            <w:r w:rsidR="5610686E" w:rsidRPr="00F833FC">
              <w:t>e</w:t>
            </w:r>
            <w:r w:rsidRPr="00F833FC">
              <w:t xml:space="preserve"> </w:t>
            </w:r>
            <w:r w:rsidR="5610686E" w:rsidRPr="00F833FC">
              <w:t>primary health networks</w:t>
            </w:r>
            <w:r w:rsidR="26CBFE38" w:rsidRPr="00F833FC">
              <w:t xml:space="preserve">, </w:t>
            </w:r>
            <w:r w:rsidR="5610686E" w:rsidRPr="00F833FC">
              <w:t xml:space="preserve">local </w:t>
            </w:r>
            <w:r w:rsidR="00EF2093" w:rsidRPr="00F833FC">
              <w:t>hospital</w:t>
            </w:r>
            <w:r w:rsidR="5610686E" w:rsidRPr="00F833FC">
              <w:t xml:space="preserve"> networks</w:t>
            </w:r>
            <w:r w:rsidR="26CBFE38" w:rsidRPr="00F833FC">
              <w:t>, and local governments</w:t>
            </w:r>
            <w:r w:rsidR="5610686E" w:rsidRPr="00F833FC">
              <w:t xml:space="preserve"> </w:t>
            </w:r>
            <w:r w:rsidRPr="00F833FC">
              <w:t xml:space="preserve">to partner with each other </w:t>
            </w:r>
            <w:r w:rsidR="6BB42C53" w:rsidRPr="00F833FC">
              <w:t>as well as</w:t>
            </w:r>
            <w:r w:rsidRPr="00F833FC">
              <w:t xml:space="preserve"> local </w:t>
            </w:r>
            <w:r w:rsidR="406707E2" w:rsidRPr="00F833FC">
              <w:t>Aboriginal Community Controlled Organisations</w:t>
            </w:r>
            <w:r w:rsidR="6351621A" w:rsidRPr="00F833FC">
              <w:t xml:space="preserve"> and Aboriginal Community Controlled Health Organisations</w:t>
            </w:r>
            <w:r w:rsidR="406707E2" w:rsidRPr="00F833FC">
              <w:t xml:space="preserve"> </w:t>
            </w:r>
            <w:r w:rsidRPr="00F833FC">
              <w:t>in the planning and delivery of regional suicide prevention plans and responses.</w:t>
            </w:r>
          </w:p>
          <w:p w14:paraId="5BE301DB" w14:textId="42FA216C" w:rsidR="35675CAF" w:rsidRPr="00F833FC" w:rsidRDefault="2AACE95C" w:rsidP="00634A83">
            <w:pPr>
              <w:pStyle w:val="ListParagraph"/>
              <w:numPr>
                <w:ilvl w:val="1"/>
                <w:numId w:val="31"/>
              </w:numPr>
            </w:pPr>
            <w:r w:rsidRPr="00F833FC">
              <w:t>Empower Aboriginal Community Controlled Organisations and Aboriginal Communit</w:t>
            </w:r>
            <w:r w:rsidR="16030E16" w:rsidRPr="00F833FC">
              <w:t xml:space="preserve">y </w:t>
            </w:r>
            <w:r w:rsidRPr="00F833FC">
              <w:t>C</w:t>
            </w:r>
            <w:r w:rsidR="5AEF72AC" w:rsidRPr="00F833FC">
              <w:t xml:space="preserve">ontrolled </w:t>
            </w:r>
            <w:r w:rsidRPr="00F833FC">
              <w:t>H</w:t>
            </w:r>
            <w:r w:rsidR="754F66F2" w:rsidRPr="00F833FC">
              <w:t xml:space="preserve">ealth </w:t>
            </w:r>
            <w:r w:rsidRPr="00F833FC">
              <w:t>O</w:t>
            </w:r>
            <w:r w:rsidR="00CDFEDF" w:rsidRPr="00F833FC">
              <w:t>rganisation</w:t>
            </w:r>
            <w:r w:rsidRPr="00F833FC">
              <w:t>s to deliver social and emotional wellbeing, healing and community-based suicide prevention services through flexible funding models that ensure alignment with the needs of the local community.</w:t>
            </w:r>
          </w:p>
          <w:p w14:paraId="2051FF78" w14:textId="32A45693" w:rsidR="00682A5B" w:rsidRPr="00F833FC" w:rsidRDefault="00682A5B" w:rsidP="00634A83">
            <w:pPr>
              <w:pStyle w:val="ListParagraph"/>
              <w:numPr>
                <w:ilvl w:val="1"/>
                <w:numId w:val="31"/>
              </w:numPr>
            </w:pPr>
            <w:r w:rsidRPr="00F833FC">
              <w:t>Review funding models to support continuous improvement of services and provide greater continuity for regional services.</w:t>
            </w:r>
          </w:p>
          <w:p w14:paraId="04C26BC6" w14:textId="1381BFF8" w:rsidR="00682A5B" w:rsidRPr="00F833FC" w:rsidRDefault="00682A5B" w:rsidP="00634A83">
            <w:pPr>
              <w:pStyle w:val="ListParagraph"/>
              <w:numPr>
                <w:ilvl w:val="1"/>
                <w:numId w:val="31"/>
              </w:numPr>
            </w:pPr>
            <w:r w:rsidRPr="00F833FC">
              <w:t xml:space="preserve">Review the resourcing and role requirements for regional suicide prevention planning and coordinating positions to ensure they have the capability, capacity and authorising environment to be effective in </w:t>
            </w:r>
            <w:r w:rsidR="5E7D3C4F" w:rsidRPr="00F833FC">
              <w:t>driving the full range of suicide prevention activities aligned with the model in this Strategy</w:t>
            </w:r>
            <w:r w:rsidRPr="00F833FC">
              <w:t>.</w:t>
            </w:r>
          </w:p>
          <w:p w14:paraId="31AD41DA" w14:textId="7E54BFBD" w:rsidR="00682A5B" w:rsidRPr="00F833FC" w:rsidRDefault="00682A5B" w:rsidP="00634A83">
            <w:pPr>
              <w:pStyle w:val="ListParagraph"/>
              <w:numPr>
                <w:ilvl w:val="1"/>
                <w:numId w:val="31"/>
              </w:numPr>
              <w:rPr>
                <w:lang w:eastAsia="en-AU"/>
              </w:rPr>
            </w:pPr>
            <w:r w:rsidRPr="00F833FC">
              <w:rPr>
                <w:rStyle w:val="normaltextrun"/>
                <w:rFonts w:cstheme="minorBidi"/>
                <w:lang w:val="en-AU"/>
              </w:rPr>
              <w:t>Requir</w:t>
            </w:r>
            <w:r w:rsidR="6D41FB19" w:rsidRPr="00F833FC">
              <w:rPr>
                <w:rStyle w:val="normaltextrun"/>
                <w:rFonts w:cstheme="minorBidi"/>
                <w:lang w:val="en-AU"/>
              </w:rPr>
              <w:t>e</w:t>
            </w:r>
            <w:r w:rsidRPr="00F833FC">
              <w:rPr>
                <w:rStyle w:val="normaltextrun"/>
                <w:rFonts w:cstheme="minorBidi"/>
                <w:lang w:val="en-AU"/>
              </w:rPr>
              <w:t xml:space="preserve"> r</w:t>
            </w:r>
            <w:r w:rsidRPr="00F833FC">
              <w:rPr>
                <w:rStyle w:val="normaltextrun"/>
                <w:lang w:val="en-AU"/>
              </w:rPr>
              <w:t>egional planning and service delivery</w:t>
            </w:r>
            <w:r w:rsidRPr="00F833FC">
              <w:rPr>
                <w:rStyle w:val="normaltextrun"/>
                <w:rFonts w:cstheme="minorBidi"/>
                <w:lang w:val="en-AU"/>
              </w:rPr>
              <w:t xml:space="preserve"> </w:t>
            </w:r>
            <w:r w:rsidR="1B2208FC" w:rsidRPr="00F833FC">
              <w:rPr>
                <w:rStyle w:val="normaltextrun"/>
                <w:rFonts w:cstheme="minorBidi"/>
                <w:lang w:val="en-AU"/>
              </w:rPr>
              <w:t>organisations</w:t>
            </w:r>
            <w:r w:rsidR="26C096AC" w:rsidRPr="00F833FC">
              <w:rPr>
                <w:rStyle w:val="normaltextrun"/>
                <w:rFonts w:cstheme="minorBidi"/>
                <w:lang w:val="en-AU"/>
              </w:rPr>
              <w:t xml:space="preserve"> </w:t>
            </w:r>
            <w:r w:rsidRPr="00F833FC">
              <w:rPr>
                <w:rStyle w:val="normaltextrun"/>
                <w:rFonts w:cstheme="minorBidi"/>
                <w:lang w:val="en-AU"/>
              </w:rPr>
              <w:t xml:space="preserve">to demonstrate meaningful inclusion of </w:t>
            </w:r>
            <w:r w:rsidR="04EE7AF6" w:rsidRPr="00F833FC">
              <w:rPr>
                <w:rStyle w:val="normaltextrun"/>
                <w:rFonts w:cstheme="minorBidi"/>
                <w:lang w:val="en-AU"/>
              </w:rPr>
              <w:t xml:space="preserve">a diversity of </w:t>
            </w:r>
            <w:r w:rsidRPr="00F833FC">
              <w:rPr>
                <w:rStyle w:val="normaltextrun"/>
                <w:rFonts w:cstheme="minorBidi"/>
                <w:lang w:val="en-AU"/>
              </w:rPr>
              <w:t xml:space="preserve">lived and living experience </w:t>
            </w:r>
            <w:r w:rsidR="26AD82CE" w:rsidRPr="00F833FC">
              <w:rPr>
                <w:rStyle w:val="normaltextrun"/>
                <w:rFonts w:cstheme="minorBidi"/>
                <w:lang w:val="en-AU"/>
              </w:rPr>
              <w:t>of suicide</w:t>
            </w:r>
            <w:r w:rsidR="2B925130" w:rsidRPr="00F833FC">
              <w:rPr>
                <w:rStyle w:val="normaltextrun"/>
                <w:rFonts w:cstheme="minorBidi"/>
                <w:lang w:val="en-AU"/>
              </w:rPr>
              <w:t xml:space="preserve"> </w:t>
            </w:r>
            <w:r w:rsidRPr="00F833FC">
              <w:rPr>
                <w:rStyle w:val="normaltextrun"/>
                <w:rFonts w:cstheme="minorBidi"/>
                <w:lang w:val="en-AU"/>
              </w:rPr>
              <w:t>in their governance and decision-making, including regional planning</w:t>
            </w:r>
            <w:r w:rsidR="53CA07FD" w:rsidRPr="00F833FC">
              <w:rPr>
                <w:rStyle w:val="normaltextrun"/>
                <w:rFonts w:cstheme="minorBidi"/>
                <w:lang w:val="en-AU"/>
              </w:rPr>
              <w:t xml:space="preserve">; </w:t>
            </w:r>
            <w:r w:rsidRPr="00F833FC">
              <w:rPr>
                <w:rStyle w:val="normaltextrun"/>
                <w:rFonts w:cstheme="minorBidi"/>
                <w:lang w:val="en-AU"/>
              </w:rPr>
              <w:t>service design, delivery and evaluation</w:t>
            </w:r>
            <w:r w:rsidR="53CA07FD" w:rsidRPr="00F833FC">
              <w:rPr>
                <w:rStyle w:val="normaltextrun"/>
                <w:rFonts w:cstheme="minorBidi"/>
                <w:lang w:val="en-AU"/>
              </w:rPr>
              <w:t>;</w:t>
            </w:r>
            <w:r w:rsidRPr="00F833FC">
              <w:rPr>
                <w:rStyle w:val="normaltextrun"/>
                <w:rFonts w:cstheme="minorBidi"/>
                <w:lang w:val="en-AU"/>
              </w:rPr>
              <w:t xml:space="preserve"> </w:t>
            </w:r>
            <w:r w:rsidR="53CA07FD" w:rsidRPr="00F833FC">
              <w:rPr>
                <w:rStyle w:val="normaltextrun"/>
                <w:rFonts w:cstheme="minorBidi"/>
                <w:lang w:val="en-AU"/>
              </w:rPr>
              <w:t xml:space="preserve">and </w:t>
            </w:r>
            <w:r w:rsidRPr="00F833FC">
              <w:rPr>
                <w:rStyle w:val="normaltextrun"/>
                <w:rFonts w:cstheme="minorBidi"/>
                <w:lang w:val="en-AU"/>
              </w:rPr>
              <w:t>tender processes.</w:t>
            </w:r>
          </w:p>
          <w:p w14:paraId="5EC42781" w14:textId="32744A13" w:rsidR="00682A5B" w:rsidRPr="00F833FC" w:rsidRDefault="3605BDAC" w:rsidP="00634A83">
            <w:pPr>
              <w:pStyle w:val="ListParagraph"/>
              <w:numPr>
                <w:ilvl w:val="1"/>
                <w:numId w:val="31"/>
              </w:numPr>
            </w:pPr>
            <w:r w:rsidRPr="00F833FC">
              <w:t xml:space="preserve">Include reporting on regional planning and activity as part of the monitoring and reporting of the </w:t>
            </w:r>
            <w:r w:rsidRPr="48215A0F">
              <w:rPr>
                <w:i/>
                <w:iCs/>
              </w:rPr>
              <w:t>National Mental Health and Suicide Prevention Agreement</w:t>
            </w:r>
            <w:r w:rsidRPr="00F833FC">
              <w:t>.</w:t>
            </w:r>
            <w:hyperlink w:anchor="_ENREF_29" w:tooltip="Relations, 2022 #986" w:history="1">
              <w:r w:rsidR="002D6F18">
                <w:fldChar w:fldCharType="begin"/>
              </w:r>
              <w:r w:rsidR="002D6F18">
                <w:instrText xml:space="preserve"> ADDIN EN.CITE &lt;EndNote&gt;&lt;Cite&gt;&lt;Author&gt;Relations&lt;/Author&gt;&lt;Year&gt;2022&lt;/Year&gt;&lt;RecNum&gt;986&lt;/RecNum&gt;&lt;DisplayText&gt;&lt;style face="superscript"&gt;29&lt;/style&gt;&lt;/DisplayText&gt;&lt;record&gt;&lt;rec-number&gt;986&lt;/rec-number&gt;&lt;foreign-keys&gt;&lt;key app="EN" db-id="rsettzd2isasdweewww55s9lffasxav0d0ft" timestamp="1720076948" guid="32964ad8-6066-45d7-88ee-95f279fee5d3"&gt;986&lt;/key&gt;&lt;/foreign-keys&gt;&lt;ref-type name="Government Document"&gt;46&lt;/ref-type&gt;&lt;contributors&gt;&lt;authors&gt;&lt;author&gt;Federal Financial Relations &lt;/author&gt;&lt;/authors&gt;&lt;/contributors&gt;&lt;titles&gt;&lt;title&gt;The National Mental Health and Suicide Prevention Agreement&lt;/title&gt;&lt;/titles&gt;&lt;dates&gt;&lt;year&gt;2022&lt;/year&gt;&lt;/dates&gt;&lt;publisher&gt;Commonwealth of Australia&lt;/publisher&gt;&lt;urls&gt;&lt;related-urls&gt;&lt;url&gt;https://federalfinancialrelations.gov.au/agreements/mental-health-suicide-prevention-agreement&lt;/url&gt;&lt;/related-urls&gt;&lt;/urls&gt;&lt;/record&gt;&lt;/Cite&gt;&lt;/EndNote&gt;</w:instrText>
              </w:r>
              <w:r w:rsidR="002D6F18">
                <w:fldChar w:fldCharType="separate"/>
              </w:r>
              <w:r w:rsidR="002D6F18" w:rsidRPr="0082082D">
                <w:rPr>
                  <w:noProof/>
                  <w:vertAlign w:val="superscript"/>
                </w:rPr>
                <w:t>29</w:t>
              </w:r>
              <w:r w:rsidR="002D6F18">
                <w:fldChar w:fldCharType="end"/>
              </w:r>
            </w:hyperlink>
            <w:r w:rsidR="00AE6FF1">
              <w:t xml:space="preserve"> </w:t>
            </w:r>
          </w:p>
        </w:tc>
      </w:tr>
      <w:bookmarkEnd w:id="139"/>
      <w:bookmarkEnd w:id="140"/>
      <w:bookmarkEnd w:id="141"/>
    </w:tbl>
    <w:p w14:paraId="75951B3E" w14:textId="77777777" w:rsidR="00682A5B" w:rsidRPr="00B768A1" w:rsidRDefault="00682A5B" w:rsidP="00634A83">
      <w:pPr>
        <w:sectPr w:rsidR="00682A5B" w:rsidRPr="00B768A1" w:rsidSect="00996915">
          <w:endnotePr>
            <w:numFmt w:val="decimal"/>
          </w:endnotePr>
          <w:pgSz w:w="11907" w:h="16839" w:code="9"/>
          <w:pgMar w:top="1418" w:right="1418" w:bottom="1418" w:left="1418" w:header="680" w:footer="85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p>
    <w:p w14:paraId="14D80985" w14:textId="5B1C2738" w:rsidR="002868C7" w:rsidRDefault="002868C7">
      <w:pPr>
        <w:spacing w:after="160"/>
        <w:rPr>
          <w:rFonts w:eastAsiaTheme="majorEastAsia" w:cstheme="majorBidi"/>
          <w:b/>
          <w:color w:val="DC80B0"/>
          <w:sz w:val="36"/>
          <w:szCs w:val="36"/>
        </w:rPr>
      </w:pPr>
      <w:bookmarkStart w:id="155" w:name="_Toc152082312"/>
      <w:bookmarkStart w:id="156" w:name="_Ref152167850"/>
      <w:bookmarkStart w:id="157" w:name="_Toc164868158"/>
      <w:r>
        <w:br w:type="page"/>
      </w:r>
    </w:p>
    <w:p w14:paraId="144833AC" w14:textId="48C603F5" w:rsidR="00682A5B" w:rsidRPr="00B768A1" w:rsidRDefault="00F47495" w:rsidP="00996915">
      <w:pPr>
        <w:pStyle w:val="Heading2"/>
      </w:pPr>
      <w:bookmarkStart w:id="158" w:name="_Toc520806291"/>
      <w:bookmarkStart w:id="159" w:name="_Toc171459039"/>
      <w:r>
        <w:drawing>
          <wp:anchor distT="0" distB="0" distL="114300" distR="114300" simplePos="0" relativeHeight="251658260" behindDoc="1" locked="0" layoutInCell="1" allowOverlap="1" wp14:anchorId="710D3F54" wp14:editId="24127355">
            <wp:simplePos x="0" y="0"/>
            <wp:positionH relativeFrom="margin">
              <wp:align>right</wp:align>
            </wp:positionH>
            <wp:positionV relativeFrom="paragraph">
              <wp:posOffset>57017</wp:posOffset>
            </wp:positionV>
            <wp:extent cx="1407160" cy="899795"/>
            <wp:effectExtent l="0" t="0" r="2540" b="0"/>
            <wp:wrapTight wrapText="bothSides">
              <wp:wrapPolygon edited="0">
                <wp:start x="0" y="0"/>
                <wp:lineTo x="0" y="21036"/>
                <wp:lineTo x="21347" y="21036"/>
                <wp:lineTo x="21347" y="0"/>
                <wp:lineTo x="0" y="0"/>
              </wp:wrapPolygon>
            </wp:wrapTight>
            <wp:docPr id="30" name="Picture 30" descr="Embedded lived experience is the second critical enabler in the Strate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Embedded lived experience is the second critical enabler in the Strategy. "/>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07160" cy="899795"/>
                    </a:xfrm>
                    <a:prstGeom prst="rect">
                      <a:avLst/>
                    </a:prstGeom>
                  </pic:spPr>
                </pic:pic>
              </a:graphicData>
            </a:graphic>
          </wp:anchor>
        </w:drawing>
      </w:r>
      <w:r w:rsidR="651A3CC9" w:rsidRPr="5B74CE65">
        <w:t>Critical e</w:t>
      </w:r>
      <w:r w:rsidR="00682A5B" w:rsidRPr="5B74CE65">
        <w:t>nabler 2: Embe</w:t>
      </w:r>
      <w:r w:rsidR="114BD1E4" w:rsidRPr="5B74CE65">
        <w:t>d</w:t>
      </w:r>
      <w:r w:rsidR="00682A5B" w:rsidRPr="5B74CE65">
        <w:t>d</w:t>
      </w:r>
      <w:r w:rsidR="003A4906" w:rsidRPr="5B74CE65">
        <w:t>ed</w:t>
      </w:r>
      <w:r w:rsidR="00682A5B" w:rsidRPr="5B74CE65">
        <w:t xml:space="preserve"> lived experience</w:t>
      </w:r>
      <w:bookmarkEnd w:id="155"/>
      <w:bookmarkEnd w:id="156"/>
      <w:bookmarkEnd w:id="157"/>
      <w:bookmarkEnd w:id="158"/>
      <w:bookmarkEnd w:id="159"/>
    </w:p>
    <w:p w14:paraId="30F31A70" w14:textId="737E722F" w:rsidR="00682A5B" w:rsidRPr="00B768A1" w:rsidRDefault="14E047D8" w:rsidP="00634A83">
      <w:r w:rsidRPr="4623DBCA">
        <w:t xml:space="preserve">People with lived and living experience have the greatest insights into what works, what does not work, and what is missing in suicide prevention. For suicide prevention efforts to be of high quality and truly effective, it is </w:t>
      </w:r>
      <w:r w:rsidR="05487686" w:rsidRPr="4623DBCA">
        <w:t>vital</w:t>
      </w:r>
      <w:r w:rsidRPr="4623DBCA">
        <w:t xml:space="preserve"> that people with lived and living experience of suicide have a central role in designing, delivering, governing and evaluating suicide prevention activities.</w:t>
      </w:r>
    </w:p>
    <w:p w14:paraId="794A0311" w14:textId="6D380401" w:rsidR="00682A5B" w:rsidRPr="00B768A1" w:rsidRDefault="3605BDAC" w:rsidP="00634A83">
      <w:r w:rsidRPr="00B768A1">
        <w:t xml:space="preserve">The participation of people with lived and living experience of suicide in public policy development can be </w:t>
      </w:r>
      <w:r w:rsidR="1A93D16B" w:rsidRPr="00B768A1">
        <w:t xml:space="preserve">understood using </w:t>
      </w:r>
      <w:r w:rsidRPr="00B768A1">
        <w:t xml:space="preserve">a scale from ‘inform’ to ‘empower’ (see </w:t>
      </w:r>
      <w:r w:rsidR="00682A5B" w:rsidRPr="00B768A1">
        <w:fldChar w:fldCharType="begin"/>
      </w:r>
      <w:r w:rsidR="00682A5B" w:rsidRPr="00B768A1">
        <w:instrText xml:space="preserve"> REF _Ref151722098 \h </w:instrText>
      </w:r>
      <w:r w:rsidR="00682A5B" w:rsidRPr="00B768A1">
        <w:fldChar w:fldCharType="separate"/>
      </w:r>
      <w:r w:rsidR="009F12B4" w:rsidRPr="00B768A1">
        <w:t xml:space="preserve">Figure </w:t>
      </w:r>
      <w:r w:rsidR="009F12B4">
        <w:rPr>
          <w:noProof/>
        </w:rPr>
        <w:t>4</w:t>
      </w:r>
      <w:r w:rsidR="00682A5B" w:rsidRPr="00B768A1">
        <w:fldChar w:fldCharType="end"/>
      </w:r>
      <w:r w:rsidRPr="00B768A1">
        <w:t>).</w:t>
      </w:r>
      <w:hyperlink w:anchor="_ENREF_313" w:tooltip="Participation, 2019 #457" w:history="1">
        <w:r w:rsidR="002D6F18">
          <w:fldChar w:fldCharType="begin"/>
        </w:r>
        <w:r w:rsidR="002D6F18">
          <w:instrText xml:space="preserve"> ADDIN EN.CITE &lt;EndNote&gt;&lt;Cite&gt;&lt;Author&gt;Participation&lt;/Author&gt;&lt;Year&gt;2019&lt;/Year&gt;&lt;RecNum&gt;457&lt;/RecNum&gt;&lt;DisplayText&gt;&lt;style face="superscript"&gt;313&lt;/style&gt;&lt;/DisplayText&gt;&lt;record&gt;&lt;rec-number&gt;457&lt;/rec-number&gt;&lt;foreign-keys&gt;&lt;key app="EN" db-id="rsettzd2isasdweewww55s9lffasxav0d0ft" timestamp="1700699474" guid="4131e621-bba8-4d4c-8ac0-d78b2c3749fa"&gt;457&lt;/key&gt;&lt;/foreign-keys&gt;&lt;ref-type name="Web Page"&gt;12&lt;/ref-type&gt;&lt;contributors&gt;&lt;authors&gt;&lt;author&gt;International Association for Public Participation&lt;/author&gt;&lt;/authors&gt;&lt;/contributors&gt;&lt;titles&gt;&lt;title&gt;IAP2 Public Participation Spectrum&lt;/title&gt;&lt;/titles&gt;&lt;dates&gt;&lt;year&gt;2019&lt;/year&gt;&lt;/dates&gt;&lt;publisher&gt;IAP2 Australasia&lt;/publisher&gt;&lt;work-type&gt;Internet&lt;/work-type&gt;&lt;urls&gt;&lt;related-urls&gt;&lt;url&gt;https://iap2.org.au/resources/spectrum/&lt;/url&gt;&lt;/related-urls&gt;&lt;/urls&gt;&lt;custom1&gt;2023&lt;/custom1&gt;&lt;custom2&gt;November 06&lt;/custom2&gt;&lt;/record&gt;&lt;/Cite&gt;&lt;/EndNote&gt;</w:instrText>
        </w:r>
        <w:r w:rsidR="002D6F18">
          <w:fldChar w:fldCharType="separate"/>
        </w:r>
        <w:r w:rsidR="002D6F18" w:rsidRPr="00C559B5">
          <w:rPr>
            <w:noProof/>
            <w:vertAlign w:val="superscript"/>
          </w:rPr>
          <w:t>313</w:t>
        </w:r>
        <w:r w:rsidR="002D6F18">
          <w:fldChar w:fldCharType="end"/>
        </w:r>
      </w:hyperlink>
      <w:r w:rsidR="00126F8F">
        <w:t xml:space="preserve"> </w:t>
      </w:r>
      <w:r w:rsidRPr="00B768A1">
        <w:t>Engagement</w:t>
      </w:r>
      <w:r w:rsidRPr="00B768A1" w:rsidDel="00DB4F1D">
        <w:t xml:space="preserve"> </w:t>
      </w:r>
      <w:r w:rsidRPr="00B768A1">
        <w:t>with people with lived and living experience should be as far to the right of this scale as circumstances allow.</w:t>
      </w:r>
      <w:hyperlink w:anchor="_ENREF_314" w:tooltip="Ocean, 2022 #31" w:history="1">
        <w:r w:rsidR="002D6F18">
          <w:fldChar w:fldCharType="begin"/>
        </w:r>
        <w:r w:rsidR="002D6F18">
          <w:instrText xml:space="preserve"> ADDIN EN.CITE &lt;EndNote&gt;&lt;Cite&gt;&lt;Author&gt;Ocean&lt;/Author&gt;&lt;Year&gt;2022&lt;/Year&gt;&lt;RecNum&gt;31&lt;/RecNum&gt;&lt;DisplayText&gt;&lt;style face="superscript"&gt;314&lt;/style&gt;&lt;/DisplayText&gt;&lt;record&gt;&lt;rec-number&gt;31&lt;/rec-number&gt;&lt;foreign-keys&gt;&lt;key app="EN" db-id="rsettzd2isasdweewww55s9lffasxav0d0ft" timestamp="1700699466" guid="44ed8eca-440c-4c5b-af4d-767c44f162d0"&gt;31&lt;/key&gt;&lt;/foreign-keys&gt;&lt;ref-type name="Web Page"&gt;12&lt;/ref-type&gt;&lt;contributors&gt;&lt;authors&gt;&lt;author&gt;Roses in the Ocean&lt;/author&gt;&lt;/authors&gt;&lt;/contributors&gt;&lt;titles&gt;&lt;title&gt;Lived Experience of Suicide Engagement, Partnership and Integration: (LESEPI) Decision and Evaluation Tools&lt;/title&gt;&lt;/titles&gt;&lt;dates&gt;&lt;year&gt;2022&lt;/year&gt;&lt;/dates&gt;&lt;pub-location&gt;Brisbane, Queensland&lt;/pub-location&gt;&lt;publisher&gt;Roses in the Ocean&lt;/publisher&gt;&lt;work-type&gt;Internet&lt;/work-type&gt;&lt;urls&gt;&lt;related-urls&gt;&lt;url&gt;https://rosesintheocean.com.au/wp-content/uploads/2022/09/LESEPI-Decision-Evaluation-Tools-V1.2.pdf&lt;/url&gt;&lt;/related-urls&gt;&lt;/urls&gt;&lt;custom1&gt;2023&lt;/custom1&gt;&lt;custom2&gt;November 06&lt;/custom2&gt;&lt;/record&gt;&lt;/Cite&gt;&lt;/EndNote&gt;</w:instrText>
        </w:r>
        <w:r w:rsidR="002D6F18">
          <w:fldChar w:fldCharType="separate"/>
        </w:r>
        <w:r w:rsidR="002D6F18" w:rsidRPr="00C559B5">
          <w:rPr>
            <w:noProof/>
            <w:vertAlign w:val="superscript"/>
          </w:rPr>
          <w:t>314</w:t>
        </w:r>
        <w:r w:rsidR="002D6F18">
          <w:fldChar w:fldCharType="end"/>
        </w:r>
      </w:hyperlink>
      <w:r w:rsidR="00126F8F">
        <w:t xml:space="preserve"> </w:t>
      </w:r>
      <w:r w:rsidR="286D3F8E" w:rsidRPr="00B768A1">
        <w:t>R</w:t>
      </w:r>
      <w:r w:rsidRPr="00B768A1">
        <w:t xml:space="preserve">egardless of the level, safe and beneficial </w:t>
      </w:r>
      <w:r w:rsidR="4665D5D2" w:rsidRPr="00B768A1">
        <w:t xml:space="preserve">engagement </w:t>
      </w:r>
      <w:r w:rsidR="6AC32A4E" w:rsidRPr="00B768A1">
        <w:t xml:space="preserve">depends on </w:t>
      </w:r>
      <w:r w:rsidRPr="00B768A1">
        <w:t>skilful facilitation, support systems and organisational cultures of authentic curiosity and humility.</w:t>
      </w:r>
    </w:p>
    <w:p w14:paraId="27648ED9" w14:textId="3717717B" w:rsidR="00682A5B" w:rsidRPr="00B768A1" w:rsidRDefault="00D037EC" w:rsidP="00634A83">
      <w:r>
        <w:rPr>
          <w:noProof/>
        </w:rPr>
        <w:drawing>
          <wp:inline distT="0" distB="0" distL="0" distR="0" wp14:anchorId="02AC1315" wp14:editId="6C521592">
            <wp:extent cx="5676902" cy="2984196"/>
            <wp:effectExtent l="0" t="0" r="0" b="6985"/>
            <wp:docPr id="1915114324" name="Picture 1915114324" descr="The participation of members of the public in public policy development can occur at five levels. In order of increasing impact on policy decision making, these levels are Inform, Consult, Involve, Collaborate, and Empower. &#10;At the Inform level, the public participation goal is to provide the public with balanced and objective information to assist them in understanding the problem alternatives, opportunities and/or solutions. The policymaker's promise to the public at the Inform level is to keep them informed.&#10;At the Consult level, the public participation goal is to obtain public feedback on analysis, alternatives and/or decisions. The policymaker's promise to the public at the Consult level is to keep them informed, listen to and acknowledge concerns and aspirations, and provide feedback on how public input influenced the decision.&#10;At the Involve level, the public participation goal is to work directly with the public throughout the process to ensure that public concerns and aspirations are consistently understood and considered. The policymaker's promise to the public at the Involve level is to work with the public to ensure that their concerns and aspirations are directly reflected in the alternatives developed and provide feedback on how public input influenced the decision.&#10;At the Collaborate level, the public participation goal is to partner with the public in each aspect of the decision, including the development of alternatives and the identification of the preferred solution. The policymaker's promise to the public at the Collaborate level is to look to participants for advice and innovation in formulating solutions and incorporate their advice and recommendations into the decisions to the maximum extent possible.&#10;At the Empower level, the public participation goal is to place final decision making into the hands of the public. The policymaker's promise to the public at the Empower level is to implement what the public dec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114324"/>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676902" cy="2984196"/>
                    </a:xfrm>
                    <a:prstGeom prst="rect">
                      <a:avLst/>
                    </a:prstGeom>
                  </pic:spPr>
                </pic:pic>
              </a:graphicData>
            </a:graphic>
          </wp:inline>
        </w:drawing>
      </w:r>
    </w:p>
    <w:p w14:paraId="1E343B03" w14:textId="20B2F071" w:rsidR="00420675" w:rsidRPr="00B768A1" w:rsidRDefault="00682A5B" w:rsidP="00381701">
      <w:pPr>
        <w:pStyle w:val="Caption"/>
        <w:spacing w:after="0"/>
      </w:pPr>
      <w:bookmarkStart w:id="160" w:name="_Ref151722098"/>
      <w:r w:rsidRPr="00B768A1">
        <w:t xml:space="preserve">Figure </w:t>
      </w:r>
      <w:r w:rsidR="00F93B6D">
        <w:fldChar w:fldCharType="begin"/>
      </w:r>
      <w:r w:rsidR="00F93B6D">
        <w:instrText>SEQ Figure \* ARABIC \* MERGEFORMAT</w:instrText>
      </w:r>
      <w:r w:rsidR="00F93B6D">
        <w:fldChar w:fldCharType="separate"/>
      </w:r>
      <w:r w:rsidR="009F12B4">
        <w:rPr>
          <w:noProof/>
        </w:rPr>
        <w:t>4</w:t>
      </w:r>
      <w:r w:rsidR="00F93B6D">
        <w:rPr>
          <w:noProof/>
        </w:rPr>
        <w:fldChar w:fldCharType="end"/>
      </w:r>
      <w:bookmarkEnd w:id="160"/>
      <w:r w:rsidRPr="00B768A1">
        <w:t xml:space="preserve">: The International </w:t>
      </w:r>
      <w:r w:rsidR="00E24534" w:rsidRPr="00B768A1">
        <w:t>A</w:t>
      </w:r>
      <w:r w:rsidRPr="00B768A1">
        <w:t>ssociation for Public Participation (IAP2) Public Participation Spectrum</w:t>
      </w:r>
    </w:p>
    <w:p w14:paraId="57C8F56B" w14:textId="0ACA366B" w:rsidR="00682A5B" w:rsidRPr="00B768A1" w:rsidRDefault="1C9B91A0" w:rsidP="00381701">
      <w:pPr>
        <w:pStyle w:val="NoteHeading"/>
        <w:spacing w:after="240"/>
      </w:pPr>
      <w:r w:rsidRPr="48215A0F">
        <w:rPr>
          <w:i/>
          <w:iCs/>
          <w:sz w:val="20"/>
          <w:szCs w:val="20"/>
        </w:rPr>
        <w:t>Source:</w:t>
      </w:r>
      <w:r w:rsidR="3605BDAC" w:rsidRPr="00E1682B">
        <w:rPr>
          <w:sz w:val="20"/>
          <w:szCs w:val="20"/>
        </w:rPr>
        <w:t xml:space="preserve"> </w:t>
      </w:r>
      <w:r w:rsidRPr="00E1682B">
        <w:rPr>
          <w:sz w:val="20"/>
          <w:szCs w:val="20"/>
        </w:rPr>
        <w:t>A</w:t>
      </w:r>
      <w:r w:rsidR="1F348A7E" w:rsidRPr="00E1682B">
        <w:rPr>
          <w:sz w:val="20"/>
          <w:szCs w:val="20"/>
        </w:rPr>
        <w:t>dapted</w:t>
      </w:r>
      <w:r w:rsidR="3605BDAC" w:rsidRPr="00E1682B">
        <w:rPr>
          <w:sz w:val="20"/>
          <w:szCs w:val="20"/>
        </w:rPr>
        <w:t xml:space="preserve"> </w:t>
      </w:r>
      <w:r w:rsidR="163D09C1" w:rsidRPr="00E1682B">
        <w:rPr>
          <w:sz w:val="20"/>
          <w:szCs w:val="20"/>
        </w:rPr>
        <w:t>from</w:t>
      </w:r>
      <w:r w:rsidR="3605BDAC" w:rsidRPr="00E1682B">
        <w:rPr>
          <w:sz w:val="20"/>
          <w:szCs w:val="20"/>
        </w:rPr>
        <w:t xml:space="preserve"> © International Association for Public Participation </w:t>
      </w:r>
      <w:hyperlink r:id="rId59" w:history="1">
        <w:r w:rsidR="2C63F48E" w:rsidRPr="00E1682B">
          <w:rPr>
            <w:rStyle w:val="Hyperlink"/>
            <w:sz w:val="20"/>
            <w:szCs w:val="20"/>
          </w:rPr>
          <w:t>www.iap</w:t>
        </w:r>
        <w:r w:rsidR="3605BDAC" w:rsidRPr="00E1682B">
          <w:rPr>
            <w:rStyle w:val="Hyperlink"/>
            <w:sz w:val="20"/>
            <w:szCs w:val="20"/>
          </w:rPr>
          <w:t>2.org</w:t>
        </w:r>
      </w:hyperlink>
      <w:r w:rsidR="2C63F48E" w:rsidRPr="00E1682B">
        <w:rPr>
          <w:sz w:val="20"/>
          <w:szCs w:val="20"/>
        </w:rPr>
        <w:t>.</w:t>
      </w:r>
      <w:hyperlink w:anchor="_ENREF_313" w:tooltip="Participation, 2019 #457" w:history="1">
        <w:r w:rsidR="002D6F18">
          <w:rPr>
            <w:sz w:val="20"/>
            <w:szCs w:val="20"/>
          </w:rPr>
          <w:fldChar w:fldCharType="begin"/>
        </w:r>
        <w:r w:rsidR="002D6F18">
          <w:rPr>
            <w:sz w:val="20"/>
            <w:szCs w:val="20"/>
          </w:rPr>
          <w:instrText xml:space="preserve"> ADDIN EN.CITE &lt;EndNote&gt;&lt;Cite&gt;&lt;Author&gt;Participation&lt;/Author&gt;&lt;Year&gt;2019&lt;/Year&gt;&lt;RecNum&gt;457&lt;/RecNum&gt;&lt;DisplayText&gt;&lt;style face="superscript"&gt;313&lt;/style&gt;&lt;/DisplayText&gt;&lt;record&gt;&lt;rec-number&gt;457&lt;/rec-number&gt;&lt;foreign-keys&gt;&lt;key app="EN" db-id="rsettzd2isasdweewww55s9lffasxav0d0ft" timestamp="1700699474" guid="4131e621-bba8-4d4c-8ac0-d78b2c3749fa"&gt;457&lt;/key&gt;&lt;/foreign-keys&gt;&lt;ref-type name="Web Page"&gt;12&lt;/ref-type&gt;&lt;contributors&gt;&lt;authors&gt;&lt;author&gt;International Association for Public Participation&lt;/author&gt;&lt;/authors&gt;&lt;/contributors&gt;&lt;titles&gt;&lt;title&gt;IAP2 Public Participation Spectrum&lt;/title&gt;&lt;/titles&gt;&lt;dates&gt;&lt;year&gt;2019&lt;/year&gt;&lt;/dates&gt;&lt;publisher&gt;IAP2 Australasia&lt;/publisher&gt;&lt;work-type&gt;Internet&lt;/work-type&gt;&lt;urls&gt;&lt;related-urls&gt;&lt;url&gt;https://iap2.org.au/resources/spectrum/&lt;/url&gt;&lt;/related-urls&gt;&lt;/urls&gt;&lt;custom1&gt;2023&lt;/custom1&gt;&lt;custom2&gt;November 06&lt;/custom2&gt;&lt;/record&gt;&lt;/Cite&gt;&lt;/EndNote&gt;</w:instrText>
        </w:r>
        <w:r w:rsidR="002D6F18">
          <w:rPr>
            <w:sz w:val="20"/>
            <w:szCs w:val="20"/>
          </w:rPr>
          <w:fldChar w:fldCharType="separate"/>
        </w:r>
        <w:r w:rsidR="002D6F18" w:rsidRPr="00C559B5">
          <w:rPr>
            <w:noProof/>
            <w:sz w:val="20"/>
            <w:szCs w:val="20"/>
            <w:vertAlign w:val="superscript"/>
          </w:rPr>
          <w:t>313</w:t>
        </w:r>
        <w:r w:rsidR="002D6F18">
          <w:rPr>
            <w:sz w:val="20"/>
            <w:szCs w:val="20"/>
          </w:rPr>
          <w:fldChar w:fldCharType="end"/>
        </w:r>
      </w:hyperlink>
      <w:r w:rsidR="00126F8F">
        <w:rPr>
          <w:sz w:val="20"/>
          <w:szCs w:val="20"/>
        </w:rPr>
        <w:t xml:space="preserve"> </w:t>
      </w:r>
    </w:p>
    <w:p w14:paraId="05530C07" w14:textId="37EF7C92" w:rsidR="005022A3" w:rsidRDefault="3605BDAC" w:rsidP="00634A83">
      <w:r w:rsidRPr="00B768A1">
        <w:t>Over half of the national, state and territory, and regional suicide prevention policy documents in Australia were developed with some degree of engagement with people with lived and living experiences of suicide.</w:t>
      </w:r>
      <w:hyperlink w:anchor="_ENREF_263" w:tooltip="B, 2023 #328" w:history="1">
        <w:r w:rsidR="002D6F18">
          <w:fldChar w:fldCharType="begin"/>
        </w:r>
        <w:r w:rsidR="002D6F18">
          <w:instrText xml:space="preserve"> ADDIN EN.CITE &lt;EndNote&gt;&lt;Cite&gt;&lt;Author&gt;B&lt;/Author&gt;&lt;Year&gt;2023&lt;/Year&gt;&lt;RecNum&gt;328&lt;/RecNum&gt;&lt;DisplayText&gt;&lt;style face="superscript"&gt;263&lt;/style&gt;&lt;/DisplayText&gt;&lt;record&gt;&lt;rec-number&gt;328&lt;/rec-number&gt;&lt;foreign-keys&gt;&lt;key app="EN" db-id="rsettzd2isasdweewww55s9lffasxav0d0ft" timestamp="1700699471" guid="7ced630e-14fd-4dac-bb01-8df9ee599ce7"&gt;328&lt;/key&gt;&lt;/foreign-keys&gt;&lt;ref-type name="Web Page"&gt;12&lt;/ref-type&gt;&lt;contributors&gt;&lt;authors&gt;&lt;author&gt;Bassilios B&lt;/author&gt;&lt;author&gt;Dunt D&lt;/author&gt;&lt;author&gt;Currier D&lt;/author&gt;&lt;author&gt;Krysinska K&lt;/author&gt;&lt;author&gt;Machlin A&lt;/author&gt;&lt;author&gt;Newton D&lt;/author&gt;&lt;author&gt;Williamson M&lt;/author&gt;&lt;author&gt;Perkis J&lt;/author&gt;&lt;/authors&gt;&lt;/contributors&gt;&lt;titles&gt;&lt;title&gt;Environmental Scan of Suicide Prevention Activity in Australia: Summary Report&lt;/title&gt;&lt;/titles&gt;&lt;dates&gt;&lt;year&gt;2023&lt;/year&gt;&lt;/dates&gt;&lt;pub-location&gt;Melbourne&lt;/pub-location&gt;&lt;publisher&gt;Centre for Mental Health, The University of Melbourne&lt;/publisher&gt;&lt;urls&gt;&lt;related-urls&gt;&lt;url&gt;http://hdl.handle.net/11343/337092&lt;/url&gt;&lt;/related-urls&gt;&lt;/urls&gt;&lt;custom1&gt;2023&lt;/custom1&gt;&lt;custom2&gt;October 04&lt;/custom2&gt;&lt;/record&gt;&lt;/Cite&gt;&lt;/EndNote&gt;</w:instrText>
        </w:r>
        <w:r w:rsidR="002D6F18">
          <w:fldChar w:fldCharType="separate"/>
        </w:r>
        <w:r w:rsidR="002D6F18" w:rsidRPr="00C559B5">
          <w:rPr>
            <w:noProof/>
            <w:vertAlign w:val="superscript"/>
          </w:rPr>
          <w:t>263</w:t>
        </w:r>
        <w:r w:rsidR="002D6F18">
          <w:fldChar w:fldCharType="end"/>
        </w:r>
      </w:hyperlink>
      <w:r w:rsidR="00126F8F">
        <w:t xml:space="preserve"> </w:t>
      </w:r>
      <w:r w:rsidRPr="00B768A1">
        <w:t xml:space="preserve">However, more can be done to increase the level of engagement and </w:t>
      </w:r>
      <w:r w:rsidR="4A7C9D05" w:rsidRPr="00B768A1">
        <w:t>increase its impact on the documents produced</w:t>
      </w:r>
      <w:r w:rsidRPr="00B768A1">
        <w:t xml:space="preserve">. </w:t>
      </w:r>
    </w:p>
    <w:p w14:paraId="537BFADD" w14:textId="40AEF68C" w:rsidR="00682A5B" w:rsidRPr="00B768A1" w:rsidRDefault="26DD8253" w:rsidP="00634A83">
      <w:r w:rsidRPr="00B768A1">
        <w:t xml:space="preserve">Current approaches do not always </w:t>
      </w:r>
      <w:r w:rsidR="433E76EA" w:rsidRPr="00B768A1">
        <w:t>maximise</w:t>
      </w:r>
      <w:r w:rsidRPr="00B768A1">
        <w:t xml:space="preserve"> engagement nor match the method </w:t>
      </w:r>
      <w:r w:rsidR="5759EC82" w:rsidRPr="00B768A1">
        <w:t xml:space="preserve">and </w:t>
      </w:r>
      <w:r w:rsidR="226B0722" w:rsidRPr="00B768A1">
        <w:t xml:space="preserve">the </w:t>
      </w:r>
      <w:r w:rsidR="5759EC82" w:rsidRPr="00B768A1">
        <w:t xml:space="preserve">goals </w:t>
      </w:r>
      <w:r w:rsidRPr="00B768A1">
        <w:t xml:space="preserve">of </w:t>
      </w:r>
      <w:r w:rsidR="05E65400" w:rsidRPr="00B768A1">
        <w:t>the</w:t>
      </w:r>
      <w:r w:rsidRPr="00B768A1">
        <w:t xml:space="preserve"> engagement. </w:t>
      </w:r>
      <w:r w:rsidR="226B0722" w:rsidRPr="00B768A1">
        <w:t xml:space="preserve">Some groups are </w:t>
      </w:r>
      <w:r w:rsidRPr="00B768A1">
        <w:t>underrepresent</w:t>
      </w:r>
      <w:r w:rsidR="226B0722" w:rsidRPr="00B768A1">
        <w:t>ed</w:t>
      </w:r>
      <w:r w:rsidRPr="00B768A1">
        <w:t xml:space="preserve">, </w:t>
      </w:r>
      <w:r w:rsidR="78782647" w:rsidRPr="00B768A1">
        <w:t xml:space="preserve">and it is </w:t>
      </w:r>
      <w:r w:rsidRPr="00B768A1">
        <w:t xml:space="preserve">typically those that are disproportionately impacted, largely due to the existing systemic barriers limiting their access to engagement opportunities. In addition, there has been less engagement with people with lived and living experience of suicide </w:t>
      </w:r>
      <w:r w:rsidR="4254C7BB" w:rsidRPr="00B768A1">
        <w:t>outside of health</w:t>
      </w:r>
      <w:r w:rsidRPr="00B768A1">
        <w:t xml:space="preserve"> portfolios</w:t>
      </w:r>
      <w:r w:rsidR="35188FB2" w:rsidRPr="00B768A1">
        <w:t xml:space="preserve">. </w:t>
      </w:r>
      <w:r w:rsidR="4C32E81D" w:rsidRPr="00B768A1">
        <w:t xml:space="preserve">Coupled with a </w:t>
      </w:r>
      <w:r w:rsidR="5EC0D18A" w:rsidRPr="00B768A1">
        <w:t>lack of c</w:t>
      </w:r>
      <w:r w:rsidR="42BC989D" w:rsidRPr="00B768A1">
        <w:t xml:space="preserve">ollaboration </w:t>
      </w:r>
      <w:r w:rsidRPr="00B768A1">
        <w:t>across portfolios and sectors</w:t>
      </w:r>
      <w:r w:rsidR="142B6C5A" w:rsidRPr="00B768A1">
        <w:t xml:space="preserve">, this can lead to the development of </w:t>
      </w:r>
      <w:r w:rsidR="531AEB63" w:rsidRPr="00B768A1">
        <w:t>poor-quality</w:t>
      </w:r>
      <w:r w:rsidR="142B6C5A" w:rsidRPr="00B768A1">
        <w:t xml:space="preserve"> policy</w:t>
      </w:r>
      <w:r w:rsidRPr="00B768A1">
        <w:t xml:space="preserve">. This enabler outlines the actions needed to create consistency </w:t>
      </w:r>
      <w:r w:rsidR="39617262" w:rsidRPr="00B768A1">
        <w:t xml:space="preserve">in </w:t>
      </w:r>
      <w:r w:rsidRPr="00B768A1">
        <w:t xml:space="preserve">and familiarity with how people with lived and living experience of suicide </w:t>
      </w:r>
      <w:r w:rsidR="39617262" w:rsidRPr="00B768A1">
        <w:t xml:space="preserve">are meaningfully </w:t>
      </w:r>
      <w:r w:rsidRPr="00B768A1">
        <w:t>engaged</w:t>
      </w:r>
      <w:r w:rsidR="39617262" w:rsidRPr="00B768A1">
        <w:t xml:space="preserve"> in suicide prevention</w:t>
      </w:r>
      <w:r w:rsidRPr="00B768A1">
        <w:t>.</w:t>
      </w:r>
    </w:p>
    <w:p w14:paraId="4951674E" w14:textId="299996D0" w:rsidR="00664B11" w:rsidRPr="00641D27" w:rsidDel="00641D27" w:rsidRDefault="378E79E0" w:rsidP="00E1682B">
      <w:pPr>
        <w:pStyle w:val="BT-Livedexperience-Pink-Heading"/>
        <w:ind w:firstLine="465"/>
      </w:pPr>
      <w:r>
        <w:rPr>
          <w:noProof/>
        </w:rPr>
        <w:drawing>
          <wp:anchor distT="0" distB="0" distL="114300" distR="114300" simplePos="0" relativeHeight="251658246" behindDoc="0" locked="0" layoutInCell="1" allowOverlap="1" wp14:anchorId="355F7748" wp14:editId="2AC87E21">
            <wp:simplePos x="0" y="0"/>
            <wp:positionH relativeFrom="column">
              <wp:posOffset>84454</wp:posOffset>
            </wp:positionH>
            <wp:positionV relativeFrom="paragraph">
              <wp:posOffset>58762</wp:posOffset>
            </wp:positionV>
            <wp:extent cx="318864" cy="318864"/>
            <wp:effectExtent l="0" t="0" r="5080" b="5080"/>
            <wp:wrapNone/>
            <wp:docPr id="903805550" name="Graphic 903805550" descr="Start of quotation from the Roses in the Ocean lived experience of suicide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03805550"/>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rot="16200000">
                      <a:off x="0" y="0"/>
                      <a:ext cx="318864" cy="318864"/>
                    </a:xfrm>
                    <a:prstGeom prst="rect">
                      <a:avLst/>
                    </a:prstGeom>
                  </pic:spPr>
                </pic:pic>
              </a:graphicData>
            </a:graphic>
          </wp:anchor>
        </w:drawing>
      </w:r>
      <w:r w:rsidR="1A06FA2D" w:rsidRPr="04A3B251">
        <w:t>Reflections from people with lived experience</w:t>
      </w:r>
    </w:p>
    <w:p w14:paraId="20EE920F" w14:textId="3D44EF19" w:rsidR="005022A3" w:rsidRPr="00B768A1" w:rsidRDefault="000C5FDE" w:rsidP="00634A83">
      <w:pPr>
        <w:pStyle w:val="BT-Livedexperience-Pink"/>
      </w:pPr>
      <w:r>
        <w:t>“</w:t>
      </w:r>
      <w:r w:rsidR="00EB1A69">
        <w:t xml:space="preserve">Continued efforts to </w:t>
      </w:r>
      <w:r w:rsidR="00EB1A69" w:rsidRPr="00F833FC">
        <w:rPr>
          <w:rStyle w:val="Strong"/>
          <w:b w:val="0"/>
          <w:bCs w:val="0"/>
        </w:rPr>
        <w:t>build the skills, knowledge and capabilities</w:t>
      </w:r>
      <w:r w:rsidR="00EB1A69" w:rsidRPr="00F833FC">
        <w:rPr>
          <w:color w:val="97508A"/>
        </w:rPr>
        <w:t xml:space="preserve"> </w:t>
      </w:r>
      <w:r w:rsidR="00EB1A69">
        <w:t>of people with lived experience of suicide are necessary if we are to generate the cultural changes and systemic shifts needed for driving down the suicide rate.</w:t>
      </w:r>
      <w:r w:rsidR="006E74CD">
        <w:t xml:space="preserve"> </w:t>
      </w:r>
      <w:r w:rsidR="00EB1A69">
        <w:t xml:space="preserve">Key to the Strategy’s success is the </w:t>
      </w:r>
      <w:r w:rsidR="00EB1A69" w:rsidRPr="00F833FC">
        <w:rPr>
          <w:rStyle w:val="Strong"/>
          <w:b w:val="0"/>
          <w:bCs w:val="0"/>
        </w:rPr>
        <w:t>accountability of governments</w:t>
      </w:r>
      <w:r w:rsidR="00EB1A69">
        <w:t xml:space="preserve">, and agencies across government, for implementation consistent with the Strategy’s </w:t>
      </w:r>
      <w:r w:rsidR="00EB1A69" w:rsidRPr="00F833FC">
        <w:rPr>
          <w:rStyle w:val="Strong"/>
          <w:b w:val="0"/>
          <w:bCs w:val="0"/>
        </w:rPr>
        <w:t>engagement of people with lived experience of suicide</w:t>
      </w:r>
      <w:r w:rsidR="00EB1A69">
        <w:t>. Sadly, government agencies at all levels are mostly still in the earliest phases of developing meaningful lived experience participation in their suicide prevention activities, or even understanding why this is so critical</w:t>
      </w:r>
      <w:r w:rsidR="00EB1A69" w:rsidRPr="00B768A1">
        <w:t>.</w:t>
      </w:r>
      <w:r w:rsidR="005022A3">
        <w:t>”</w:t>
      </w:r>
      <w:r w:rsidR="00EB1A69">
        <w:t xml:space="preserve"> </w:t>
      </w:r>
    </w:p>
    <w:p w14:paraId="35B43F6A" w14:textId="5A5D9B5A" w:rsidR="000A7BDA" w:rsidRPr="00B768A1" w:rsidRDefault="00EB1A69" w:rsidP="003E535C">
      <w:pPr>
        <w:pStyle w:val="BT-Livedexperience-Pink"/>
        <w:jc w:val="right"/>
        <w:rPr>
          <w:b/>
          <w:bCs/>
        </w:rPr>
      </w:pPr>
      <w:r w:rsidRPr="00103222">
        <w:rPr>
          <w:rStyle w:val="Strong"/>
        </w:rPr>
        <w:t>Bronwen Edwards</w:t>
      </w:r>
      <w:r w:rsidRPr="00B768A1">
        <w:rPr>
          <w:rStyle w:val="Strong"/>
          <w:b w:val="0"/>
          <w:bCs w:val="0"/>
        </w:rPr>
        <w:t>,</w:t>
      </w:r>
      <w:r w:rsidR="2EC32045" w:rsidRPr="00B768A1">
        <w:rPr>
          <w:rStyle w:val="Strong"/>
          <w:b w:val="0"/>
          <w:bCs w:val="0"/>
        </w:rPr>
        <w:t xml:space="preserve"> </w:t>
      </w:r>
      <w:r w:rsidRPr="00B768A1">
        <w:rPr>
          <w:rStyle w:val="Strong"/>
          <w:b w:val="0"/>
          <w:bCs w:val="0"/>
        </w:rPr>
        <w:t>National Suicide Prevention Office Advisory Board member</w:t>
      </w:r>
    </w:p>
    <w:p w14:paraId="7EBC1449" w14:textId="77777777" w:rsidR="00931C62" w:rsidRPr="003E535C" w:rsidRDefault="00931C62" w:rsidP="00634A83">
      <w:pPr>
        <w:rPr>
          <w:sz w:val="2"/>
          <w:szCs w:val="2"/>
        </w:rPr>
      </w:pPr>
    </w:p>
    <w:p w14:paraId="58B6622B" w14:textId="3A6A41CC" w:rsidR="03EB5B7F" w:rsidRPr="002E1C3C" w:rsidRDefault="30694B81" w:rsidP="009A31BA">
      <w:pPr>
        <w:pStyle w:val="BT-Livedexperience-Pink-Heading"/>
        <w:spacing w:before="120"/>
      </w:pPr>
      <w:r w:rsidRPr="002E1C3C">
        <w:t xml:space="preserve">What </w:t>
      </w:r>
      <w:r w:rsidR="00DE14DA">
        <w:t>do</w:t>
      </w:r>
      <w:r w:rsidR="00DE14DA" w:rsidRPr="002E1C3C">
        <w:t xml:space="preserve"> </w:t>
      </w:r>
      <w:r w:rsidRPr="002E1C3C">
        <w:t xml:space="preserve">we </w:t>
      </w:r>
      <w:r w:rsidR="00DE14DA">
        <w:t xml:space="preserve">need </w:t>
      </w:r>
      <w:r w:rsidRPr="002E1C3C">
        <w:t>to achieve?</w:t>
      </w:r>
    </w:p>
    <w:p w14:paraId="28C3715B" w14:textId="3CB45C3F" w:rsidR="03EB5B7F" w:rsidRPr="002E1C3C" w:rsidRDefault="30694B81" w:rsidP="00634A83">
      <w:pPr>
        <w:pStyle w:val="BT-Livedexperience-Pink"/>
      </w:pPr>
      <w:r w:rsidRPr="002E1C3C">
        <w:t>Suicide prevention in Australia has consistent and meaningful involvement of people with a lived and living experience of suicide in the design and delivery of high quality and effective suicide prevention activities.</w:t>
      </w:r>
    </w:p>
    <w:p w14:paraId="02FB654F" w14:textId="58DE34F0" w:rsidR="00682A5B" w:rsidRDefault="48209487" w:rsidP="00634A83">
      <w:pPr>
        <w:pStyle w:val="Heading3"/>
      </w:pPr>
      <w:r w:rsidRPr="5B74CE65">
        <w:t>ce2.1 Creat</w:t>
      </w:r>
      <w:r w:rsidR="003C5A8A">
        <w:t>e</w:t>
      </w:r>
      <w:r w:rsidR="00682A5B" w:rsidRPr="5B74CE65">
        <w:t xml:space="preserve"> supportive and safe environment</w:t>
      </w:r>
      <w:r w:rsidR="000A2A84">
        <w:t>s</w:t>
      </w:r>
    </w:p>
    <w:p w14:paraId="618A14BF" w14:textId="0075B83B" w:rsidR="00682A5B" w:rsidRDefault="7F7CA10E" w:rsidP="00634A83">
      <w:r w:rsidRPr="00B768A1">
        <w:t>People with lived and living experience of suicide have highlighted that meaningful engagement depends on feel</w:t>
      </w:r>
      <w:r w:rsidR="21194F1C" w:rsidRPr="00B768A1">
        <w:t>ing</w:t>
      </w:r>
      <w:r w:rsidRPr="00B768A1">
        <w:t xml:space="preserve"> accepted and valued by those who are seeking their participation.</w:t>
      </w:r>
      <w:r w:rsidR="241A7D91">
        <w:t xml:space="preserve"> </w:t>
      </w:r>
      <w:r w:rsidR="290BDC4D">
        <w:t>T</w:t>
      </w:r>
      <w:r w:rsidR="5F376F50" w:rsidRPr="00B768A1">
        <w:t>hose wishing to engage with people with lived and living experience of suicide</w:t>
      </w:r>
      <w:r w:rsidR="5041A6D5">
        <w:t xml:space="preserve"> </w:t>
      </w:r>
      <w:r w:rsidR="290BDC4D">
        <w:t xml:space="preserve">must therefore </w:t>
      </w:r>
      <w:r w:rsidR="5F376F50" w:rsidRPr="00B768A1">
        <w:t>create environments that are inclusive, supportive</w:t>
      </w:r>
      <w:r w:rsidR="50969F36" w:rsidRPr="00B768A1">
        <w:t xml:space="preserve"> and </w:t>
      </w:r>
      <w:r w:rsidR="5F376F50" w:rsidRPr="00B768A1">
        <w:t>safe, recognise the value of lived and living experience, and are open to incorporating the insights provided.</w:t>
      </w:r>
      <w:r w:rsidR="5F376F50">
        <w:t xml:space="preserve"> </w:t>
      </w:r>
      <w:r w:rsidR="6B3B9E5A">
        <w:t>In some instances</w:t>
      </w:r>
      <w:r w:rsidR="5F376F50" w:rsidRPr="00B768A1">
        <w:t>, this will require guidance and training of senior leaders</w:t>
      </w:r>
      <w:r w:rsidR="07AACEE0" w:rsidRPr="00B768A1">
        <w:t xml:space="preserve"> and</w:t>
      </w:r>
      <w:r w:rsidR="5F376F50" w:rsidRPr="00B768A1">
        <w:t xml:space="preserve"> the staff who will be working directly with people with lived and living experience of suicide. This should focus on the development of supportive structures, environments that authorise the value of lived experience in decision</w:t>
      </w:r>
      <w:r w:rsidR="5EFD0A81" w:rsidRPr="00B768A1">
        <w:t>-</w:t>
      </w:r>
      <w:r w:rsidR="5F376F50" w:rsidRPr="00B768A1">
        <w:t>making, and a commitment to engaging people with lived and living experience of suicide in a meaningful way</w:t>
      </w:r>
      <w:r w:rsidR="66958EC9" w:rsidRPr="00B768A1">
        <w:t xml:space="preserve"> (</w:t>
      </w:r>
      <w:r w:rsidR="71A385C2">
        <w:t>action ce</w:t>
      </w:r>
      <w:r w:rsidR="66958EC9" w:rsidRPr="00B768A1">
        <w:t>2.1a)</w:t>
      </w:r>
      <w:r w:rsidR="5F376F50" w:rsidRPr="00B768A1">
        <w:t>.</w:t>
      </w:r>
      <w:hyperlink w:anchor="_ENREF_315" w:tooltip="S, 2020 #292" w:history="1">
        <w:r w:rsidR="002D6F18">
          <w:fldChar w:fldCharType="begin"/>
        </w:r>
        <w:r w:rsidR="002D6F18">
          <w:instrText xml:space="preserve"> ADDIN EN.CITE &lt;EndNote&gt;&lt;Cite&gt;&lt;Author&gt;S&lt;/Author&gt;&lt;Year&gt;2020&lt;/Year&gt;&lt;RecNum&gt;292&lt;/RecNum&gt;&lt;DisplayText&gt;&lt;style face="superscript"&gt;315&lt;/style&gt;&lt;/DisplayText&gt;&lt;record&gt;&lt;rec-number&gt;292&lt;/rec-number&gt;&lt;foreign-keys&gt;&lt;key app="EN" db-id="rsettzd2isasdweewww55s9lffasxav0d0ft" timestamp="1700699470" guid="3c2d0154-5cf8-4dcc-9dfd-4aa0c56a7f34"&gt;292&lt;/key&gt;&lt;/foreign-keys&gt;&lt;ref-type name="Journal Article"&gt;17&lt;/ref-type&gt;&lt;contributors&gt;&lt;authors&gt;&lt;author&gt;Wayland S&lt;/author&gt;&lt;author&gt;McKay K&lt;/author&gt;&lt;author&gt;Maple M&lt;/author&gt;&lt;/authors&gt;&lt;/contributors&gt;&lt;titles&gt;&lt;title&gt;How is Participating in Suicide Prevention Activities Experienced by Those with Lived and Living Experiences of Suicide in Australia? A Qualitative Study&lt;/title&gt;&lt;secondary-title&gt;International Journal of Environmental Research and Public Health&lt;/secondary-title&gt;&lt;/titles&gt;&lt;periodical&gt;&lt;full-title&gt;International Journal of Environmental Research and Public Health&lt;/full-title&gt;&lt;/periodical&gt;&lt;dates&gt;&lt;year&gt;2020&lt;/year&gt;&lt;/dates&gt;&lt;urls&gt;&lt;/urls&gt;&lt;electronic-resource-num&gt;DOI: 10.3390/ijerph17134635&lt;/electronic-resource-num&gt;&lt;/record&gt;&lt;/Cite&gt;&lt;/EndNote&gt;</w:instrText>
        </w:r>
        <w:r w:rsidR="002D6F18">
          <w:fldChar w:fldCharType="separate"/>
        </w:r>
        <w:r w:rsidR="002D6F18" w:rsidRPr="00C559B5">
          <w:rPr>
            <w:noProof/>
            <w:vertAlign w:val="superscript"/>
          </w:rPr>
          <w:t>315</w:t>
        </w:r>
        <w:r w:rsidR="002D6F18">
          <w:fldChar w:fldCharType="end"/>
        </w:r>
      </w:hyperlink>
      <w:r w:rsidR="00126F8F">
        <w:t xml:space="preserve"> </w:t>
      </w:r>
    </w:p>
    <w:p w14:paraId="6261F4F2" w14:textId="6C36F19C" w:rsidR="001B12F1" w:rsidRPr="00B768A1" w:rsidRDefault="001B12F1" w:rsidP="00634A83">
      <w:r>
        <w:t>The recommended action to achieve this is described in</w:t>
      </w:r>
      <w:r w:rsidR="00F04C6C">
        <w:t xml:space="preserve"> </w:t>
      </w:r>
      <w:r w:rsidR="00F04C6C">
        <w:fldChar w:fldCharType="begin"/>
      </w:r>
      <w:r w:rsidR="00F04C6C">
        <w:instrText xml:space="preserve"> REF _Ref162249235 \h </w:instrText>
      </w:r>
      <w:r w:rsidR="00F04C6C">
        <w:fldChar w:fldCharType="separate"/>
      </w:r>
      <w:r w:rsidR="009F12B4">
        <w:t xml:space="preserve">Table </w:t>
      </w:r>
      <w:r w:rsidR="009F12B4">
        <w:rPr>
          <w:noProof/>
        </w:rPr>
        <w:t>34</w:t>
      </w:r>
      <w:r w:rsidR="00F04C6C">
        <w:fldChar w:fldCharType="end"/>
      </w:r>
      <w:r>
        <w:t>.</w:t>
      </w:r>
    </w:p>
    <w:p w14:paraId="456F37F6" w14:textId="7D2F5116" w:rsidR="00452CE5" w:rsidRPr="00641D27" w:rsidDel="00641D27" w:rsidRDefault="00992E6F" w:rsidP="00E1682B">
      <w:pPr>
        <w:pStyle w:val="BT-Livedexperience-Pink-Heading"/>
        <w:ind w:firstLine="465"/>
      </w:pPr>
      <w:r>
        <w:rPr>
          <w:noProof/>
        </w:rPr>
        <w:drawing>
          <wp:anchor distT="0" distB="0" distL="114300" distR="114300" simplePos="0" relativeHeight="251658247" behindDoc="0" locked="0" layoutInCell="1" allowOverlap="1" wp14:anchorId="23C08965" wp14:editId="3A2E7473">
            <wp:simplePos x="0" y="0"/>
            <wp:positionH relativeFrom="column">
              <wp:posOffset>83820</wp:posOffset>
            </wp:positionH>
            <wp:positionV relativeFrom="paragraph">
              <wp:posOffset>142875</wp:posOffset>
            </wp:positionV>
            <wp:extent cx="318864" cy="318864"/>
            <wp:effectExtent l="0" t="0" r="5080" b="5080"/>
            <wp:wrapNone/>
            <wp:docPr id="976192753" name="Graphic 976192753" descr="Start of quotation from National Suicide Prevention Office Advisory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76192753"/>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rot="16200000">
                      <a:off x="0" y="0"/>
                      <a:ext cx="318864" cy="318864"/>
                    </a:xfrm>
                    <a:prstGeom prst="rect">
                      <a:avLst/>
                    </a:prstGeom>
                  </pic:spPr>
                </pic:pic>
              </a:graphicData>
            </a:graphic>
          </wp:anchor>
        </w:drawing>
      </w:r>
      <w:r w:rsidR="7E195506" w:rsidRPr="04A3B251">
        <w:t>Reflections from people with lived experience</w:t>
      </w:r>
    </w:p>
    <w:p w14:paraId="05E5C221" w14:textId="4D21596D" w:rsidR="00553E3D" w:rsidRPr="00B768A1" w:rsidRDefault="000C5FDE" w:rsidP="00634A83">
      <w:pPr>
        <w:pStyle w:val="BT-Livedexperience-Pink"/>
      </w:pPr>
      <w:r>
        <w:t>“</w:t>
      </w:r>
      <w:r w:rsidR="00553E3D">
        <w:t xml:space="preserve">It’s essential to </w:t>
      </w:r>
      <w:r w:rsidR="00553E3D" w:rsidRPr="00F833FC">
        <w:rPr>
          <w:rStyle w:val="Strong"/>
          <w:b w:val="0"/>
          <w:bCs w:val="0"/>
        </w:rPr>
        <w:t>accept lived experience expertise</w:t>
      </w:r>
      <w:r w:rsidR="00553E3D" w:rsidRPr="45E58E07">
        <w:rPr>
          <w:color w:val="97508A"/>
        </w:rPr>
        <w:t xml:space="preserve"> </w:t>
      </w:r>
      <w:r w:rsidR="00553E3D">
        <w:t xml:space="preserve">as </w:t>
      </w:r>
      <w:r w:rsidR="00553E3D" w:rsidRPr="00F833FC">
        <w:rPr>
          <w:rStyle w:val="Strong"/>
          <w:b w:val="0"/>
          <w:bCs w:val="0"/>
        </w:rPr>
        <w:t>an important part of the system</w:t>
      </w:r>
      <w:r w:rsidR="00553E3D">
        <w:t xml:space="preserve">. It’s important to have Lived Experience Advocates in government and service delivery </w:t>
      </w:r>
      <w:r w:rsidR="00553E3D" w:rsidRPr="00F833FC">
        <w:rPr>
          <w:rStyle w:val="Strong"/>
          <w:b w:val="0"/>
          <w:bCs w:val="0"/>
        </w:rPr>
        <w:t>decision</w:t>
      </w:r>
      <w:r w:rsidR="006B12C7" w:rsidRPr="00F833FC">
        <w:rPr>
          <w:rStyle w:val="Strong"/>
          <w:b w:val="0"/>
          <w:bCs w:val="0"/>
        </w:rPr>
        <w:t>-</w:t>
      </w:r>
      <w:r w:rsidR="00553E3D" w:rsidRPr="00F833FC">
        <w:rPr>
          <w:rStyle w:val="Strong"/>
          <w:b w:val="0"/>
          <w:bCs w:val="0"/>
        </w:rPr>
        <w:t>making positions</w:t>
      </w:r>
      <w:r w:rsidR="00553E3D">
        <w:t xml:space="preserve"> to look at views through the lived experience lens and to remove the institutional stigma. The presence of lived experience in decision</w:t>
      </w:r>
      <w:r w:rsidR="00AC4FE2">
        <w:t>-</w:t>
      </w:r>
      <w:r w:rsidR="00553E3D">
        <w:t>making positions abolishes the idea that we impinge on the process</w:t>
      </w:r>
      <w:r w:rsidR="00CD1A62">
        <w:t>;</w:t>
      </w:r>
      <w:r w:rsidR="00553E3D">
        <w:t xml:space="preserve"> we are not a burden. Our involvement </w:t>
      </w:r>
      <w:r w:rsidR="00553E3D" w:rsidRPr="00F833FC">
        <w:rPr>
          <w:rStyle w:val="Strong"/>
          <w:b w:val="0"/>
          <w:bCs w:val="0"/>
        </w:rPr>
        <w:t>provides a safeguard</w:t>
      </w:r>
      <w:r w:rsidR="00553E3D" w:rsidRPr="45E58E07">
        <w:rPr>
          <w:color w:val="97508A"/>
        </w:rPr>
        <w:t xml:space="preserve"> </w:t>
      </w:r>
      <w:r w:rsidR="00553E3D">
        <w:t xml:space="preserve">against problems arising when policies are implemented and </w:t>
      </w:r>
      <w:r w:rsidR="00553E3D" w:rsidRPr="00F833FC">
        <w:rPr>
          <w:rStyle w:val="Strong"/>
          <w:b w:val="0"/>
          <w:bCs w:val="0"/>
        </w:rPr>
        <w:t>ensures the evidence being presented is supported</w:t>
      </w:r>
      <w:r w:rsidR="00553E3D" w:rsidRPr="45E58E07">
        <w:rPr>
          <w:color w:val="97508A"/>
        </w:rPr>
        <w:t xml:space="preserve"> </w:t>
      </w:r>
      <w:r w:rsidR="00553E3D">
        <w:t xml:space="preserve">through the lived experience, so we can be confident that the </w:t>
      </w:r>
      <w:r w:rsidR="00553E3D" w:rsidRPr="00F833FC">
        <w:rPr>
          <w:rStyle w:val="Strong"/>
          <w:b w:val="0"/>
          <w:bCs w:val="0"/>
        </w:rPr>
        <w:t>advice</w:t>
      </w:r>
      <w:r w:rsidR="00553E3D" w:rsidRPr="00F833FC">
        <w:rPr>
          <w:color w:val="97508A"/>
        </w:rPr>
        <w:t xml:space="preserve"> </w:t>
      </w:r>
      <w:r w:rsidR="00553E3D">
        <w:t xml:space="preserve">being provided is the </w:t>
      </w:r>
      <w:r w:rsidR="00553E3D" w:rsidRPr="00F833FC">
        <w:rPr>
          <w:rStyle w:val="Strong"/>
          <w:b w:val="0"/>
          <w:bCs w:val="0"/>
        </w:rPr>
        <w:t>best it can possibly be</w:t>
      </w:r>
      <w:r w:rsidR="00553E3D">
        <w:t>.</w:t>
      </w:r>
      <w:r>
        <w:t>”</w:t>
      </w:r>
    </w:p>
    <w:p w14:paraId="5A552F0C" w14:textId="1370838A" w:rsidR="00553E3D" w:rsidRDefault="00553E3D" w:rsidP="003E535C">
      <w:pPr>
        <w:pStyle w:val="BT-Livedexperience-Pink"/>
        <w:jc w:val="right"/>
        <w:rPr>
          <w:rStyle w:val="Strong"/>
          <w:b w:val="0"/>
          <w:bCs w:val="0"/>
        </w:rPr>
      </w:pPr>
      <w:r w:rsidRPr="00B768A1">
        <w:rPr>
          <w:rStyle w:val="Strong"/>
        </w:rPr>
        <w:t>Graeme Holdsworth</w:t>
      </w:r>
      <w:r w:rsidRPr="00B768A1">
        <w:rPr>
          <w:rStyle w:val="Strong"/>
          <w:b w:val="0"/>
          <w:bCs w:val="0"/>
        </w:rPr>
        <w:t>, National Suicide Prevention Office Advisory Board member</w:t>
      </w:r>
    </w:p>
    <w:p w14:paraId="4818462D" w14:textId="455AF6A7" w:rsidR="001B12F1" w:rsidRPr="00B768A1" w:rsidRDefault="001B12F1" w:rsidP="00745B34">
      <w:pPr>
        <w:pStyle w:val="Caption"/>
        <w:rPr>
          <w:rStyle w:val="Strong"/>
        </w:rPr>
      </w:pPr>
      <w:bookmarkStart w:id="161" w:name="_Ref162249235"/>
      <w:r>
        <w:t xml:space="preserve">Table </w:t>
      </w:r>
      <w:r>
        <w:fldChar w:fldCharType="begin"/>
      </w:r>
      <w:r>
        <w:instrText>SEQ Table \* ARABIC</w:instrText>
      </w:r>
      <w:r>
        <w:fldChar w:fldCharType="separate"/>
      </w:r>
      <w:r w:rsidR="009F12B4">
        <w:rPr>
          <w:noProof/>
        </w:rPr>
        <w:t>34</w:t>
      </w:r>
      <w:r>
        <w:fldChar w:fldCharType="end"/>
      </w:r>
      <w:bookmarkEnd w:id="161"/>
      <w:r>
        <w:t>: Recommended action for critical enabler 2.1: Create supportive and safe environment</w:t>
      </w:r>
      <w:r w:rsidR="008B0434">
        <w:t>s</w:t>
      </w:r>
    </w:p>
    <w:tbl>
      <w:tblPr>
        <w:tblStyle w:val="TableGrid"/>
        <w:tblW w:w="9072" w:type="dxa"/>
        <w:tblLook w:val="0400" w:firstRow="0" w:lastRow="0" w:firstColumn="0" w:lastColumn="0" w:noHBand="0" w:noVBand="1"/>
        <w:tblCaption w:val="Recommended action for critical enabler 2.1: Create a supportive and safe environment"/>
        <w:tblDescription w:val="Describes action ce2.1a"/>
      </w:tblPr>
      <w:tblGrid>
        <w:gridCol w:w="1129"/>
        <w:gridCol w:w="7943"/>
      </w:tblGrid>
      <w:tr w:rsidR="006F3382" w:rsidRPr="009E2CD6" w14:paraId="391D00F2" w14:textId="77777777" w:rsidTr="45E58E07">
        <w:trPr>
          <w:cantSplit/>
          <w:trHeight w:val="300"/>
          <w:tblHeader/>
        </w:trPr>
        <w:tc>
          <w:tcPr>
            <w:tcW w:w="1129" w:type="dxa"/>
            <w:tcBorders>
              <w:top w:val="single" w:sz="4" w:space="0" w:color="FFFFFF" w:themeColor="background1"/>
            </w:tcBorders>
            <w:shd w:val="clear" w:color="auto" w:fill="D980AD" w:themeFill="accent4"/>
          </w:tcPr>
          <w:p w14:paraId="7B84A81B" w14:textId="2040A80D" w:rsidR="006F3382" w:rsidRPr="009E2CD6" w:rsidRDefault="006F3382" w:rsidP="004F5B0E">
            <w:pPr>
              <w:pStyle w:val="NMHCTableHeaderRow"/>
            </w:pPr>
            <w:r w:rsidRPr="009E2CD6">
              <w:t>Action</w:t>
            </w:r>
          </w:p>
        </w:tc>
        <w:tc>
          <w:tcPr>
            <w:tcW w:w="7943" w:type="dxa"/>
            <w:tcBorders>
              <w:top w:val="single" w:sz="4" w:space="0" w:color="FFFFFF" w:themeColor="background1"/>
            </w:tcBorders>
            <w:shd w:val="clear" w:color="auto" w:fill="D980AD" w:themeFill="accent4"/>
            <w:tcMar>
              <w:top w:w="28" w:type="dxa"/>
              <w:bottom w:w="28" w:type="dxa"/>
            </w:tcMar>
          </w:tcPr>
          <w:p w14:paraId="2B320600" w14:textId="61158FD7" w:rsidR="006F3382" w:rsidRPr="009E2CD6" w:rsidRDefault="00D85EFA" w:rsidP="004F5B0E">
            <w:pPr>
              <w:pStyle w:val="NMHCTableHeaderRow"/>
              <w:rPr>
                <w:rStyle w:val="normaltextrun"/>
                <w:rFonts w:eastAsiaTheme="minorEastAsia"/>
              </w:rPr>
            </w:pPr>
            <w:r>
              <w:rPr>
                <w:rStyle w:val="normaltextrun"/>
                <w:rFonts w:eastAsiaTheme="minorEastAsia"/>
              </w:rPr>
              <w:t>Description</w:t>
            </w:r>
          </w:p>
        </w:tc>
      </w:tr>
      <w:tr w:rsidR="00682A5B" w:rsidRPr="00B768A1" w14:paraId="2ED75A2D" w14:textId="77777777" w:rsidTr="45E58E07">
        <w:trPr>
          <w:trHeight w:val="300"/>
        </w:trPr>
        <w:tc>
          <w:tcPr>
            <w:tcW w:w="1129" w:type="dxa"/>
            <w:tcBorders>
              <w:top w:val="nil"/>
            </w:tcBorders>
          </w:tcPr>
          <w:p w14:paraId="05484074" w14:textId="5F1D7A49" w:rsidR="00682A5B" w:rsidRPr="00F833FC" w:rsidRDefault="00752C00" w:rsidP="00634A83">
            <w:pPr>
              <w:rPr>
                <w:rStyle w:val="normaltextrun"/>
                <w:rFonts w:cstheme="minorBidi"/>
              </w:rPr>
            </w:pPr>
            <w:r w:rsidRPr="00F833FC">
              <w:rPr>
                <w:rStyle w:val="normaltextrun"/>
                <w:rFonts w:cstheme="minorBidi"/>
              </w:rPr>
              <w:t>ce</w:t>
            </w:r>
            <w:r w:rsidR="00682A5B" w:rsidRPr="00F833FC">
              <w:rPr>
                <w:rStyle w:val="normaltextrun"/>
                <w:rFonts w:cstheme="minorBidi"/>
              </w:rPr>
              <w:t>2.1</w:t>
            </w:r>
            <w:r w:rsidR="3513F3C4" w:rsidRPr="00F833FC">
              <w:rPr>
                <w:rStyle w:val="normaltextrun"/>
                <w:rFonts w:cstheme="minorBidi"/>
              </w:rPr>
              <w:t>a</w:t>
            </w:r>
          </w:p>
        </w:tc>
        <w:tc>
          <w:tcPr>
            <w:tcW w:w="7943" w:type="dxa"/>
            <w:tcBorders>
              <w:top w:val="nil"/>
            </w:tcBorders>
            <w:tcMar>
              <w:top w:w="28" w:type="dxa"/>
              <w:bottom w:w="28" w:type="dxa"/>
            </w:tcMar>
          </w:tcPr>
          <w:p w14:paraId="3FDD6846" w14:textId="7540183F" w:rsidR="00682A5B" w:rsidRPr="00F833FC" w:rsidRDefault="00682A5B" w:rsidP="00634A83">
            <w:pPr>
              <w:rPr>
                <w:rStyle w:val="normaltextrun"/>
                <w:rFonts w:eastAsiaTheme="minorEastAsia"/>
              </w:rPr>
            </w:pPr>
            <w:r w:rsidRPr="00F833FC">
              <w:rPr>
                <w:rStyle w:val="normaltextrun"/>
                <w:rFonts w:eastAsiaTheme="minorEastAsia"/>
              </w:rPr>
              <w:t>Build the capability of government departments and agencies to work with people with lived and living experience of suicide.</w:t>
            </w:r>
          </w:p>
          <w:p w14:paraId="2BF61FDF" w14:textId="44F6D8F3" w:rsidR="00682A5B" w:rsidRPr="00F833FC" w:rsidRDefault="292C8A50" w:rsidP="00634A83">
            <w:pPr>
              <w:pStyle w:val="ListParagraph"/>
              <w:numPr>
                <w:ilvl w:val="0"/>
                <w:numId w:val="49"/>
              </w:numPr>
              <w:rPr>
                <w:rStyle w:val="normaltextrun"/>
                <w:rFonts w:eastAsiaTheme="minorEastAsia" w:cstheme="minorBidi"/>
                <w:lang w:val="en-AU"/>
              </w:rPr>
            </w:pPr>
            <w:r w:rsidRPr="00F833FC">
              <w:rPr>
                <w:rStyle w:val="normaltextrun"/>
                <w:rFonts w:eastAsiaTheme="minorEastAsia" w:cstheme="minorBidi"/>
                <w:lang w:val="en-AU"/>
              </w:rPr>
              <w:t>Ensure</w:t>
            </w:r>
            <w:r w:rsidR="00682A5B" w:rsidRPr="00F833FC">
              <w:rPr>
                <w:rStyle w:val="normaltextrun"/>
                <w:rFonts w:eastAsiaTheme="minorEastAsia" w:cstheme="minorBidi"/>
                <w:lang w:val="en-AU"/>
              </w:rPr>
              <w:t xml:space="preserve"> senior leadership has the knowledge and skills required to create organisational cultures that value and enable lived and living experience expertise in decision</w:t>
            </w:r>
            <w:r w:rsidR="7EEE0ED0" w:rsidRPr="00F833FC">
              <w:rPr>
                <w:rStyle w:val="normaltextrun"/>
                <w:rFonts w:eastAsiaTheme="minorEastAsia" w:cstheme="minorBidi"/>
                <w:lang w:val="en-AU"/>
              </w:rPr>
              <w:t>-</w:t>
            </w:r>
            <w:r w:rsidR="00682A5B" w:rsidRPr="00F833FC">
              <w:rPr>
                <w:rStyle w:val="normaltextrun"/>
                <w:rFonts w:eastAsiaTheme="minorEastAsia" w:cstheme="minorBidi"/>
                <w:lang w:val="en-AU"/>
              </w:rPr>
              <w:t>making</w:t>
            </w:r>
            <w:r w:rsidRPr="00F833FC">
              <w:rPr>
                <w:rStyle w:val="normaltextrun"/>
                <w:rFonts w:eastAsiaTheme="minorEastAsia" w:cstheme="minorBidi"/>
                <w:lang w:val="en-AU"/>
              </w:rPr>
              <w:t>.</w:t>
            </w:r>
          </w:p>
          <w:p w14:paraId="1C316AB5" w14:textId="53231FEE" w:rsidR="00682A5B" w:rsidRPr="00F833FC" w:rsidRDefault="292C8A50" w:rsidP="00634A83">
            <w:pPr>
              <w:pStyle w:val="ListParagraph"/>
              <w:numPr>
                <w:ilvl w:val="0"/>
                <w:numId w:val="49"/>
              </w:numPr>
            </w:pPr>
            <w:r w:rsidRPr="00F833FC">
              <w:rPr>
                <w:rStyle w:val="normaltextrun"/>
                <w:rFonts w:eastAsiaTheme="minorEastAsia" w:cstheme="minorBidi"/>
                <w:lang w:val="en-AU"/>
              </w:rPr>
              <w:t>Equip</w:t>
            </w:r>
            <w:r w:rsidR="00682A5B" w:rsidRPr="00F833FC">
              <w:rPr>
                <w:rStyle w:val="normaltextrun"/>
                <w:rFonts w:eastAsiaTheme="minorEastAsia" w:cstheme="minorBidi"/>
                <w:lang w:val="en-AU"/>
              </w:rPr>
              <w:t xml:space="preserve"> managers with the knowledge and skills to provide direct support and line management for </w:t>
            </w:r>
            <w:r w:rsidR="24617E6A" w:rsidRPr="00F833FC">
              <w:rPr>
                <w:rStyle w:val="normaltextrun"/>
                <w:rFonts w:eastAsiaTheme="minorEastAsia" w:cstheme="minorBidi"/>
                <w:lang w:val="en-AU"/>
              </w:rPr>
              <w:t>staff</w:t>
            </w:r>
            <w:r w:rsidR="00682A5B" w:rsidRPr="00F833FC">
              <w:rPr>
                <w:rStyle w:val="normaltextrun"/>
                <w:rFonts w:eastAsiaTheme="minorEastAsia" w:cstheme="minorBidi"/>
                <w:lang w:val="en-AU"/>
              </w:rPr>
              <w:t xml:space="preserve"> with lived and living experience of suicide.</w:t>
            </w:r>
          </w:p>
        </w:tc>
      </w:tr>
    </w:tbl>
    <w:p w14:paraId="16AB4193" w14:textId="605590C5" w:rsidR="00682A5B" w:rsidRPr="00B768A1" w:rsidRDefault="6CF746C5" w:rsidP="00634A83">
      <w:pPr>
        <w:pStyle w:val="Heading3"/>
      </w:pPr>
      <w:r w:rsidRPr="5B74CE65">
        <w:t>ce</w:t>
      </w:r>
      <w:r w:rsidR="003C5A8A">
        <w:t>2</w:t>
      </w:r>
      <w:r w:rsidR="00682A5B" w:rsidRPr="5B74CE65">
        <w:t>.2 Build capability to contribute</w:t>
      </w:r>
    </w:p>
    <w:p w14:paraId="42FF53FB" w14:textId="3F2BBDE4" w:rsidR="00682A5B" w:rsidRPr="00B768A1" w:rsidRDefault="2395B515" w:rsidP="00634A83">
      <w:r>
        <w:t>P</w:t>
      </w:r>
      <w:r w:rsidR="3605BDAC" w:rsidRPr="00B768A1">
        <w:t xml:space="preserve">eople with lived and living experience </w:t>
      </w:r>
      <w:r w:rsidR="44902FA5">
        <w:t xml:space="preserve">should be empowered </w:t>
      </w:r>
      <w:r w:rsidR="3605BDAC" w:rsidRPr="00B768A1">
        <w:t xml:space="preserve">to contribute in a way that achieves the maximum positive impact. </w:t>
      </w:r>
      <w:r w:rsidR="7F54C53E" w:rsidRPr="00B768A1">
        <w:t xml:space="preserve">This is true </w:t>
      </w:r>
      <w:r w:rsidR="3605BDAC" w:rsidRPr="00B768A1">
        <w:t xml:space="preserve">whether </w:t>
      </w:r>
      <w:r w:rsidR="3A54406E" w:rsidRPr="00B768A1">
        <w:t>participation occurs through</w:t>
      </w:r>
      <w:r w:rsidR="3605BDAC" w:rsidRPr="00B768A1">
        <w:t xml:space="preserve"> consultations, member</w:t>
      </w:r>
      <w:r w:rsidR="3A54406E" w:rsidRPr="00B768A1">
        <w:t>ship</w:t>
      </w:r>
      <w:r w:rsidR="3605BDAC" w:rsidRPr="00B768A1">
        <w:t xml:space="preserve"> of advisory boards or employ</w:t>
      </w:r>
      <w:r w:rsidR="3A54406E" w:rsidRPr="00B768A1">
        <w:t>ment</w:t>
      </w:r>
      <w:r w:rsidR="3605BDAC" w:rsidRPr="00B768A1">
        <w:t xml:space="preserve"> in designated roles.</w:t>
      </w:r>
      <w:hyperlink w:anchor="_ENREF_316" w:tooltip="Office, 2023 #459" w:history="1">
        <w:r w:rsidR="002D6F18">
          <w:fldChar w:fldCharType="begin"/>
        </w:r>
        <w:r w:rsidR="002D6F18">
          <w:instrText xml:space="preserve"> ADDIN EN.CITE &lt;EndNote&gt;&lt;Cite&gt;&lt;Author&gt;Office&lt;/Author&gt;&lt;Year&gt;2023&lt;/Year&gt;&lt;RecNum&gt;459&lt;/RecNum&gt;&lt;DisplayText&gt;&lt;style face="superscript"&gt;316&lt;/style&gt;&lt;/DisplayText&gt;&lt;record&gt;&lt;rec-number&gt;459&lt;/rec-number&gt;&lt;foreign-keys&gt;&lt;key app="EN" db-id="rsettzd2isasdweewww55s9lffasxav0d0ft" timestamp="1700699474" guid="6e07b583-89be-4976-918b-450f39a35247"&gt;459&lt;/key&gt;&lt;/foreign-keys&gt;&lt;ref-type name="Web Page"&gt;12&lt;/ref-type&gt;&lt;contributors&gt;&lt;authors&gt;&lt;author&gt;National Suicide Prevention Office&lt;/author&gt;&lt;/authors&gt;&lt;/contributors&gt;&lt;titles&gt;&lt;title&gt;Roses in the Ocean Lived Experience Summit Workshop Summary Report 2023&lt;/title&gt;&lt;/titles&gt;&lt;dates&gt;&lt;year&gt;2023&lt;/year&gt;&lt;/dates&gt;&lt;publisher&gt;NSPO&lt;/publisher&gt;&lt;work-type&gt;Internet&lt;/work-type&gt;&lt;urls&gt;&lt;related-urls&gt;&lt;url&gt;https://haveyoursay.mentalhealthcommission.gov.au/rito-lived-experience-summit-workshop-summary-report-2023&lt;/url&gt;&lt;/related-urls&gt;&lt;/urls&gt;&lt;custom1&gt;2023&lt;/custom1&gt;&lt;custom2&gt;November 06&lt;/custom2&gt;&lt;/record&gt;&lt;/Cite&gt;&lt;/EndNote&gt;</w:instrText>
        </w:r>
        <w:r w:rsidR="002D6F18">
          <w:fldChar w:fldCharType="separate"/>
        </w:r>
        <w:r w:rsidR="002D6F18" w:rsidRPr="00C559B5">
          <w:rPr>
            <w:noProof/>
            <w:vertAlign w:val="superscript"/>
          </w:rPr>
          <w:t>316</w:t>
        </w:r>
        <w:r w:rsidR="002D6F18">
          <w:fldChar w:fldCharType="end"/>
        </w:r>
      </w:hyperlink>
      <w:r w:rsidR="00126F8F">
        <w:t xml:space="preserve"> </w:t>
      </w:r>
    </w:p>
    <w:p w14:paraId="3F24DB99" w14:textId="2B1E64E8" w:rsidR="00664A43" w:rsidRPr="00B768A1" w:rsidRDefault="6F6A55E6" w:rsidP="00634A83">
      <w:r w:rsidRPr="00B768A1">
        <w:t>P</w:t>
      </w:r>
      <w:r w:rsidR="3605BDAC" w:rsidRPr="00B768A1">
        <w:t xml:space="preserve">re-engagement training for people with lived and living experience can help </w:t>
      </w:r>
      <w:r w:rsidR="6CD3D6DC" w:rsidRPr="00B768A1">
        <w:t xml:space="preserve">them </w:t>
      </w:r>
      <w:r w:rsidR="3605BDAC" w:rsidRPr="00B768A1">
        <w:t>enjoy greater meaning from their roles.</w:t>
      </w:r>
      <w:hyperlink w:anchor="_ENREF_317" w:tooltip="Ocean, 2022 #458" w:history="1">
        <w:r w:rsidR="002D6F18">
          <w:fldChar w:fldCharType="begin"/>
        </w:r>
        <w:r w:rsidR="002D6F18">
          <w:instrText xml:space="preserve"> ADDIN EN.CITE &lt;EndNote&gt;&lt;Cite&gt;&lt;Author&gt;Ocean&lt;/Author&gt;&lt;Year&gt;2022&lt;/Year&gt;&lt;RecNum&gt;458&lt;/RecNum&gt;&lt;DisplayText&gt;&lt;style face="superscript"&gt;317&lt;/style&gt;&lt;/DisplayText&gt;&lt;record&gt;&lt;rec-number&gt;458&lt;/rec-number&gt;&lt;foreign-keys&gt;&lt;key app="EN" db-id="rsettzd2isasdweewww55s9lffasxav0d0ft" timestamp="1700699474" guid="8044de3b-a802-47a8-a188-dea130b62a4f"&gt;458&lt;/key&gt;&lt;/foreign-keys&gt;&lt;ref-type name="Web Page"&gt;12&lt;/ref-type&gt;&lt;contributors&gt;&lt;authors&gt;&lt;author&gt;Roses in the Ocean&lt;/author&gt;&lt;/authors&gt;&lt;/contributors&gt;&lt;titles&gt;&lt;title&gt;Lived Experience of Suicide Engagement Principles: (LESEP) Guidance Document&lt;/title&gt;&lt;/titles&gt;&lt;dates&gt;&lt;year&gt;2022&lt;/year&gt;&lt;/dates&gt;&lt;pub-location&gt;Brisbane, Queensland&lt;/pub-location&gt;&lt;publisher&gt;Roses in the Ocean&lt;/publisher&gt;&lt;work-type&gt;Internet&lt;/work-type&gt;&lt;urls&gt;&lt;related-urls&gt;&lt;url&gt;https://rosesintheocean.com.au/wp-content/uploads/2022/03/1.-LESEP-Guidance-Document-V1.1-FEB-2022.pdf&lt;/url&gt;&lt;/related-urls&gt;&lt;/urls&gt;&lt;custom1&gt;2023&lt;/custom1&gt;&lt;custom2&gt;November 06&lt;/custom2&gt;&lt;/record&gt;&lt;/Cite&gt;&lt;/EndNote&gt;</w:instrText>
        </w:r>
        <w:r w:rsidR="002D6F18">
          <w:fldChar w:fldCharType="separate"/>
        </w:r>
        <w:r w:rsidR="002D6F18" w:rsidRPr="00C559B5">
          <w:rPr>
            <w:noProof/>
            <w:vertAlign w:val="superscript"/>
          </w:rPr>
          <w:t>317</w:t>
        </w:r>
        <w:r w:rsidR="002D6F18">
          <w:fldChar w:fldCharType="end"/>
        </w:r>
      </w:hyperlink>
      <w:r w:rsidR="00126F8F">
        <w:t xml:space="preserve"> </w:t>
      </w:r>
      <w:r w:rsidR="2419A909" w:rsidRPr="00B768A1">
        <w:t>A</w:t>
      </w:r>
      <w:r w:rsidR="3605BDAC" w:rsidRPr="00B768A1">
        <w:t xml:space="preserve">ppropriate remuneration </w:t>
      </w:r>
      <w:r w:rsidR="2419A909" w:rsidRPr="00B768A1">
        <w:t xml:space="preserve">should be </w:t>
      </w:r>
      <w:r w:rsidR="3605BDAC" w:rsidRPr="00B768A1">
        <w:t xml:space="preserve">offered </w:t>
      </w:r>
      <w:r w:rsidR="2419A909" w:rsidRPr="00B768A1">
        <w:t xml:space="preserve">along with </w:t>
      </w:r>
      <w:r w:rsidR="3605BDAC" w:rsidRPr="00B768A1">
        <w:t>options for mentoring and future development. People with lived and living experience should have access to formal and informal supports before, during and after their involvement, in recognition that contributing from a lived and living experience perspective can be difficult.</w:t>
      </w:r>
      <w:hyperlink w:anchor="_ENREF_317" w:tooltip="Ocean, 2022 #458" w:history="1">
        <w:r w:rsidR="002D6F18">
          <w:fldChar w:fldCharType="begin"/>
        </w:r>
        <w:r w:rsidR="002D6F18">
          <w:instrText xml:space="preserve"> ADDIN EN.CITE &lt;EndNote&gt;&lt;Cite&gt;&lt;Author&gt;Ocean&lt;/Author&gt;&lt;Year&gt;2022&lt;/Year&gt;&lt;RecNum&gt;458&lt;/RecNum&gt;&lt;DisplayText&gt;&lt;style face="superscript"&gt;317&lt;/style&gt;&lt;/DisplayText&gt;&lt;record&gt;&lt;rec-number&gt;458&lt;/rec-number&gt;&lt;foreign-keys&gt;&lt;key app="EN" db-id="rsettzd2isasdweewww55s9lffasxav0d0ft" timestamp="1700699474" guid="8044de3b-a802-47a8-a188-dea130b62a4f"&gt;458&lt;/key&gt;&lt;/foreign-keys&gt;&lt;ref-type name="Web Page"&gt;12&lt;/ref-type&gt;&lt;contributors&gt;&lt;authors&gt;&lt;author&gt;Roses in the Ocean&lt;/author&gt;&lt;/authors&gt;&lt;/contributors&gt;&lt;titles&gt;&lt;title&gt;Lived Experience of Suicide Engagement Principles: (LESEP) Guidance Document&lt;/title&gt;&lt;/titles&gt;&lt;dates&gt;&lt;year&gt;2022&lt;/year&gt;&lt;/dates&gt;&lt;pub-location&gt;Brisbane, Queensland&lt;/pub-location&gt;&lt;publisher&gt;Roses in the Ocean&lt;/publisher&gt;&lt;work-type&gt;Internet&lt;/work-type&gt;&lt;urls&gt;&lt;related-urls&gt;&lt;url&gt;https://rosesintheocean.com.au/wp-content/uploads/2022/03/1.-LESEP-Guidance-Document-V1.1-FEB-2022.pdf&lt;/url&gt;&lt;/related-urls&gt;&lt;/urls&gt;&lt;custom1&gt;2023&lt;/custom1&gt;&lt;custom2&gt;November 06&lt;/custom2&gt;&lt;/record&gt;&lt;/Cite&gt;&lt;/EndNote&gt;</w:instrText>
        </w:r>
        <w:r w:rsidR="002D6F18">
          <w:fldChar w:fldCharType="separate"/>
        </w:r>
        <w:r w:rsidR="002D6F18" w:rsidRPr="00C559B5">
          <w:rPr>
            <w:noProof/>
            <w:vertAlign w:val="superscript"/>
          </w:rPr>
          <w:t>317</w:t>
        </w:r>
        <w:r w:rsidR="002D6F18">
          <w:fldChar w:fldCharType="end"/>
        </w:r>
      </w:hyperlink>
      <w:r w:rsidR="00126F8F">
        <w:t xml:space="preserve"> </w:t>
      </w:r>
      <w:r w:rsidR="3605BDAC" w:rsidRPr="00B768A1">
        <w:t>Where possible, consistency in this engagement approach across portfolios would help minimise the requirement for people with lived and living experience to complete different pre-engagement training or understand different systems.</w:t>
      </w:r>
    </w:p>
    <w:p w14:paraId="59FF6388" w14:textId="3C30EFAD" w:rsidR="00BC145C" w:rsidRPr="005B2FC0" w:rsidRDefault="00553E3D" w:rsidP="00634A83">
      <w:pPr>
        <w:pStyle w:val="BT-Beigebox-Heading"/>
        <w:rPr>
          <w:rStyle w:val="normaltextrun"/>
        </w:rPr>
      </w:pPr>
      <w:r w:rsidRPr="005B2FC0">
        <w:rPr>
          <w:rStyle w:val="normaltextrun"/>
        </w:rPr>
        <w:t>Activit</w:t>
      </w:r>
      <w:r w:rsidR="69673980" w:rsidRPr="005B2FC0">
        <w:rPr>
          <w:rStyle w:val="normaltextrun"/>
        </w:rPr>
        <w:t>y</w:t>
      </w:r>
      <w:r w:rsidRPr="005B2FC0">
        <w:rPr>
          <w:rStyle w:val="normaltextrun"/>
        </w:rPr>
        <w:t xml:space="preserve"> to build on</w:t>
      </w:r>
    </w:p>
    <w:p w14:paraId="4E16D7CC" w14:textId="75BC38B3" w:rsidR="00317CAB" w:rsidRDefault="68317684" w:rsidP="00634A83">
      <w:pPr>
        <w:pStyle w:val="BT-Beigebox"/>
        <w:rPr>
          <w:rStyle w:val="normaltextrun"/>
          <w:rFonts w:eastAsia="Roboto-Light" w:cstheme="minorBidi"/>
        </w:rPr>
      </w:pPr>
      <w:r w:rsidRPr="00B768A1">
        <w:rPr>
          <w:rStyle w:val="normaltextrun"/>
          <w:rFonts w:eastAsia="Roboto-Light"/>
        </w:rPr>
        <w:t xml:space="preserve">Roses in the Ocean offer a range of training workshops that </w:t>
      </w:r>
      <w:r w:rsidR="7B2704E5" w:rsidRPr="00B768A1">
        <w:rPr>
          <w:rStyle w:val="normaltextrun"/>
          <w:rFonts w:eastAsia="Roboto-Light"/>
        </w:rPr>
        <w:t xml:space="preserve">prepare </w:t>
      </w:r>
      <w:r w:rsidRPr="00B768A1">
        <w:rPr>
          <w:rStyle w:val="normaltextrun"/>
          <w:rFonts w:eastAsia="Roboto-Light"/>
        </w:rPr>
        <w:t xml:space="preserve">people with lived and living experience of suicide to share their </w:t>
      </w:r>
      <w:r w:rsidR="4BE973CA" w:rsidRPr="00B768A1">
        <w:rPr>
          <w:rStyle w:val="normaltextrun"/>
          <w:rFonts w:eastAsia="Roboto-Light"/>
        </w:rPr>
        <w:t>stories</w:t>
      </w:r>
      <w:r w:rsidRPr="00B768A1">
        <w:rPr>
          <w:rStyle w:val="normaltextrun"/>
          <w:rFonts w:eastAsia="Roboto-Light"/>
        </w:rPr>
        <w:t>, participate impactfully and be effective lived experience leader</w:t>
      </w:r>
      <w:r w:rsidR="1100C12A" w:rsidRPr="00B768A1">
        <w:rPr>
          <w:rStyle w:val="normaltextrun"/>
          <w:rFonts w:eastAsia="Roboto-Light"/>
        </w:rPr>
        <w:t>s</w:t>
      </w:r>
      <w:r w:rsidRPr="00B768A1">
        <w:rPr>
          <w:rStyle w:val="normaltextrun"/>
          <w:rFonts w:eastAsia="Roboto-Light"/>
        </w:rPr>
        <w:t>.</w:t>
      </w:r>
      <w:hyperlink w:anchor="_ENREF_318" w:tooltip="Ocean, 2023 #461" w:history="1">
        <w:r w:rsidR="002D6F18">
          <w:rPr>
            <w:rStyle w:val="normaltextrun"/>
            <w:rFonts w:eastAsia="Roboto-Light"/>
          </w:rPr>
          <w:fldChar w:fldCharType="begin"/>
        </w:r>
        <w:r w:rsidR="002D6F18">
          <w:rPr>
            <w:rStyle w:val="normaltextrun"/>
            <w:rFonts w:eastAsia="Roboto-Light"/>
          </w:rPr>
          <w:instrText xml:space="preserve"> ADDIN EN.CITE &lt;EndNote&gt;&lt;Cite&gt;&lt;Author&gt;Ocean&lt;/Author&gt;&lt;Year&gt;2023&lt;/Year&gt;&lt;RecNum&gt;461&lt;/RecNum&gt;&lt;DisplayText&gt;&lt;style face="superscript"&gt;318&lt;/style&gt;&lt;/DisplayText&gt;&lt;record&gt;&lt;rec-number&gt;461&lt;/rec-number&gt;&lt;foreign-keys&gt;&lt;key app="EN" db-id="rsettzd2isasdweewww55s9lffasxav0d0ft" timestamp="1700699474" guid="716ac809-5f5b-4fbf-9cd3-ab136a00e91c"&gt;461&lt;/key&gt;&lt;/foreign-keys&gt;&lt;ref-type name="Web Page"&gt;12&lt;/ref-type&gt;&lt;contributors&gt;&lt;authors&gt;&lt;author&gt;Roses in the Ocean&lt;/author&gt;&lt;/authors&gt;&lt;/contributors&gt;&lt;titles&gt;&lt;title&gt;Capacity-Building Workshops&lt;/title&gt;&lt;/titles&gt;&lt;dates&gt;&lt;year&gt;2023&lt;/year&gt;&lt;/dates&gt;&lt;publisher&gt;Roses in the Ocean&lt;/publisher&gt;&lt;work-type&gt;Internet&lt;/work-type&gt;&lt;urls&gt;&lt;related-urls&gt;&lt;url&gt;https://rosesintheocean.com.au/what-we-do/workshops/&lt;/url&gt;&lt;/related-urls&gt;&lt;/urls&gt;&lt;custom1&gt;2023&lt;/custom1&gt;&lt;custom2&gt;November 06&lt;/custom2&gt;&lt;/record&gt;&lt;/Cite&gt;&lt;/EndNote&gt;</w:instrText>
        </w:r>
        <w:r w:rsidR="002D6F18">
          <w:rPr>
            <w:rStyle w:val="normaltextrun"/>
            <w:rFonts w:eastAsia="Roboto-Light"/>
          </w:rPr>
          <w:fldChar w:fldCharType="separate"/>
        </w:r>
        <w:r w:rsidR="002D6F18" w:rsidRPr="00C559B5">
          <w:rPr>
            <w:rStyle w:val="normaltextrun"/>
            <w:rFonts w:eastAsia="Roboto-Light"/>
            <w:noProof/>
            <w:vertAlign w:val="superscript"/>
          </w:rPr>
          <w:t>318</w:t>
        </w:r>
        <w:r w:rsidR="002D6F18">
          <w:rPr>
            <w:rStyle w:val="normaltextrun"/>
            <w:rFonts w:eastAsia="Roboto-Light"/>
          </w:rPr>
          <w:fldChar w:fldCharType="end"/>
        </w:r>
      </w:hyperlink>
      <w:r w:rsidR="00126F8F">
        <w:rPr>
          <w:rStyle w:val="normaltextrun"/>
          <w:rFonts w:eastAsia="Roboto-Light"/>
        </w:rPr>
        <w:t xml:space="preserve"> </w:t>
      </w:r>
    </w:p>
    <w:p w14:paraId="51C95FE0" w14:textId="5D04C46C" w:rsidR="00317CAB" w:rsidRPr="00B768A1" w:rsidRDefault="68317684" w:rsidP="00634A83">
      <w:pPr>
        <w:pStyle w:val="BT-Beigebox"/>
        <w:rPr>
          <w:rStyle w:val="normaltextrun"/>
          <w:rFonts w:eastAsia="Roboto-Light"/>
        </w:rPr>
      </w:pPr>
      <w:r w:rsidRPr="7E232F61">
        <w:rPr>
          <w:rStyle w:val="normaltextrun"/>
          <w:rFonts w:eastAsia="Roboto-Light" w:cstheme="minorBidi"/>
        </w:rPr>
        <w:t>The Aboriginal and Torres Strait Islander Lived Experience Centre</w:t>
      </w:r>
      <w:hyperlink w:anchor="_ENREF_319" w:tooltip="Institute, 2023 #465" w:history="1">
        <w:r w:rsidR="002D6F18">
          <w:rPr>
            <w:rStyle w:val="normaltextrun"/>
            <w:rFonts w:eastAsia="Roboto-Light" w:cstheme="minorBidi"/>
          </w:rPr>
          <w:fldChar w:fldCharType="begin"/>
        </w:r>
        <w:r w:rsidR="002D6F18">
          <w:rPr>
            <w:rStyle w:val="normaltextrun"/>
            <w:rFonts w:eastAsia="Roboto-Light" w:cstheme="minorBidi"/>
          </w:rPr>
          <w:instrText xml:space="preserve"> ADDIN EN.CITE &lt;EndNote&gt;&lt;Cite&gt;&lt;Author&gt;Institute&lt;/Author&gt;&lt;Year&gt;2023&lt;/Year&gt;&lt;RecNum&gt;465&lt;/RecNum&gt;&lt;DisplayText&gt;&lt;style face="superscript"&gt;319&lt;/style&gt;&lt;/DisplayText&gt;&lt;record&gt;&lt;rec-number&gt;465&lt;/rec-number&gt;&lt;foreign-keys&gt;&lt;key app="EN" db-id="rsettzd2isasdweewww55s9lffasxav0d0ft" timestamp="1700699474" guid="85a26481-a54d-4671-a685-fe2fb35cc234"&gt;465&lt;/key&gt;&lt;/foreign-keys&gt;&lt;ref-type name="Web Page"&gt;12&lt;/ref-type&gt;&lt;contributors&gt;&lt;authors&gt;&lt;author&gt;Black Dog Institute&lt;/author&gt;&lt;/authors&gt;&lt;/contributors&gt;&lt;titles&gt;&lt;title&gt;Aboriginal and Torres Strait Islander Lived Experience Centre&lt;/title&gt;&lt;/titles&gt;&lt;dates&gt;&lt;year&gt;2023&lt;/year&gt;&lt;/dates&gt;&lt;publisher&gt;Black Dog Institute&lt;/publisher&gt;&lt;work-type&gt;Internet&lt;/work-type&gt;&lt;urls&gt;&lt;related-urls&gt;&lt;url&gt;https://www.blackdoginstitute.org.au/education-services/aboriginal-and-torres-strait-islander-network/&lt;/url&gt;&lt;/related-urls&gt;&lt;/urls&gt;&lt;custom1&gt;2023&lt;/custom1&gt;&lt;custom2&gt;November 06&lt;/custom2&gt;&lt;/record&gt;&lt;/Cite&gt;&lt;/EndNote&gt;</w:instrText>
        </w:r>
        <w:r w:rsidR="002D6F18">
          <w:rPr>
            <w:rStyle w:val="normaltextrun"/>
            <w:rFonts w:eastAsia="Roboto-Light" w:cstheme="minorBidi"/>
          </w:rPr>
          <w:fldChar w:fldCharType="separate"/>
        </w:r>
        <w:r w:rsidR="002D6F18" w:rsidRPr="00C559B5">
          <w:rPr>
            <w:rStyle w:val="normaltextrun"/>
            <w:rFonts w:eastAsia="Roboto-Light" w:cstheme="minorBidi"/>
            <w:noProof/>
            <w:vertAlign w:val="superscript"/>
          </w:rPr>
          <w:t>319</w:t>
        </w:r>
        <w:r w:rsidR="002D6F18">
          <w:rPr>
            <w:rStyle w:val="normaltextrun"/>
            <w:rFonts w:eastAsia="Roboto-Light" w:cstheme="minorBidi"/>
          </w:rPr>
          <w:fldChar w:fldCharType="end"/>
        </w:r>
      </w:hyperlink>
      <w:r w:rsidR="00126F8F">
        <w:rPr>
          <w:rStyle w:val="normaltextrun"/>
          <w:rFonts w:eastAsia="Roboto-Light" w:cstheme="minorBidi"/>
        </w:rPr>
        <w:t xml:space="preserve"> </w:t>
      </w:r>
      <w:r w:rsidRPr="7E232F61">
        <w:rPr>
          <w:rStyle w:val="normaltextrun"/>
          <w:rFonts w:eastAsia="Roboto-Light" w:cstheme="minorBidi"/>
        </w:rPr>
        <w:t xml:space="preserve">brings together and elevates the voices of </w:t>
      </w:r>
      <w:r w:rsidR="4AD9DD45" w:rsidRPr="7E232F61">
        <w:rPr>
          <w:rStyle w:val="normaltextrun"/>
          <w:rFonts w:eastAsia="Roboto-Light" w:cstheme="minorBidi"/>
        </w:rPr>
        <w:t>Aboriginal and Torres Strait Islander</w:t>
      </w:r>
      <w:r w:rsidRPr="7E232F61">
        <w:rPr>
          <w:rStyle w:val="normaltextrun"/>
          <w:rFonts w:eastAsia="Roboto-Light" w:cstheme="minorBidi"/>
        </w:rPr>
        <w:t xml:space="preserve"> people and provides a culturally safe platform for shaping policies, programs and services o</w:t>
      </w:r>
      <w:r w:rsidRPr="00B768A1">
        <w:rPr>
          <w:rStyle w:val="normaltextrun"/>
          <w:rFonts w:eastAsia="Roboto-Light"/>
        </w:rPr>
        <w:t xml:space="preserve">f importance </w:t>
      </w:r>
      <w:r w:rsidRPr="7E232F61">
        <w:rPr>
          <w:rStyle w:val="normaltextrun"/>
          <w:rFonts w:eastAsia="Roboto-Light" w:cstheme="minorBidi"/>
        </w:rPr>
        <w:t xml:space="preserve">for Aboriginal and Torres Strait Islander communities. </w:t>
      </w:r>
    </w:p>
    <w:p w14:paraId="78BA7022" w14:textId="38B81F18" w:rsidR="009843AC" w:rsidRDefault="3605BDAC" w:rsidP="00634A83">
      <w:r w:rsidRPr="00B768A1">
        <w:t>It is important to note the broad diversity of people with lived and living experience of suicide. Designing suicide prevention policies, programs and services that are effective depends on having a representative diversity of people with lived and living experience engaged in the policy development process.</w:t>
      </w:r>
      <w:hyperlink w:anchor="_ENREF_317" w:tooltip="Ocean, 2022 #458" w:history="1">
        <w:r w:rsidR="002D6F18">
          <w:fldChar w:fldCharType="begin"/>
        </w:r>
        <w:r w:rsidR="002D6F18">
          <w:instrText xml:space="preserve"> ADDIN EN.CITE &lt;EndNote&gt;&lt;Cite&gt;&lt;Author&gt;Ocean&lt;/Author&gt;&lt;Year&gt;2022&lt;/Year&gt;&lt;RecNum&gt;458&lt;/RecNum&gt;&lt;DisplayText&gt;&lt;style face="superscript"&gt;317&lt;/style&gt;&lt;/DisplayText&gt;&lt;record&gt;&lt;rec-number&gt;458&lt;/rec-number&gt;&lt;foreign-keys&gt;&lt;key app="EN" db-id="rsettzd2isasdweewww55s9lffasxav0d0ft" timestamp="1700699474" guid="8044de3b-a802-47a8-a188-dea130b62a4f"&gt;458&lt;/key&gt;&lt;/foreign-keys&gt;&lt;ref-type name="Web Page"&gt;12&lt;/ref-type&gt;&lt;contributors&gt;&lt;authors&gt;&lt;author&gt;Roses in the Ocean&lt;/author&gt;&lt;/authors&gt;&lt;/contributors&gt;&lt;titles&gt;&lt;title&gt;Lived Experience of Suicide Engagement Principles: (LESEP) Guidance Document&lt;/title&gt;&lt;/titles&gt;&lt;dates&gt;&lt;year&gt;2022&lt;/year&gt;&lt;/dates&gt;&lt;pub-location&gt;Brisbane, Queensland&lt;/pub-location&gt;&lt;publisher&gt;Roses in the Ocean&lt;/publisher&gt;&lt;work-type&gt;Internet&lt;/work-type&gt;&lt;urls&gt;&lt;related-urls&gt;&lt;url&gt;https://rosesintheocean.com.au/wp-content/uploads/2022/03/1.-LESEP-Guidance-Document-V1.1-FEB-2022.pdf&lt;/url&gt;&lt;/related-urls&gt;&lt;/urls&gt;&lt;custom1&gt;2023&lt;/custom1&gt;&lt;custom2&gt;November 06&lt;/custom2&gt;&lt;/record&gt;&lt;/Cite&gt;&lt;/EndNote&gt;</w:instrText>
        </w:r>
        <w:r w:rsidR="002D6F18">
          <w:fldChar w:fldCharType="separate"/>
        </w:r>
        <w:r w:rsidR="002D6F18" w:rsidRPr="00C559B5">
          <w:rPr>
            <w:noProof/>
            <w:vertAlign w:val="superscript"/>
          </w:rPr>
          <w:t>317</w:t>
        </w:r>
        <w:r w:rsidR="002D6F18">
          <w:fldChar w:fldCharType="end"/>
        </w:r>
      </w:hyperlink>
      <w:r w:rsidR="003C5E14">
        <w:t xml:space="preserve"> </w:t>
      </w:r>
      <w:r w:rsidRPr="00B768A1">
        <w:t>This may require proactive steps to engage people who are representative of those the policies are intended to help</w:t>
      </w:r>
      <w:r w:rsidR="1934936B" w:rsidRPr="00B768A1">
        <w:t xml:space="preserve"> (</w:t>
      </w:r>
      <w:r w:rsidR="1D1E41CE">
        <w:t>action ce</w:t>
      </w:r>
      <w:r w:rsidR="1934936B" w:rsidRPr="00B768A1">
        <w:t>2.2a)</w:t>
      </w:r>
      <w:r w:rsidRPr="00B768A1">
        <w:t>.</w:t>
      </w:r>
    </w:p>
    <w:p w14:paraId="10023943" w14:textId="299DE545" w:rsidR="00FE0ED6" w:rsidRDefault="00A805B2" w:rsidP="00353368">
      <w:r>
        <w:t xml:space="preserve">The recommended action to </w:t>
      </w:r>
      <w:r w:rsidR="00117EBE">
        <w:t xml:space="preserve">build capability to contribute </w:t>
      </w:r>
      <w:r>
        <w:t>is described in</w:t>
      </w:r>
      <w:r w:rsidR="00F04C6C">
        <w:t xml:space="preserve"> </w:t>
      </w:r>
      <w:r w:rsidR="00F04C6C">
        <w:fldChar w:fldCharType="begin"/>
      </w:r>
      <w:r w:rsidR="00F04C6C">
        <w:instrText xml:space="preserve"> REF _Ref162249947 \h </w:instrText>
      </w:r>
      <w:r w:rsidR="00F04C6C">
        <w:fldChar w:fldCharType="separate"/>
      </w:r>
      <w:r w:rsidR="009F12B4">
        <w:t xml:space="preserve">Table </w:t>
      </w:r>
      <w:r w:rsidR="009F12B4">
        <w:rPr>
          <w:noProof/>
        </w:rPr>
        <w:t>35</w:t>
      </w:r>
      <w:r w:rsidR="00F04C6C">
        <w:fldChar w:fldCharType="end"/>
      </w:r>
      <w:r>
        <w:t>.</w:t>
      </w:r>
      <w:bookmarkStart w:id="162" w:name="_Ref162249947"/>
      <w:r w:rsidR="00FE0ED6">
        <w:t xml:space="preserve">Table </w:t>
      </w:r>
      <w:r w:rsidR="00FE0ED6">
        <w:fldChar w:fldCharType="begin"/>
      </w:r>
      <w:r w:rsidR="00FE0ED6">
        <w:instrText>SEQ Table \* ARABIC</w:instrText>
      </w:r>
      <w:r w:rsidR="00FE0ED6">
        <w:fldChar w:fldCharType="separate"/>
      </w:r>
      <w:r w:rsidR="009F12B4">
        <w:rPr>
          <w:noProof/>
        </w:rPr>
        <w:t>35</w:t>
      </w:r>
      <w:r w:rsidR="00FE0ED6">
        <w:fldChar w:fldCharType="end"/>
      </w:r>
      <w:bookmarkEnd w:id="162"/>
      <w:r w:rsidR="00FE0ED6">
        <w:t>: Recommended action for critical enabler 2.2: Build capa</w:t>
      </w:r>
      <w:r w:rsidR="6BF663E8">
        <w:t>bility</w:t>
      </w:r>
      <w:r w:rsidR="00FE0ED6">
        <w:t xml:space="preserve"> to contribute</w:t>
      </w:r>
    </w:p>
    <w:tbl>
      <w:tblPr>
        <w:tblStyle w:val="TableGrid"/>
        <w:tblW w:w="9072" w:type="dxa"/>
        <w:tblLook w:val="0420" w:firstRow="1" w:lastRow="0" w:firstColumn="0" w:lastColumn="0" w:noHBand="0" w:noVBand="1"/>
        <w:tblCaption w:val="Recommended action for critical enabler 2.2: Build capacity to contribute"/>
        <w:tblDescription w:val="Describes action ce2.2a"/>
      </w:tblPr>
      <w:tblGrid>
        <w:gridCol w:w="1129"/>
        <w:gridCol w:w="7943"/>
      </w:tblGrid>
      <w:tr w:rsidR="004B3B83" w:rsidRPr="000F5D84" w14:paraId="0BB516BB" w14:textId="77777777" w:rsidTr="45E58E07">
        <w:trPr>
          <w:cnfStyle w:val="100000000000" w:firstRow="1" w:lastRow="0" w:firstColumn="0" w:lastColumn="0" w:oddVBand="0" w:evenVBand="0" w:oddHBand="0" w:evenHBand="0" w:firstRowFirstColumn="0" w:firstRowLastColumn="0" w:lastRowFirstColumn="0" w:lastRowLastColumn="0"/>
          <w:cantSplit/>
          <w:trHeight w:val="300"/>
          <w:tblHeader/>
        </w:trPr>
        <w:tc>
          <w:tcPr>
            <w:tcW w:w="11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80AD" w:themeFill="accent4"/>
          </w:tcPr>
          <w:p w14:paraId="4DBDBB30" w14:textId="49530AA6" w:rsidR="004B3B83" w:rsidRPr="000F5D84" w:rsidRDefault="004B3B83" w:rsidP="004F5B0E">
            <w:pPr>
              <w:pStyle w:val="NMHCTableHeaderRow"/>
              <w:rPr>
                <w:u w:val="single"/>
              </w:rPr>
            </w:pPr>
            <w:r w:rsidRPr="000F5D84">
              <w:t>Action</w:t>
            </w:r>
          </w:p>
        </w:tc>
        <w:tc>
          <w:tcPr>
            <w:tcW w:w="7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80AD" w:themeFill="accent4"/>
            <w:tcMar>
              <w:top w:w="28" w:type="dxa"/>
              <w:bottom w:w="28" w:type="dxa"/>
            </w:tcMar>
          </w:tcPr>
          <w:p w14:paraId="02C2F170" w14:textId="5D53BAB0" w:rsidR="004B3B83" w:rsidRPr="000F5D84" w:rsidRDefault="00A453F4" w:rsidP="004F5B0E">
            <w:pPr>
              <w:pStyle w:val="NMHCTableHeaderRow"/>
              <w:rPr>
                <w:rStyle w:val="normaltextrun"/>
                <w:rFonts w:cstheme="minorHAnsi"/>
              </w:rPr>
            </w:pPr>
            <w:r>
              <w:rPr>
                <w:rStyle w:val="normaltextrun"/>
                <w:rFonts w:cstheme="minorHAnsi"/>
              </w:rPr>
              <w:t>Description</w:t>
            </w:r>
          </w:p>
        </w:tc>
      </w:tr>
      <w:tr w:rsidR="00682A5B" w:rsidRPr="00B768A1" w14:paraId="6D376DFF" w14:textId="77777777" w:rsidTr="45E58E07">
        <w:trPr>
          <w:trHeight w:val="300"/>
        </w:trPr>
        <w:tc>
          <w:tcPr>
            <w:tcW w:w="1129" w:type="dxa"/>
            <w:tcBorders>
              <w:top w:val="single" w:sz="4" w:space="0" w:color="FFFFFF" w:themeColor="background1"/>
            </w:tcBorders>
          </w:tcPr>
          <w:p w14:paraId="0AEF6588" w14:textId="77F8A39C" w:rsidR="00682A5B" w:rsidRPr="00F833FC" w:rsidRDefault="00752C00" w:rsidP="00634A83">
            <w:pPr>
              <w:rPr>
                <w:rStyle w:val="normaltextrun"/>
                <w:rFonts w:cstheme="minorBidi"/>
              </w:rPr>
            </w:pPr>
            <w:r w:rsidRPr="00F833FC">
              <w:t>ce</w:t>
            </w:r>
            <w:r w:rsidR="00682A5B" w:rsidRPr="00F833FC">
              <w:rPr>
                <w:rStyle w:val="normaltextrun"/>
                <w:rFonts w:cstheme="minorBidi"/>
              </w:rPr>
              <w:t>2.2</w:t>
            </w:r>
            <w:r w:rsidR="76B90AC3" w:rsidRPr="00F833FC">
              <w:rPr>
                <w:rStyle w:val="normaltextrun"/>
                <w:rFonts w:cstheme="minorBidi"/>
              </w:rPr>
              <w:t>a</w:t>
            </w:r>
          </w:p>
        </w:tc>
        <w:tc>
          <w:tcPr>
            <w:tcW w:w="7943" w:type="dxa"/>
            <w:tcBorders>
              <w:top w:val="single" w:sz="4" w:space="0" w:color="FFFFFF" w:themeColor="background1"/>
            </w:tcBorders>
            <w:tcMar>
              <w:top w:w="28" w:type="dxa"/>
              <w:bottom w:w="28" w:type="dxa"/>
            </w:tcMar>
          </w:tcPr>
          <w:p w14:paraId="1D16BFAA" w14:textId="2F82C881" w:rsidR="00682A5B" w:rsidRPr="00F833FC" w:rsidRDefault="00682A5B" w:rsidP="00634A83">
            <w:pPr>
              <w:rPr>
                <w:rStyle w:val="normaltextrun"/>
                <w:rFonts w:cstheme="minorBidi"/>
              </w:rPr>
            </w:pPr>
            <w:r w:rsidRPr="00F833FC">
              <w:rPr>
                <w:rStyle w:val="normaltextrun"/>
                <w:rFonts w:cstheme="minorBidi"/>
              </w:rPr>
              <w:t>Build equitable and inclusive processes that support the broadest range of people with lived and living experience to participate in government processes:</w:t>
            </w:r>
          </w:p>
          <w:p w14:paraId="49977065" w14:textId="4FAFFFBE" w:rsidR="00682A5B" w:rsidRPr="00F833FC" w:rsidRDefault="00682A5B" w:rsidP="00634A83">
            <w:pPr>
              <w:pStyle w:val="ListParagraph"/>
              <w:numPr>
                <w:ilvl w:val="0"/>
                <w:numId w:val="50"/>
              </w:numPr>
              <w:rPr>
                <w:rStyle w:val="normaltextrun"/>
                <w:rFonts w:cstheme="minorBidi"/>
                <w:color w:val="231C24" w:themeColor="text1"/>
                <w:lang w:val="en-AU" w:eastAsia="en-AU"/>
              </w:rPr>
            </w:pPr>
            <w:r w:rsidRPr="00F833FC">
              <w:rPr>
                <w:rStyle w:val="normaltextrun"/>
                <w:rFonts w:cstheme="minorBidi"/>
                <w:lang w:val="en-AU"/>
              </w:rPr>
              <w:t>Provid</w:t>
            </w:r>
            <w:r w:rsidR="431045EC" w:rsidRPr="00F833FC">
              <w:rPr>
                <w:rStyle w:val="normaltextrun"/>
                <w:rFonts w:cstheme="minorBidi"/>
                <w:lang w:val="en-AU"/>
              </w:rPr>
              <w:t>e</w:t>
            </w:r>
            <w:r w:rsidRPr="00F833FC">
              <w:rPr>
                <w:rStyle w:val="normaltextrun"/>
                <w:rFonts w:cstheme="minorBidi"/>
                <w:lang w:val="en-AU"/>
              </w:rPr>
              <w:t xml:space="preserve"> pre-engagement training to build capability for people with lived and living experience to take up leadership roles in influencing government processes.</w:t>
            </w:r>
          </w:p>
          <w:p w14:paraId="51BFA82F" w14:textId="1CAFBB72" w:rsidR="00682A5B" w:rsidRPr="00F833FC" w:rsidRDefault="00682A5B" w:rsidP="00634A83">
            <w:pPr>
              <w:pStyle w:val="ListParagraph"/>
              <w:numPr>
                <w:ilvl w:val="0"/>
                <w:numId w:val="50"/>
              </w:numPr>
              <w:rPr>
                <w:rStyle w:val="normaltextrun"/>
                <w:rFonts w:cstheme="minorBidi"/>
                <w:lang w:val="en-AU"/>
              </w:rPr>
            </w:pPr>
            <w:r w:rsidRPr="00F833FC">
              <w:rPr>
                <w:rStyle w:val="normaltextrun"/>
                <w:rFonts w:cstheme="minorBidi"/>
                <w:lang w:val="en-AU"/>
              </w:rPr>
              <w:t>Provid</w:t>
            </w:r>
            <w:r w:rsidR="431045EC" w:rsidRPr="00F833FC">
              <w:rPr>
                <w:rStyle w:val="normaltextrun"/>
                <w:rFonts w:cstheme="minorBidi"/>
                <w:lang w:val="en-AU"/>
              </w:rPr>
              <w:t>e</w:t>
            </w:r>
            <w:r w:rsidRPr="00F833FC">
              <w:rPr>
                <w:rStyle w:val="normaltextrun"/>
                <w:rFonts w:cstheme="minorBidi"/>
                <w:lang w:val="en-AU"/>
              </w:rPr>
              <w:t xml:space="preserve"> appropriate remuneration </w:t>
            </w:r>
            <w:r w:rsidRPr="00F833FC">
              <w:rPr>
                <w:rStyle w:val="normaltextrun"/>
                <w:lang w:val="en-AU"/>
              </w:rPr>
              <w:t>for those who</w:t>
            </w:r>
            <w:r w:rsidR="1E0A3F8A" w:rsidRPr="00F833FC">
              <w:rPr>
                <w:rStyle w:val="normaltextrun"/>
                <w:lang w:val="en-AU"/>
              </w:rPr>
              <w:t xml:space="preserve">se </w:t>
            </w:r>
            <w:r w:rsidRPr="00F833FC">
              <w:rPr>
                <w:rStyle w:val="normaltextrun"/>
                <w:lang w:val="en-AU"/>
              </w:rPr>
              <w:t>participati</w:t>
            </w:r>
            <w:r w:rsidR="1E0A3F8A" w:rsidRPr="00F833FC">
              <w:rPr>
                <w:rStyle w:val="normaltextrun"/>
                <w:lang w:val="en-AU"/>
              </w:rPr>
              <w:t>o</w:t>
            </w:r>
            <w:r w:rsidRPr="00F833FC">
              <w:rPr>
                <w:rStyle w:val="normaltextrun"/>
                <w:lang w:val="en-AU"/>
              </w:rPr>
              <w:t>n</w:t>
            </w:r>
            <w:r w:rsidR="1E0A3F8A" w:rsidRPr="00F833FC">
              <w:rPr>
                <w:rStyle w:val="normaltextrun"/>
                <w:lang w:val="en-AU"/>
              </w:rPr>
              <w:t xml:space="preserve"> is not</w:t>
            </w:r>
            <w:r w:rsidRPr="00F833FC">
              <w:rPr>
                <w:rStyle w:val="normaltextrun"/>
                <w:lang w:val="en-AU"/>
              </w:rPr>
              <w:t xml:space="preserve"> part of a paid employment role.</w:t>
            </w:r>
          </w:p>
          <w:p w14:paraId="5A3A89C8" w14:textId="00805F99" w:rsidR="00682A5B" w:rsidRPr="00F833FC" w:rsidRDefault="00682A5B" w:rsidP="00634A83">
            <w:pPr>
              <w:pStyle w:val="ListParagraph"/>
              <w:numPr>
                <w:ilvl w:val="0"/>
                <w:numId w:val="50"/>
              </w:numPr>
              <w:rPr>
                <w:rStyle w:val="normaltextrun"/>
                <w:rFonts w:eastAsiaTheme="minorEastAsia" w:cstheme="minorBidi"/>
                <w:lang w:val="en-AU"/>
              </w:rPr>
            </w:pPr>
            <w:r w:rsidRPr="00F833FC">
              <w:rPr>
                <w:rStyle w:val="normaltextrun"/>
                <w:rFonts w:cstheme="minorBidi"/>
                <w:lang w:val="en-AU"/>
              </w:rPr>
              <w:t>O</w:t>
            </w:r>
            <w:r w:rsidRPr="00F833FC">
              <w:rPr>
                <w:rStyle w:val="normaltextrun"/>
                <w:lang w:val="en-AU"/>
              </w:rPr>
              <w:t xml:space="preserve">ffer </w:t>
            </w:r>
            <w:r w:rsidRPr="00F833FC">
              <w:rPr>
                <w:rStyle w:val="normaltextrun"/>
                <w:rFonts w:cstheme="minorBidi"/>
                <w:lang w:val="en-AU"/>
              </w:rPr>
              <w:t>mentoring opportunities that support continuous skill development</w:t>
            </w:r>
            <w:r w:rsidR="06004ECB" w:rsidRPr="00F833FC">
              <w:rPr>
                <w:rStyle w:val="normaltextrun"/>
                <w:rFonts w:cstheme="minorBidi"/>
                <w:lang w:val="en-AU"/>
              </w:rPr>
              <w:t>,</w:t>
            </w:r>
            <w:r w:rsidR="0471B6C2" w:rsidRPr="00F833FC">
              <w:rPr>
                <w:rStyle w:val="normaltextrun"/>
                <w:rFonts w:cstheme="minorBidi"/>
                <w:lang w:val="en-AU"/>
              </w:rPr>
              <w:t xml:space="preserve"> </w:t>
            </w:r>
            <w:r w:rsidR="174A6211" w:rsidRPr="00F833FC">
              <w:rPr>
                <w:rStyle w:val="normaltextrun"/>
                <w:rFonts w:cstheme="minorBidi"/>
                <w:lang w:val="en-AU"/>
              </w:rPr>
              <w:t>including</w:t>
            </w:r>
            <w:r w:rsidR="0471B6C2" w:rsidRPr="00F833FC">
              <w:rPr>
                <w:rStyle w:val="normaltextrun"/>
                <w:rFonts w:cstheme="minorBidi"/>
                <w:lang w:val="en-AU"/>
              </w:rPr>
              <w:t xml:space="preserve"> </w:t>
            </w:r>
            <w:r w:rsidRPr="00F833FC">
              <w:rPr>
                <w:rStyle w:val="normaltextrun"/>
                <w:rFonts w:cstheme="minorBidi"/>
                <w:lang w:val="en-AU"/>
              </w:rPr>
              <w:t xml:space="preserve">reflective practices, and help </w:t>
            </w:r>
            <w:r w:rsidR="0471B6C2" w:rsidRPr="00F833FC">
              <w:rPr>
                <w:rStyle w:val="normaltextrun"/>
                <w:rFonts w:cstheme="minorBidi"/>
                <w:lang w:val="en-AU"/>
              </w:rPr>
              <w:t xml:space="preserve">people </w:t>
            </w:r>
            <w:r w:rsidRPr="00F833FC">
              <w:rPr>
                <w:rStyle w:val="normaltextrun"/>
                <w:rFonts w:cstheme="minorBidi"/>
                <w:lang w:val="en-AU"/>
              </w:rPr>
              <w:t xml:space="preserve">manage the unique stressors </w:t>
            </w:r>
            <w:r w:rsidR="0471B6C2" w:rsidRPr="00F833FC">
              <w:rPr>
                <w:rStyle w:val="normaltextrun"/>
                <w:rFonts w:cstheme="minorBidi"/>
                <w:lang w:val="en-AU"/>
              </w:rPr>
              <w:t xml:space="preserve">they </w:t>
            </w:r>
            <w:r w:rsidRPr="00F833FC">
              <w:rPr>
                <w:rStyle w:val="normaltextrun"/>
                <w:rFonts w:cstheme="minorBidi"/>
                <w:lang w:val="en-AU"/>
              </w:rPr>
              <w:t>may experience in designated roles.</w:t>
            </w:r>
          </w:p>
          <w:p w14:paraId="40A3F694" w14:textId="0AF14A6D" w:rsidR="00506D75" w:rsidRPr="00F833FC" w:rsidRDefault="692778BF" w:rsidP="00634A83">
            <w:pPr>
              <w:pStyle w:val="ListParagraph"/>
              <w:numPr>
                <w:ilvl w:val="0"/>
                <w:numId w:val="50"/>
              </w:numPr>
              <w:rPr>
                <w:color w:val="231C24" w:themeColor="text1"/>
                <w:lang w:eastAsia="en-AU"/>
              </w:rPr>
            </w:pPr>
            <w:r w:rsidRPr="00F833FC">
              <w:rPr>
                <w:rStyle w:val="normaltextrun"/>
                <w:rFonts w:cstheme="minorBidi"/>
                <w:lang w:val="en-AU"/>
              </w:rPr>
              <w:t>Proactively facilitate representation from groups that are disproportionately impacted by suicide.</w:t>
            </w:r>
          </w:p>
        </w:tc>
      </w:tr>
    </w:tbl>
    <w:p w14:paraId="0283AE80" w14:textId="781CFEE1" w:rsidR="00682A5B" w:rsidRPr="00B768A1" w:rsidRDefault="0B7CCC18" w:rsidP="00634A83">
      <w:pPr>
        <w:pStyle w:val="Heading3"/>
      </w:pPr>
      <w:r w:rsidRPr="45E58E07">
        <w:t>ce</w:t>
      </w:r>
      <w:r w:rsidR="003C5A8A" w:rsidRPr="45E58E07">
        <w:t>2</w:t>
      </w:r>
      <w:r w:rsidR="00682A5B" w:rsidRPr="45E58E07">
        <w:t xml:space="preserve">.3 </w:t>
      </w:r>
      <w:r w:rsidR="6D715158" w:rsidRPr="45E58E07">
        <w:t>Clear and structured methods of engagement</w:t>
      </w:r>
    </w:p>
    <w:p w14:paraId="33CD2615" w14:textId="3A19C848" w:rsidR="00682A5B" w:rsidRPr="00B768A1" w:rsidRDefault="57CA783E" w:rsidP="00634A83">
      <w:r>
        <w:t>To establish the most effective and mutually reinforcing way of working together, p</w:t>
      </w:r>
      <w:r w:rsidR="3605BDAC" w:rsidRPr="00B768A1">
        <w:t xml:space="preserve">eople with lived and living experience of suicide have </w:t>
      </w:r>
      <w:r w:rsidR="19D1E078">
        <w:t xml:space="preserve">emphasised </w:t>
      </w:r>
      <w:r w:rsidR="3605BDAC" w:rsidRPr="00B768A1">
        <w:t>the importance of clearly defined roles, including an understanding of what is being expected of them, how they can contribute, and transparency about the scope of their role in decision-making processes.</w:t>
      </w:r>
      <w:hyperlink w:anchor="_ENREF_316" w:tooltip="Office, 2023 #459" w:history="1">
        <w:r w:rsidR="002D6F18">
          <w:fldChar w:fldCharType="begin"/>
        </w:r>
        <w:r w:rsidR="002D6F18">
          <w:instrText xml:space="preserve"> ADDIN EN.CITE &lt;EndNote&gt;&lt;Cite&gt;&lt;Author&gt;Office&lt;/Author&gt;&lt;Year&gt;2023&lt;/Year&gt;&lt;RecNum&gt;459&lt;/RecNum&gt;&lt;DisplayText&gt;&lt;style face="superscript"&gt;316&lt;/style&gt;&lt;/DisplayText&gt;&lt;record&gt;&lt;rec-number&gt;459&lt;/rec-number&gt;&lt;foreign-keys&gt;&lt;key app="EN" db-id="rsettzd2isasdweewww55s9lffasxav0d0ft" timestamp="1700699474" guid="6e07b583-89be-4976-918b-450f39a35247"&gt;459&lt;/key&gt;&lt;/foreign-keys&gt;&lt;ref-type name="Web Page"&gt;12&lt;/ref-type&gt;&lt;contributors&gt;&lt;authors&gt;&lt;author&gt;National Suicide Prevention Office&lt;/author&gt;&lt;/authors&gt;&lt;/contributors&gt;&lt;titles&gt;&lt;title&gt;Roses in the Ocean Lived Experience Summit Workshop Summary Report 2023&lt;/title&gt;&lt;/titles&gt;&lt;dates&gt;&lt;year&gt;2023&lt;/year&gt;&lt;/dates&gt;&lt;publisher&gt;NSPO&lt;/publisher&gt;&lt;work-type&gt;Internet&lt;/work-type&gt;&lt;urls&gt;&lt;related-urls&gt;&lt;url&gt;https://haveyoursay.mentalhealthcommission.gov.au/rito-lived-experience-summit-workshop-summary-report-2023&lt;/url&gt;&lt;/related-urls&gt;&lt;/urls&gt;&lt;custom1&gt;2023&lt;/custom1&gt;&lt;custom2&gt;November 06&lt;/custom2&gt;&lt;/record&gt;&lt;/Cite&gt;&lt;/EndNote&gt;</w:instrText>
        </w:r>
        <w:r w:rsidR="002D6F18">
          <w:fldChar w:fldCharType="separate"/>
        </w:r>
        <w:r w:rsidR="002D6F18" w:rsidRPr="00C559B5">
          <w:rPr>
            <w:noProof/>
            <w:vertAlign w:val="superscript"/>
          </w:rPr>
          <w:t>316</w:t>
        </w:r>
        <w:r w:rsidR="002D6F18">
          <w:fldChar w:fldCharType="end"/>
        </w:r>
      </w:hyperlink>
      <w:r w:rsidR="00994EF6">
        <w:t xml:space="preserve"> </w:t>
      </w:r>
    </w:p>
    <w:p w14:paraId="7083F5EF" w14:textId="3FF207B4" w:rsidR="00682A5B" w:rsidRPr="00B768A1" w:rsidRDefault="633F55D5" w:rsidP="00634A83">
      <w:r w:rsidRPr="00B768A1">
        <w:t>P</w:t>
      </w:r>
      <w:r w:rsidR="3605BDAC" w:rsidRPr="00B768A1">
        <w:t xml:space="preserve">rocesses and structures that support engagement </w:t>
      </w:r>
      <w:r w:rsidRPr="00B768A1">
        <w:t xml:space="preserve">must be </w:t>
      </w:r>
      <w:r w:rsidR="3605BDAC" w:rsidRPr="00B768A1">
        <w:t>designed with a clear understanding of their purpose, aims and scope. Best-practice guidelines</w:t>
      </w:r>
      <w:hyperlink w:anchor="_ENREF_317" w:tooltip="Ocean, 2022 #458" w:history="1">
        <w:r w:rsidR="002D6F18">
          <w:fldChar w:fldCharType="begin"/>
        </w:r>
        <w:r w:rsidR="002D6F18">
          <w:instrText xml:space="preserve"> ADDIN EN.CITE &lt;EndNote&gt;&lt;Cite&gt;&lt;Author&gt;Ocean&lt;/Author&gt;&lt;Year&gt;2022&lt;/Year&gt;&lt;RecNum&gt;458&lt;/RecNum&gt;&lt;DisplayText&gt;&lt;style face="superscript"&gt;317&lt;/style&gt;&lt;/DisplayText&gt;&lt;record&gt;&lt;rec-number&gt;458&lt;/rec-number&gt;&lt;foreign-keys&gt;&lt;key app="EN" db-id="rsettzd2isasdweewww55s9lffasxav0d0ft" timestamp="1700699474" guid="8044de3b-a802-47a8-a188-dea130b62a4f"&gt;458&lt;/key&gt;&lt;/foreign-keys&gt;&lt;ref-type name="Web Page"&gt;12&lt;/ref-type&gt;&lt;contributors&gt;&lt;authors&gt;&lt;author&gt;Roses in the Ocean&lt;/author&gt;&lt;/authors&gt;&lt;/contributors&gt;&lt;titles&gt;&lt;title&gt;Lived Experience of Suicide Engagement Principles: (LESEP) Guidance Document&lt;/title&gt;&lt;/titles&gt;&lt;dates&gt;&lt;year&gt;2022&lt;/year&gt;&lt;/dates&gt;&lt;pub-location&gt;Brisbane, Queensland&lt;/pub-location&gt;&lt;publisher&gt;Roses in the Ocean&lt;/publisher&gt;&lt;work-type&gt;Internet&lt;/work-type&gt;&lt;urls&gt;&lt;related-urls&gt;&lt;url&gt;https://rosesintheocean.com.au/wp-content/uploads/2022/03/1.-LESEP-Guidance-Document-V1.1-FEB-2022.pdf&lt;/url&gt;&lt;/related-urls&gt;&lt;/urls&gt;&lt;custom1&gt;2023&lt;/custom1&gt;&lt;custom2&gt;November 06&lt;/custom2&gt;&lt;/record&gt;&lt;/Cite&gt;&lt;/EndNote&gt;</w:instrText>
        </w:r>
        <w:r w:rsidR="002D6F18">
          <w:fldChar w:fldCharType="separate"/>
        </w:r>
        <w:r w:rsidR="002D6F18" w:rsidRPr="00C559B5">
          <w:rPr>
            <w:noProof/>
            <w:vertAlign w:val="superscript"/>
          </w:rPr>
          <w:t>317</w:t>
        </w:r>
        <w:r w:rsidR="002D6F18">
          <w:fldChar w:fldCharType="end"/>
        </w:r>
      </w:hyperlink>
      <w:r w:rsidR="00994EF6">
        <w:t xml:space="preserve"> </w:t>
      </w:r>
      <w:r w:rsidR="3605BDAC" w:rsidRPr="00B768A1">
        <w:t>indicate that government agencies should carefully consider</w:t>
      </w:r>
      <w:r w:rsidR="498498E6" w:rsidRPr="002868C7">
        <w:t xml:space="preserve"> key aspects</w:t>
      </w:r>
      <w:r w:rsidR="3ED0772C" w:rsidRPr="00B768A1">
        <w:t xml:space="preserve"> </w:t>
      </w:r>
      <w:r w:rsidR="65A60D36" w:rsidRPr="00B768A1">
        <w:t xml:space="preserve">of </w:t>
      </w:r>
      <w:r w:rsidR="498498E6" w:rsidRPr="002868C7">
        <w:t xml:space="preserve">engagement </w:t>
      </w:r>
      <w:r w:rsidR="7F7CA10E" w:rsidRPr="00B768A1">
        <w:t xml:space="preserve">to </w:t>
      </w:r>
      <w:r w:rsidR="498498E6" w:rsidRPr="002868C7">
        <w:t>ensure transparent, diverse</w:t>
      </w:r>
      <w:r w:rsidR="7F7CA10E" w:rsidRPr="00B768A1">
        <w:t xml:space="preserve"> and </w:t>
      </w:r>
      <w:r w:rsidR="498498E6" w:rsidRPr="002868C7">
        <w:t>meaningful engagement</w:t>
      </w:r>
      <w:r w:rsidR="7F7CA10E" w:rsidRPr="00B768A1">
        <w:t xml:space="preserve"> with lived and living experience</w:t>
      </w:r>
      <w:r w:rsidR="498498E6" w:rsidRPr="002868C7">
        <w:t xml:space="preserve">. </w:t>
      </w:r>
    </w:p>
    <w:p w14:paraId="145304BB" w14:textId="4ABFF9DB" w:rsidR="00682A5B" w:rsidRPr="00B768A1" w:rsidRDefault="00682A5B" w:rsidP="00634A83">
      <w:r>
        <w:t>Governments should also maximise opportunities to support cross-portfolio consistency, decision-making and continual improvement in engagement by creating central whole-of-government groups involving both staff and people with lived and living experience</w:t>
      </w:r>
      <w:r w:rsidR="53605DF2">
        <w:t xml:space="preserve"> (</w:t>
      </w:r>
      <w:r w:rsidR="00EF1CE8">
        <w:t>action ce</w:t>
      </w:r>
      <w:r w:rsidR="53605DF2">
        <w:t>2.3a)</w:t>
      </w:r>
      <w:r>
        <w:t>.</w:t>
      </w:r>
    </w:p>
    <w:p w14:paraId="4573206A" w14:textId="48B8BFDD" w:rsidR="004265BA" w:rsidRPr="00435165" w:rsidRDefault="5BCB3237" w:rsidP="00634A83">
      <w:pPr>
        <w:pStyle w:val="BT-Beigebox-Heading"/>
      </w:pPr>
      <w:r w:rsidRPr="00B768A1">
        <w:t>Activity to build on</w:t>
      </w:r>
    </w:p>
    <w:p w14:paraId="3C371AA3" w14:textId="69C433B0" w:rsidR="00D460D3" w:rsidRPr="00B768A1" w:rsidRDefault="686B498F" w:rsidP="00634A83">
      <w:pPr>
        <w:pStyle w:val="BT-Beigebox"/>
        <w:rPr>
          <w:rStyle w:val="normaltextrun"/>
          <w:rFonts w:eastAsia="Roboto-Light"/>
        </w:rPr>
      </w:pPr>
      <w:r w:rsidRPr="00B768A1">
        <w:rPr>
          <w:rStyle w:val="normaltextrun"/>
          <w:rFonts w:eastAsia="Roboto-Light"/>
        </w:rPr>
        <w:t>The Lived Experience of Suicide Engagement</w:t>
      </w:r>
      <w:r w:rsidR="77376C22" w:rsidRPr="00B768A1">
        <w:rPr>
          <w:rStyle w:val="normaltextrun"/>
          <w:rFonts w:eastAsia="Roboto-Light"/>
        </w:rPr>
        <w:t>, Partnership and Integration</w:t>
      </w:r>
      <w:r w:rsidRPr="00B768A1">
        <w:rPr>
          <w:rStyle w:val="normaltextrun"/>
          <w:rFonts w:eastAsia="Roboto-Light"/>
        </w:rPr>
        <w:t xml:space="preserve"> Framework, developed by Roses in the Ocean,</w:t>
      </w:r>
      <w:hyperlink w:anchor="_ENREF_320" w:tooltip="Ocean, 2022 #462" w:history="1">
        <w:r w:rsidR="002D6F18">
          <w:rPr>
            <w:rStyle w:val="normaltextrun"/>
            <w:rFonts w:eastAsia="Roboto-Light"/>
          </w:rPr>
          <w:fldChar w:fldCharType="begin"/>
        </w:r>
        <w:r w:rsidR="002D6F18">
          <w:rPr>
            <w:rStyle w:val="normaltextrun"/>
            <w:rFonts w:eastAsia="Roboto-Light"/>
          </w:rPr>
          <w:instrText xml:space="preserve"> ADDIN EN.CITE &lt;EndNote&gt;&lt;Cite&gt;&lt;Author&gt;Ocean&lt;/Author&gt;&lt;Year&gt;2022&lt;/Year&gt;&lt;RecNum&gt;462&lt;/RecNum&gt;&lt;DisplayText&gt;&lt;style face="superscript"&gt;320&lt;/style&gt;&lt;/DisplayText&gt;&lt;record&gt;&lt;rec-number&gt;462&lt;/rec-number&gt;&lt;foreign-keys&gt;&lt;key app="EN" db-id="rsettzd2isasdweewww55s9lffasxav0d0ft" timestamp="1700699474" guid="5757c4f3-dacb-47fe-a4dc-435dadd019dc"&gt;462&lt;/key&gt;&lt;/foreign-keys&gt;&lt;ref-type name="Web Page"&gt;12&lt;/ref-type&gt;&lt;contributors&gt;&lt;authors&gt;&lt;author&gt;Roses in the Ocean&lt;/author&gt;&lt;/authors&gt;&lt;/contributors&gt;&lt;titles&gt;&lt;title&gt;Lived Experience of Suicide Engagement, Partnership and Integration: (LESEPI) Framework&lt;/title&gt;&lt;/titles&gt;&lt;dates&gt;&lt;year&gt;2022&lt;/year&gt;&lt;/dates&gt;&lt;pub-location&gt;Brisbane, Queensland&lt;/pub-location&gt;&lt;publisher&gt;Roses in the Ocean&lt;/publisher&gt;&lt;work-type&gt;Internet&lt;/work-type&gt;&lt;urls&gt;&lt;related-urls&gt;&lt;url&gt;https://rosesintheocean.com.au/wp-content/uploads/2022/09/LESEPI-Framework-V1.2.pdf&lt;/url&gt;&lt;/related-urls&gt;&lt;/urls&gt;&lt;custom1&gt;2023&lt;/custom1&gt;&lt;custom2&gt;May 19&lt;/custom2&gt;&lt;/record&gt;&lt;/Cite&gt;&lt;/EndNote&gt;</w:instrText>
        </w:r>
        <w:r w:rsidR="002D6F18">
          <w:rPr>
            <w:rStyle w:val="normaltextrun"/>
            <w:rFonts w:eastAsia="Roboto-Light"/>
          </w:rPr>
          <w:fldChar w:fldCharType="separate"/>
        </w:r>
        <w:r w:rsidR="002D6F18" w:rsidRPr="00C559B5">
          <w:rPr>
            <w:rStyle w:val="normaltextrun"/>
            <w:rFonts w:eastAsia="Roboto-Light"/>
            <w:noProof/>
            <w:vertAlign w:val="superscript"/>
          </w:rPr>
          <w:t>320</w:t>
        </w:r>
        <w:r w:rsidR="002D6F18">
          <w:rPr>
            <w:rStyle w:val="normaltextrun"/>
            <w:rFonts w:eastAsia="Roboto-Light"/>
          </w:rPr>
          <w:fldChar w:fldCharType="end"/>
        </w:r>
      </w:hyperlink>
      <w:r w:rsidR="00994EF6">
        <w:rPr>
          <w:rStyle w:val="normaltextrun"/>
          <w:rFonts w:eastAsia="Roboto-Light"/>
        </w:rPr>
        <w:t xml:space="preserve"> </w:t>
      </w:r>
      <w:r w:rsidRPr="00B768A1">
        <w:rPr>
          <w:rStyle w:val="normaltextrun"/>
          <w:rFonts w:eastAsia="Roboto-Light"/>
        </w:rPr>
        <w:t xml:space="preserve">informs </w:t>
      </w:r>
      <w:r w:rsidR="47C0887E" w:rsidRPr="00B768A1">
        <w:rPr>
          <w:rStyle w:val="normaltextrun"/>
          <w:rFonts w:eastAsia="Roboto-Light"/>
        </w:rPr>
        <w:t xml:space="preserve">the </w:t>
      </w:r>
      <w:r w:rsidRPr="00B768A1">
        <w:rPr>
          <w:rStyle w:val="normaltextrun"/>
          <w:rFonts w:eastAsia="Roboto-Light"/>
        </w:rPr>
        <w:t xml:space="preserve">mapping </w:t>
      </w:r>
      <w:r w:rsidR="47C0887E" w:rsidRPr="00B768A1">
        <w:rPr>
          <w:rStyle w:val="normaltextrun"/>
          <w:rFonts w:eastAsia="Roboto-Light"/>
        </w:rPr>
        <w:t xml:space="preserve">of </w:t>
      </w:r>
      <w:r w:rsidRPr="00B768A1">
        <w:rPr>
          <w:rStyle w:val="normaltextrun"/>
          <w:rFonts w:eastAsia="Roboto-Light"/>
        </w:rPr>
        <w:t>engagement, employment and partnership with people with lived and living experience across all stages of a project.</w:t>
      </w:r>
    </w:p>
    <w:p w14:paraId="4AD95A29" w14:textId="4C192F14" w:rsidR="004265BA" w:rsidRPr="00B768A1" w:rsidRDefault="686B498F" w:rsidP="00634A83">
      <w:pPr>
        <w:pStyle w:val="BT-Beigebox"/>
        <w:rPr>
          <w:rStyle w:val="normaltextrun"/>
          <w:rFonts w:eastAsia="Roboto-Light"/>
        </w:rPr>
      </w:pPr>
      <w:r w:rsidRPr="00B768A1">
        <w:rPr>
          <w:rStyle w:val="normaltextrun"/>
          <w:rFonts w:eastAsia="Roboto-Light"/>
        </w:rPr>
        <w:t xml:space="preserve">The </w:t>
      </w:r>
      <w:r w:rsidR="199F59B0" w:rsidRPr="00B768A1">
        <w:rPr>
          <w:rStyle w:val="normaltextrun"/>
          <w:rFonts w:eastAsia="Roboto-Light"/>
        </w:rPr>
        <w:t xml:space="preserve">LifeSpan </w:t>
      </w:r>
      <w:r w:rsidRPr="00B768A1">
        <w:rPr>
          <w:rStyle w:val="normaltextrun"/>
          <w:rFonts w:eastAsia="Roboto-Light"/>
        </w:rPr>
        <w:t>Lived Experience Framework</w:t>
      </w:r>
      <w:r w:rsidR="3AD2C5C7" w:rsidRPr="00B768A1">
        <w:rPr>
          <w:rStyle w:val="normaltextrun"/>
          <w:rFonts w:eastAsia="Roboto-Light"/>
        </w:rPr>
        <w:t>,</w:t>
      </w:r>
      <w:hyperlink w:anchor="_ENREF_321" w:tooltip="A, 2017 #32" w:history="1">
        <w:r w:rsidR="002D6F18">
          <w:rPr>
            <w:rStyle w:val="normaltextrun"/>
            <w:rFonts w:eastAsia="Roboto-Light"/>
          </w:rPr>
          <w:fldChar w:fldCharType="begin"/>
        </w:r>
        <w:r w:rsidR="002D6F18">
          <w:rPr>
            <w:rStyle w:val="normaltextrun"/>
            <w:rFonts w:eastAsia="Roboto-Light"/>
          </w:rPr>
          <w:instrText xml:space="preserve"> ADDIN EN.CITE &lt;EndNote&gt;&lt;Cite&gt;&lt;Author&gt;A&lt;/Author&gt;&lt;Year&gt;2017&lt;/Year&gt;&lt;RecNum&gt;32&lt;/RecNum&gt;&lt;DisplayText&gt;&lt;style face="superscript"&gt;321&lt;/style&gt;&lt;/DisplayText&gt;&lt;record&gt;&lt;rec-number&gt;32&lt;/rec-number&gt;&lt;foreign-keys&gt;&lt;key app="EN" db-id="rsettzd2isasdweewww55s9lffasxav0d0ft" timestamp="1700699466" guid="e87c8a56-0c8c-4856-bfb1-a105fa9f9170"&gt;32&lt;/key&gt;&lt;/foreign-keys&gt;&lt;ref-type name="Web Page"&gt;12&lt;/ref-type&gt;&lt;contributors&gt;&lt;authors&gt;&lt;author&gt;Suomi A&lt;/author&gt;&lt;author&gt;Freeman B&lt;/author&gt;&lt;author&gt;Banfield M&lt;/author&gt;&lt;/authors&gt;&lt;/contributors&gt;&lt;titles&gt;&lt;title&gt;Framework for the Engagement of People with a Lived Experience in Program Implementation and Research: Review and Report Prepared for the LifeSpan Suicide Prevention Project&lt;/title&gt;&lt;/titles&gt;&lt;dates&gt;&lt;year&gt;2017&lt;/year&gt;&lt;/dates&gt;&lt;pub-location&gt;Canberra, Australian Capital Territory&lt;/pub-location&gt;&lt;publisher&gt;Australian National University&lt;/publisher&gt;&lt;work-type&gt;Internet&lt;/work-type&gt;&lt;urls&gt;&lt;related-urls&gt;&lt;url&gt;https://www.blackdoginstitute.org.au/wp-content/uploads/2020/04/anu-lived-experience-framework.pdf&lt;/url&gt;&lt;/related-urls&gt;&lt;/urls&gt;&lt;custom1&gt;2023&lt;/custom1&gt;&lt;custom2&gt;May 19&lt;/custom2&gt;&lt;/record&gt;&lt;/Cite&gt;&lt;/EndNote&gt;</w:instrText>
        </w:r>
        <w:r w:rsidR="002D6F18">
          <w:rPr>
            <w:rStyle w:val="normaltextrun"/>
            <w:rFonts w:eastAsia="Roboto-Light"/>
          </w:rPr>
          <w:fldChar w:fldCharType="separate"/>
        </w:r>
        <w:r w:rsidR="002D6F18" w:rsidRPr="00C559B5">
          <w:rPr>
            <w:rStyle w:val="normaltextrun"/>
            <w:rFonts w:eastAsia="Roboto-Light"/>
            <w:noProof/>
            <w:vertAlign w:val="superscript"/>
          </w:rPr>
          <w:t>321</w:t>
        </w:r>
        <w:r w:rsidR="002D6F18">
          <w:rPr>
            <w:rStyle w:val="normaltextrun"/>
            <w:rFonts w:eastAsia="Roboto-Light"/>
          </w:rPr>
          <w:fldChar w:fldCharType="end"/>
        </w:r>
      </w:hyperlink>
      <w:r w:rsidR="00994EF6">
        <w:rPr>
          <w:rStyle w:val="normaltextrun"/>
          <w:rFonts w:eastAsia="Roboto-Light"/>
        </w:rPr>
        <w:t xml:space="preserve"> </w:t>
      </w:r>
      <w:r w:rsidRPr="00B768A1">
        <w:rPr>
          <w:rStyle w:val="normaltextrun"/>
          <w:rFonts w:eastAsia="Roboto-Light"/>
        </w:rPr>
        <w:t>developed by</w:t>
      </w:r>
      <w:r w:rsidR="6D09F595" w:rsidRPr="00B768A1">
        <w:rPr>
          <w:rStyle w:val="normaltextrun"/>
          <w:rFonts w:eastAsia="Roboto-Light"/>
        </w:rPr>
        <w:t xml:space="preserve"> the</w:t>
      </w:r>
      <w:r w:rsidRPr="00B768A1">
        <w:rPr>
          <w:rStyle w:val="normaltextrun"/>
          <w:rFonts w:eastAsia="Roboto-Light"/>
        </w:rPr>
        <w:t xml:space="preserve"> Lived Experience Resource Centre at the Black Dog Institute</w:t>
      </w:r>
      <w:r w:rsidR="3AD2C5C7" w:rsidRPr="00B768A1">
        <w:rPr>
          <w:rStyle w:val="normaltextrun"/>
          <w:rFonts w:eastAsia="Roboto-Light"/>
        </w:rPr>
        <w:t>,</w:t>
      </w:r>
      <w:hyperlink w:anchor="_ENREF_322" w:tooltip="Institute, 2023 #463" w:history="1">
        <w:r w:rsidR="002D6F18">
          <w:rPr>
            <w:rStyle w:val="normaltextrun"/>
            <w:rFonts w:eastAsia="Roboto-Light"/>
          </w:rPr>
          <w:fldChar w:fldCharType="begin"/>
        </w:r>
        <w:r w:rsidR="002D6F18">
          <w:rPr>
            <w:rStyle w:val="normaltextrun"/>
            <w:rFonts w:eastAsia="Roboto-Light"/>
          </w:rPr>
          <w:instrText xml:space="preserve"> ADDIN EN.CITE &lt;EndNote&gt;&lt;Cite&gt;&lt;Author&gt;Institute&lt;/Author&gt;&lt;Year&gt;2023&lt;/Year&gt;&lt;RecNum&gt;463&lt;/RecNum&gt;&lt;DisplayText&gt;&lt;style face="superscript"&gt;322&lt;/style&gt;&lt;/DisplayText&gt;&lt;record&gt;&lt;rec-number&gt;463&lt;/rec-number&gt;&lt;foreign-keys&gt;&lt;key app="EN" db-id="rsettzd2isasdweewww55s9lffasxav0d0ft" timestamp="1700699474" guid="cd8e8b84-2e5d-44b6-b724-05b3ef2b0560"&gt;463&lt;/key&gt;&lt;/foreign-keys&gt;&lt;ref-type name="Web Page"&gt;12&lt;/ref-type&gt;&lt;contributors&gt;&lt;authors&gt;&lt;author&gt;Black Dog Institute&lt;/author&gt;&lt;/authors&gt;&lt;/contributors&gt;&lt;titles&gt;&lt;title&gt;Centre of Research Excellence in Suicide Prevention: Lived Experience Resource Centre&lt;/title&gt;&lt;/titles&gt;&lt;dates&gt;&lt;year&gt;2023&lt;/year&gt;&lt;/dates&gt;&lt;publisher&gt;Black Dog Institute&lt;/publisher&gt;&lt;work-type&gt;Internet&lt;/work-type&gt;&lt;urls&gt;&lt;related-urls&gt;&lt;url&gt;https://www.blackdoginstitute.org.au/research-centres/centre-of-research-excellence-in-suicide-prevention/lived-experience-resource-centre/&lt;/url&gt;&lt;/related-urls&gt;&lt;/urls&gt;&lt;custom1&gt;2023&lt;/custom1&gt;&lt;custom2&gt;May 19&lt;/custom2&gt;&lt;/record&gt;&lt;/Cite&gt;&lt;/EndNote&gt;</w:instrText>
        </w:r>
        <w:r w:rsidR="002D6F18">
          <w:rPr>
            <w:rStyle w:val="normaltextrun"/>
            <w:rFonts w:eastAsia="Roboto-Light"/>
          </w:rPr>
          <w:fldChar w:fldCharType="separate"/>
        </w:r>
        <w:r w:rsidR="002D6F18" w:rsidRPr="00C559B5">
          <w:rPr>
            <w:rStyle w:val="normaltextrun"/>
            <w:rFonts w:eastAsia="Roboto-Light"/>
            <w:noProof/>
            <w:vertAlign w:val="superscript"/>
          </w:rPr>
          <w:t>322</w:t>
        </w:r>
        <w:r w:rsidR="002D6F18">
          <w:rPr>
            <w:rStyle w:val="normaltextrun"/>
            <w:rFonts w:eastAsia="Roboto-Light"/>
          </w:rPr>
          <w:fldChar w:fldCharType="end"/>
        </w:r>
      </w:hyperlink>
      <w:r w:rsidR="00994EF6">
        <w:rPr>
          <w:rStyle w:val="normaltextrun"/>
          <w:rFonts w:eastAsia="Roboto-Light"/>
        </w:rPr>
        <w:t xml:space="preserve"> </w:t>
      </w:r>
      <w:r w:rsidRPr="00B768A1">
        <w:rPr>
          <w:rStyle w:val="normaltextrun"/>
          <w:rFonts w:eastAsia="Roboto-Light"/>
        </w:rPr>
        <w:t>is another resource that helps to guide strategic and purposeful lived experience involvement in suicide prevention initiatives.</w:t>
      </w:r>
    </w:p>
    <w:p w14:paraId="0E1FF837" w14:textId="5CBEFB81" w:rsidR="00B8723A" w:rsidRDefault="00682A5B" w:rsidP="00634A83">
      <w:r w:rsidRPr="45E58E07">
        <w:t xml:space="preserve">To </w:t>
      </w:r>
      <w:r w:rsidR="00F472BC" w:rsidRPr="45E58E07">
        <w:t>en</w:t>
      </w:r>
      <w:r w:rsidRPr="45E58E07">
        <w:t>sure the approaches to embedding lived and living experience are effective, it will be crucial to develop outcomes</w:t>
      </w:r>
      <w:r w:rsidR="69FBE52B" w:rsidRPr="45E58E07">
        <w:t>-based measures</w:t>
      </w:r>
      <w:r w:rsidRPr="45E58E07">
        <w:t xml:space="preserve">. </w:t>
      </w:r>
      <w:r w:rsidR="00FC0E2C">
        <w:t>Outcomes-based</w:t>
      </w:r>
      <w:r w:rsidR="00C1069C" w:rsidRPr="45E58E07">
        <w:t xml:space="preserve"> measures </w:t>
      </w:r>
      <w:r w:rsidRPr="45E58E07">
        <w:t xml:space="preserve">would </w:t>
      </w:r>
      <w:r w:rsidR="00C1069C" w:rsidRPr="45E58E07">
        <w:t xml:space="preserve">assess </w:t>
      </w:r>
      <w:r w:rsidRPr="45E58E07">
        <w:t xml:space="preserve">whether the engagement was meaningful, how the insights enhanced decision-making, and </w:t>
      </w:r>
      <w:r w:rsidR="00C1069C" w:rsidRPr="45E58E07">
        <w:t xml:space="preserve">how </w:t>
      </w:r>
      <w:r w:rsidR="00D932E5" w:rsidRPr="45E58E07">
        <w:t xml:space="preserve">improved decision-making </w:t>
      </w:r>
      <w:r w:rsidRPr="45E58E07">
        <w:t>impact</w:t>
      </w:r>
      <w:r w:rsidR="00D932E5" w:rsidRPr="45E58E07">
        <w:t>ed</w:t>
      </w:r>
      <w:r w:rsidRPr="45E58E07">
        <w:t xml:space="preserve"> on the </w:t>
      </w:r>
      <w:r w:rsidR="2C6AF5B9" w:rsidRPr="45E58E07">
        <w:t xml:space="preserve">outcomes of the </w:t>
      </w:r>
      <w:r w:rsidRPr="45E58E07">
        <w:t>program and service</w:t>
      </w:r>
      <w:r w:rsidR="009B7CC0" w:rsidRPr="45E58E07">
        <w:t xml:space="preserve"> (</w:t>
      </w:r>
      <w:r w:rsidR="00EF1CE8" w:rsidRPr="45E58E07">
        <w:t>action ce</w:t>
      </w:r>
      <w:r w:rsidR="009B7CC0" w:rsidRPr="45E58E07">
        <w:t>2.3b)</w:t>
      </w:r>
      <w:r w:rsidRPr="45E58E07">
        <w:t>.</w:t>
      </w:r>
    </w:p>
    <w:p w14:paraId="69899658" w14:textId="78E180F8" w:rsidR="00A14EB0" w:rsidRDefault="00A14EB0" w:rsidP="00634A83">
      <w:r>
        <w:t xml:space="preserve">The recommended action to achieve </w:t>
      </w:r>
      <w:r w:rsidR="003A3C34">
        <w:t xml:space="preserve">clear and structured engagement </w:t>
      </w:r>
      <w:r>
        <w:t>is described in</w:t>
      </w:r>
      <w:r w:rsidR="00F04C6C">
        <w:t xml:space="preserve"> </w:t>
      </w:r>
      <w:r w:rsidR="00F04C6C">
        <w:fldChar w:fldCharType="begin"/>
      </w:r>
      <w:r w:rsidR="00F04C6C">
        <w:instrText xml:space="preserve"> REF _Ref162250362 \h </w:instrText>
      </w:r>
      <w:r w:rsidR="00F04C6C">
        <w:fldChar w:fldCharType="separate"/>
      </w:r>
      <w:r w:rsidR="009F12B4">
        <w:t xml:space="preserve">Table </w:t>
      </w:r>
      <w:r w:rsidR="009F12B4">
        <w:rPr>
          <w:noProof/>
        </w:rPr>
        <w:t>36</w:t>
      </w:r>
      <w:r w:rsidR="00F04C6C">
        <w:fldChar w:fldCharType="end"/>
      </w:r>
      <w:r>
        <w:t>.</w:t>
      </w:r>
    </w:p>
    <w:p w14:paraId="1E8E7D02" w14:textId="25F9760D" w:rsidR="00A14EB0" w:rsidRPr="00C41046" w:rsidRDefault="00A14EB0" w:rsidP="00745B34">
      <w:pPr>
        <w:pStyle w:val="Caption"/>
        <w:rPr>
          <w:rFonts w:cstheme="minorBidi"/>
        </w:rPr>
      </w:pPr>
      <w:bookmarkStart w:id="163" w:name="_Ref162250362"/>
      <w:r>
        <w:t xml:space="preserve">Table </w:t>
      </w:r>
      <w:r>
        <w:fldChar w:fldCharType="begin"/>
      </w:r>
      <w:r>
        <w:instrText>SEQ Table \* ARABIC</w:instrText>
      </w:r>
      <w:r>
        <w:fldChar w:fldCharType="separate"/>
      </w:r>
      <w:r w:rsidR="009F12B4">
        <w:rPr>
          <w:noProof/>
        </w:rPr>
        <w:t>36</w:t>
      </w:r>
      <w:r>
        <w:fldChar w:fldCharType="end"/>
      </w:r>
      <w:bookmarkEnd w:id="163"/>
      <w:r>
        <w:t xml:space="preserve">: Recommended actions for critical </w:t>
      </w:r>
      <w:r w:rsidRPr="00C41046">
        <w:t>enabler</w:t>
      </w:r>
      <w:r w:rsidR="009857AB" w:rsidRPr="00C41046">
        <w:t xml:space="preserve"> 2.3: </w:t>
      </w:r>
      <w:r w:rsidR="009A5E82" w:rsidRPr="00C41046">
        <w:t>Clear and st</w:t>
      </w:r>
      <w:r w:rsidR="00C41046" w:rsidRPr="00C41046">
        <w:t>ructured methods of engagement</w:t>
      </w:r>
    </w:p>
    <w:tbl>
      <w:tblPr>
        <w:tblStyle w:val="TableGrid"/>
        <w:tblW w:w="9213" w:type="dxa"/>
        <w:tblLook w:val="0420" w:firstRow="1" w:lastRow="0" w:firstColumn="0" w:lastColumn="0" w:noHBand="0" w:noVBand="1"/>
        <w:tblCaption w:val="Recommended actions for critical enabler 2.3: Work together effectively"/>
        <w:tblDescription w:val="Describes actions ce2.3a and ce2.3b"/>
      </w:tblPr>
      <w:tblGrid>
        <w:gridCol w:w="1270"/>
        <w:gridCol w:w="7943"/>
      </w:tblGrid>
      <w:tr w:rsidR="00686D03" w:rsidRPr="002D7A2A" w14:paraId="63005495" w14:textId="77777777" w:rsidTr="45E58E07">
        <w:trPr>
          <w:cnfStyle w:val="100000000000" w:firstRow="1" w:lastRow="0" w:firstColumn="0" w:lastColumn="0" w:oddVBand="0" w:evenVBand="0" w:oddHBand="0" w:evenHBand="0" w:firstRowFirstColumn="0" w:firstRowLastColumn="0" w:lastRowFirstColumn="0" w:lastRowLastColumn="0"/>
          <w:cantSplit/>
          <w:trHeight w:val="300"/>
          <w:tblHeader/>
        </w:trPr>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80AD" w:themeFill="accent4"/>
          </w:tcPr>
          <w:p w14:paraId="2C6613E6" w14:textId="619F2C2B" w:rsidR="00686D03" w:rsidRPr="002D7A2A" w:rsidRDefault="00686D03" w:rsidP="004F5B0E">
            <w:pPr>
              <w:pStyle w:val="NMHCTableHeaderRow"/>
            </w:pPr>
            <w:r w:rsidRPr="002D7A2A">
              <w:t>Action</w:t>
            </w:r>
          </w:p>
        </w:tc>
        <w:tc>
          <w:tcPr>
            <w:tcW w:w="7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80AD" w:themeFill="accent4"/>
            <w:tcMar>
              <w:top w:w="28" w:type="dxa"/>
              <w:bottom w:w="28" w:type="dxa"/>
            </w:tcMar>
          </w:tcPr>
          <w:p w14:paraId="63162117" w14:textId="5274539B" w:rsidR="00686D03" w:rsidRPr="002D7A2A" w:rsidRDefault="00A453F4" w:rsidP="004F5B0E">
            <w:pPr>
              <w:pStyle w:val="NMHCTableHeaderRow"/>
              <w:rPr>
                <w:rStyle w:val="normaltextrun"/>
                <w:rFonts w:cstheme="minorHAnsi"/>
                <w:bCs/>
              </w:rPr>
            </w:pPr>
            <w:r>
              <w:rPr>
                <w:rStyle w:val="normaltextrun"/>
                <w:rFonts w:cstheme="minorHAnsi"/>
                <w:bCs/>
              </w:rPr>
              <w:t>D</w:t>
            </w:r>
            <w:r>
              <w:rPr>
                <w:rStyle w:val="normaltextrun"/>
                <w:rFonts w:cstheme="minorHAnsi"/>
              </w:rPr>
              <w:t>escription</w:t>
            </w:r>
          </w:p>
        </w:tc>
      </w:tr>
      <w:tr w:rsidR="00682A5B" w:rsidRPr="00B768A1" w14:paraId="7A59DCFE" w14:textId="77777777" w:rsidTr="45E58E07">
        <w:trPr>
          <w:trHeight w:val="300"/>
        </w:trPr>
        <w:tc>
          <w:tcPr>
            <w:tcW w:w="1270" w:type="dxa"/>
            <w:tcBorders>
              <w:top w:val="single" w:sz="4" w:space="0" w:color="FFFFFF" w:themeColor="background1"/>
            </w:tcBorders>
          </w:tcPr>
          <w:p w14:paraId="3A21F9B8" w14:textId="0684E9BF" w:rsidR="00682A5B" w:rsidRPr="00F833FC" w:rsidRDefault="00752C00" w:rsidP="00634A83">
            <w:pPr>
              <w:rPr>
                <w:rStyle w:val="normaltextrun"/>
                <w:rFonts w:cstheme="minorBidi"/>
              </w:rPr>
            </w:pPr>
            <w:r w:rsidRPr="00F833FC">
              <w:t>ce</w:t>
            </w:r>
            <w:r w:rsidR="00682A5B" w:rsidRPr="00F833FC">
              <w:rPr>
                <w:rStyle w:val="normaltextrun"/>
                <w:rFonts w:cstheme="minorBidi"/>
              </w:rPr>
              <w:t>2.3a</w:t>
            </w:r>
          </w:p>
        </w:tc>
        <w:tc>
          <w:tcPr>
            <w:tcW w:w="7943" w:type="dxa"/>
            <w:tcBorders>
              <w:top w:val="single" w:sz="4" w:space="0" w:color="FFFFFF" w:themeColor="background1"/>
            </w:tcBorders>
            <w:tcMar>
              <w:top w:w="28" w:type="dxa"/>
              <w:bottom w:w="28" w:type="dxa"/>
            </w:tcMar>
          </w:tcPr>
          <w:p w14:paraId="4475E834" w14:textId="77777777" w:rsidR="00682A5B" w:rsidRPr="00F833FC" w:rsidRDefault="00682A5B" w:rsidP="00634A83">
            <w:pPr>
              <w:rPr>
                <w:rFonts w:eastAsiaTheme="minorEastAsia"/>
              </w:rPr>
            </w:pPr>
            <w:r w:rsidRPr="00F833FC">
              <w:rPr>
                <w:rStyle w:val="normaltextrun"/>
                <w:rFonts w:cstheme="minorBidi"/>
              </w:rPr>
              <w:t>Establish dedicated lived and living experience roles and governance bodies centrally and/or within departments and agencies to ensure lived and living experience of suicide is integrated into decision-making processes for policies and programs with relevance to suicide prevention.</w:t>
            </w:r>
          </w:p>
        </w:tc>
      </w:tr>
      <w:tr w:rsidR="00682A5B" w:rsidRPr="00B768A1" w14:paraId="286828AC" w14:textId="77777777" w:rsidTr="45E58E07">
        <w:trPr>
          <w:trHeight w:val="300"/>
        </w:trPr>
        <w:tc>
          <w:tcPr>
            <w:tcW w:w="1270" w:type="dxa"/>
          </w:tcPr>
          <w:p w14:paraId="647FEEC3" w14:textId="56A1D76F" w:rsidR="00682A5B" w:rsidRPr="00F833FC" w:rsidRDefault="00752C00" w:rsidP="00634A83">
            <w:r w:rsidRPr="00F833FC">
              <w:t>ce</w:t>
            </w:r>
            <w:r w:rsidR="00682A5B" w:rsidRPr="00F833FC">
              <w:t>2.3b</w:t>
            </w:r>
          </w:p>
        </w:tc>
        <w:tc>
          <w:tcPr>
            <w:tcW w:w="7943" w:type="dxa"/>
            <w:tcMar>
              <w:top w:w="28" w:type="dxa"/>
              <w:bottom w:w="28" w:type="dxa"/>
            </w:tcMar>
          </w:tcPr>
          <w:p w14:paraId="1AF79DA9" w14:textId="77777777" w:rsidR="00682A5B" w:rsidRPr="00F833FC" w:rsidRDefault="00682A5B" w:rsidP="00634A83">
            <w:pPr>
              <w:rPr>
                <w:rStyle w:val="normaltextrun"/>
                <w:rFonts w:cstheme="minorBidi"/>
              </w:rPr>
            </w:pPr>
            <w:r w:rsidRPr="00F833FC">
              <w:rPr>
                <w:rStyle w:val="normaltextrun"/>
                <w:rFonts w:eastAsiaTheme="minorEastAsia" w:cstheme="minorBidi"/>
              </w:rPr>
              <w:t>Create and report on co-produced outcomes that demonstrate the activity and impact of embedding people with lived and living experience of suicide in government decision-making.</w:t>
            </w:r>
          </w:p>
        </w:tc>
      </w:tr>
    </w:tbl>
    <w:p w14:paraId="154BE771" w14:textId="77777777" w:rsidR="00682A5B" w:rsidRPr="00B768A1" w:rsidRDefault="00682A5B" w:rsidP="00634A83"/>
    <w:p w14:paraId="71D12348" w14:textId="77777777" w:rsidR="008D2B27" w:rsidRDefault="008D2B27" w:rsidP="00634A83">
      <w:pPr>
        <w:rPr>
          <w:rFonts w:eastAsiaTheme="majorEastAsia" w:cstheme="majorBidi"/>
          <w:sz w:val="40"/>
          <w:szCs w:val="26"/>
        </w:rPr>
      </w:pPr>
      <w:bookmarkStart w:id="164" w:name="_Enabler_3:_Availability"/>
      <w:bookmarkStart w:id="165" w:name="_Toc152082313"/>
      <w:bookmarkEnd w:id="164"/>
      <w:r>
        <w:br w:type="page"/>
      </w:r>
    </w:p>
    <w:p w14:paraId="345C35AE" w14:textId="70F0E1EA" w:rsidR="00682A5B" w:rsidRPr="00B768A1" w:rsidRDefault="002362A6" w:rsidP="00996915">
      <w:pPr>
        <w:pStyle w:val="Heading2"/>
      </w:pPr>
      <w:bookmarkStart w:id="166" w:name="_Toc164868159"/>
      <w:bookmarkStart w:id="167" w:name="_Toc849812409"/>
      <w:bookmarkStart w:id="168" w:name="_Toc936068854"/>
      <w:bookmarkStart w:id="169" w:name="_Toc171459040"/>
      <w:r>
        <w:drawing>
          <wp:anchor distT="0" distB="0" distL="114300" distR="114300" simplePos="0" relativeHeight="251658261" behindDoc="1" locked="0" layoutInCell="1" allowOverlap="1" wp14:anchorId="0A3DD2AA" wp14:editId="2350C2E8">
            <wp:simplePos x="0" y="0"/>
            <wp:positionH relativeFrom="margin">
              <wp:align>right</wp:align>
            </wp:positionH>
            <wp:positionV relativeFrom="paragraph">
              <wp:posOffset>8255</wp:posOffset>
            </wp:positionV>
            <wp:extent cx="1415415" cy="899795"/>
            <wp:effectExtent l="0" t="0" r="0" b="0"/>
            <wp:wrapTight wrapText="bothSides">
              <wp:wrapPolygon edited="0">
                <wp:start x="0" y="0"/>
                <wp:lineTo x="0" y="21036"/>
                <wp:lineTo x="21222" y="21036"/>
                <wp:lineTo x="21222" y="0"/>
                <wp:lineTo x="0" y="0"/>
              </wp:wrapPolygon>
            </wp:wrapTight>
            <wp:docPr id="1861008864" name="Picture 1861008864" descr="Available and translated evidence is the third critical enabler in the Strate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008864" name="Picture 1861008864" descr="Available and translated evidence is the third critical enabler in the Strategy. "/>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15415" cy="899795"/>
                    </a:xfrm>
                    <a:prstGeom prst="rect">
                      <a:avLst/>
                    </a:prstGeom>
                  </pic:spPr>
                </pic:pic>
              </a:graphicData>
            </a:graphic>
          </wp:anchor>
        </w:drawing>
      </w:r>
      <w:r w:rsidR="356DF840" w:rsidRPr="04A3B251">
        <w:t xml:space="preserve">Critical </w:t>
      </w:r>
      <w:r w:rsidR="3D7F615C" w:rsidRPr="04A3B251">
        <w:t>enabler</w:t>
      </w:r>
      <w:r w:rsidR="14E047D8" w:rsidRPr="04A3B251">
        <w:t xml:space="preserve"> 3: </w:t>
      </w:r>
      <w:r w:rsidR="51DC6980" w:rsidRPr="04A3B251">
        <w:t>Availab</w:t>
      </w:r>
      <w:r w:rsidR="3055D0B7" w:rsidRPr="04A3B251">
        <w:t>le</w:t>
      </w:r>
      <w:r w:rsidR="51DC6980" w:rsidRPr="04A3B251">
        <w:t xml:space="preserve"> and translat</w:t>
      </w:r>
      <w:r w:rsidR="4CE7287C" w:rsidRPr="04A3B251">
        <w:t>ed</w:t>
      </w:r>
      <w:r w:rsidR="51DC6980" w:rsidRPr="04A3B251">
        <w:t xml:space="preserve"> evidence</w:t>
      </w:r>
      <w:bookmarkEnd w:id="165"/>
      <w:bookmarkEnd w:id="166"/>
      <w:bookmarkEnd w:id="167"/>
      <w:bookmarkEnd w:id="168"/>
      <w:bookmarkEnd w:id="169"/>
    </w:p>
    <w:p w14:paraId="2DE523CB" w14:textId="4C0A6E15" w:rsidR="0A966EB6" w:rsidRDefault="0A966EB6" w:rsidP="00634A83">
      <w:r w:rsidRPr="04A3B251">
        <w:t>An effective approach to suicide prevention is underpinned by robust evidence and evaluation. This requires:</w:t>
      </w:r>
    </w:p>
    <w:p w14:paraId="3B9210A9" w14:textId="0883D676" w:rsidR="0A966EB6" w:rsidRDefault="0A966EB6" w:rsidP="00634A83">
      <w:pPr>
        <w:pStyle w:val="ListParagraph"/>
        <w:numPr>
          <w:ilvl w:val="0"/>
          <w:numId w:val="10"/>
        </w:numPr>
      </w:pPr>
      <w:r w:rsidRPr="04A3B251">
        <w:t xml:space="preserve">a systematic and coordinated approach to data collection and research to improve our understanding of suicide; </w:t>
      </w:r>
    </w:p>
    <w:p w14:paraId="094A533D" w14:textId="532219F3" w:rsidR="0A966EB6" w:rsidRDefault="0A966EB6" w:rsidP="00634A83">
      <w:pPr>
        <w:pStyle w:val="ListParagraph"/>
        <w:numPr>
          <w:ilvl w:val="0"/>
          <w:numId w:val="10"/>
        </w:numPr>
      </w:pPr>
      <w:r w:rsidRPr="04A3B251">
        <w:t xml:space="preserve">translation of this evidence into routine practice in a timely fashion, in collaboration with people with lived and living experience of suicide and the communities from which the data and information comes; and </w:t>
      </w:r>
    </w:p>
    <w:p w14:paraId="1ADD074A" w14:textId="2F488137" w:rsidR="0A966EB6" w:rsidRDefault="0A966EB6" w:rsidP="00634A83">
      <w:pPr>
        <w:pStyle w:val="ListParagraph"/>
        <w:numPr>
          <w:ilvl w:val="0"/>
          <w:numId w:val="10"/>
        </w:numPr>
      </w:pPr>
      <w:r w:rsidRPr="04A3B251">
        <w:t>investment in high quality evaluation to determine whether suicide prevention activities are achieving their intended outcomes and to inform any necessary improvements.</w:t>
      </w:r>
    </w:p>
    <w:p w14:paraId="3C7CCEAC" w14:textId="6E542AA3" w:rsidR="7FB838E1" w:rsidRPr="00497876" w:rsidRDefault="7FB838E1" w:rsidP="00634A83">
      <w:pPr>
        <w:pStyle w:val="BT-Livedexperience-Pink-Heading"/>
      </w:pPr>
      <w:r w:rsidRPr="00497876">
        <w:t xml:space="preserve">What </w:t>
      </w:r>
      <w:r w:rsidR="00DE14DA">
        <w:t xml:space="preserve">do </w:t>
      </w:r>
      <w:r w:rsidRPr="00497876">
        <w:t xml:space="preserve">we </w:t>
      </w:r>
      <w:r w:rsidR="00DE14DA">
        <w:t xml:space="preserve">need </w:t>
      </w:r>
      <w:r w:rsidRPr="00497876">
        <w:t>to achieve?</w:t>
      </w:r>
    </w:p>
    <w:p w14:paraId="497D6914" w14:textId="62ADA08A" w:rsidR="51FD0940" w:rsidRDefault="7FB838E1" w:rsidP="00634A83">
      <w:pPr>
        <w:pStyle w:val="BT-Livedexperience-Pink"/>
      </w:pPr>
      <w:r w:rsidRPr="00497876">
        <w:t>Suicide prevention in Australia uses fit-for-purpose evidence to guide timely, high-quality, effective suicide prevention activities.</w:t>
      </w:r>
    </w:p>
    <w:p w14:paraId="78ED65A5" w14:textId="09AADC5A" w:rsidR="00682A5B" w:rsidRPr="00B768A1" w:rsidRDefault="3DBDE590" w:rsidP="00634A83">
      <w:pPr>
        <w:pStyle w:val="Heading3"/>
      </w:pPr>
      <w:r w:rsidRPr="5B74CE65">
        <w:t>ce3.1 Enhance</w:t>
      </w:r>
      <w:r w:rsidR="00682A5B" w:rsidRPr="5B74CE65">
        <w:t xml:space="preserve"> data</w:t>
      </w:r>
      <w:r w:rsidR="00696E57" w:rsidRPr="5B74CE65">
        <w:t xml:space="preserve"> for suicide prevention</w:t>
      </w:r>
    </w:p>
    <w:p w14:paraId="46615198" w14:textId="78EE8481" w:rsidR="00682A5B" w:rsidRPr="00B768A1" w:rsidRDefault="3605BDAC" w:rsidP="00634A83">
      <w:r w:rsidRPr="00B768A1">
        <w:t xml:space="preserve">Data </w:t>
      </w:r>
      <w:r w:rsidR="1A4D91A7">
        <w:t>are</w:t>
      </w:r>
      <w:r w:rsidR="523B3A5B" w:rsidRPr="00B768A1">
        <w:t xml:space="preserve"> </w:t>
      </w:r>
      <w:r w:rsidRPr="00B768A1">
        <w:t>essential for understanding the prevalence of suicide, suicidal behaviours, suicide risk factors and the social determinants of suicide, such as rates of long-term unemployment and homelessness.</w:t>
      </w:r>
      <w:hyperlink w:anchor="_ENREF_10" w:tooltip="Commission, 2020 #16" w:history="1">
        <w:r w:rsidR="002D6F18">
          <w:fldChar w:fldCharType="begin"/>
        </w:r>
        <w:r w:rsidR="002D6F18">
          <w:instrText xml:space="preserve"> ADDIN EN.CITE &lt;EndNote&gt;&lt;Cite&gt;&lt;Author&gt;Commission&lt;/Author&gt;&lt;Year&gt;2020&lt;/Year&gt;&lt;RecNum&gt;16&lt;/RecNum&gt;&lt;DisplayText&gt;&lt;style face="superscript"&gt;10&lt;/style&gt;&lt;/DisplayText&gt;&lt;record&gt;&lt;rec-number&gt;16&lt;/rec-number&gt;&lt;foreign-keys&gt;&lt;key app="EN" db-id="rsettzd2isasdweewww55s9lffasxav0d0ft" timestamp="1700699466" guid="211cab95-640a-4261-a3ce-923e676f72bf"&gt;16&lt;/key&gt;&lt;/foreign-keys&gt;&lt;ref-type name="Web Page"&gt;12&lt;/ref-type&gt;&lt;contributors&gt;&lt;authors&gt;&lt;author&gt;Productivity Commission&lt;/author&gt;&lt;/authors&gt;&lt;/contributors&gt;&lt;titles&gt;&lt;title&gt;Mental Health, Report No. 95&lt;/title&gt;&lt;/titles&gt;&lt;dates&gt;&lt;year&gt;2020&lt;/year&gt;&lt;/dates&gt;&lt;pub-location&gt;Canberra&lt;/pub-location&gt;&lt;publisher&gt;PC, Australian Government&lt;/publisher&gt;&lt;isbn&gt;978-1-74037-699-0 &lt;/isbn&gt;&lt;work-type&gt;Internet&lt;/work-type&gt;&lt;urls&gt;&lt;related-urls&gt;&lt;url&gt;https://www.pc.gov.au/inquiries/completed/mental-health/report&lt;/url&gt;&lt;/related-urls&gt;&lt;/urls&gt;&lt;custom1&gt;2023&lt;/custom1&gt;&lt;custom2&gt;October 03&lt;/custom2&gt;&lt;/record&gt;&lt;/Cite&gt;&lt;/EndNote&gt;</w:instrText>
        </w:r>
        <w:r w:rsidR="002D6F18">
          <w:fldChar w:fldCharType="separate"/>
        </w:r>
        <w:r w:rsidR="002D6F18" w:rsidRPr="0082082D">
          <w:rPr>
            <w:noProof/>
            <w:vertAlign w:val="superscript"/>
          </w:rPr>
          <w:t>10</w:t>
        </w:r>
        <w:r w:rsidR="002D6F18">
          <w:fldChar w:fldCharType="end"/>
        </w:r>
      </w:hyperlink>
      <w:r w:rsidR="00171560">
        <w:t xml:space="preserve"> </w:t>
      </w:r>
      <w:r w:rsidR="2B64949D" w:rsidRPr="00B768A1">
        <w:t>These</w:t>
      </w:r>
      <w:r w:rsidR="523B3A5B" w:rsidRPr="00B768A1">
        <w:t xml:space="preserve"> </w:t>
      </w:r>
      <w:r w:rsidRPr="00B768A1">
        <w:t>data</w:t>
      </w:r>
      <w:r w:rsidR="796477DF" w:rsidRPr="00B768A1">
        <w:t>, including from suicide registers and other sources,</w:t>
      </w:r>
      <w:r w:rsidRPr="00B768A1">
        <w:t xml:space="preserve"> must be collected and monitored in </w:t>
      </w:r>
      <w:r w:rsidR="217A1221" w:rsidRPr="00B768A1">
        <w:t xml:space="preserve">a timely </w:t>
      </w:r>
      <w:r w:rsidRPr="00B768A1">
        <w:t xml:space="preserve">way </w:t>
      </w:r>
      <w:r w:rsidR="0FCFF2F8" w:rsidRPr="00B768A1">
        <w:t xml:space="preserve">to </w:t>
      </w:r>
      <w:r w:rsidRPr="00B768A1">
        <w:t xml:space="preserve">ensure </w:t>
      </w:r>
      <w:r w:rsidR="28F04BA8" w:rsidRPr="00B768A1">
        <w:t xml:space="preserve">early identification of </w:t>
      </w:r>
      <w:r w:rsidRPr="00B768A1">
        <w:t xml:space="preserve">emerging issues and </w:t>
      </w:r>
      <w:r w:rsidR="28F04BA8" w:rsidRPr="00B768A1">
        <w:t xml:space="preserve">early, </w:t>
      </w:r>
      <w:r w:rsidRPr="00B768A1">
        <w:t>appropriate responses.</w:t>
      </w:r>
      <w:hyperlink w:anchor="_ENREF_196" w:tooltip="A, 2022 #428" w:history="1">
        <w:r w:rsidR="002D6F18">
          <w:fldChar w:fldCharType="begin"/>
        </w:r>
        <w:r w:rsidR="002D6F18">
          <w:instrText xml:space="preserve"> ADDIN EN.CITE &lt;EndNote&gt;&lt;Cite&gt;&lt;Author&gt;A&lt;/Author&gt;&lt;Year&gt;2022&lt;/Year&gt;&lt;RecNum&gt;428&lt;/RecNum&gt;&lt;DisplayText&gt;&lt;style face="superscript"&gt;196&lt;/style&gt;&lt;/DisplayText&gt;&lt;record&gt;&lt;rec-number&gt;428&lt;/rec-number&gt;&lt;foreign-keys&gt;&lt;key app="EN" db-id="rsettzd2isasdweewww55s9lffasxav0d0ft" timestamp="1700699473" guid="db3eece9-c2a3-48bc-b662-6d7093773212"&gt;428&lt;/key&gt;&lt;/foreign-keys&gt;&lt;ref-type name="Web Page"&gt;12&lt;/ref-type&gt;&lt;contributors&gt;&lt;authors&gt;&lt;author&gt;Flego A&lt;/author&gt;&lt;author&gt;Dempster G&lt;/author&gt;&lt;author&gt;Cutler T&lt;/author&gt;&lt;author&gt;Robinson J&lt;/author&gt;&lt;author&gt;Perkis J&lt;/author&gt;&lt;/authors&gt;&lt;/contributors&gt;&lt;titles&gt;&lt;title&gt;Evaluation of the National Suicide and Self-Harm Monitoring Project and System: Final Report&lt;/title&gt;&lt;/titles&gt;&lt;dates&gt;&lt;year&gt;2022&lt;/year&gt;&lt;/dates&gt;&lt;publisher&gt;AIHW&lt;/publisher&gt;&lt;work-type&gt;Internet&lt;/work-type&gt;&lt;urls&gt;&lt;related-urls&gt;&lt;url&gt;https://www.aihw.gov.au/getmedia/3913189d-ee80-4dcb-bbf2-ed1cb2104e3a/NSSHMS-Evaluation_Final-report_UoM_280622.pdf.aspx&lt;/url&gt;&lt;/related-urls&gt;&lt;/urls&gt;&lt;custom1&gt;2023&lt;/custom1&gt;&lt;custom2&gt;November 02&lt;/custom2&gt;&lt;/record&gt;&lt;/Cite&gt;&lt;/EndNote&gt;</w:instrText>
        </w:r>
        <w:r w:rsidR="002D6F18">
          <w:fldChar w:fldCharType="separate"/>
        </w:r>
        <w:r w:rsidR="002D6F18" w:rsidRPr="00C559B5">
          <w:rPr>
            <w:noProof/>
            <w:vertAlign w:val="superscript"/>
          </w:rPr>
          <w:t>196</w:t>
        </w:r>
        <w:r w:rsidR="002D6F18">
          <w:fldChar w:fldCharType="end"/>
        </w:r>
      </w:hyperlink>
      <w:r w:rsidR="00171560">
        <w:t xml:space="preserve"> </w:t>
      </w:r>
    </w:p>
    <w:p w14:paraId="67CB8D63" w14:textId="54F0B6E2" w:rsidR="00074FBD" w:rsidRPr="0083775A" w:rsidRDefault="00074FBD" w:rsidP="00634A83">
      <w:pPr>
        <w:pStyle w:val="BT-Beigebox-Heading"/>
        <w:rPr>
          <w:rStyle w:val="normaltextrun"/>
          <w:rFonts w:eastAsia="Roboto-Light" w:cstheme="minorHAnsi"/>
          <w:b w:val="0"/>
          <w:bCs/>
          <w:iCs/>
        </w:rPr>
      </w:pPr>
      <w:r w:rsidRPr="0083775A">
        <w:rPr>
          <w:rStyle w:val="normaltextrun"/>
          <w:rFonts w:eastAsia="Roboto-Light" w:cstheme="minorHAnsi"/>
          <w:bCs/>
          <w:iCs/>
        </w:rPr>
        <w:t>Activity to build on</w:t>
      </w:r>
    </w:p>
    <w:p w14:paraId="734CE7B6" w14:textId="42034002" w:rsidR="00074FBD" w:rsidRPr="00B768A1" w:rsidRDefault="53806395" w:rsidP="00634A83">
      <w:pPr>
        <w:pStyle w:val="BT-Beigebox"/>
      </w:pPr>
      <w:r w:rsidRPr="00B768A1">
        <w:t>The establishment of the National Suicide and Self-Harm Monitoring System,</w:t>
      </w:r>
      <w:hyperlink w:anchor="_ENREF_195" w:tooltip="Welfare, 2023 #957" w:history="1">
        <w:r w:rsidR="002D6F18" w:rsidRPr="00171560">
          <w:rPr>
            <w:vertAlign w:val="superscript"/>
          </w:rPr>
          <w:fldChar w:fldCharType="begin"/>
        </w:r>
        <w:r w:rsidR="002D6F18">
          <w:rPr>
            <w:vertAlign w:val="superscript"/>
          </w:rPr>
          <w:instrText xml:space="preserve"> ADDIN EN.CITE &lt;EndNote&gt;&lt;Cite&gt;&lt;Author&gt;Welfare&lt;/Author&gt;&lt;Year&gt;2023&lt;/Year&gt;&lt;RecNum&gt;413&lt;/RecNum&gt;&lt;DisplayText&gt;&lt;style face="superscript"&gt;195&lt;/style&gt;&lt;/DisplayText&gt;&lt;record&gt;&lt;rec-number&gt;413&lt;/rec-number&gt;&lt;foreign-keys&gt;&lt;key app="EN" db-id="rsettzd2isasdweewww55s9lffasxav0d0ft" timestamp="1700699473" guid="974085f1-f02a-4311-b894-1a9f369222ad"&gt;413&lt;/key&gt;&lt;/foreign-keys&gt;&lt;ref-type name="Web Page"&gt;12&lt;/ref-type&gt;&lt;contributors&gt;&lt;authors&gt;&lt;author&gt;Australian Institute of Health and Welfare&lt;/author&gt;&lt;/authors&gt;&lt;/contributors&gt;&lt;titles&gt;&lt;title&gt;The National Suicide and Self-Harm Monitoring System&lt;/title&gt;&lt;/titles&gt;&lt;dates&gt;&lt;year&gt;2023&lt;/year&gt;&lt;/dates&gt;&lt;publisher&gt;AIHW, Australian Government&lt;/publisher&gt;&lt;work-type&gt;Internet&lt;/work-type&gt;&lt;urls&gt;&lt;related-urls&gt;&lt;url&gt;https://www.aihw.gov.au/suicide-self-harm-monitoring&lt;/url&gt;&lt;/related-urls&gt;&lt;/urls&gt;&lt;custom1&gt;2023&lt;/custom1&gt;&lt;custom2&gt;October 30&lt;/custom2&gt;&lt;/record&gt;&lt;/Cite&gt;&lt;/EndNote&gt;</w:instrText>
        </w:r>
        <w:r w:rsidR="002D6F18" w:rsidRPr="00171560">
          <w:rPr>
            <w:vertAlign w:val="superscript"/>
          </w:rPr>
          <w:fldChar w:fldCharType="separate"/>
        </w:r>
        <w:r w:rsidR="002D6F18">
          <w:rPr>
            <w:noProof/>
            <w:vertAlign w:val="superscript"/>
          </w:rPr>
          <w:t>195</w:t>
        </w:r>
        <w:r w:rsidR="002D6F18" w:rsidRPr="00171560">
          <w:rPr>
            <w:vertAlign w:val="superscript"/>
          </w:rPr>
          <w:fldChar w:fldCharType="end"/>
        </w:r>
      </w:hyperlink>
      <w:r w:rsidR="00171560" w:rsidRPr="00171560">
        <w:rPr>
          <w:vertAlign w:val="superscript"/>
        </w:rPr>
        <w:t>,</w:t>
      </w:r>
      <w:hyperlink w:anchor="_ENREF_323" w:tooltip="A, 2021 #296" w:history="1">
        <w:r w:rsidR="002D6F18" w:rsidRPr="00171560">
          <w:rPr>
            <w:vertAlign w:val="superscript"/>
          </w:rPr>
          <w:fldChar w:fldCharType="begin"/>
        </w:r>
        <w:r w:rsidR="002D6F18">
          <w:rPr>
            <w:vertAlign w:val="superscript"/>
          </w:rPr>
          <w:instrText xml:space="preserve"> ADDIN EN.CITE &lt;EndNote&gt;&lt;Cite&gt;&lt;Author&gt;A&lt;/Author&gt;&lt;Year&gt;2021&lt;/Year&gt;&lt;RecNum&gt;296&lt;/RecNum&gt;&lt;DisplayText&gt;&lt;style face="superscript"&gt;323&lt;/style&gt;&lt;/DisplayText&gt;&lt;record&gt;&lt;rec-number&gt;296&lt;/rec-number&gt;&lt;foreign-keys&gt;&lt;key app="EN" db-id="rsettzd2isasdweewww55s9lffasxav0d0ft" timestamp="1700699471" guid="53eab334-6296-4cfe-b4fc-d0fe30560b48"&gt;296&lt;/key&gt;&lt;/foreign-keys&gt;&lt;ref-type name="Journal Article"&gt;17&lt;/ref-type&gt;&lt;contributors&gt;&lt;authors&gt;&lt;author&gt;Baran A&lt;/author&gt;&lt;author&gt;Gerstner R&lt;/author&gt;&lt;author&gt;Ueda M&lt;/author&gt;&lt;author&gt;Gmitrowicz A&lt;/author&gt;&lt;/authors&gt;&lt;/contributors&gt;&lt;titles&gt;&lt;title&gt;Implementing Real-Time Data Suicide Surveillance Systems&lt;/title&gt;&lt;secondary-title&gt;Crisis: The Journal of Crisis Intervention and Suicide Prevention&lt;/secondary-title&gt;&lt;/titles&gt;&lt;periodical&gt;&lt;full-title&gt;Crisis: The Journal of Crisis Intervention and Suicide Prevention&lt;/full-title&gt;&lt;/periodical&gt;&lt;dates&gt;&lt;year&gt;2021&lt;/year&gt;&lt;/dates&gt;&lt;urls&gt;&lt;/urls&gt;&lt;electronic-resource-num&gt;DOI: 10.1027/0227-5910/a000829&lt;/electronic-resource-num&gt;&lt;/record&gt;&lt;/Cite&gt;&lt;/EndNote&gt;</w:instrText>
        </w:r>
        <w:r w:rsidR="002D6F18" w:rsidRPr="00171560">
          <w:rPr>
            <w:vertAlign w:val="superscript"/>
          </w:rPr>
          <w:fldChar w:fldCharType="separate"/>
        </w:r>
        <w:r w:rsidR="002D6F18">
          <w:rPr>
            <w:noProof/>
            <w:vertAlign w:val="superscript"/>
          </w:rPr>
          <w:t>323</w:t>
        </w:r>
        <w:r w:rsidR="002D6F18" w:rsidRPr="00171560">
          <w:rPr>
            <w:vertAlign w:val="superscript"/>
          </w:rPr>
          <w:fldChar w:fldCharType="end"/>
        </w:r>
      </w:hyperlink>
      <w:r w:rsidRPr="00B768A1">
        <w:t xml:space="preserve"> led by the Australian Institute of Health and Welfare, has made Australia a world</w:t>
      </w:r>
      <w:r w:rsidR="47111093" w:rsidRPr="00B768A1">
        <w:t xml:space="preserve"> </w:t>
      </w:r>
      <w:r w:rsidRPr="00B768A1">
        <w:t xml:space="preserve">leader in the collation and reporting of suicide-related data. The </w:t>
      </w:r>
      <w:r w:rsidR="306EE9E0" w:rsidRPr="00B768A1">
        <w:t xml:space="preserve">system </w:t>
      </w:r>
      <w:r w:rsidRPr="00B768A1">
        <w:t>collates data on suicide, self-harm and suicidal behaviours</w:t>
      </w:r>
      <w:r w:rsidR="306EE9E0" w:rsidRPr="00B768A1">
        <w:t>. It</w:t>
      </w:r>
      <w:r w:rsidRPr="00B768A1">
        <w:t xml:space="preserve"> includes a public website </w:t>
      </w:r>
      <w:r w:rsidR="2D313BB9" w:rsidRPr="00B768A1">
        <w:t xml:space="preserve">to provide information </w:t>
      </w:r>
      <w:r w:rsidRPr="00B768A1">
        <w:t xml:space="preserve">and a restricted portal for </w:t>
      </w:r>
      <w:r w:rsidR="3260B3A1" w:rsidRPr="00B768A1">
        <w:t xml:space="preserve">vetted </w:t>
      </w:r>
      <w:r w:rsidRPr="00B768A1">
        <w:t>users to share content between governments and agencies.</w:t>
      </w:r>
      <w:hyperlink w:anchor="_ENREF_196" w:tooltip="A, 2022 #428" w:history="1">
        <w:r w:rsidR="002D6F18">
          <w:fldChar w:fldCharType="begin"/>
        </w:r>
        <w:r w:rsidR="002D6F18">
          <w:instrText xml:space="preserve"> ADDIN EN.CITE &lt;EndNote&gt;&lt;Cite&gt;&lt;Author&gt;A&lt;/Author&gt;&lt;Year&gt;2022&lt;/Year&gt;&lt;RecNum&gt;428&lt;/RecNum&gt;&lt;DisplayText&gt;&lt;style face="superscript"&gt;196&lt;/style&gt;&lt;/DisplayText&gt;&lt;record&gt;&lt;rec-number&gt;428&lt;/rec-number&gt;&lt;foreign-keys&gt;&lt;key app="EN" db-id="rsettzd2isasdweewww55s9lffasxav0d0ft" timestamp="1700699473" guid="db3eece9-c2a3-48bc-b662-6d7093773212"&gt;428&lt;/key&gt;&lt;/foreign-keys&gt;&lt;ref-type name="Web Page"&gt;12&lt;/ref-type&gt;&lt;contributors&gt;&lt;authors&gt;&lt;author&gt;Flego A&lt;/author&gt;&lt;author&gt;Dempster G&lt;/author&gt;&lt;author&gt;Cutler T&lt;/author&gt;&lt;author&gt;Robinson J&lt;/author&gt;&lt;author&gt;Perkis J&lt;/author&gt;&lt;/authors&gt;&lt;/contributors&gt;&lt;titles&gt;&lt;title&gt;Evaluation of the National Suicide and Self-Harm Monitoring Project and System: Final Report&lt;/title&gt;&lt;/titles&gt;&lt;dates&gt;&lt;year&gt;2022&lt;/year&gt;&lt;/dates&gt;&lt;publisher&gt;AIHW&lt;/publisher&gt;&lt;work-type&gt;Internet&lt;/work-type&gt;&lt;urls&gt;&lt;related-urls&gt;&lt;url&gt;https://www.aihw.gov.au/getmedia/3913189d-ee80-4dcb-bbf2-ed1cb2104e3a/NSSHMS-Evaluation_Final-report_UoM_280622.pdf.aspx&lt;/url&gt;&lt;/related-urls&gt;&lt;/urls&gt;&lt;custom1&gt;2023&lt;/custom1&gt;&lt;custom2&gt;November 02&lt;/custom2&gt;&lt;/record&gt;&lt;/Cite&gt;&lt;/EndNote&gt;</w:instrText>
        </w:r>
        <w:r w:rsidR="002D6F18">
          <w:fldChar w:fldCharType="separate"/>
        </w:r>
        <w:r w:rsidR="002D6F18" w:rsidRPr="00C559B5">
          <w:rPr>
            <w:noProof/>
            <w:vertAlign w:val="superscript"/>
          </w:rPr>
          <w:t>196</w:t>
        </w:r>
        <w:r w:rsidR="002D6F18">
          <w:fldChar w:fldCharType="end"/>
        </w:r>
      </w:hyperlink>
      <w:r w:rsidR="00453A05">
        <w:t xml:space="preserve"> </w:t>
      </w:r>
      <w:r w:rsidRPr="00B768A1">
        <w:t xml:space="preserve">The </w:t>
      </w:r>
      <w:r w:rsidR="722360B7" w:rsidRPr="00B768A1">
        <w:t>National Suicide and Self-Harm Monitoring System</w:t>
      </w:r>
      <w:r w:rsidR="722360B7" w:rsidRPr="00B768A1" w:rsidDel="006264AE">
        <w:t xml:space="preserve"> </w:t>
      </w:r>
      <w:r w:rsidRPr="00B768A1">
        <w:t xml:space="preserve">continues to build capability to collate and synthesise the relevant information at national, jurisdictional and regional levels. Further work is being done to improve understanding of the experiences of groups who are disproportionately impacted by suicide but not yet routinely identified in data, such as LGBTIQ+ </w:t>
      </w:r>
      <w:r w:rsidR="44327E09" w:rsidRPr="00B768A1">
        <w:t xml:space="preserve">people </w:t>
      </w:r>
      <w:r w:rsidRPr="00B768A1">
        <w:t xml:space="preserve">and </w:t>
      </w:r>
      <w:r w:rsidR="44327E09" w:rsidRPr="00B768A1">
        <w:t xml:space="preserve">people </w:t>
      </w:r>
      <w:r w:rsidR="30880528" w:rsidRPr="00B768A1">
        <w:t>with disabilit</w:t>
      </w:r>
      <w:r w:rsidR="7E93293A">
        <w:t>y</w:t>
      </w:r>
      <w:r w:rsidRPr="00B768A1">
        <w:t>.</w:t>
      </w:r>
    </w:p>
    <w:p w14:paraId="656BE1E6" w14:textId="0E3FE3CD" w:rsidR="00682A5B" w:rsidRPr="00B768A1" w:rsidRDefault="3605BDAC" w:rsidP="00634A83">
      <w:r w:rsidRPr="00B768A1">
        <w:t xml:space="preserve">There are </w:t>
      </w:r>
      <w:r w:rsidR="10188DF2" w:rsidRPr="00B768A1">
        <w:t>juris</w:t>
      </w:r>
      <w:r w:rsidR="217C3B16" w:rsidRPr="00B768A1">
        <w:t xml:space="preserve">dictional </w:t>
      </w:r>
      <w:r w:rsidRPr="00B768A1">
        <w:t xml:space="preserve">differences in </w:t>
      </w:r>
      <w:r w:rsidR="5E31FF07">
        <w:t xml:space="preserve">the </w:t>
      </w:r>
      <w:r w:rsidRPr="00B768A1">
        <w:t xml:space="preserve">approach </w:t>
      </w:r>
      <w:r w:rsidR="217C3B16" w:rsidRPr="00B768A1">
        <w:t xml:space="preserve">to </w:t>
      </w:r>
      <w:r w:rsidRPr="00B768A1">
        <w:t>issues such as data collection,</w:t>
      </w:r>
      <w:hyperlink w:anchor="_ENREF_10" w:tooltip="Commission, 2020 #16" w:history="1">
        <w:r w:rsidR="002D6F18">
          <w:fldChar w:fldCharType="begin"/>
        </w:r>
        <w:r w:rsidR="002D6F18">
          <w:instrText xml:space="preserve"> ADDIN EN.CITE &lt;EndNote&gt;&lt;Cite&gt;&lt;Author&gt;Commission&lt;/Author&gt;&lt;Year&gt;2020&lt;/Year&gt;&lt;RecNum&gt;16&lt;/RecNum&gt;&lt;DisplayText&gt;&lt;style face="superscript"&gt;10&lt;/style&gt;&lt;/DisplayText&gt;&lt;record&gt;&lt;rec-number&gt;16&lt;/rec-number&gt;&lt;foreign-keys&gt;&lt;key app="EN" db-id="rsettzd2isasdweewww55s9lffasxav0d0ft" timestamp="1700699466" guid="211cab95-640a-4261-a3ce-923e676f72bf"&gt;16&lt;/key&gt;&lt;/foreign-keys&gt;&lt;ref-type name="Web Page"&gt;12&lt;/ref-type&gt;&lt;contributors&gt;&lt;authors&gt;&lt;author&gt;Productivity Commission&lt;/author&gt;&lt;/authors&gt;&lt;/contributors&gt;&lt;titles&gt;&lt;title&gt;Mental Health, Report No. 95&lt;/title&gt;&lt;/titles&gt;&lt;dates&gt;&lt;year&gt;2020&lt;/year&gt;&lt;/dates&gt;&lt;pub-location&gt;Canberra&lt;/pub-location&gt;&lt;publisher&gt;PC, Australian Government&lt;/publisher&gt;&lt;isbn&gt;978-1-74037-699-0 &lt;/isbn&gt;&lt;work-type&gt;Internet&lt;/work-type&gt;&lt;urls&gt;&lt;related-urls&gt;&lt;url&gt;https://www.pc.gov.au/inquiries/completed/mental-health/report&lt;/url&gt;&lt;/related-urls&gt;&lt;/urls&gt;&lt;custom1&gt;2023&lt;/custom1&gt;&lt;custom2&gt;October 03&lt;/custom2&gt;&lt;/record&gt;&lt;/Cite&gt;&lt;/EndNote&gt;</w:instrText>
        </w:r>
        <w:r w:rsidR="002D6F18">
          <w:fldChar w:fldCharType="separate"/>
        </w:r>
        <w:r w:rsidR="002D6F18" w:rsidRPr="0082082D">
          <w:rPr>
            <w:noProof/>
            <w:vertAlign w:val="superscript"/>
          </w:rPr>
          <w:t>10</w:t>
        </w:r>
        <w:r w:rsidR="002D6F18">
          <w:fldChar w:fldCharType="end"/>
        </w:r>
      </w:hyperlink>
      <w:r w:rsidR="00453A05">
        <w:t xml:space="preserve"> </w:t>
      </w:r>
      <w:r w:rsidRPr="00B768A1">
        <w:t>privacy, consent and reporting. These differences limit the ability to share, link and report data in a consistent way at a national level.</w:t>
      </w:r>
    </w:p>
    <w:p w14:paraId="76C62000" w14:textId="21F4447C" w:rsidR="00682A5B" w:rsidRPr="00B768A1" w:rsidRDefault="62037315" w:rsidP="00634A83">
      <w:r>
        <w:t>T</w:t>
      </w:r>
      <w:r w:rsidR="00682A5B">
        <w:t xml:space="preserve">he information needed to inform suicide prevention efforts is </w:t>
      </w:r>
      <w:r w:rsidR="7205BA7B">
        <w:t xml:space="preserve">also </w:t>
      </w:r>
      <w:r w:rsidR="00682A5B">
        <w:t xml:space="preserve">broadening as the </w:t>
      </w:r>
      <w:r w:rsidR="038A39A3">
        <w:t>understanding</w:t>
      </w:r>
      <w:r w:rsidR="00682A5B">
        <w:t xml:space="preserve"> of suicide matures. </w:t>
      </w:r>
      <w:r w:rsidR="1F193276">
        <w:t xml:space="preserve">In addition </w:t>
      </w:r>
      <w:r w:rsidR="00FD2C6F">
        <w:t xml:space="preserve">to </w:t>
      </w:r>
      <w:r w:rsidR="008C4EBE">
        <w:t xml:space="preserve">the </w:t>
      </w:r>
      <w:r w:rsidR="002375F8">
        <w:t>traditional</w:t>
      </w:r>
      <w:r w:rsidR="00682A5B">
        <w:t xml:space="preserve"> data on suicide deaths, attempts, thoughts</w:t>
      </w:r>
      <w:r w:rsidR="005D52F0">
        <w:t>,</w:t>
      </w:r>
      <w:r w:rsidR="00682A5B">
        <w:t xml:space="preserve"> and behaviours, </w:t>
      </w:r>
      <w:r w:rsidR="007B6DCB">
        <w:t xml:space="preserve">more information </w:t>
      </w:r>
      <w:r w:rsidR="00480DBA">
        <w:t>is needed on</w:t>
      </w:r>
      <w:r w:rsidR="00682A5B">
        <w:t xml:space="preserve"> groups disproportionately impacted by suicide, upstream drivers </w:t>
      </w:r>
      <w:r w:rsidR="0043211B">
        <w:t>of suicide and soci</w:t>
      </w:r>
      <w:r w:rsidR="00AD29DD">
        <w:t xml:space="preserve">o-economic factors (such as </w:t>
      </w:r>
      <w:r w:rsidR="00682A5B">
        <w:t>employment, education and loneliness</w:t>
      </w:r>
      <w:r w:rsidR="00CC5139">
        <w:t xml:space="preserve">), </w:t>
      </w:r>
      <w:r w:rsidR="00A705DC">
        <w:t xml:space="preserve">the experiences of </w:t>
      </w:r>
      <w:r w:rsidR="00682A5B">
        <w:t>families, carers</w:t>
      </w:r>
      <w:r w:rsidR="00C23DF3">
        <w:t>,</w:t>
      </w:r>
      <w:r w:rsidR="00682A5B">
        <w:t xml:space="preserve"> and kin</w:t>
      </w:r>
      <w:r w:rsidR="00B75A2F">
        <w:t>,</w:t>
      </w:r>
      <w:r w:rsidR="00682A5B">
        <w:t xml:space="preserve"> and </w:t>
      </w:r>
      <w:r w:rsidR="00B75A2F">
        <w:t>on</w:t>
      </w:r>
      <w:r w:rsidR="00682A5B">
        <w:t xml:space="preserve"> those bereaved by suicide.</w:t>
      </w:r>
    </w:p>
    <w:p w14:paraId="29C68BF9" w14:textId="7CA6F220" w:rsidR="00682A5B" w:rsidRPr="00B768A1" w:rsidRDefault="00DB3602" w:rsidP="00634A83">
      <w:r>
        <w:t>N</w:t>
      </w:r>
      <w:r w:rsidR="00682A5B">
        <w:t xml:space="preserve">ew data </w:t>
      </w:r>
      <w:r w:rsidR="00A141BB">
        <w:t xml:space="preserve">will be </w:t>
      </w:r>
      <w:r w:rsidR="00682A5B">
        <w:t>needed to support evaluation and outcome measurement</w:t>
      </w:r>
      <w:r w:rsidR="00620802">
        <w:t xml:space="preserve">. </w:t>
      </w:r>
      <w:r w:rsidR="5F847565">
        <w:t>Decision-makers and policy agencies</w:t>
      </w:r>
      <w:r w:rsidR="437203C6">
        <w:t xml:space="preserve"> </w:t>
      </w:r>
      <w:r>
        <w:t>will</w:t>
      </w:r>
      <w:r w:rsidR="5F847565">
        <w:t xml:space="preserve"> </w:t>
      </w:r>
      <w:r w:rsidR="6539774C">
        <w:t>require</w:t>
      </w:r>
      <w:r w:rsidR="5F847565">
        <w:t xml:space="preserve"> </w:t>
      </w:r>
      <w:r w:rsidR="159EF9D2">
        <w:t>m</w:t>
      </w:r>
      <w:r w:rsidR="00682A5B">
        <w:t xml:space="preserve">ore sophisticated </w:t>
      </w:r>
      <w:r>
        <w:t>analyses</w:t>
      </w:r>
      <w:r w:rsidR="00682A5B">
        <w:t xml:space="preserve"> that not only </w:t>
      </w:r>
      <w:r w:rsidR="008675F4">
        <w:t>provide insight into what has or is currently happening</w:t>
      </w:r>
      <w:r w:rsidR="00682A5B">
        <w:t xml:space="preserve">, but </w:t>
      </w:r>
      <w:r w:rsidR="008675F4">
        <w:t xml:space="preserve">also </w:t>
      </w:r>
      <w:r w:rsidR="005006BA">
        <w:t>into potential</w:t>
      </w:r>
      <w:r w:rsidR="00682A5B">
        <w:t xml:space="preserve"> future</w:t>
      </w:r>
      <w:r w:rsidR="005006BA">
        <w:t xml:space="preserve"> need</w:t>
      </w:r>
      <w:r w:rsidR="00682A5B">
        <w:t xml:space="preserve">. </w:t>
      </w:r>
      <w:r>
        <w:t>This</w:t>
      </w:r>
      <w:r w:rsidR="00682A5B">
        <w:t xml:space="preserve"> requires </w:t>
      </w:r>
      <w:r w:rsidR="00562978">
        <w:t xml:space="preserve">better health data, </w:t>
      </w:r>
      <w:r w:rsidR="0064372F">
        <w:t>high-</w:t>
      </w:r>
      <w:r w:rsidR="00562978">
        <w:t xml:space="preserve">quality data from </w:t>
      </w:r>
      <w:r w:rsidR="0064372F">
        <w:t xml:space="preserve">other </w:t>
      </w:r>
      <w:r w:rsidR="00562978">
        <w:t xml:space="preserve">portfolios and </w:t>
      </w:r>
      <w:r w:rsidR="006442C5">
        <w:t xml:space="preserve">the </w:t>
      </w:r>
      <w:r w:rsidR="00562978">
        <w:t>means to link</w:t>
      </w:r>
      <w:r w:rsidR="003B323F">
        <w:t xml:space="preserve"> relevant</w:t>
      </w:r>
      <w:r w:rsidR="00562978">
        <w:t xml:space="preserve"> data</w:t>
      </w:r>
      <w:r w:rsidR="003B323F">
        <w:t>sets</w:t>
      </w:r>
      <w:r w:rsidR="79AF6D09">
        <w:t xml:space="preserve"> (</w:t>
      </w:r>
      <w:r w:rsidR="00EF1CE8">
        <w:t>action ce</w:t>
      </w:r>
      <w:r w:rsidR="79AF6D09">
        <w:t>3.1a)</w:t>
      </w:r>
      <w:r w:rsidR="00562978">
        <w:t>.</w:t>
      </w:r>
    </w:p>
    <w:p w14:paraId="40F49F8E" w14:textId="47882E24" w:rsidR="00682A5B" w:rsidRDefault="4602DBE5" w:rsidP="00634A83">
      <w:r w:rsidRPr="00B768A1">
        <w:t xml:space="preserve">Progress is being made against these </w:t>
      </w:r>
      <w:r w:rsidR="78772E96" w:rsidRPr="00B768A1">
        <w:t xml:space="preserve">needs </w:t>
      </w:r>
      <w:r w:rsidRPr="00B768A1">
        <w:t xml:space="preserve">through </w:t>
      </w:r>
      <w:r w:rsidR="3605BDAC" w:rsidRPr="00B768A1">
        <w:t xml:space="preserve">the ongoing work of the </w:t>
      </w:r>
      <w:r w:rsidR="36C4BEBE" w:rsidRPr="00B768A1">
        <w:t>National Suicide and Self-Harm Monitoring System</w:t>
      </w:r>
      <w:r w:rsidR="36C4BEBE" w:rsidRPr="00B768A1" w:rsidDel="00C40D1F">
        <w:t xml:space="preserve"> </w:t>
      </w:r>
      <w:r w:rsidR="3605BDAC" w:rsidRPr="00B768A1">
        <w:t xml:space="preserve">and the data improvement </w:t>
      </w:r>
      <w:r w:rsidR="07FC4885" w:rsidRPr="00B768A1">
        <w:t xml:space="preserve">work </w:t>
      </w:r>
      <w:r w:rsidR="3605BDAC" w:rsidRPr="00B768A1">
        <w:t xml:space="preserve">occurring under the </w:t>
      </w:r>
      <w:r w:rsidR="3605BDAC" w:rsidRPr="48215A0F">
        <w:rPr>
          <w:i/>
          <w:iCs/>
        </w:rPr>
        <w:t>National Mental Health and Suicide Prevention Agreement</w:t>
      </w:r>
      <w:r w:rsidR="3605BDAC" w:rsidRPr="00B768A1">
        <w:t>.</w:t>
      </w:r>
      <w:hyperlink w:anchor="_ENREF_29" w:tooltip="Relations, 2022 #986" w:history="1">
        <w:r w:rsidR="002D6F18">
          <w:fldChar w:fldCharType="begin"/>
        </w:r>
        <w:r w:rsidR="002D6F18">
          <w:instrText xml:space="preserve"> ADDIN EN.CITE &lt;EndNote&gt;&lt;Cite&gt;&lt;Author&gt;Relations&lt;/Author&gt;&lt;Year&gt;2022&lt;/Year&gt;&lt;RecNum&gt;986&lt;/RecNum&gt;&lt;DisplayText&gt;&lt;style face="superscript"&gt;29&lt;/style&gt;&lt;/DisplayText&gt;&lt;record&gt;&lt;rec-number&gt;986&lt;/rec-number&gt;&lt;foreign-keys&gt;&lt;key app="EN" db-id="rsettzd2isasdweewww55s9lffasxav0d0ft" timestamp="1720076948" guid="32964ad8-6066-45d7-88ee-95f279fee5d3"&gt;986&lt;/key&gt;&lt;/foreign-keys&gt;&lt;ref-type name="Government Document"&gt;46&lt;/ref-type&gt;&lt;contributors&gt;&lt;authors&gt;&lt;author&gt;Federal Financial Relations &lt;/author&gt;&lt;/authors&gt;&lt;/contributors&gt;&lt;titles&gt;&lt;title&gt;The National Mental Health and Suicide Prevention Agreement&lt;/title&gt;&lt;/titles&gt;&lt;dates&gt;&lt;year&gt;2022&lt;/year&gt;&lt;/dates&gt;&lt;publisher&gt;Commonwealth of Australia&lt;/publisher&gt;&lt;urls&gt;&lt;related-urls&gt;&lt;url&gt;https://federalfinancialrelations.gov.au/agreements/mental-health-suicide-prevention-agreement&lt;/url&gt;&lt;/related-urls&gt;&lt;/urls&gt;&lt;/record&gt;&lt;/Cite&gt;&lt;/EndNote&gt;</w:instrText>
        </w:r>
        <w:r w:rsidR="002D6F18">
          <w:fldChar w:fldCharType="separate"/>
        </w:r>
        <w:r w:rsidR="002D6F18" w:rsidRPr="0082082D">
          <w:rPr>
            <w:noProof/>
            <w:vertAlign w:val="superscript"/>
          </w:rPr>
          <w:t>29</w:t>
        </w:r>
        <w:r w:rsidR="002D6F18">
          <w:fldChar w:fldCharType="end"/>
        </w:r>
      </w:hyperlink>
      <w:r w:rsidR="00453A05">
        <w:t xml:space="preserve"> </w:t>
      </w:r>
      <w:r w:rsidR="3605BDAC" w:rsidRPr="00B768A1">
        <w:t xml:space="preserve">There is also an opportunity to leverage the </w:t>
      </w:r>
      <w:r w:rsidR="3E2635F9" w:rsidRPr="00B768A1">
        <w:t>National Suicide and Self-Harm Monitoring System</w:t>
      </w:r>
      <w:r w:rsidR="3E2635F9" w:rsidRPr="00B768A1" w:rsidDel="00C40D1F">
        <w:t xml:space="preserve"> </w:t>
      </w:r>
      <w:r w:rsidR="3605BDAC" w:rsidRPr="00B768A1">
        <w:t xml:space="preserve">to further partnerships in data collection, sharing, linkage and reporting across governments and to commission work to broaden the data included in the </w:t>
      </w:r>
      <w:r w:rsidR="202C9355" w:rsidRPr="00B768A1">
        <w:t xml:space="preserve">system </w:t>
      </w:r>
      <w:r w:rsidR="3605BDAC" w:rsidRPr="00B768A1">
        <w:t>to meet future needs</w:t>
      </w:r>
      <w:r w:rsidR="00EF8193" w:rsidRPr="00B768A1">
        <w:t xml:space="preserve"> (</w:t>
      </w:r>
      <w:r w:rsidR="09383C33">
        <w:t>action ce</w:t>
      </w:r>
      <w:r w:rsidR="00EF8193" w:rsidRPr="00B768A1">
        <w:t xml:space="preserve">3.1b </w:t>
      </w:r>
      <w:r w:rsidR="09383C33">
        <w:t>and</w:t>
      </w:r>
      <w:r w:rsidR="00EF8193" w:rsidRPr="00B768A1">
        <w:t xml:space="preserve"> c)</w:t>
      </w:r>
      <w:r w:rsidR="3605BDAC" w:rsidRPr="00B768A1">
        <w:t>.</w:t>
      </w:r>
    </w:p>
    <w:p w14:paraId="450F1172" w14:textId="2E0EA278" w:rsidR="00265866" w:rsidRPr="00B768A1" w:rsidRDefault="00265866" w:rsidP="00634A83">
      <w:r>
        <w:t xml:space="preserve">The recommended actions to </w:t>
      </w:r>
      <w:r w:rsidR="00B833E6">
        <w:t xml:space="preserve">enhance data for suicide prevention </w:t>
      </w:r>
      <w:r>
        <w:t>are described in</w:t>
      </w:r>
      <w:r w:rsidR="00F04C6C">
        <w:t xml:space="preserve"> </w:t>
      </w:r>
      <w:r w:rsidR="00F04C6C">
        <w:fldChar w:fldCharType="begin"/>
      </w:r>
      <w:r w:rsidR="00F04C6C">
        <w:instrText xml:space="preserve"> REF _Ref162253673 \h </w:instrText>
      </w:r>
      <w:r w:rsidR="00F04C6C">
        <w:fldChar w:fldCharType="separate"/>
      </w:r>
      <w:r w:rsidR="009F12B4">
        <w:t xml:space="preserve">Table </w:t>
      </w:r>
      <w:r w:rsidR="009F12B4">
        <w:rPr>
          <w:noProof/>
        </w:rPr>
        <w:t>37</w:t>
      </w:r>
      <w:r w:rsidR="00F04C6C">
        <w:fldChar w:fldCharType="end"/>
      </w:r>
      <w:r>
        <w:t>.</w:t>
      </w:r>
    </w:p>
    <w:p w14:paraId="0F443B17" w14:textId="53707703" w:rsidR="00C46004" w:rsidRPr="00641D27" w:rsidDel="00641D27" w:rsidRDefault="378E79E0" w:rsidP="00E1682B">
      <w:pPr>
        <w:pStyle w:val="BT-Livedexperience-Pink-Heading"/>
        <w:ind w:firstLine="465"/>
      </w:pPr>
      <w:r>
        <w:rPr>
          <w:noProof/>
        </w:rPr>
        <w:drawing>
          <wp:anchor distT="0" distB="0" distL="114300" distR="114300" simplePos="0" relativeHeight="251658248" behindDoc="0" locked="0" layoutInCell="1" allowOverlap="1" wp14:anchorId="0F55E901" wp14:editId="57C88BF2">
            <wp:simplePos x="0" y="0"/>
            <wp:positionH relativeFrom="column">
              <wp:posOffset>90170</wp:posOffset>
            </wp:positionH>
            <wp:positionV relativeFrom="paragraph">
              <wp:posOffset>136686</wp:posOffset>
            </wp:positionV>
            <wp:extent cx="318864" cy="318864"/>
            <wp:effectExtent l="0" t="0" r="5080" b="5080"/>
            <wp:wrapNone/>
            <wp:docPr id="2099824087" name="Graphic 2099824087" descr="Start of quotation from National Suicide Prevention Office Advisory Board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099824087"/>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rot="16200000">
                      <a:off x="0" y="0"/>
                      <a:ext cx="318864" cy="318864"/>
                    </a:xfrm>
                    <a:prstGeom prst="rect">
                      <a:avLst/>
                    </a:prstGeom>
                  </pic:spPr>
                </pic:pic>
              </a:graphicData>
            </a:graphic>
          </wp:anchor>
        </w:drawing>
      </w:r>
      <w:r w:rsidR="393BF522" w:rsidRPr="04A3B251">
        <w:t>Reflections from people with lived experience</w:t>
      </w:r>
    </w:p>
    <w:p w14:paraId="7275391F" w14:textId="77777777" w:rsidR="00074FBD" w:rsidRPr="00B768A1" w:rsidRDefault="00074FBD" w:rsidP="00634A83">
      <w:pPr>
        <w:pStyle w:val="BT-Livedexperience-Pink"/>
      </w:pPr>
      <w:r>
        <w:t xml:space="preserve">“It has always amazed me that after my attempt, my name would not appear in any data system as a suicide attempt. In suicide prevention, </w:t>
      </w:r>
      <w:r w:rsidRPr="00F833FC">
        <w:rPr>
          <w:rStyle w:val="Strong"/>
          <w:b w:val="0"/>
          <w:bCs w:val="0"/>
        </w:rPr>
        <w:t>data and statistics</w:t>
      </w:r>
      <w:r w:rsidRPr="45E58E07">
        <w:rPr>
          <w:color w:val="97508A"/>
        </w:rPr>
        <w:t xml:space="preserve"> </w:t>
      </w:r>
      <w:r>
        <w:t xml:space="preserve">are important. They are essential to the </w:t>
      </w:r>
      <w:r w:rsidRPr="00F833FC">
        <w:rPr>
          <w:rStyle w:val="Strong"/>
          <w:b w:val="0"/>
          <w:bCs w:val="0"/>
        </w:rPr>
        <w:t>evidence-based</w:t>
      </w:r>
      <w:r>
        <w:t xml:space="preserve"> nature of our services. Evidence-based systems are derived from combining data and research, which then informs and initiates funding and services. The </w:t>
      </w:r>
      <w:r w:rsidRPr="00F833FC">
        <w:rPr>
          <w:rStyle w:val="Strong"/>
          <w:b w:val="0"/>
          <w:bCs w:val="0"/>
        </w:rPr>
        <w:t>continued cycling of data</w:t>
      </w:r>
      <w:r>
        <w:t>, research and funding is how services develop and grow.”</w:t>
      </w:r>
    </w:p>
    <w:p w14:paraId="161D4ABB" w14:textId="2B2EDFFA" w:rsidR="00074FBD" w:rsidRDefault="00074FBD" w:rsidP="007839BC">
      <w:pPr>
        <w:pStyle w:val="BT-Livedexperience-Pink"/>
        <w:jc w:val="right"/>
        <w:rPr>
          <w:rStyle w:val="Strong"/>
          <w:b w:val="0"/>
          <w:bCs w:val="0"/>
        </w:rPr>
      </w:pPr>
      <w:r w:rsidRPr="00B768A1">
        <w:rPr>
          <w:rStyle w:val="Strong"/>
        </w:rPr>
        <w:t>Graeme Holdsworth</w:t>
      </w:r>
      <w:r w:rsidRPr="009F54E4">
        <w:rPr>
          <w:rStyle w:val="Strong"/>
          <w:b w:val="0"/>
          <w:bCs w:val="0"/>
        </w:rPr>
        <w:t>, National Suicide Prevention Office Advisory Board member</w:t>
      </w:r>
    </w:p>
    <w:p w14:paraId="4C8F2806" w14:textId="4FB2C1C2" w:rsidR="00265866" w:rsidRPr="00B768A1" w:rsidRDefault="00265866" w:rsidP="00745B34">
      <w:pPr>
        <w:pStyle w:val="Caption"/>
        <w:rPr>
          <w:rStyle w:val="Strong"/>
        </w:rPr>
      </w:pPr>
      <w:bookmarkStart w:id="170" w:name="_Ref162253673"/>
      <w:r>
        <w:t xml:space="preserve">Table </w:t>
      </w:r>
      <w:r>
        <w:fldChar w:fldCharType="begin"/>
      </w:r>
      <w:r>
        <w:instrText>SEQ Table \* ARABIC</w:instrText>
      </w:r>
      <w:r>
        <w:fldChar w:fldCharType="separate"/>
      </w:r>
      <w:r w:rsidR="009F12B4">
        <w:rPr>
          <w:noProof/>
        </w:rPr>
        <w:t>37</w:t>
      </w:r>
      <w:r>
        <w:fldChar w:fldCharType="end"/>
      </w:r>
      <w:bookmarkEnd w:id="170"/>
      <w:r>
        <w:t>:</w:t>
      </w:r>
      <w:r w:rsidR="00C17FDE">
        <w:t xml:space="preserve"> Recommended actions for critical enabler 3.1: Enhance data for suicide prevention</w:t>
      </w:r>
    </w:p>
    <w:tbl>
      <w:tblPr>
        <w:tblStyle w:val="TableGrid"/>
        <w:tblW w:w="9213" w:type="dxa"/>
        <w:tblLayout w:type="fixed"/>
        <w:tblLook w:val="0420" w:firstRow="1" w:lastRow="0" w:firstColumn="0" w:lastColumn="0" w:noHBand="0" w:noVBand="1"/>
        <w:tblCaption w:val="Recommended actions for critical enabler 3.1: Enhance data for suicide prevention"/>
        <w:tblDescription w:val="Describes actions ce3.1a, ce3.1b and ce3.1c."/>
      </w:tblPr>
      <w:tblGrid>
        <w:gridCol w:w="1270"/>
        <w:gridCol w:w="7943"/>
      </w:tblGrid>
      <w:tr w:rsidR="00C17FDE" w:rsidRPr="00D1738E" w14:paraId="36BE6B73" w14:textId="77777777" w:rsidTr="48215A0F">
        <w:trPr>
          <w:cnfStyle w:val="100000000000" w:firstRow="1" w:lastRow="0" w:firstColumn="0" w:lastColumn="0" w:oddVBand="0" w:evenVBand="0" w:oddHBand="0" w:evenHBand="0" w:firstRowFirstColumn="0" w:firstRowLastColumn="0" w:lastRowFirstColumn="0" w:lastRowLastColumn="0"/>
          <w:cantSplit/>
          <w:trHeight w:val="300"/>
          <w:tblHeader/>
        </w:trPr>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80AD" w:themeFill="accent4"/>
          </w:tcPr>
          <w:p w14:paraId="3A366882" w14:textId="76061874" w:rsidR="00C17FDE" w:rsidRPr="00D1738E" w:rsidRDefault="00D1738E" w:rsidP="004F5B0E">
            <w:pPr>
              <w:pStyle w:val="NMHCTableHeaderRow"/>
            </w:pPr>
            <w:r w:rsidRPr="00D1738E">
              <w:t>Action</w:t>
            </w:r>
          </w:p>
        </w:tc>
        <w:tc>
          <w:tcPr>
            <w:tcW w:w="7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80AD" w:themeFill="accent4"/>
            <w:tcMar>
              <w:top w:w="28" w:type="dxa"/>
              <w:bottom w:w="28" w:type="dxa"/>
            </w:tcMar>
          </w:tcPr>
          <w:p w14:paraId="545407DC" w14:textId="598A0E0B" w:rsidR="00C17FDE" w:rsidRPr="00D1738E" w:rsidRDefault="00463C6E" w:rsidP="004F5B0E">
            <w:pPr>
              <w:pStyle w:val="NMHCTableHeaderRow"/>
            </w:pPr>
            <w:r>
              <w:t>Description</w:t>
            </w:r>
          </w:p>
        </w:tc>
      </w:tr>
      <w:tr w:rsidR="00682A5B" w:rsidRPr="00B768A1" w14:paraId="6700AB80" w14:textId="77777777" w:rsidTr="48215A0F">
        <w:trPr>
          <w:trHeight w:val="300"/>
        </w:trPr>
        <w:tc>
          <w:tcPr>
            <w:tcW w:w="1270" w:type="dxa"/>
            <w:tcBorders>
              <w:top w:val="single" w:sz="4" w:space="0" w:color="FFFFFF" w:themeColor="background1"/>
            </w:tcBorders>
          </w:tcPr>
          <w:p w14:paraId="5137BC96" w14:textId="4FA02098" w:rsidR="00682A5B" w:rsidRPr="00F833FC" w:rsidRDefault="00752C00" w:rsidP="00634A83">
            <w:r w:rsidRPr="00F833FC">
              <w:t>ce</w:t>
            </w:r>
            <w:r w:rsidR="00682A5B" w:rsidRPr="00F833FC">
              <w:t>3.1a</w:t>
            </w:r>
          </w:p>
        </w:tc>
        <w:tc>
          <w:tcPr>
            <w:tcW w:w="7943" w:type="dxa"/>
            <w:tcBorders>
              <w:top w:val="single" w:sz="4" w:space="0" w:color="FFFFFF" w:themeColor="background1"/>
            </w:tcBorders>
            <w:tcMar>
              <w:top w:w="28" w:type="dxa"/>
              <w:bottom w:w="28" w:type="dxa"/>
            </w:tcMar>
          </w:tcPr>
          <w:p w14:paraId="624AB4A3" w14:textId="67130A3E" w:rsidR="00682A5B" w:rsidRPr="00F833FC" w:rsidRDefault="3605BDAC" w:rsidP="00634A83">
            <w:r w:rsidRPr="00F833FC">
              <w:t xml:space="preserve">Ensure alignment between suicide prevention data activities, including those under the </w:t>
            </w:r>
            <w:r w:rsidRPr="48215A0F">
              <w:rPr>
                <w:i/>
                <w:iCs/>
              </w:rPr>
              <w:t>National Mental Health and Suicide Prevention Agreement</w:t>
            </w:r>
            <w:r w:rsidR="2C5E48F2" w:rsidRPr="00F833FC">
              <w:t>,</w:t>
            </w:r>
            <w:hyperlink w:anchor="_ENREF_29" w:tooltip="Relations, 2022 #986" w:history="1">
              <w:r w:rsidR="002D6F18">
                <w:fldChar w:fldCharType="begin"/>
              </w:r>
              <w:r w:rsidR="002D6F18">
                <w:instrText xml:space="preserve"> ADDIN EN.CITE &lt;EndNote&gt;&lt;Cite&gt;&lt;Author&gt;Relations&lt;/Author&gt;&lt;Year&gt;2022&lt;/Year&gt;&lt;RecNum&gt;986&lt;/RecNum&gt;&lt;DisplayText&gt;&lt;style face="superscript"&gt;29&lt;/style&gt;&lt;/DisplayText&gt;&lt;record&gt;&lt;rec-number&gt;986&lt;/rec-number&gt;&lt;foreign-keys&gt;&lt;key app="EN" db-id="rsettzd2isasdweewww55s9lffasxav0d0ft" timestamp="1720076948" guid="32964ad8-6066-45d7-88ee-95f279fee5d3"&gt;986&lt;/key&gt;&lt;/foreign-keys&gt;&lt;ref-type name="Government Document"&gt;46&lt;/ref-type&gt;&lt;contributors&gt;&lt;authors&gt;&lt;author&gt;Federal Financial Relations &lt;/author&gt;&lt;/authors&gt;&lt;/contributors&gt;&lt;titles&gt;&lt;title&gt;The National Mental Health and Suicide Prevention Agreement&lt;/title&gt;&lt;/titles&gt;&lt;dates&gt;&lt;year&gt;2022&lt;/year&gt;&lt;/dates&gt;&lt;publisher&gt;Commonwealth of Australia&lt;/publisher&gt;&lt;urls&gt;&lt;related-urls&gt;&lt;url&gt;https://federalfinancialrelations.gov.au/agreements/mental-health-suicide-prevention-agreement&lt;/url&gt;&lt;/related-urls&gt;&lt;/urls&gt;&lt;/record&gt;&lt;/Cite&gt;&lt;/EndNote&gt;</w:instrText>
              </w:r>
              <w:r w:rsidR="002D6F18">
                <w:fldChar w:fldCharType="separate"/>
              </w:r>
              <w:r w:rsidR="002D6F18" w:rsidRPr="0082082D">
                <w:rPr>
                  <w:noProof/>
                  <w:vertAlign w:val="superscript"/>
                </w:rPr>
                <w:t>29</w:t>
              </w:r>
              <w:r w:rsidR="002D6F18">
                <w:fldChar w:fldCharType="end"/>
              </w:r>
            </w:hyperlink>
            <w:r w:rsidR="00265BB3">
              <w:t xml:space="preserve"> </w:t>
            </w:r>
            <w:r w:rsidRPr="00F833FC">
              <w:t xml:space="preserve">the </w:t>
            </w:r>
            <w:r w:rsidR="78DEB4E6" w:rsidRPr="00F833FC">
              <w:t>National Suicide and Self-Harm Monitoring System</w:t>
            </w:r>
            <w:r w:rsidRPr="00F833FC">
              <w:t>, and the monitoring and reporting function of the National Suicide Prevention Office.</w:t>
            </w:r>
          </w:p>
        </w:tc>
      </w:tr>
      <w:tr w:rsidR="00682A5B" w:rsidRPr="00B768A1" w14:paraId="09259519" w14:textId="77777777" w:rsidTr="48215A0F">
        <w:trPr>
          <w:trHeight w:val="300"/>
        </w:trPr>
        <w:tc>
          <w:tcPr>
            <w:tcW w:w="1270" w:type="dxa"/>
          </w:tcPr>
          <w:p w14:paraId="1FC048FC" w14:textId="1D86845F" w:rsidR="00682A5B" w:rsidRPr="00F833FC" w:rsidRDefault="00752C00" w:rsidP="00634A83">
            <w:r w:rsidRPr="00F833FC">
              <w:t>ce</w:t>
            </w:r>
            <w:r w:rsidR="00682A5B" w:rsidRPr="00F833FC">
              <w:t>3.1b</w:t>
            </w:r>
          </w:p>
        </w:tc>
        <w:tc>
          <w:tcPr>
            <w:tcW w:w="7943" w:type="dxa"/>
            <w:tcMar>
              <w:top w:w="28" w:type="dxa"/>
              <w:bottom w:w="28" w:type="dxa"/>
            </w:tcMar>
          </w:tcPr>
          <w:p w14:paraId="2EBCAC36" w14:textId="18A32ABE" w:rsidR="00682A5B" w:rsidRPr="00F833FC" w:rsidRDefault="00682A5B" w:rsidP="00634A83">
            <w:r w:rsidRPr="00F833FC">
              <w:t xml:space="preserve">Expand the ability of the </w:t>
            </w:r>
            <w:r w:rsidR="1DCEBBB5" w:rsidRPr="00F833FC">
              <w:t>National Suicide and Self-Harm Monitoring System</w:t>
            </w:r>
            <w:r w:rsidRPr="00F833FC">
              <w:t>:</w:t>
            </w:r>
          </w:p>
          <w:p w14:paraId="17276418" w14:textId="1CDC4BF4" w:rsidR="00682A5B" w:rsidRPr="00F833FC" w:rsidRDefault="2748BAFA" w:rsidP="00634A83">
            <w:pPr>
              <w:pStyle w:val="ListParagraph"/>
              <w:numPr>
                <w:ilvl w:val="0"/>
                <w:numId w:val="51"/>
              </w:numPr>
            </w:pPr>
            <w:r w:rsidRPr="00F833FC">
              <w:t xml:space="preserve">Improve the </w:t>
            </w:r>
            <w:r w:rsidR="203DD879" w:rsidRPr="00F833FC">
              <w:t>t</w:t>
            </w:r>
            <w:r w:rsidR="00682A5B" w:rsidRPr="00F833FC">
              <w:t>imeliness of collection, sharing, linking and reporting of suicide-related data to inform timely responses to emerging trends</w:t>
            </w:r>
            <w:r w:rsidRPr="00F833FC">
              <w:t>.</w:t>
            </w:r>
          </w:p>
          <w:p w14:paraId="5D37A357" w14:textId="786C82CD" w:rsidR="00682A5B" w:rsidRPr="00F833FC" w:rsidRDefault="2748BAFA" w:rsidP="00634A83">
            <w:pPr>
              <w:pStyle w:val="ListParagraph"/>
              <w:numPr>
                <w:ilvl w:val="0"/>
                <w:numId w:val="51"/>
              </w:numPr>
            </w:pPr>
            <w:r w:rsidRPr="00F833FC">
              <w:t xml:space="preserve">Improve the </w:t>
            </w:r>
            <w:r w:rsidR="3B366A1A" w:rsidRPr="00F833FC">
              <w:t>l</w:t>
            </w:r>
            <w:r w:rsidR="00682A5B" w:rsidRPr="00F833FC">
              <w:t xml:space="preserve">inkage of national </w:t>
            </w:r>
            <w:r w:rsidR="5D838074" w:rsidRPr="00F833FC">
              <w:t>and state</w:t>
            </w:r>
            <w:r w:rsidR="3E452A0C" w:rsidRPr="00F833FC">
              <w:t>/</w:t>
            </w:r>
            <w:r w:rsidR="5D838074" w:rsidRPr="00F833FC">
              <w:t>territory</w:t>
            </w:r>
            <w:r w:rsidR="3B50BA0D" w:rsidRPr="00F833FC">
              <w:t xml:space="preserve"> </w:t>
            </w:r>
            <w:r w:rsidR="00682A5B" w:rsidRPr="00F833FC">
              <w:t>data</w:t>
            </w:r>
            <w:r w:rsidR="6C56789D" w:rsidRPr="00F833FC">
              <w:t xml:space="preserve">sets </w:t>
            </w:r>
            <w:r w:rsidR="3B50BA0D" w:rsidRPr="00F833FC">
              <w:t>on suicide and suicide attemp</w:t>
            </w:r>
            <w:r w:rsidR="6C56789D" w:rsidRPr="00F833FC">
              <w:t xml:space="preserve">ts with other relevant datasets </w:t>
            </w:r>
            <w:r w:rsidR="00682A5B" w:rsidRPr="00F833FC">
              <w:t>to identify protective and risk factors for suicide and social and health service usage of people who die by or attempt suicide</w:t>
            </w:r>
            <w:r w:rsidR="440D1DE7" w:rsidRPr="00F833FC">
              <w:t>.</w:t>
            </w:r>
          </w:p>
          <w:p w14:paraId="3A822A68" w14:textId="1127BD60" w:rsidR="00682A5B" w:rsidRPr="00F833FC" w:rsidRDefault="440D1DE7" w:rsidP="00634A83">
            <w:pPr>
              <w:pStyle w:val="ListParagraph"/>
              <w:numPr>
                <w:ilvl w:val="0"/>
                <w:numId w:val="51"/>
              </w:numPr>
            </w:pPr>
            <w:r w:rsidRPr="00F833FC">
              <w:t xml:space="preserve">Improve </w:t>
            </w:r>
            <w:r w:rsidR="3532C5FB" w:rsidRPr="00F833FC">
              <w:t>r</w:t>
            </w:r>
            <w:r w:rsidR="00682A5B" w:rsidRPr="00F833FC">
              <w:t>outine identification of groups disproportionately impacted by suicide</w:t>
            </w:r>
            <w:r w:rsidRPr="00F833FC">
              <w:t>.</w:t>
            </w:r>
          </w:p>
          <w:p w14:paraId="2EA19D8A" w14:textId="6EC4A61D" w:rsidR="00682A5B" w:rsidRPr="00F833FC" w:rsidRDefault="6686206D" w:rsidP="00634A83">
            <w:pPr>
              <w:pStyle w:val="ListParagraph"/>
              <w:numPr>
                <w:ilvl w:val="0"/>
                <w:numId w:val="51"/>
              </w:numPr>
            </w:pPr>
            <w:r w:rsidRPr="00F833FC">
              <w:t xml:space="preserve">Improve </w:t>
            </w:r>
            <w:r w:rsidR="3532C5FB" w:rsidRPr="00F833FC">
              <w:t>d</w:t>
            </w:r>
            <w:r w:rsidR="00682A5B" w:rsidRPr="00F833FC">
              <w:t xml:space="preserve">ata consistency across jurisdictions to provide a clearer national picture of suicide. </w:t>
            </w:r>
          </w:p>
        </w:tc>
      </w:tr>
      <w:tr w:rsidR="00682A5B" w:rsidRPr="00B768A1" w14:paraId="3F42DFAD" w14:textId="77777777" w:rsidTr="48215A0F">
        <w:trPr>
          <w:trHeight w:val="300"/>
        </w:trPr>
        <w:tc>
          <w:tcPr>
            <w:tcW w:w="1270" w:type="dxa"/>
          </w:tcPr>
          <w:p w14:paraId="01D58B05" w14:textId="7F0A485E" w:rsidR="00682A5B" w:rsidRPr="00F833FC" w:rsidRDefault="00752C00" w:rsidP="00634A83">
            <w:r w:rsidRPr="00F833FC">
              <w:t>ce</w:t>
            </w:r>
            <w:r w:rsidR="00682A5B" w:rsidRPr="00F833FC">
              <w:t>3.1c</w:t>
            </w:r>
          </w:p>
        </w:tc>
        <w:tc>
          <w:tcPr>
            <w:tcW w:w="7943" w:type="dxa"/>
            <w:tcMar>
              <w:top w:w="28" w:type="dxa"/>
              <w:bottom w:w="28" w:type="dxa"/>
            </w:tcMar>
          </w:tcPr>
          <w:p w14:paraId="7842F55C" w14:textId="39055E67" w:rsidR="00682A5B" w:rsidRPr="00F833FC" w:rsidRDefault="00682A5B" w:rsidP="00634A83">
            <w:r w:rsidRPr="00F833FC">
              <w:t xml:space="preserve">Resource the </w:t>
            </w:r>
            <w:r w:rsidR="7D8E35CA" w:rsidRPr="00F833FC">
              <w:t xml:space="preserve">National Suicide and Self-Harm Monitoring System </w:t>
            </w:r>
            <w:r w:rsidRPr="00F833FC">
              <w:t>to broaden the reporting of suicide-related data:</w:t>
            </w:r>
          </w:p>
          <w:p w14:paraId="3BCBD39E" w14:textId="5E373062" w:rsidR="00682A5B" w:rsidRPr="00F833FC" w:rsidRDefault="6686206D" w:rsidP="00634A83">
            <w:pPr>
              <w:pStyle w:val="ListParagraph"/>
              <w:numPr>
                <w:ilvl w:val="0"/>
                <w:numId w:val="52"/>
              </w:numPr>
            </w:pPr>
            <w:r w:rsidRPr="00F833FC">
              <w:t xml:space="preserve">Include </w:t>
            </w:r>
            <w:r w:rsidR="266E680F" w:rsidRPr="00F833FC">
              <w:t>i</w:t>
            </w:r>
            <w:r w:rsidR="621573EB" w:rsidRPr="00F833FC">
              <w:t>ndicators of w</w:t>
            </w:r>
            <w:r w:rsidR="00682A5B" w:rsidRPr="00F833FC">
              <w:t xml:space="preserve">ellbeing and </w:t>
            </w:r>
            <w:r w:rsidR="621573EB" w:rsidRPr="00F833FC">
              <w:t xml:space="preserve">suicidal </w:t>
            </w:r>
            <w:r w:rsidR="00682A5B" w:rsidRPr="00F833FC">
              <w:t>distress associated with the social determinants of suicide</w:t>
            </w:r>
            <w:r w:rsidRPr="00F833FC">
              <w:t>.</w:t>
            </w:r>
          </w:p>
          <w:p w14:paraId="15823549" w14:textId="074008C5" w:rsidR="00682A5B" w:rsidRPr="00F833FC" w:rsidRDefault="6686206D" w:rsidP="00634A83">
            <w:pPr>
              <w:pStyle w:val="ListParagraph"/>
              <w:numPr>
                <w:ilvl w:val="0"/>
                <w:numId w:val="52"/>
              </w:numPr>
              <w:rPr>
                <w:rFonts w:eastAsia="Calibri"/>
                <w:color w:val="231C24" w:themeColor="text1"/>
              </w:rPr>
            </w:pPr>
            <w:r w:rsidRPr="00F833FC">
              <w:t xml:space="preserve">Include </w:t>
            </w:r>
            <w:r w:rsidR="266E680F" w:rsidRPr="00F833FC">
              <w:t>t</w:t>
            </w:r>
            <w:r w:rsidR="00682A5B" w:rsidRPr="00F833FC">
              <w:t>he experiences of families, carers and kin and those bereaved by suicide.</w:t>
            </w:r>
          </w:p>
        </w:tc>
      </w:tr>
    </w:tbl>
    <w:p w14:paraId="038BC57F" w14:textId="1D6A226C" w:rsidR="00682A5B" w:rsidRPr="00B768A1" w:rsidRDefault="1BEDDC28" w:rsidP="00634A83">
      <w:pPr>
        <w:pStyle w:val="Heading3"/>
      </w:pPr>
      <w:r w:rsidRPr="5B74CE65">
        <w:t>ce</w:t>
      </w:r>
      <w:r w:rsidR="003C5A8A">
        <w:t>3</w:t>
      </w:r>
      <w:r w:rsidR="00682A5B" w:rsidRPr="5B74CE65">
        <w:t>.2 Strengthen suicide prevention research</w:t>
      </w:r>
    </w:p>
    <w:p w14:paraId="7FB177DA" w14:textId="2A4E1967" w:rsidR="00B833E6" w:rsidRDefault="3605BDAC" w:rsidP="00634A83">
      <w:r w:rsidRPr="00B768A1">
        <w:t xml:space="preserve">Research is a powerful tool </w:t>
      </w:r>
      <w:r w:rsidR="37943CC0" w:rsidRPr="00B768A1">
        <w:t xml:space="preserve">through which </w:t>
      </w:r>
      <w:r w:rsidRPr="00B768A1">
        <w:t>to improv</w:t>
      </w:r>
      <w:r w:rsidR="37943CC0" w:rsidRPr="00B768A1">
        <w:t>e</w:t>
      </w:r>
      <w:r w:rsidRPr="00B768A1">
        <w:t xml:space="preserve"> understanding of suicide and suicidal distress and gain new knowledge on </w:t>
      </w:r>
      <w:r w:rsidR="20B4E6BE" w:rsidRPr="00B768A1">
        <w:t xml:space="preserve">suicide </w:t>
      </w:r>
      <w:r w:rsidRPr="00B768A1">
        <w:t>prevent</w:t>
      </w:r>
      <w:r w:rsidR="20B4E6BE" w:rsidRPr="00B768A1">
        <w:t>ion</w:t>
      </w:r>
      <w:r w:rsidRPr="00B768A1">
        <w:t>.</w:t>
      </w:r>
      <w:hyperlink w:anchor="_ENREF_10" w:tooltip="Commission, 2020 #16" w:history="1">
        <w:r w:rsidR="002D6F18">
          <w:fldChar w:fldCharType="begin"/>
        </w:r>
        <w:r w:rsidR="002D6F18">
          <w:instrText xml:space="preserve"> ADDIN EN.CITE &lt;EndNote&gt;&lt;Cite&gt;&lt;Author&gt;Commission&lt;/Author&gt;&lt;Year&gt;2020&lt;/Year&gt;&lt;RecNum&gt;16&lt;/RecNum&gt;&lt;DisplayText&gt;&lt;style face="superscript"&gt;10&lt;/style&gt;&lt;/DisplayText&gt;&lt;record&gt;&lt;rec-number&gt;16&lt;/rec-number&gt;&lt;foreign-keys&gt;&lt;key app="EN" db-id="rsettzd2isasdweewww55s9lffasxav0d0ft" timestamp="1700699466" guid="211cab95-640a-4261-a3ce-923e676f72bf"&gt;16&lt;/key&gt;&lt;/foreign-keys&gt;&lt;ref-type name="Web Page"&gt;12&lt;/ref-type&gt;&lt;contributors&gt;&lt;authors&gt;&lt;author&gt;Productivity Commission&lt;/author&gt;&lt;/authors&gt;&lt;/contributors&gt;&lt;titles&gt;&lt;title&gt;Mental Health, Report No. 95&lt;/title&gt;&lt;/titles&gt;&lt;dates&gt;&lt;year&gt;2020&lt;/year&gt;&lt;/dates&gt;&lt;pub-location&gt;Canberra&lt;/pub-location&gt;&lt;publisher&gt;PC, Australian Government&lt;/publisher&gt;&lt;isbn&gt;978-1-74037-699-0 &lt;/isbn&gt;&lt;work-type&gt;Internet&lt;/work-type&gt;&lt;urls&gt;&lt;related-urls&gt;&lt;url&gt;https://www.pc.gov.au/inquiries/completed/mental-health/report&lt;/url&gt;&lt;/related-urls&gt;&lt;/urls&gt;&lt;custom1&gt;2023&lt;/custom1&gt;&lt;custom2&gt;October 03&lt;/custom2&gt;&lt;/record&gt;&lt;/Cite&gt;&lt;/EndNote&gt;</w:instrText>
        </w:r>
        <w:r w:rsidR="002D6F18">
          <w:fldChar w:fldCharType="separate"/>
        </w:r>
        <w:r w:rsidR="002D6F18" w:rsidRPr="0082082D">
          <w:rPr>
            <w:noProof/>
            <w:vertAlign w:val="superscript"/>
          </w:rPr>
          <w:t>10</w:t>
        </w:r>
        <w:r w:rsidR="002D6F18">
          <w:fldChar w:fldCharType="end"/>
        </w:r>
      </w:hyperlink>
      <w:r w:rsidR="00C56FCB">
        <w:t xml:space="preserve"> </w:t>
      </w:r>
      <w:r w:rsidR="3497901F">
        <w:t xml:space="preserve">Due to the efforts of </w:t>
      </w:r>
      <w:r w:rsidRPr="00B768A1">
        <w:t>initiatives such as LIFEWAYS,</w:t>
      </w:r>
      <w:hyperlink w:anchor="_ENREF_324" w:tooltip="Wellbeing,  #1102" w:history="1">
        <w:r w:rsidR="002D6F18">
          <w:fldChar w:fldCharType="begin"/>
        </w:r>
        <w:r w:rsidR="002D6F18">
          <w:instrText xml:space="preserve"> ADDIN EN.CITE &lt;EndNote&gt;&lt;Cite&gt;&lt;Author&gt;Wellbeing&lt;/Author&gt;&lt;RecNum&gt;1102&lt;/RecNum&gt;&lt;DisplayText&gt;&lt;style face="superscript"&gt;324&lt;/style&gt;&lt;/DisplayText&gt;&lt;record&gt;&lt;rec-number&gt;1102&lt;/rec-number&gt;&lt;foreign-keys&gt;&lt;key app="EN" db-id="rsettzd2isasdweewww55s9lffasxav0d0ft" timestamp="1720503676" guid="9d5b7662-c810-45e9-a3eb-1623ee3a3394"&gt;1102&lt;/key&gt;&lt;/foreign-keys&gt;&lt;ref-type name="Web Page"&gt;12&lt;/ref-type&gt;&lt;contributors&gt;&lt;authors&gt;&lt;author&gt;Centre for Mental Health and Community Wellbeing&lt;/author&gt;&lt;/authors&gt;&lt;/contributors&gt;&lt;titles&gt;&lt;title&gt;LIFEWAYS: translating suicide prevention research into policy and practice&lt;/title&gt;&lt;/titles&gt;&lt;dates&gt;&lt;/dates&gt;&lt;publisher&gt;University of Melbourne&lt;/publisher&gt;&lt;work-type&gt;Internet&lt;/work-type&gt;&lt;urls&gt;&lt;related-urls&gt;&lt;url&gt;https://mspgh.unimelb.edu.au/research-groups/centre-for-mental-health/mental-health-policy-and-practice/national-leadership-in-suicide-prevention-research&lt;/url&gt;&lt;/related-urls&gt;&lt;/urls&gt;&lt;custom1&gt;2024&lt;/custom1&gt;&lt;custom2&gt;March 06&lt;/custom2&gt;&lt;/record&gt;&lt;/Cite&gt;&lt;/EndNote&gt;</w:instrText>
        </w:r>
        <w:r w:rsidR="002D6F18">
          <w:fldChar w:fldCharType="separate"/>
        </w:r>
        <w:r w:rsidR="002D6F18" w:rsidRPr="00C559B5">
          <w:rPr>
            <w:noProof/>
            <w:vertAlign w:val="superscript"/>
          </w:rPr>
          <w:t>324</w:t>
        </w:r>
        <w:r w:rsidR="002D6F18">
          <w:fldChar w:fldCharType="end"/>
        </w:r>
      </w:hyperlink>
      <w:r w:rsidR="00C56FCB">
        <w:t xml:space="preserve"> </w:t>
      </w:r>
      <w:r w:rsidRPr="00B768A1">
        <w:t>the Centre of Research Excellence in Suicide Prevention</w:t>
      </w:r>
      <w:hyperlink w:anchor="_ENREF_325" w:tooltip="Institute,  #1103" w:history="1">
        <w:r w:rsidR="002D6F18">
          <w:fldChar w:fldCharType="begin"/>
        </w:r>
        <w:r w:rsidR="002D6F18">
          <w:instrText xml:space="preserve"> ADDIN EN.CITE &lt;EndNote&gt;&lt;Cite&gt;&lt;Author&gt;Institute&lt;/Author&gt;&lt;RecNum&gt;1103&lt;/RecNum&gt;&lt;DisplayText&gt;&lt;style face="superscript"&gt;325&lt;/style&gt;&lt;/DisplayText&gt;&lt;record&gt;&lt;rec-number&gt;1103&lt;/rec-number&gt;&lt;foreign-keys&gt;&lt;key app="EN" db-id="rsettzd2isasdweewww55s9lffasxav0d0ft" timestamp="1720503746" guid="dc6aac84-9d06-4133-9316-270ca40555ce"&gt;1103&lt;/key&gt;&lt;/foreign-keys&gt;&lt;ref-type name="Web Page"&gt;12&lt;/ref-type&gt;&lt;contributors&gt;&lt;authors&gt;&lt;author&gt; Black Dog Institute&lt;/author&gt;&lt;/authors&gt;&lt;/contributors&gt;&lt;titles&gt;&lt;title&gt;Centre of Research Excellence in Suicide Prevention &lt;/title&gt;&lt;/titles&gt;&lt;dates&gt;&lt;/dates&gt;&lt;publisher&gt;Black Dog Institute&lt;/publisher&gt;&lt;work-type&gt;Internet&lt;/work-type&gt;&lt;urls&gt;&lt;related-urls&gt;&lt;url&gt;https://www.blackdoginstitute.org.au/cresp/&lt;/url&gt;&lt;/related-urls&gt;&lt;/urls&gt;&lt;custom1&gt;2024&lt;/custom1&gt;&lt;custom2&gt;March 06&lt;/custom2&gt;&lt;/record&gt;&lt;/Cite&gt;&lt;/EndNote&gt;</w:instrText>
        </w:r>
        <w:r w:rsidR="002D6F18">
          <w:fldChar w:fldCharType="separate"/>
        </w:r>
        <w:r w:rsidR="002D6F18" w:rsidRPr="00C559B5">
          <w:rPr>
            <w:noProof/>
            <w:vertAlign w:val="superscript"/>
          </w:rPr>
          <w:t>325</w:t>
        </w:r>
        <w:r w:rsidR="002D6F18">
          <w:fldChar w:fldCharType="end"/>
        </w:r>
      </w:hyperlink>
      <w:r w:rsidR="00C56FCB">
        <w:t xml:space="preserve"> </w:t>
      </w:r>
      <w:r w:rsidRPr="00B768A1">
        <w:t xml:space="preserve">and the </w:t>
      </w:r>
      <w:r w:rsidR="7FC9E146" w:rsidRPr="00B768A1">
        <w:t>National Suicide Prevention Research Fund</w:t>
      </w:r>
      <w:r w:rsidR="09CC1762" w:rsidRPr="00B768A1">
        <w:t>,</w:t>
      </w:r>
      <w:hyperlink w:anchor="_ENREF_326" w:tooltip="Australia, 2023 #469" w:history="1">
        <w:r w:rsidR="002D6F18">
          <w:fldChar w:fldCharType="begin"/>
        </w:r>
        <w:r w:rsidR="002D6F18">
          <w:instrText xml:space="preserve"> ADDIN EN.CITE &lt;EndNote&gt;&lt;Cite&gt;&lt;Author&gt;Australia&lt;/Author&gt;&lt;Year&gt;2023&lt;/Year&gt;&lt;RecNum&gt;469&lt;/RecNum&gt;&lt;DisplayText&gt;&lt;style face="superscript"&gt;326&lt;/style&gt;&lt;/DisplayText&gt;&lt;record&gt;&lt;rec-number&gt;469&lt;/rec-number&gt;&lt;foreign-keys&gt;&lt;key app="EN" db-id="rsettzd2isasdweewww55s9lffasxav0d0ft" timestamp="1700699474" guid="c7c70f79-4610-4752-8b2b-3c153ea6f4e6"&gt;469&lt;/key&gt;&lt;/foreign-keys&gt;&lt;ref-type name="Web Page"&gt;12&lt;/ref-type&gt;&lt;contributors&gt;&lt;authors&gt;&lt;author&gt;Suicide Prevention Australia&lt;/author&gt;&lt;/authors&gt;&lt;/contributors&gt;&lt;titles&gt;&lt;title&gt;The National Suicide Prevention Research Fund&lt;/title&gt;&lt;/titles&gt;&lt;dates&gt;&lt;year&gt;2023&lt;/year&gt;&lt;/dates&gt;&lt;publisher&gt;SPA&lt;/publisher&gt;&lt;work-type&gt;Internet&lt;/work-type&gt;&lt;urls&gt;&lt;related-urls&gt;&lt;url&gt;https://www.suicidepreventionaust.org/research-grants/&lt;/url&gt;&lt;/related-urls&gt;&lt;/urls&gt;&lt;custom1&gt;2023&lt;/custom1&gt;&lt;custom2&gt;November 06&lt;/custom2&gt;&lt;/record&gt;&lt;/Cite&gt;&lt;/EndNote&gt;</w:instrText>
        </w:r>
        <w:r w:rsidR="002D6F18">
          <w:fldChar w:fldCharType="separate"/>
        </w:r>
        <w:r w:rsidR="002D6F18" w:rsidRPr="00C559B5">
          <w:rPr>
            <w:noProof/>
            <w:vertAlign w:val="superscript"/>
          </w:rPr>
          <w:t>326</w:t>
        </w:r>
        <w:r w:rsidR="002D6F18">
          <w:fldChar w:fldCharType="end"/>
        </w:r>
      </w:hyperlink>
      <w:r w:rsidR="00C56FCB">
        <w:t xml:space="preserve"> </w:t>
      </w:r>
      <w:r w:rsidRPr="00B768A1">
        <w:t xml:space="preserve">Australian suicide prevention research is well regarded internationally. </w:t>
      </w:r>
    </w:p>
    <w:p w14:paraId="2BE4A17F" w14:textId="05B018D8" w:rsidR="00E41AD1" w:rsidRDefault="001E6106" w:rsidP="00BF366B">
      <w:r>
        <w:t>Currently, m</w:t>
      </w:r>
      <w:r w:rsidR="00AA1963">
        <w:t>ost</w:t>
      </w:r>
      <w:r w:rsidR="00B833E6">
        <w:t xml:space="preserve"> Australian</w:t>
      </w:r>
      <w:r w:rsidR="3605BDAC" w:rsidRPr="00B768A1">
        <w:t xml:space="preserve"> </w:t>
      </w:r>
      <w:r w:rsidR="00D17DDB">
        <w:t xml:space="preserve">suicide prevention </w:t>
      </w:r>
      <w:r w:rsidR="15F63C29" w:rsidRPr="00B768A1">
        <w:t xml:space="preserve">research </w:t>
      </w:r>
      <w:r w:rsidR="00E578C1">
        <w:t>is</w:t>
      </w:r>
      <w:r w:rsidR="15F63C29" w:rsidRPr="00B768A1">
        <w:t xml:space="preserve"> </w:t>
      </w:r>
      <w:r w:rsidR="4FC27048" w:rsidRPr="00B768A1">
        <w:t xml:space="preserve">funded </w:t>
      </w:r>
      <w:r w:rsidR="5284FBEA" w:rsidRPr="00B768A1">
        <w:t>through</w:t>
      </w:r>
      <w:r w:rsidR="4FC27048" w:rsidRPr="00B768A1">
        <w:t xml:space="preserve"> the </w:t>
      </w:r>
      <w:r w:rsidR="15F63C29" w:rsidRPr="00B768A1">
        <w:t>National Suicide Prevention Research Fund</w:t>
      </w:r>
      <w:r w:rsidR="6F86AF08" w:rsidRPr="00B768A1">
        <w:t xml:space="preserve">, </w:t>
      </w:r>
      <w:r w:rsidR="72CE4F82" w:rsidRPr="00B768A1">
        <w:t xml:space="preserve">the National Health and Medical Research Council, </w:t>
      </w:r>
      <w:r w:rsidR="21E9919D" w:rsidRPr="00B768A1">
        <w:t xml:space="preserve">and </w:t>
      </w:r>
      <w:r w:rsidR="72CE4F82" w:rsidRPr="00B768A1">
        <w:t xml:space="preserve">the Medical Research Future Fund, </w:t>
      </w:r>
      <w:r w:rsidR="45B42FD5" w:rsidRPr="00B768A1">
        <w:t xml:space="preserve">and </w:t>
      </w:r>
      <w:r w:rsidR="3605BDAC" w:rsidRPr="00B768A1">
        <w:t xml:space="preserve">each body </w:t>
      </w:r>
      <w:r w:rsidR="73ED6855" w:rsidRPr="00B768A1">
        <w:t xml:space="preserve">has </w:t>
      </w:r>
      <w:r w:rsidR="3605BDAC" w:rsidRPr="00B768A1">
        <w:t xml:space="preserve">set </w:t>
      </w:r>
      <w:r w:rsidR="73ED6855" w:rsidRPr="00B768A1">
        <w:t xml:space="preserve">its </w:t>
      </w:r>
      <w:r w:rsidR="3605BDAC" w:rsidRPr="00B768A1">
        <w:t>own research priorities</w:t>
      </w:r>
      <w:r w:rsidR="000F0385">
        <w:t xml:space="preserve"> </w:t>
      </w:r>
      <w:r w:rsidR="00D16AC0">
        <w:t>in suicide prevention</w:t>
      </w:r>
      <w:r w:rsidR="3605BDAC" w:rsidRPr="00B768A1">
        <w:t>.</w:t>
      </w:r>
      <w:r w:rsidR="52C0CFE4">
        <w:t xml:space="preserve"> </w:t>
      </w:r>
      <w:r w:rsidR="00E41AD1">
        <w:t xml:space="preserve">There is an opportunity to make more effective use of these funds through better targeting and coordination of investments. This should </w:t>
      </w:r>
      <w:r w:rsidR="006E7B44">
        <w:t>entail</w:t>
      </w:r>
      <w:r w:rsidR="00E41AD1">
        <w:t xml:space="preserve"> greater collaboration </w:t>
      </w:r>
      <w:r w:rsidR="00DB4F85">
        <w:t>to identify and address</w:t>
      </w:r>
      <w:r w:rsidR="00E41AD1">
        <w:t xml:space="preserve"> national suicide prevention research</w:t>
      </w:r>
      <w:r w:rsidR="00DB4F85">
        <w:t xml:space="preserve"> priorities</w:t>
      </w:r>
      <w:r w:rsidR="00CF1B34">
        <w:t xml:space="preserve"> (</w:t>
      </w:r>
      <w:r w:rsidR="00BF366B">
        <w:t>action ce3.2a).</w:t>
      </w:r>
      <w:r w:rsidR="001D6D37">
        <w:t xml:space="preserve"> The development of this Strategy has highlighted, for example, the need for research into </w:t>
      </w:r>
      <w:r w:rsidR="00346EF1">
        <w:t xml:space="preserve">protective factors, upstream preventive initiatives, </w:t>
      </w:r>
      <w:r w:rsidR="00174C11">
        <w:t xml:space="preserve">the importance of </w:t>
      </w:r>
      <w:r w:rsidR="00D24DA5">
        <w:t>embed</w:t>
      </w:r>
      <w:r w:rsidR="00F52904">
        <w:t>ding</w:t>
      </w:r>
      <w:r w:rsidR="00927A31">
        <w:t xml:space="preserve"> of</w:t>
      </w:r>
      <w:r w:rsidR="00D24DA5">
        <w:t xml:space="preserve"> research </w:t>
      </w:r>
      <w:r w:rsidR="00680614">
        <w:t xml:space="preserve">evidence </w:t>
      </w:r>
      <w:r w:rsidR="00D24DA5">
        <w:t>into practice,</w:t>
      </w:r>
      <w:r w:rsidR="00B234BF">
        <w:t xml:space="preserve"> and</w:t>
      </w:r>
      <w:r w:rsidR="00D24DA5">
        <w:t xml:space="preserve"> the </w:t>
      </w:r>
      <w:r w:rsidR="00EC694C">
        <w:t xml:space="preserve">benefits of involving people with lived </w:t>
      </w:r>
      <w:r w:rsidR="007277B3">
        <w:t xml:space="preserve">and living </w:t>
      </w:r>
      <w:r w:rsidR="00EC694C">
        <w:t xml:space="preserve">experience </w:t>
      </w:r>
      <w:r w:rsidR="00C16BE1">
        <w:t xml:space="preserve">in </w:t>
      </w:r>
      <w:r w:rsidR="000561F0">
        <w:t xml:space="preserve">research, </w:t>
      </w:r>
      <w:r w:rsidR="00E7391C">
        <w:t>polic</w:t>
      </w:r>
      <w:r w:rsidR="00F05EB0">
        <w:t>y</w:t>
      </w:r>
      <w:r w:rsidR="00E7391C">
        <w:t xml:space="preserve"> and program</w:t>
      </w:r>
      <w:r w:rsidR="00927A31">
        <w:t xml:space="preserve"> design</w:t>
      </w:r>
      <w:r w:rsidR="00B234BF">
        <w:t>.</w:t>
      </w:r>
    </w:p>
    <w:p w14:paraId="3D244A2F" w14:textId="10097E78" w:rsidR="00682A5B" w:rsidRPr="00B768A1" w:rsidRDefault="0023776C" w:rsidP="00634A83">
      <w:r w:rsidRPr="0023776C">
        <w:t xml:space="preserve">There is also a need to strengthen the suicide prevention research sector to </w:t>
      </w:r>
      <w:r w:rsidR="00364970">
        <w:t>address the research priorities</w:t>
      </w:r>
      <w:r w:rsidR="00FB3B9A">
        <w:t>. I</w:t>
      </w:r>
      <w:r w:rsidR="00FA2FD8">
        <w:t>n</w:t>
      </w:r>
      <w:r w:rsidR="00232CF3">
        <w:t xml:space="preserve"> part </w:t>
      </w:r>
      <w:r w:rsidR="0042608F">
        <w:t xml:space="preserve">this </w:t>
      </w:r>
      <w:r w:rsidR="00232CF3">
        <w:t xml:space="preserve">can be done </w:t>
      </w:r>
      <w:r w:rsidRPr="0023776C">
        <w:t xml:space="preserve">through increased and sustained investment in suicide prevention research. However, it </w:t>
      </w:r>
      <w:r w:rsidR="00C074EF">
        <w:t>also requires</w:t>
      </w:r>
      <w:r w:rsidRPr="0023776C">
        <w:t xml:space="preserve"> </w:t>
      </w:r>
      <w:r w:rsidR="00223166">
        <w:t>a</w:t>
      </w:r>
      <w:r w:rsidR="00C8109F">
        <w:t xml:space="preserve"> </w:t>
      </w:r>
      <w:r w:rsidR="009842C3">
        <w:t>stronger research workforce</w:t>
      </w:r>
      <w:r w:rsidR="007178D8">
        <w:t xml:space="preserve">, </w:t>
      </w:r>
      <w:r w:rsidR="00223166">
        <w:t>an increase</w:t>
      </w:r>
      <w:r w:rsidRPr="0023776C">
        <w:t xml:space="preserve"> </w:t>
      </w:r>
      <w:r w:rsidR="00BC2DD3">
        <w:t>in the diversity of expertise and pers</w:t>
      </w:r>
      <w:r w:rsidR="00065B40">
        <w:t>pectives</w:t>
      </w:r>
      <w:r w:rsidR="007178D8">
        <w:t>,</w:t>
      </w:r>
      <w:r w:rsidR="00065B40">
        <w:t xml:space="preserve"> and </w:t>
      </w:r>
      <w:r w:rsidR="002E7332">
        <w:t>reduction in</w:t>
      </w:r>
      <w:r w:rsidR="00BA4E73">
        <w:t xml:space="preserve"> </w:t>
      </w:r>
      <w:r w:rsidR="00065B40">
        <w:t xml:space="preserve">the separation between </w:t>
      </w:r>
      <w:r w:rsidR="001C0DCA">
        <w:t xml:space="preserve">research and practice. </w:t>
      </w:r>
      <w:r w:rsidR="00DC7A55">
        <w:t>Th</w:t>
      </w:r>
      <w:r w:rsidR="00615E69">
        <w:t>ese</w:t>
      </w:r>
      <w:r w:rsidR="00DC7A55">
        <w:t xml:space="preserve"> can be </w:t>
      </w:r>
      <w:r w:rsidR="00195CC5">
        <w:t xml:space="preserve">achieved </w:t>
      </w:r>
      <w:r w:rsidR="00B81927">
        <w:t>by</w:t>
      </w:r>
      <w:r w:rsidR="00195CC5">
        <w:t xml:space="preserve"> </w:t>
      </w:r>
      <w:r w:rsidR="00FC5937">
        <w:t xml:space="preserve">supporting </w:t>
      </w:r>
      <w:r w:rsidR="00B81927">
        <w:t xml:space="preserve">early and mid-career suicide prevention </w:t>
      </w:r>
      <w:r w:rsidR="00D06C38">
        <w:t>researchers</w:t>
      </w:r>
      <w:r w:rsidR="006D163F">
        <w:t xml:space="preserve">, </w:t>
      </w:r>
      <w:r w:rsidR="00C60DCC">
        <w:t xml:space="preserve">the </w:t>
      </w:r>
      <w:r w:rsidRPr="0023776C">
        <w:t>involvement of people with lived and living experience of suicide</w:t>
      </w:r>
      <w:r w:rsidR="0010406B">
        <w:t xml:space="preserve"> in </w:t>
      </w:r>
      <w:r w:rsidR="00825677">
        <w:t xml:space="preserve">suicide prevention </w:t>
      </w:r>
      <w:r w:rsidR="00A2608F">
        <w:t>research</w:t>
      </w:r>
      <w:r w:rsidR="001A5A2C">
        <w:t xml:space="preserve">, and </w:t>
      </w:r>
      <w:r w:rsidR="00E0258F">
        <w:t xml:space="preserve">the </w:t>
      </w:r>
      <w:r w:rsidR="00C60DCC">
        <w:t>participation</w:t>
      </w:r>
      <w:r w:rsidR="00E0258F">
        <w:t xml:space="preserve"> of</w:t>
      </w:r>
      <w:r w:rsidR="006C67BB">
        <w:t xml:space="preserve"> </w:t>
      </w:r>
      <w:r w:rsidRPr="0023776C">
        <w:t xml:space="preserve">researchers from communities disproportionately impacted by suicide, </w:t>
      </w:r>
      <w:r w:rsidR="008733C3">
        <w:t>service providers</w:t>
      </w:r>
      <w:r w:rsidRPr="0023776C">
        <w:t xml:space="preserve">, and </w:t>
      </w:r>
      <w:r w:rsidR="000B7D1B">
        <w:t>academic</w:t>
      </w:r>
      <w:r w:rsidR="0091248A">
        <w:t>s</w:t>
      </w:r>
      <w:r w:rsidR="000B7D1B">
        <w:t xml:space="preserve"> </w:t>
      </w:r>
      <w:r w:rsidR="0091248A">
        <w:t xml:space="preserve">from </w:t>
      </w:r>
      <w:r w:rsidRPr="0023776C">
        <w:t>disciplines</w:t>
      </w:r>
      <w:r w:rsidR="00110F6F">
        <w:t xml:space="preserve"> not </w:t>
      </w:r>
      <w:r w:rsidR="00F00928">
        <w:t xml:space="preserve">traditionally </w:t>
      </w:r>
      <w:r w:rsidR="00694AD0">
        <w:t>in</w:t>
      </w:r>
      <w:r w:rsidR="00AB296D">
        <w:t>volved</w:t>
      </w:r>
      <w:r w:rsidR="00694AD0">
        <w:t xml:space="preserve"> </w:t>
      </w:r>
      <w:r w:rsidR="00FE0246">
        <w:t>in suicide prevention</w:t>
      </w:r>
      <w:r w:rsidR="002D0547">
        <w:t xml:space="preserve"> </w:t>
      </w:r>
      <w:r w:rsidR="00AB296D">
        <w:t>research</w:t>
      </w:r>
      <w:r w:rsidR="002D0547">
        <w:t xml:space="preserve"> </w:t>
      </w:r>
      <w:r w:rsidR="000B13CC">
        <w:t>(action ce3.</w:t>
      </w:r>
      <w:r w:rsidR="00647033">
        <w:t>2b)</w:t>
      </w:r>
      <w:r w:rsidR="00E0258F">
        <w:t>.</w:t>
      </w:r>
      <w:hyperlink w:anchor="_ENREF_297" w:tooltip="Adviser, 2020 #345" w:history="1">
        <w:r w:rsidR="002D6F18" w:rsidRPr="003D0B36">
          <w:rPr>
            <w:vertAlign w:val="superscript"/>
          </w:rPr>
          <w:fldChar w:fldCharType="begin"/>
        </w:r>
        <w:r w:rsidR="002D6F18">
          <w:rPr>
            <w:vertAlign w:val="superscript"/>
          </w:rPr>
          <w:instrText xml:space="preserve"> ADDIN EN.CITE &lt;EndNote&gt;&lt;Cite&gt;&lt;Author&gt;Adviser&lt;/Author&gt;&lt;Year&gt;2020&lt;/Year&gt;&lt;RecNum&gt;345&lt;/RecNum&gt;&lt;DisplayText&gt;&lt;style face="superscript"&gt;297&lt;/style&gt;&lt;/DisplayText&gt;&lt;record&gt;&lt;rec-number&gt;345&lt;/rec-number&gt;&lt;foreign-keys&gt;&lt;key app="EN" db-id="rsettzd2isasdweewww55s9lffasxav0d0ft" timestamp="1700699472" guid="af7f939b-3a0c-433d-91b3-bfedaf480c39"&gt;345&lt;/key&gt;&lt;/foreign-keys&gt;&lt;ref-type name="Web Page"&gt;12&lt;/ref-type&gt;&lt;contributors&gt;&lt;authors&gt;&lt;author&gt;National Suicide Prevention Adviser&lt;/author&gt;&lt;/authors&gt;&lt;/contributors&gt;&lt;titles&gt;&lt;title&gt;Connected and Compassionate: Implementing a National Whole-of-Governments Approach to Suicide Prevention&lt;/title&gt;&lt;/titles&gt;&lt;dates&gt;&lt;year&gt;2020&lt;/year&gt;&lt;/dates&gt;&lt;pub-location&gt;Canberra&lt;/pub-location&gt;&lt;publisher&gt;National Mental Health Commission&lt;/publisher&gt;&lt;work-type&gt;Internet&lt;/work-type&gt;&lt;urls&gt;&lt;related-urls&gt;&lt;url&gt;https://www.mentalhealthcommission.gov.au/getmedia/543d313c-5749-404d-b349-b08db3a7fd96/Connected-and-Compassionate&lt;/url&gt;&lt;/related-urls&gt;&lt;/urls&gt;&lt;custom1&gt;2023&lt;/custom1&gt;&lt;custom2&gt;October 05&lt;/custom2&gt;&lt;/record&gt;&lt;/Cite&gt;&lt;/EndNote&gt;</w:instrText>
        </w:r>
        <w:r w:rsidR="002D6F18" w:rsidRPr="003D0B36">
          <w:rPr>
            <w:vertAlign w:val="superscript"/>
          </w:rPr>
          <w:fldChar w:fldCharType="separate"/>
        </w:r>
        <w:r w:rsidR="002D6F18">
          <w:rPr>
            <w:noProof/>
            <w:vertAlign w:val="superscript"/>
          </w:rPr>
          <w:t>297</w:t>
        </w:r>
        <w:r w:rsidR="002D6F18" w:rsidRPr="003D0B36">
          <w:rPr>
            <w:vertAlign w:val="superscript"/>
          </w:rPr>
          <w:fldChar w:fldCharType="end"/>
        </w:r>
      </w:hyperlink>
      <w:r w:rsidR="00C56FCB" w:rsidRPr="003D0B36">
        <w:rPr>
          <w:vertAlign w:val="superscript"/>
        </w:rPr>
        <w:t>,</w:t>
      </w:r>
      <w:hyperlink w:anchor="_ENREF_10" w:tooltip="Commission, 2020 #16" w:history="1">
        <w:r w:rsidR="002D6F18" w:rsidRPr="003D0B36">
          <w:rPr>
            <w:vertAlign w:val="superscript"/>
          </w:rPr>
          <w:fldChar w:fldCharType="begin"/>
        </w:r>
        <w:r w:rsidR="002D6F18">
          <w:rPr>
            <w:vertAlign w:val="superscript"/>
          </w:rPr>
          <w:instrText xml:space="preserve"> ADDIN EN.CITE &lt;EndNote&gt;&lt;Cite&gt;&lt;Author&gt;Commission&lt;/Author&gt;&lt;Year&gt;2020&lt;/Year&gt;&lt;RecNum&gt;16&lt;/RecNum&gt;&lt;DisplayText&gt;&lt;style face="superscript"&gt;10&lt;/style&gt;&lt;/DisplayText&gt;&lt;record&gt;&lt;rec-number&gt;16&lt;/rec-number&gt;&lt;foreign-keys&gt;&lt;key app="EN" db-id="rsettzd2isasdweewww55s9lffasxav0d0ft" timestamp="1700699466" guid="211cab95-640a-4261-a3ce-923e676f72bf"&gt;16&lt;/key&gt;&lt;/foreign-keys&gt;&lt;ref-type name="Web Page"&gt;12&lt;/ref-type&gt;&lt;contributors&gt;&lt;authors&gt;&lt;author&gt;Productivity Commission&lt;/author&gt;&lt;/authors&gt;&lt;/contributors&gt;&lt;titles&gt;&lt;title&gt;Mental Health, Report No. 95&lt;/title&gt;&lt;/titles&gt;&lt;dates&gt;&lt;year&gt;2020&lt;/year&gt;&lt;/dates&gt;&lt;pub-location&gt;Canberra&lt;/pub-location&gt;&lt;publisher&gt;PC, Australian Government&lt;/publisher&gt;&lt;isbn&gt;978-1-74037-699-0 &lt;/isbn&gt;&lt;work-type&gt;Internet&lt;/work-type&gt;&lt;urls&gt;&lt;related-urls&gt;&lt;url&gt;https://www.pc.gov.au/inquiries/completed/mental-health/report&lt;/url&gt;&lt;/related-urls&gt;&lt;/urls&gt;&lt;custom1&gt;2023&lt;/custom1&gt;&lt;custom2&gt;October 03&lt;/custom2&gt;&lt;/record&gt;&lt;/Cite&gt;&lt;/EndNote&gt;</w:instrText>
        </w:r>
        <w:r w:rsidR="002D6F18" w:rsidRPr="003D0B36">
          <w:rPr>
            <w:vertAlign w:val="superscript"/>
          </w:rPr>
          <w:fldChar w:fldCharType="separate"/>
        </w:r>
        <w:r w:rsidR="002D6F18">
          <w:rPr>
            <w:noProof/>
            <w:vertAlign w:val="superscript"/>
          </w:rPr>
          <w:t>10</w:t>
        </w:r>
        <w:r w:rsidR="002D6F18" w:rsidRPr="003D0B36">
          <w:rPr>
            <w:vertAlign w:val="superscript"/>
          </w:rPr>
          <w:fldChar w:fldCharType="end"/>
        </w:r>
      </w:hyperlink>
      <w:r w:rsidR="003D0B36" w:rsidRPr="003D0B36">
        <w:rPr>
          <w:vertAlign w:val="superscript"/>
        </w:rPr>
        <w:t>,</w:t>
      </w:r>
      <w:hyperlink w:anchor="_ENREF_327" w:tooltip="Prevention, 2021 #1104" w:history="1">
        <w:r w:rsidR="002D6F18" w:rsidRPr="003D0B36">
          <w:rPr>
            <w:vertAlign w:val="superscript"/>
          </w:rPr>
          <w:fldChar w:fldCharType="begin"/>
        </w:r>
        <w:r w:rsidR="002D6F18">
          <w:rPr>
            <w:vertAlign w:val="superscript"/>
          </w:rPr>
          <w:instrText xml:space="preserve"> ADDIN EN.CITE &lt;EndNote&gt;&lt;Cite&gt;&lt;Author&gt;Prevention&lt;/Author&gt;&lt;Year&gt;2021&lt;/Year&gt;&lt;RecNum&gt;1104&lt;/RecNum&gt;&lt;DisplayText&gt;&lt;style face="superscript"&gt;327&lt;/style&gt;&lt;/DisplayText&gt;&lt;record&gt;&lt;rec-number&gt;1104&lt;/rec-number&gt;&lt;foreign-keys&gt;&lt;key app="EN" db-id="rsettzd2isasdweewww55s9lffasxav0d0ft" timestamp="1720503851" guid="a38d8415-d42c-422b-800a-37483ffd0718"&gt;1104&lt;/key&gt;&lt;/foreign-keys&gt;&lt;ref-type name="Web Page"&gt;12&lt;/ref-type&gt;&lt;contributors&gt;&lt;authors&gt;&lt;author&gt;Australian House of Representatives - Select Committee on Mental Health and Suicide Prevention&lt;/author&gt;&lt;/authors&gt;&lt;/contributors&gt;&lt;titles&gt;&lt;title&gt;Mental health and suicide prevention: final report. &lt;/title&gt;&lt;/titles&gt;&lt;dates&gt;&lt;year&gt;2021&lt;/year&gt;&lt;/dates&gt;&lt;publisher&gt;Australian Government&lt;/publisher&gt;&lt;work-type&gt;Internet&lt;/work-type&gt;&lt;urls&gt;&lt;related-urls&gt;&lt;url&gt;https://www.aph.gov.au/Parliamentary_Business/Committees/House/Former_Committees/Mental_Health_and_Suicide_Prevention/MHSP/Report&lt;/url&gt;&lt;/related-urls&gt;&lt;/urls&gt;&lt;custom1&gt;2024&lt;/custom1&gt;&lt;custom2&gt;March 06&lt;/custom2&gt;&lt;/record&gt;&lt;/Cite&gt;&lt;/EndNote&gt;</w:instrText>
        </w:r>
        <w:r w:rsidR="002D6F18" w:rsidRPr="003D0B36">
          <w:rPr>
            <w:vertAlign w:val="superscript"/>
          </w:rPr>
          <w:fldChar w:fldCharType="separate"/>
        </w:r>
        <w:r w:rsidR="002D6F18">
          <w:rPr>
            <w:noProof/>
            <w:vertAlign w:val="superscript"/>
          </w:rPr>
          <w:t>327</w:t>
        </w:r>
        <w:r w:rsidR="002D6F18" w:rsidRPr="003D0B36">
          <w:rPr>
            <w:vertAlign w:val="superscript"/>
          </w:rPr>
          <w:fldChar w:fldCharType="end"/>
        </w:r>
      </w:hyperlink>
      <w:r w:rsidR="003D0B36">
        <w:t xml:space="preserve">  </w:t>
      </w:r>
    </w:p>
    <w:p w14:paraId="3ACB9D53" w14:textId="2FE15980" w:rsidR="00AB1D41" w:rsidRPr="00B768A1" w:rsidRDefault="00AB1D41" w:rsidP="00634A83">
      <w:r>
        <w:t xml:space="preserve">The recommended actions to </w:t>
      </w:r>
      <w:r w:rsidR="00EA0F4A">
        <w:t xml:space="preserve">strengthen suicide prevention research </w:t>
      </w:r>
      <w:r>
        <w:t>are described in</w:t>
      </w:r>
      <w:r w:rsidR="00F04C6C">
        <w:t xml:space="preserve"> </w:t>
      </w:r>
      <w:r w:rsidR="00F04C6C">
        <w:fldChar w:fldCharType="begin"/>
      </w:r>
      <w:r w:rsidR="00F04C6C">
        <w:instrText xml:space="preserve"> REF _Ref162254185 \h </w:instrText>
      </w:r>
      <w:r w:rsidR="00F04C6C">
        <w:fldChar w:fldCharType="separate"/>
      </w:r>
      <w:r w:rsidR="009F12B4">
        <w:t xml:space="preserve">Table </w:t>
      </w:r>
      <w:r w:rsidR="009F12B4">
        <w:rPr>
          <w:noProof/>
        </w:rPr>
        <w:t>38</w:t>
      </w:r>
      <w:r w:rsidR="00F04C6C">
        <w:fldChar w:fldCharType="end"/>
      </w:r>
      <w:r>
        <w:t>.</w:t>
      </w:r>
    </w:p>
    <w:p w14:paraId="588F9E9B" w14:textId="4ECFB543" w:rsidR="00AB1D41" w:rsidRPr="00B768A1" w:rsidRDefault="00AB1D41" w:rsidP="00745B34">
      <w:pPr>
        <w:pStyle w:val="Caption"/>
      </w:pPr>
      <w:bookmarkStart w:id="171" w:name="_Ref162254185"/>
      <w:r>
        <w:t xml:space="preserve">Table </w:t>
      </w:r>
      <w:r>
        <w:fldChar w:fldCharType="begin"/>
      </w:r>
      <w:r>
        <w:instrText>SEQ Table \* ARABIC</w:instrText>
      </w:r>
      <w:r>
        <w:fldChar w:fldCharType="separate"/>
      </w:r>
      <w:r w:rsidR="009F12B4">
        <w:rPr>
          <w:noProof/>
        </w:rPr>
        <w:t>38</w:t>
      </w:r>
      <w:r>
        <w:fldChar w:fldCharType="end"/>
      </w:r>
      <w:bookmarkEnd w:id="171"/>
      <w:r>
        <w:t>: Recommended actions for critical enabler 3.2</w:t>
      </w:r>
      <w:r w:rsidR="00DA070B">
        <w:t>: Strengthen suicide prevention research</w:t>
      </w:r>
    </w:p>
    <w:tbl>
      <w:tblPr>
        <w:tblStyle w:val="TableGrid"/>
        <w:tblW w:w="9213" w:type="dxa"/>
        <w:tblLayout w:type="fixed"/>
        <w:tblLook w:val="0420" w:firstRow="1" w:lastRow="0" w:firstColumn="0" w:lastColumn="0" w:noHBand="0" w:noVBand="1"/>
        <w:tblCaption w:val="Recommended actions for critical enabler 3.2: Strengthen suicide prevention research"/>
        <w:tblDescription w:val="Describes actions ce3.2a and ce3.2b."/>
      </w:tblPr>
      <w:tblGrid>
        <w:gridCol w:w="1270"/>
        <w:gridCol w:w="7943"/>
      </w:tblGrid>
      <w:tr w:rsidR="00E31AFD" w:rsidRPr="00D1738E" w14:paraId="74D841FF" w14:textId="77777777" w:rsidTr="55FFBE13">
        <w:trPr>
          <w:cnfStyle w:val="100000000000" w:firstRow="1" w:lastRow="0" w:firstColumn="0" w:lastColumn="0" w:oddVBand="0" w:evenVBand="0" w:oddHBand="0" w:evenHBand="0" w:firstRowFirstColumn="0" w:firstRowLastColumn="0" w:lastRowFirstColumn="0" w:lastRowLastColumn="0"/>
          <w:cantSplit/>
          <w:trHeight w:val="300"/>
          <w:tblHeader/>
        </w:trPr>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80AD" w:themeFill="accent4"/>
          </w:tcPr>
          <w:p w14:paraId="290806B3" w14:textId="00F8B143" w:rsidR="00E31AFD" w:rsidRPr="00D1738E" w:rsidRDefault="00E31AFD" w:rsidP="004F5B0E">
            <w:pPr>
              <w:pStyle w:val="NMHCTableHeaderRow"/>
            </w:pPr>
            <w:r w:rsidRPr="00D1738E">
              <w:t>Action</w:t>
            </w:r>
          </w:p>
        </w:tc>
        <w:tc>
          <w:tcPr>
            <w:tcW w:w="7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80AD" w:themeFill="accent4"/>
            <w:tcMar>
              <w:top w:w="28" w:type="dxa"/>
              <w:bottom w:w="28" w:type="dxa"/>
            </w:tcMar>
          </w:tcPr>
          <w:p w14:paraId="33F5B973" w14:textId="5E8FD5DB" w:rsidR="00E31AFD" w:rsidRPr="00D1738E" w:rsidRDefault="00463C6E" w:rsidP="004F5B0E">
            <w:pPr>
              <w:pStyle w:val="NMHCTableHeaderRow"/>
            </w:pPr>
            <w:r>
              <w:t>Description</w:t>
            </w:r>
          </w:p>
        </w:tc>
      </w:tr>
      <w:tr w:rsidR="00682A5B" w:rsidRPr="00B768A1" w14:paraId="68602A9A" w14:textId="77777777" w:rsidTr="55FFBE13">
        <w:trPr>
          <w:trHeight w:val="300"/>
        </w:trPr>
        <w:tc>
          <w:tcPr>
            <w:tcW w:w="1270" w:type="dxa"/>
            <w:tcBorders>
              <w:top w:val="single" w:sz="4" w:space="0" w:color="FFFFFF" w:themeColor="background1"/>
            </w:tcBorders>
          </w:tcPr>
          <w:p w14:paraId="2F9B94FE" w14:textId="27D501CB" w:rsidR="00682A5B" w:rsidRPr="00F833FC" w:rsidRDefault="00752C00" w:rsidP="00634A83">
            <w:r w:rsidRPr="00F833FC">
              <w:t>ce</w:t>
            </w:r>
            <w:r w:rsidR="00682A5B" w:rsidRPr="00F833FC">
              <w:t>3.2a</w:t>
            </w:r>
          </w:p>
        </w:tc>
        <w:tc>
          <w:tcPr>
            <w:tcW w:w="7943" w:type="dxa"/>
            <w:tcBorders>
              <w:top w:val="single" w:sz="4" w:space="0" w:color="FFFFFF" w:themeColor="background1"/>
            </w:tcBorders>
            <w:tcMar>
              <w:top w:w="28" w:type="dxa"/>
              <w:bottom w:w="28" w:type="dxa"/>
            </w:tcMar>
          </w:tcPr>
          <w:p w14:paraId="479B3B75" w14:textId="7DD066E7" w:rsidR="00682A5B" w:rsidRDefault="00DB5F65" w:rsidP="00546BCC">
            <w:r>
              <w:t xml:space="preserve">Ensure </w:t>
            </w:r>
            <w:r w:rsidR="0080385A">
              <w:t>better targeting and coordination of suicide prevention research funding by establishing</w:t>
            </w:r>
            <w:r w:rsidR="001350EC">
              <w:t xml:space="preserve"> a mechanism that supports</w:t>
            </w:r>
            <w:r w:rsidR="0080385A">
              <w:t>:</w:t>
            </w:r>
          </w:p>
          <w:p w14:paraId="388C9BF8" w14:textId="13AFDD53" w:rsidR="00333A71" w:rsidRDefault="00AE3CBF" w:rsidP="00381701">
            <w:pPr>
              <w:pStyle w:val="ListParagraph"/>
              <w:numPr>
                <w:ilvl w:val="0"/>
                <w:numId w:val="52"/>
              </w:numPr>
            </w:pPr>
            <w:r>
              <w:t>Ongoing c</w:t>
            </w:r>
            <w:r w:rsidR="001350EC">
              <w:t>ollaboration</w:t>
            </w:r>
            <w:r w:rsidR="00411D4F">
              <w:t xml:space="preserve"> between </w:t>
            </w:r>
            <w:r w:rsidR="006B0DCB">
              <w:t xml:space="preserve">funding bodies, </w:t>
            </w:r>
            <w:r w:rsidR="000F5C0B">
              <w:t>philanthropic organisations and the sector</w:t>
            </w:r>
            <w:r w:rsidR="0067738C">
              <w:t>.</w:t>
            </w:r>
          </w:p>
          <w:p w14:paraId="649F09F3" w14:textId="7DFC6301" w:rsidR="001350EC" w:rsidRDefault="001350EC" w:rsidP="00381701">
            <w:pPr>
              <w:pStyle w:val="ListParagraph"/>
              <w:numPr>
                <w:ilvl w:val="0"/>
                <w:numId w:val="52"/>
              </w:numPr>
            </w:pPr>
            <w:r>
              <w:t>Robust process</w:t>
            </w:r>
            <w:r w:rsidR="00AE3CBF">
              <w:t>es</w:t>
            </w:r>
            <w:r>
              <w:t xml:space="preserve"> for the regular joint identification of national suicide prevention research priorities</w:t>
            </w:r>
            <w:r w:rsidR="0067738C">
              <w:t>.</w:t>
            </w:r>
            <w:r>
              <w:t xml:space="preserve"> </w:t>
            </w:r>
          </w:p>
          <w:p w14:paraId="42343849" w14:textId="19290E7C" w:rsidR="00333A71" w:rsidRPr="00F833FC" w:rsidRDefault="6B527D4D" w:rsidP="00381701">
            <w:pPr>
              <w:pStyle w:val="ListParagraph"/>
              <w:numPr>
                <w:ilvl w:val="0"/>
                <w:numId w:val="52"/>
              </w:numPr>
              <w:rPr>
                <w:rFonts w:ascii="Roboto Light" w:hAnsi="Roboto Light"/>
              </w:rPr>
            </w:pPr>
            <w:r>
              <w:t>Coordinate</w:t>
            </w:r>
            <w:r w:rsidR="1BE5DCEF">
              <w:t>d delivery of targeted funding schemes to address identified national priorities.</w:t>
            </w:r>
          </w:p>
        </w:tc>
      </w:tr>
      <w:tr w:rsidR="00682A5B" w:rsidRPr="00B768A1" w14:paraId="5CF25A2A" w14:textId="77777777" w:rsidTr="55FFBE13">
        <w:trPr>
          <w:trHeight w:val="300"/>
        </w:trPr>
        <w:tc>
          <w:tcPr>
            <w:tcW w:w="1270" w:type="dxa"/>
          </w:tcPr>
          <w:p w14:paraId="4C4F3DDF" w14:textId="74BA7DF3" w:rsidR="00682A5B" w:rsidRPr="00F833FC" w:rsidRDefault="00752C00" w:rsidP="00634A83">
            <w:r w:rsidRPr="00F833FC">
              <w:t>ce</w:t>
            </w:r>
            <w:r w:rsidR="00682A5B" w:rsidRPr="00F833FC">
              <w:t>3.2b</w:t>
            </w:r>
          </w:p>
        </w:tc>
        <w:tc>
          <w:tcPr>
            <w:tcW w:w="7943" w:type="dxa"/>
            <w:tcMar>
              <w:top w:w="28" w:type="dxa"/>
              <w:bottom w:w="28" w:type="dxa"/>
            </w:tcMar>
          </w:tcPr>
          <w:p w14:paraId="42D15CA4" w14:textId="770FE2A5" w:rsidR="00C6278A" w:rsidRDefault="001C228D" w:rsidP="009207B7">
            <w:r>
              <w:t>Strengthen</w:t>
            </w:r>
            <w:r w:rsidR="00682A5B" w:rsidRPr="00F833FC">
              <w:t xml:space="preserve"> </w:t>
            </w:r>
            <w:r w:rsidR="001A7521">
              <w:t xml:space="preserve">the </w:t>
            </w:r>
            <w:r w:rsidR="00682A5B" w:rsidRPr="00F833FC">
              <w:t xml:space="preserve">capacity and capability in the suicide prevention research </w:t>
            </w:r>
            <w:r w:rsidR="001A7521">
              <w:t>sector</w:t>
            </w:r>
            <w:r w:rsidR="001A7521" w:rsidRPr="00F833FC">
              <w:t xml:space="preserve"> </w:t>
            </w:r>
            <w:r w:rsidR="008C0A01">
              <w:t xml:space="preserve">through </w:t>
            </w:r>
            <w:r w:rsidR="000B7D1B">
              <w:t>increased</w:t>
            </w:r>
            <w:r w:rsidR="00D0604E">
              <w:t xml:space="preserve"> and sustained</w:t>
            </w:r>
            <w:r w:rsidR="008C0A01">
              <w:t xml:space="preserve"> investment</w:t>
            </w:r>
            <w:r w:rsidR="00D0604E">
              <w:t xml:space="preserve"> in suicide </w:t>
            </w:r>
            <w:r w:rsidR="00BE1074">
              <w:t>prevention research</w:t>
            </w:r>
            <w:r w:rsidR="008C0A01">
              <w:t xml:space="preserve"> and by </w:t>
            </w:r>
            <w:r w:rsidR="006F63B2">
              <w:t>supporting</w:t>
            </w:r>
            <w:r w:rsidR="00BE1074">
              <w:t xml:space="preserve"> the greater inclusion of</w:t>
            </w:r>
            <w:r w:rsidR="00DC13AE">
              <w:t>:</w:t>
            </w:r>
          </w:p>
          <w:p w14:paraId="5CB13CDA" w14:textId="6D87F20B" w:rsidR="00DF70A5" w:rsidRDefault="00551169" w:rsidP="00263F5D">
            <w:pPr>
              <w:pStyle w:val="ListParagraph"/>
              <w:numPr>
                <w:ilvl w:val="0"/>
                <w:numId w:val="52"/>
              </w:numPr>
            </w:pPr>
            <w:r>
              <w:t xml:space="preserve">Early and mid-career researchers in </w:t>
            </w:r>
            <w:r w:rsidR="004D614C">
              <w:t>suicide prevention research</w:t>
            </w:r>
          </w:p>
          <w:p w14:paraId="3D0DE4F3" w14:textId="64A21195" w:rsidR="00B33354" w:rsidRDefault="00061619" w:rsidP="00263F5D">
            <w:pPr>
              <w:pStyle w:val="ListParagraph"/>
              <w:numPr>
                <w:ilvl w:val="0"/>
                <w:numId w:val="52"/>
              </w:numPr>
            </w:pPr>
            <w:r>
              <w:t>p</w:t>
            </w:r>
            <w:r w:rsidR="006F63B2" w:rsidRPr="006F63B2">
              <w:t xml:space="preserve">eople with a lived and living experience of suicide in the leadership, </w:t>
            </w:r>
            <w:r w:rsidR="00651787" w:rsidRPr="00B768A1">
              <w:t>design</w:t>
            </w:r>
            <w:r w:rsidR="00651787">
              <w:t xml:space="preserve">, </w:t>
            </w:r>
            <w:r w:rsidR="00651787" w:rsidRPr="00B768A1">
              <w:t>delivery, interpretation</w:t>
            </w:r>
            <w:r w:rsidR="00651787">
              <w:t xml:space="preserve"> </w:t>
            </w:r>
            <w:r w:rsidR="00651787" w:rsidRPr="00B768A1">
              <w:t>and translation</w:t>
            </w:r>
            <w:r w:rsidR="00651787">
              <w:t xml:space="preserve"> of research</w:t>
            </w:r>
          </w:p>
          <w:p w14:paraId="6BC418A5" w14:textId="1ADE4756" w:rsidR="00682A5B" w:rsidRPr="00F833FC" w:rsidRDefault="003C06D9" w:rsidP="00381701">
            <w:pPr>
              <w:pStyle w:val="ListParagraph"/>
            </w:pPr>
            <w:r>
              <w:t>rese</w:t>
            </w:r>
            <w:r w:rsidR="0091626C">
              <w:t xml:space="preserve">archers from communities, service delivery and other </w:t>
            </w:r>
            <w:r w:rsidR="000B7D1B">
              <w:t xml:space="preserve">academic </w:t>
            </w:r>
            <w:r w:rsidR="0091626C">
              <w:t>disciplines.</w:t>
            </w:r>
          </w:p>
        </w:tc>
      </w:tr>
    </w:tbl>
    <w:p w14:paraId="5879F092" w14:textId="71E2ED97" w:rsidR="00682A5B" w:rsidRPr="00B768A1" w:rsidRDefault="61878545" w:rsidP="00634A83">
      <w:pPr>
        <w:pStyle w:val="Heading3"/>
      </w:pPr>
      <w:r w:rsidRPr="5B74CE65">
        <w:t>ce3.3 Promote</w:t>
      </w:r>
      <w:r w:rsidR="00682A5B" w:rsidRPr="5B74CE65">
        <w:t xml:space="preserve"> evaluation of suicide prevention activities</w:t>
      </w:r>
    </w:p>
    <w:p w14:paraId="26E37044" w14:textId="1587A5DE" w:rsidR="001B4BFB" w:rsidRPr="00B768A1" w:rsidRDefault="21D66310" w:rsidP="00634A83">
      <w:r>
        <w:t>E</w:t>
      </w:r>
      <w:r w:rsidR="3605BDAC" w:rsidRPr="59485962">
        <w:t xml:space="preserve">valuation is </w:t>
      </w:r>
      <w:r w:rsidR="1B767B9D">
        <w:t>necessary</w:t>
      </w:r>
      <w:r w:rsidR="3605BDAC" w:rsidRPr="59485962">
        <w:t xml:space="preserve"> to understand whether </w:t>
      </w:r>
      <w:r w:rsidR="23684C18" w:rsidRPr="59485962">
        <w:t xml:space="preserve">current </w:t>
      </w:r>
      <w:r w:rsidR="3605BDAC" w:rsidRPr="59485962">
        <w:t xml:space="preserve">programs and services are effective, </w:t>
      </w:r>
      <w:r w:rsidR="3605BDAC" w:rsidRPr="00B768A1">
        <w:t>how to improve them, whether to continue to fund them, and whether they achieve the same outcomes for all communities.</w:t>
      </w:r>
      <w:hyperlink w:anchor="_ENREF_297" w:tooltip="Adviser, 2020 #345" w:history="1">
        <w:r w:rsidR="002D6F18">
          <w:fldChar w:fldCharType="begin"/>
        </w:r>
        <w:r w:rsidR="002D6F18">
          <w:instrText xml:space="preserve"> ADDIN EN.CITE &lt;EndNote&gt;&lt;Cite&gt;&lt;Author&gt;Adviser&lt;/Author&gt;&lt;Year&gt;2020&lt;/Year&gt;&lt;RecNum&gt;345&lt;/RecNum&gt;&lt;DisplayText&gt;&lt;style face="superscript"&gt;297&lt;/style&gt;&lt;/DisplayText&gt;&lt;record&gt;&lt;rec-number&gt;345&lt;/rec-number&gt;&lt;foreign-keys&gt;&lt;key app="EN" db-id="rsettzd2isasdweewww55s9lffasxav0d0ft" timestamp="1700699472" guid="af7f939b-3a0c-433d-91b3-bfedaf480c39"&gt;345&lt;/key&gt;&lt;/foreign-keys&gt;&lt;ref-type name="Web Page"&gt;12&lt;/ref-type&gt;&lt;contributors&gt;&lt;authors&gt;&lt;author&gt;National Suicide Prevention Adviser&lt;/author&gt;&lt;/authors&gt;&lt;/contributors&gt;&lt;titles&gt;&lt;title&gt;Connected and Compassionate: Implementing a National Whole-of-Governments Approach to Suicide Prevention&lt;/title&gt;&lt;/titles&gt;&lt;dates&gt;&lt;year&gt;2020&lt;/year&gt;&lt;/dates&gt;&lt;pub-location&gt;Canberra&lt;/pub-location&gt;&lt;publisher&gt;National Mental Health Commission&lt;/publisher&gt;&lt;work-type&gt;Internet&lt;/work-type&gt;&lt;urls&gt;&lt;related-urls&gt;&lt;url&gt;https://www.mentalhealthcommission.gov.au/getmedia/543d313c-5749-404d-b349-b08db3a7fd96/Connected-and-Compassionate&lt;/url&gt;&lt;/related-urls&gt;&lt;/urls&gt;&lt;custom1&gt;2023&lt;/custom1&gt;&lt;custom2&gt;October 05&lt;/custom2&gt;&lt;/record&gt;&lt;/Cite&gt;&lt;/EndNote&gt;</w:instrText>
        </w:r>
        <w:r w:rsidR="002D6F18">
          <w:fldChar w:fldCharType="separate"/>
        </w:r>
        <w:r w:rsidR="002D6F18" w:rsidRPr="00C559B5">
          <w:rPr>
            <w:noProof/>
            <w:vertAlign w:val="superscript"/>
          </w:rPr>
          <w:t>297</w:t>
        </w:r>
        <w:r w:rsidR="002D6F18">
          <w:fldChar w:fldCharType="end"/>
        </w:r>
      </w:hyperlink>
      <w:r w:rsidR="00102352">
        <w:t xml:space="preserve"> </w:t>
      </w:r>
    </w:p>
    <w:p w14:paraId="456BF545" w14:textId="04B4023E" w:rsidR="00682A5B" w:rsidRPr="00B768A1" w:rsidRDefault="3605BDAC" w:rsidP="00634A83">
      <w:r w:rsidRPr="59485962">
        <w:t xml:space="preserve">The </w:t>
      </w:r>
      <w:r w:rsidRPr="48215A0F">
        <w:rPr>
          <w:i/>
          <w:iCs/>
        </w:rPr>
        <w:t>Productivity Commission</w:t>
      </w:r>
      <w:r w:rsidRPr="59485962">
        <w:t xml:space="preserve"> noted a lack of routine evaluation of suicide prevention efforts in Australia and that evaluations tended to look at project objectives rather than suicide outcomes.</w:t>
      </w:r>
      <w:hyperlink w:anchor="_ENREF_10" w:tooltip="Commission, 2020 #16" w:history="1">
        <w:r w:rsidR="002D6F18">
          <w:fldChar w:fldCharType="begin"/>
        </w:r>
        <w:r w:rsidR="002D6F18">
          <w:instrText xml:space="preserve"> ADDIN EN.CITE &lt;EndNote&gt;&lt;Cite&gt;&lt;Author&gt;Commission&lt;/Author&gt;&lt;Year&gt;2020&lt;/Year&gt;&lt;RecNum&gt;16&lt;/RecNum&gt;&lt;DisplayText&gt;&lt;style face="superscript"&gt;10&lt;/style&gt;&lt;/DisplayText&gt;&lt;record&gt;&lt;rec-number&gt;16&lt;/rec-number&gt;&lt;foreign-keys&gt;&lt;key app="EN" db-id="rsettzd2isasdweewww55s9lffasxav0d0ft" timestamp="1700699466" guid="211cab95-640a-4261-a3ce-923e676f72bf"&gt;16&lt;/key&gt;&lt;/foreign-keys&gt;&lt;ref-type name="Web Page"&gt;12&lt;/ref-type&gt;&lt;contributors&gt;&lt;authors&gt;&lt;author&gt;Productivity Commission&lt;/author&gt;&lt;/authors&gt;&lt;/contributors&gt;&lt;titles&gt;&lt;title&gt;Mental Health, Report No. 95&lt;/title&gt;&lt;/titles&gt;&lt;dates&gt;&lt;year&gt;2020&lt;/year&gt;&lt;/dates&gt;&lt;pub-location&gt;Canberra&lt;/pub-location&gt;&lt;publisher&gt;PC, Australian Government&lt;/publisher&gt;&lt;isbn&gt;978-1-74037-699-0 &lt;/isbn&gt;&lt;work-type&gt;Internet&lt;/work-type&gt;&lt;urls&gt;&lt;related-urls&gt;&lt;url&gt;https://www.pc.gov.au/inquiries/completed/mental-health/report&lt;/url&gt;&lt;/related-urls&gt;&lt;/urls&gt;&lt;custom1&gt;2023&lt;/custom1&gt;&lt;custom2&gt;October 03&lt;/custom2&gt;&lt;/record&gt;&lt;/Cite&gt;&lt;/EndNote&gt;</w:instrText>
        </w:r>
        <w:r w:rsidR="002D6F18">
          <w:fldChar w:fldCharType="separate"/>
        </w:r>
        <w:r w:rsidR="002D6F18" w:rsidRPr="0082082D">
          <w:rPr>
            <w:noProof/>
            <w:vertAlign w:val="superscript"/>
          </w:rPr>
          <w:t>10</w:t>
        </w:r>
        <w:r w:rsidR="002D6F18">
          <w:fldChar w:fldCharType="end"/>
        </w:r>
      </w:hyperlink>
      <w:r w:rsidRPr="59485962">
        <w:t xml:space="preserve"> </w:t>
      </w:r>
      <w:r w:rsidR="00C33B03">
        <w:t>There are many c</w:t>
      </w:r>
      <w:r w:rsidRPr="00B768A1">
        <w:t xml:space="preserve">hallenges to </w:t>
      </w:r>
      <w:r w:rsidR="00C33B03">
        <w:t xml:space="preserve">embedding routine </w:t>
      </w:r>
      <w:r w:rsidRPr="00B768A1">
        <w:t>evaluation includ</w:t>
      </w:r>
      <w:r w:rsidR="00C33B03">
        <w:t>ing</w:t>
      </w:r>
      <w:r w:rsidRPr="00B768A1">
        <w:t xml:space="preserve"> services being funded to deliver supports but not evaluate them; limited capability within the sector for evaluation; </w:t>
      </w:r>
      <w:r w:rsidR="00A4401F">
        <w:t>and lack of the</w:t>
      </w:r>
      <w:r w:rsidRPr="00B768A1">
        <w:t xml:space="preserve"> necessary data.</w:t>
      </w:r>
      <w:r w:rsidR="00292E96">
        <w:t xml:space="preserve"> These issues can be addressed.</w:t>
      </w:r>
      <w:r w:rsidRPr="00B768A1">
        <w:t xml:space="preserve"> </w:t>
      </w:r>
    </w:p>
    <w:p w14:paraId="055FC64A" w14:textId="00A53167" w:rsidR="00682A5B" w:rsidRPr="00B768A1" w:rsidRDefault="1FB80F75" w:rsidP="00634A83">
      <w:r w:rsidRPr="00B768A1">
        <w:t>S</w:t>
      </w:r>
      <w:r w:rsidR="3605BDAC" w:rsidRPr="00B768A1">
        <w:t xml:space="preserve">pecific resources </w:t>
      </w:r>
      <w:r w:rsidRPr="00B768A1">
        <w:t xml:space="preserve">are </w:t>
      </w:r>
      <w:r w:rsidR="3605BDAC" w:rsidRPr="00B768A1">
        <w:t xml:space="preserve">available to build evaluation capability, </w:t>
      </w:r>
      <w:r w:rsidR="27221AA3" w:rsidRPr="00B768A1">
        <w:t xml:space="preserve">including </w:t>
      </w:r>
      <w:r w:rsidR="3605BDAC" w:rsidRPr="00B768A1">
        <w:t xml:space="preserve">the </w:t>
      </w:r>
      <w:r w:rsidR="3605BDAC" w:rsidRPr="00881AC4">
        <w:t>Zero Suicide evaluation framework</w:t>
      </w:r>
      <w:hyperlink w:anchor="_ENREF_328" w:tooltip="Suicide, 2021 #1105" w:history="1">
        <w:r w:rsidR="002D6F18">
          <w:fldChar w:fldCharType="begin"/>
        </w:r>
        <w:r w:rsidR="002D6F18">
          <w:instrText xml:space="preserve"> ADDIN EN.CITE &lt;EndNote&gt;&lt;Cite&gt;&lt;Author&gt;Suicide&lt;/Author&gt;&lt;Year&gt;2021&lt;/Year&gt;&lt;RecNum&gt;1105&lt;/RecNum&gt;&lt;DisplayText&gt;&lt;style face="superscript"&gt;328&lt;/style&gt;&lt;/DisplayText&gt;&lt;record&gt;&lt;rec-number&gt;1105&lt;/rec-number&gt;&lt;foreign-keys&gt;&lt;key app="EN" db-id="rsettzd2isasdweewww55s9lffasxav0d0ft" timestamp="1720503929" guid="cfbb3a4d-f2c8-4a53-8356-94a208e311e0"&gt;1105&lt;/key&gt;&lt;/foreign-keys&gt;&lt;ref-type name="Web Page"&gt;12&lt;/ref-type&gt;&lt;contributors&gt;&lt;authors&gt;&lt;author&gt;Zero Suicide Institute of Australasia  Zero Suicide&lt;/author&gt;&lt;/authors&gt;&lt;/contributors&gt;&lt;titles&gt;&lt;title&gt;Zero Suicide Healthcare evaluation framework: outcomes, actions &amp;amp; measures&lt;/title&gt;&lt;/titles&gt;&lt;dates&gt;&lt;year&gt;2021&lt;/year&gt;&lt;/dates&gt;&lt;publisher&gt;Zero Suicide Institute of Australasia&lt;/publisher&gt;&lt;work-type&gt;Internet&lt;/work-type&gt;&lt;urls&gt;&lt;related-urls&gt;&lt;url&gt;https://zerosuicide.edc.org/resources/resource-database/zero-suicide-institute-australasia-evaluation-framework&lt;/url&gt;&lt;/related-urls&gt;&lt;/urls&gt;&lt;custom1&gt;2024&lt;/custom1&gt;&lt;custom2&gt;March 06&lt;/custom2&gt;&lt;/record&gt;&lt;/Cite&gt;&lt;/EndNote&gt;</w:instrText>
        </w:r>
        <w:r w:rsidR="002D6F18">
          <w:fldChar w:fldCharType="separate"/>
        </w:r>
        <w:r w:rsidR="002D6F18" w:rsidRPr="00C559B5">
          <w:rPr>
            <w:noProof/>
            <w:vertAlign w:val="superscript"/>
          </w:rPr>
          <w:t>328</w:t>
        </w:r>
        <w:r w:rsidR="002D6F18">
          <w:fldChar w:fldCharType="end"/>
        </w:r>
      </w:hyperlink>
      <w:r w:rsidR="00102352">
        <w:t xml:space="preserve"> </w:t>
      </w:r>
      <w:r w:rsidR="3605BDAC" w:rsidRPr="00B768A1">
        <w:t xml:space="preserve">and advice </w:t>
      </w:r>
      <w:r w:rsidR="6AFE5B01" w:rsidRPr="00B768A1">
        <w:t xml:space="preserve">from </w:t>
      </w:r>
      <w:r w:rsidR="3605BDAC" w:rsidRPr="00881AC4">
        <w:t>Suicide Prevention Australia</w:t>
      </w:r>
      <w:r w:rsidR="3605BDAC" w:rsidRPr="00B768A1">
        <w:t xml:space="preserve"> on </w:t>
      </w:r>
      <w:r w:rsidR="00ED53F0">
        <w:t>ensuring</w:t>
      </w:r>
      <w:r w:rsidR="3605BDAC" w:rsidRPr="00B768A1">
        <w:t xml:space="preserve"> </w:t>
      </w:r>
      <w:r w:rsidR="00ED53F0">
        <w:t xml:space="preserve">that </w:t>
      </w:r>
      <w:r w:rsidR="3605BDAC" w:rsidRPr="00B768A1">
        <w:t>a program is of quality</w:t>
      </w:r>
      <w:hyperlink w:anchor="_ENREF_329" w:tooltip="Australia, 2022 #11" w:history="1">
        <w:r w:rsidR="002D6F18">
          <w:fldChar w:fldCharType="begin"/>
        </w:r>
        <w:r w:rsidR="002D6F18">
          <w:instrText xml:space="preserve"> ADDIN EN.CITE &lt;EndNote&gt;&lt;Cite&gt;&lt;Author&gt;Australia&lt;/Author&gt;&lt;Year&gt;2022&lt;/Year&gt;&lt;RecNum&gt;11&lt;/RecNum&gt;&lt;DisplayText&gt;&lt;style face="superscript"&gt;329&lt;/style&gt;&lt;/DisplayText&gt;&lt;record&gt;&lt;rec-number&gt;11&lt;/rec-number&gt;&lt;foreign-keys&gt;&lt;key app="EN" db-id="rsettzd2isasdweewww55s9lffasxav0d0ft" timestamp="1700699466" guid="9d5ea977-7b89-447d-9844-698a7bb0fcaa"&gt;11&lt;/key&gt;&lt;/foreign-keys&gt;&lt;ref-type name="Web Page"&gt;12&lt;/ref-type&gt;&lt;contributors&gt;&lt;authors&gt;&lt;author&gt;Suicide Prevention Australia&lt;/author&gt;&lt;/authors&gt;&lt;/contributors&gt;&lt;titles&gt;&lt;title&gt;Suicide Prevention Standards for Quality Improvement: Edition 2&lt;/title&gt;&lt;/titles&gt;&lt;dates&gt;&lt;year&gt;2022&lt;/year&gt;&lt;/dates&gt;&lt;pub-location&gt;Sydney, New South Wales&lt;/pub-location&gt;&lt;publisher&gt;SPA&lt;/publisher&gt;&lt;work-type&gt;Internet&lt;/work-type&gt;&lt;urls&gt;&lt;related-urls&gt;&lt;url&gt;https://www.suicidepreventionaust.org/wp-content/uploads/2023/04/Suicide-Prevention-Standards-for-Quality-Improvement-Ed2_-2023.pdf&lt;/url&gt;&lt;/related-urls&gt;&lt;/urls&gt;&lt;custom1&gt;2023&lt;/custom1&gt;&lt;custom2&gt;November 06&lt;/custom2&gt;&lt;/record&gt;&lt;/Cite&gt;&lt;/EndNote&gt;</w:instrText>
        </w:r>
        <w:r w:rsidR="002D6F18">
          <w:fldChar w:fldCharType="separate"/>
        </w:r>
        <w:r w:rsidR="002D6F18" w:rsidRPr="00C559B5">
          <w:rPr>
            <w:noProof/>
            <w:vertAlign w:val="superscript"/>
          </w:rPr>
          <w:t>329</w:t>
        </w:r>
        <w:r w:rsidR="002D6F18">
          <w:fldChar w:fldCharType="end"/>
        </w:r>
      </w:hyperlink>
      <w:r w:rsidR="00102352">
        <w:t xml:space="preserve"> </w:t>
      </w:r>
      <w:r w:rsidR="3605BDAC" w:rsidRPr="00B768A1">
        <w:t>and accredited</w:t>
      </w:r>
      <w:r w:rsidR="0F7CD3D3" w:rsidRPr="00B768A1">
        <w:t>.</w:t>
      </w:r>
      <w:hyperlink w:anchor="_ENREF_330" w:tooltip="Australia,  #1106" w:history="1">
        <w:r w:rsidR="002D6F18">
          <w:fldChar w:fldCharType="begin"/>
        </w:r>
        <w:r w:rsidR="002D6F18">
          <w:instrText xml:space="preserve"> ADDIN EN.CITE &lt;EndNote&gt;&lt;Cite&gt;&lt;Author&gt;Australia&lt;/Author&gt;&lt;RecNum&gt;1106&lt;/RecNum&gt;&lt;DisplayText&gt;&lt;style face="superscript"&gt;330&lt;/style&gt;&lt;/DisplayText&gt;&lt;record&gt;&lt;rec-number&gt;1106&lt;/rec-number&gt;&lt;foreign-keys&gt;&lt;key app="EN" db-id="rsettzd2isasdweewww55s9lffasxav0d0ft" timestamp="1720503988" guid="0fad167b-5679-43c2-87f5-c4ec7e50a392"&gt;1106&lt;/key&gt;&lt;/foreign-keys&gt;&lt;ref-type name="Web Page"&gt;12&lt;/ref-type&gt;&lt;contributors&gt;&lt;authors&gt;&lt;author&gt;Suicide Prevention Australia&lt;/author&gt;&lt;/authors&gt;&lt;/contributors&gt;&lt;titles&gt;&lt;title&gt;Suicide prevention accreditation program&lt;/title&gt;&lt;/titles&gt;&lt;dates&gt;&lt;/dates&gt;&lt;publisher&gt;Suicide Prevention Australia&lt;/publisher&gt;&lt;work-type&gt;Internet&lt;/work-type&gt;&lt;urls&gt;&lt;related-urls&gt;&lt;url&gt;https://www.suicidepreventionaust.org/accreditation-program&lt;/url&gt;&lt;/related-urls&gt;&lt;/urls&gt;&lt;custom1&gt;2024&lt;/custom1&gt;&lt;custom2&gt;March 06&lt;/custom2&gt;&lt;/record&gt;&lt;/Cite&gt;&lt;/EndNote&gt;</w:instrText>
        </w:r>
        <w:r w:rsidR="002D6F18">
          <w:fldChar w:fldCharType="separate"/>
        </w:r>
        <w:r w:rsidR="002D6F18" w:rsidRPr="00C559B5">
          <w:rPr>
            <w:noProof/>
            <w:vertAlign w:val="superscript"/>
          </w:rPr>
          <w:t>330</w:t>
        </w:r>
        <w:r w:rsidR="002D6F18">
          <w:fldChar w:fldCharType="end"/>
        </w:r>
      </w:hyperlink>
      <w:r w:rsidR="00102352">
        <w:t xml:space="preserve"> </w:t>
      </w:r>
      <w:r w:rsidR="0F7CD3D3" w:rsidRPr="00B768A1">
        <w:t xml:space="preserve">In addition, </w:t>
      </w:r>
      <w:r w:rsidR="3605BDAC" w:rsidRPr="00B768A1">
        <w:t xml:space="preserve">more general guidelines </w:t>
      </w:r>
      <w:r w:rsidR="0FBA0322" w:rsidRPr="00B768A1">
        <w:t xml:space="preserve">are available </w:t>
      </w:r>
      <w:r w:rsidR="3605BDAC" w:rsidRPr="00B768A1">
        <w:t>about evaluati</w:t>
      </w:r>
      <w:r w:rsidR="0F7CD3D3" w:rsidRPr="00B768A1">
        <w:t>o</w:t>
      </w:r>
      <w:r w:rsidR="3605BDAC" w:rsidRPr="00B768A1">
        <w:t>n in the government environment.</w:t>
      </w:r>
      <w:hyperlink w:anchor="_ENREF_331" w:tooltip="Treasury, n.d. #1107" w:history="1">
        <w:r w:rsidR="002D6F18">
          <w:fldChar w:fldCharType="begin"/>
        </w:r>
        <w:r w:rsidR="002D6F18">
          <w:instrText xml:space="preserve"> ADDIN EN.CITE &lt;EndNote&gt;&lt;Cite&gt;&lt;Author&gt;Treasury&lt;/Author&gt;&lt;Year&gt;n.d.&lt;/Year&gt;&lt;RecNum&gt;1107&lt;/RecNum&gt;&lt;DisplayText&gt;&lt;style face="superscript"&gt;331&lt;/style&gt;&lt;/DisplayText&gt;&lt;record&gt;&lt;rec-number&gt;1107&lt;/rec-number&gt;&lt;foreign-keys&gt;&lt;key app="EN" db-id="rsettzd2isasdweewww55s9lffasxav0d0ft" timestamp="1720504133" guid="7e8e6766-993e-44dc-9a65-c3f274745212"&gt;1107&lt;/key&gt;&lt;/foreign-keys&gt;&lt;ref-type name="Web Page"&gt;12&lt;/ref-type&gt;&lt;contributors&gt;&lt;authors&gt;&lt;author&gt;The Treasury&lt;/author&gt;&lt;/authors&gt;&lt;/contributors&gt;&lt;titles&gt;&lt;title&gt;Australian Centre for Evaluation&lt;/title&gt;&lt;/titles&gt;&lt;dates&gt;&lt;year&gt;n.d.&lt;/year&gt;&lt;/dates&gt;&lt;publisher&gt;The Treasury, Australian Government&lt;/publisher&gt;&lt;work-type&gt;Internet&lt;/work-type&gt;&lt;urls&gt;&lt;related-urls&gt;&lt;url&gt;https://evaluation.treasury.gov.au/&lt;/url&gt;&lt;/related-urls&gt;&lt;/urls&gt;&lt;custom1&gt;2024&lt;/custom1&gt;&lt;custom2&gt;March 06&lt;/custom2&gt;&lt;/record&gt;&lt;/Cite&gt;&lt;/EndNote&gt;</w:instrText>
        </w:r>
        <w:r w:rsidR="002D6F18">
          <w:fldChar w:fldCharType="separate"/>
        </w:r>
        <w:r w:rsidR="002D6F18" w:rsidRPr="00C559B5">
          <w:rPr>
            <w:noProof/>
            <w:vertAlign w:val="superscript"/>
          </w:rPr>
          <w:t>331</w:t>
        </w:r>
        <w:r w:rsidR="002D6F18">
          <w:fldChar w:fldCharType="end"/>
        </w:r>
      </w:hyperlink>
      <w:r w:rsidR="00102352">
        <w:t xml:space="preserve"> </w:t>
      </w:r>
    </w:p>
    <w:p w14:paraId="2F778754" w14:textId="59D548CE" w:rsidR="00682A5B" w:rsidRPr="00B768A1" w:rsidRDefault="00803957" w:rsidP="00634A83">
      <w:r>
        <w:t>B</w:t>
      </w:r>
      <w:r w:rsidR="26DD8253" w:rsidRPr="00B768A1">
        <w:t>ring</w:t>
      </w:r>
      <w:r w:rsidR="11A6B1AF" w:rsidRPr="00B768A1">
        <w:t>ing</w:t>
      </w:r>
      <w:r w:rsidR="26DD8253" w:rsidRPr="00B768A1">
        <w:t xml:space="preserve"> evaluation practice up to </w:t>
      </w:r>
      <w:r w:rsidR="3EAF3758" w:rsidRPr="00B768A1">
        <w:t xml:space="preserve">a </w:t>
      </w:r>
      <w:r w:rsidR="26DD8253" w:rsidRPr="00B768A1">
        <w:t xml:space="preserve">level </w:t>
      </w:r>
      <w:r w:rsidR="02510798" w:rsidRPr="00B768A1">
        <w:t xml:space="preserve">that would provide </w:t>
      </w:r>
      <w:r w:rsidR="26DD8253" w:rsidRPr="00B768A1">
        <w:t>confidence about what works in suicide prevention</w:t>
      </w:r>
      <w:r w:rsidR="11A6B1AF" w:rsidRPr="00B768A1">
        <w:t xml:space="preserve"> requires </w:t>
      </w:r>
      <w:r w:rsidR="26DD8253" w:rsidRPr="00B768A1">
        <w:t xml:space="preserve">investment in evaluations and </w:t>
      </w:r>
      <w:r w:rsidR="715C0DCC" w:rsidRPr="00B768A1">
        <w:t xml:space="preserve">development of an </w:t>
      </w:r>
      <w:r w:rsidR="26DD8253" w:rsidRPr="00B768A1">
        <w:t xml:space="preserve">evaluation culture and capability more broadly. </w:t>
      </w:r>
      <w:r w:rsidR="699A2CE0" w:rsidRPr="00B768A1">
        <w:t xml:space="preserve">This includes </w:t>
      </w:r>
      <w:r w:rsidR="776DF529" w:rsidRPr="00B768A1">
        <w:t>support for</w:t>
      </w:r>
      <w:r w:rsidR="35DACB68" w:rsidRPr="00B768A1">
        <w:t xml:space="preserve"> </w:t>
      </w:r>
      <w:r w:rsidR="715C0DCC" w:rsidRPr="00B768A1">
        <w:t>high-</w:t>
      </w:r>
      <w:r w:rsidR="50B105BB" w:rsidRPr="00B768A1">
        <w:t>quality qualitative and qua</w:t>
      </w:r>
      <w:r w:rsidR="119C49D5" w:rsidRPr="00B768A1">
        <w:t>nti</w:t>
      </w:r>
      <w:r w:rsidR="50B105BB" w:rsidRPr="00B768A1">
        <w:t xml:space="preserve">tative </w:t>
      </w:r>
      <w:r w:rsidR="1FE14B49" w:rsidRPr="00B768A1">
        <w:t>data</w:t>
      </w:r>
      <w:r w:rsidR="5FFF8B4B" w:rsidRPr="00B768A1">
        <w:t xml:space="preserve"> collection and development of the </w:t>
      </w:r>
      <w:r w:rsidR="26DD8253" w:rsidRPr="00B768A1">
        <w:t>skills and knowledge to support evaluation design</w:t>
      </w:r>
      <w:r w:rsidR="61276AF8" w:rsidRPr="00B768A1">
        <w:t xml:space="preserve"> (</w:t>
      </w:r>
      <w:r w:rsidR="6552A8BC">
        <w:t>action ce</w:t>
      </w:r>
      <w:r w:rsidR="61276AF8" w:rsidRPr="00B768A1">
        <w:t>3.3a).</w:t>
      </w:r>
    </w:p>
    <w:p w14:paraId="32E54C7B" w14:textId="7B4E6F33" w:rsidR="0087443B" w:rsidRPr="00B768A1" w:rsidRDefault="00727010" w:rsidP="00634A83">
      <w:r>
        <w:t xml:space="preserve">Beyond </w:t>
      </w:r>
      <w:r w:rsidR="00682A5B">
        <w:t>specific program</w:t>
      </w:r>
      <w:r w:rsidR="005A2DBB">
        <w:t>s</w:t>
      </w:r>
      <w:r w:rsidR="00682A5B">
        <w:t xml:space="preserve">, there is a need to understand whether the entire suicide prevention system is </w:t>
      </w:r>
      <w:r w:rsidR="006D3A8B">
        <w:t>having the intended impact</w:t>
      </w:r>
      <w:r w:rsidR="00682A5B">
        <w:t xml:space="preserve">. </w:t>
      </w:r>
      <w:r w:rsidR="00023ABB">
        <w:t>To achieve this</w:t>
      </w:r>
      <w:r w:rsidR="00AB2E4B">
        <w:t xml:space="preserve"> requires a</w:t>
      </w:r>
      <w:r w:rsidR="00DE7C3B">
        <w:t xml:space="preserve"> shift </w:t>
      </w:r>
      <w:r w:rsidR="00D8563B">
        <w:t>from monito</w:t>
      </w:r>
      <w:r w:rsidR="00294136">
        <w:t>ring</w:t>
      </w:r>
      <w:r w:rsidR="00027EB5">
        <w:t xml:space="preserve"> </w:t>
      </w:r>
      <w:r w:rsidR="00CA0238">
        <w:t xml:space="preserve">not only suicide deaths, but </w:t>
      </w:r>
      <w:r w:rsidR="00027EB5">
        <w:t xml:space="preserve">also </w:t>
      </w:r>
      <w:r w:rsidR="00B064BC">
        <w:t>upstream outcomes such as</w:t>
      </w:r>
      <w:r w:rsidR="6CB42054">
        <w:t xml:space="preserve"> </w:t>
      </w:r>
      <w:r w:rsidR="4CA486B5">
        <w:t>suicide attempts, suicidal thoughts and distress, and wellbeing.</w:t>
      </w:r>
      <w:r w:rsidR="49CD08FD">
        <w:t xml:space="preserve"> </w:t>
      </w:r>
      <w:r w:rsidR="00896F4C">
        <w:t>This</w:t>
      </w:r>
      <w:r w:rsidR="00027EB5">
        <w:t xml:space="preserve"> will</w:t>
      </w:r>
      <w:r w:rsidR="004E5830">
        <w:t xml:space="preserve"> also</w:t>
      </w:r>
      <w:r w:rsidR="00FD4F17">
        <w:t xml:space="preserve"> </w:t>
      </w:r>
      <w:r w:rsidR="00E679DE">
        <w:t>be beneficial in enabling</w:t>
      </w:r>
      <w:r w:rsidR="007532DD">
        <w:t xml:space="preserve"> </w:t>
      </w:r>
      <w:r w:rsidR="386B9AB4">
        <w:t xml:space="preserve">more </w:t>
      </w:r>
      <w:r w:rsidR="2F80C4D9">
        <w:t xml:space="preserve">proactive responses </w:t>
      </w:r>
      <w:r w:rsidR="00EA3A51">
        <w:t>to be put in place</w:t>
      </w:r>
      <w:r w:rsidR="2F80C4D9">
        <w:t xml:space="preserve"> </w:t>
      </w:r>
      <w:r w:rsidR="51E73B94">
        <w:t>before people die by suicide.</w:t>
      </w:r>
      <w:r w:rsidR="3FE0530E">
        <w:t xml:space="preserve"> </w:t>
      </w:r>
      <w:r w:rsidR="002F55BC">
        <w:t xml:space="preserve">To establish this approach, a National Suicide Prevention Outcomes Framework aligned with this Strategy should be developed (action ce3.3b). This should be informed by progress in suicide prevention reform, including through regular monitoring and reporting on the implementation of this Strategy (action ce3.3c).  </w:t>
      </w:r>
      <w:r w:rsidR="0087443B">
        <w:t xml:space="preserve">The recommended actions to </w:t>
      </w:r>
      <w:r w:rsidR="00512AF6">
        <w:t xml:space="preserve">promote evaluation of suicide prevention activities </w:t>
      </w:r>
      <w:r w:rsidR="0087443B">
        <w:t>are described in</w:t>
      </w:r>
      <w:r w:rsidR="00F04C6C">
        <w:t xml:space="preserve"> </w:t>
      </w:r>
      <w:r w:rsidR="00F04C6C">
        <w:fldChar w:fldCharType="begin"/>
      </w:r>
      <w:r w:rsidR="00F04C6C">
        <w:instrText xml:space="preserve"> REF _Ref162254970 \h </w:instrText>
      </w:r>
      <w:r w:rsidR="00F04C6C">
        <w:fldChar w:fldCharType="separate"/>
      </w:r>
      <w:r w:rsidR="009F12B4">
        <w:t xml:space="preserve">Table </w:t>
      </w:r>
      <w:r w:rsidR="009F12B4">
        <w:rPr>
          <w:noProof/>
        </w:rPr>
        <w:t>39</w:t>
      </w:r>
      <w:r w:rsidR="00F04C6C">
        <w:fldChar w:fldCharType="end"/>
      </w:r>
      <w:r w:rsidR="0087443B">
        <w:t>.</w:t>
      </w:r>
    </w:p>
    <w:p w14:paraId="2285D4C4" w14:textId="4ED26C36" w:rsidR="0087443B" w:rsidRPr="00B768A1" w:rsidRDefault="0087443B" w:rsidP="00745B34">
      <w:pPr>
        <w:pStyle w:val="Caption"/>
      </w:pPr>
      <w:bookmarkStart w:id="172" w:name="_Ref162254970"/>
      <w:r>
        <w:t xml:space="preserve">Table </w:t>
      </w:r>
      <w:r>
        <w:fldChar w:fldCharType="begin"/>
      </w:r>
      <w:r>
        <w:instrText>SEQ Table \* ARABIC</w:instrText>
      </w:r>
      <w:r>
        <w:fldChar w:fldCharType="separate"/>
      </w:r>
      <w:r w:rsidR="009F12B4">
        <w:rPr>
          <w:noProof/>
        </w:rPr>
        <w:t>39</w:t>
      </w:r>
      <w:r>
        <w:fldChar w:fldCharType="end"/>
      </w:r>
      <w:bookmarkEnd w:id="172"/>
      <w:r>
        <w:t>: Recommended actions for critical enabler 3.3: Promote evaluation of suicide prevention activities</w:t>
      </w:r>
    </w:p>
    <w:tbl>
      <w:tblPr>
        <w:tblStyle w:val="TableGrid"/>
        <w:tblW w:w="9213" w:type="dxa"/>
        <w:tblLook w:val="0420" w:firstRow="1" w:lastRow="0" w:firstColumn="0" w:lastColumn="0" w:noHBand="0" w:noVBand="1"/>
        <w:tblCaption w:val="Recommended actions for critical enabler 3.3: Promote evaluation of suicide prevention activities"/>
        <w:tblDescription w:val="Describes actions ce3.3a and ce3.3b"/>
      </w:tblPr>
      <w:tblGrid>
        <w:gridCol w:w="1270"/>
        <w:gridCol w:w="7943"/>
      </w:tblGrid>
      <w:tr w:rsidR="00C74B7D" w:rsidRPr="00B768A1" w14:paraId="62AB1DCC" w14:textId="77777777" w:rsidTr="45E58E07">
        <w:trPr>
          <w:cnfStyle w:val="100000000000" w:firstRow="1" w:lastRow="0" w:firstColumn="0" w:lastColumn="0" w:oddVBand="0" w:evenVBand="0" w:oddHBand="0" w:evenHBand="0" w:firstRowFirstColumn="0" w:firstRowLastColumn="0" w:lastRowFirstColumn="0" w:lastRowLastColumn="0"/>
          <w:cantSplit/>
          <w:trHeight w:val="300"/>
          <w:tblHeader/>
        </w:trPr>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80AD" w:themeFill="accent4"/>
          </w:tcPr>
          <w:p w14:paraId="2BC24F7D" w14:textId="29CE5214" w:rsidR="00C74B7D" w:rsidRPr="00B768A1" w:rsidRDefault="00C74B7D" w:rsidP="004F5B0E">
            <w:pPr>
              <w:pStyle w:val="NMHCTableHeaderRow"/>
            </w:pPr>
            <w:r>
              <w:t>Action</w:t>
            </w:r>
          </w:p>
        </w:tc>
        <w:tc>
          <w:tcPr>
            <w:tcW w:w="7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80AD" w:themeFill="accent4"/>
            <w:tcMar>
              <w:top w:w="28" w:type="dxa"/>
              <w:bottom w:w="28" w:type="dxa"/>
            </w:tcMar>
          </w:tcPr>
          <w:p w14:paraId="58702E3F" w14:textId="2AA917C4" w:rsidR="00C74B7D" w:rsidRPr="00B768A1" w:rsidRDefault="00463C6E" w:rsidP="004F5B0E">
            <w:pPr>
              <w:pStyle w:val="NMHCTableHeaderRow"/>
            </w:pPr>
            <w:r>
              <w:t>Description</w:t>
            </w:r>
          </w:p>
        </w:tc>
      </w:tr>
      <w:tr w:rsidR="00682A5B" w:rsidRPr="00B768A1" w14:paraId="14DD5A63" w14:textId="77777777" w:rsidTr="45E58E07">
        <w:trPr>
          <w:trHeight w:val="300"/>
        </w:trPr>
        <w:tc>
          <w:tcPr>
            <w:tcW w:w="1270" w:type="dxa"/>
            <w:tcBorders>
              <w:top w:val="single" w:sz="4" w:space="0" w:color="FFFFFF" w:themeColor="background1"/>
            </w:tcBorders>
          </w:tcPr>
          <w:p w14:paraId="73A6F320" w14:textId="14738495" w:rsidR="00682A5B" w:rsidRPr="00F833FC" w:rsidRDefault="00752C00" w:rsidP="00634A83">
            <w:r w:rsidRPr="00F833FC">
              <w:t>ce</w:t>
            </w:r>
            <w:r w:rsidR="00682A5B" w:rsidRPr="00F833FC">
              <w:t>3.3a</w:t>
            </w:r>
          </w:p>
        </w:tc>
        <w:tc>
          <w:tcPr>
            <w:tcW w:w="7943" w:type="dxa"/>
            <w:tcBorders>
              <w:top w:val="single" w:sz="4" w:space="0" w:color="FFFFFF" w:themeColor="background1"/>
            </w:tcBorders>
            <w:tcMar>
              <w:top w:w="28" w:type="dxa"/>
              <w:bottom w:w="28" w:type="dxa"/>
            </w:tcMar>
          </w:tcPr>
          <w:p w14:paraId="66CA0A22" w14:textId="63855BC2" w:rsidR="00682A5B" w:rsidRPr="00F833FC" w:rsidRDefault="00682A5B" w:rsidP="00634A83">
            <w:r w:rsidRPr="00F833FC">
              <w:t>Enhance evaluation of government-funded suicide prevention activities:</w:t>
            </w:r>
          </w:p>
          <w:p w14:paraId="6FF3AFC3" w14:textId="1D5B0ACB" w:rsidR="00682A5B" w:rsidRPr="00F833FC" w:rsidRDefault="000EF676" w:rsidP="00634A83">
            <w:pPr>
              <w:pStyle w:val="ListParagraph"/>
              <w:numPr>
                <w:ilvl w:val="0"/>
                <w:numId w:val="42"/>
              </w:numPr>
            </w:pPr>
            <w:r w:rsidRPr="00F833FC">
              <w:t>R</w:t>
            </w:r>
            <w:r w:rsidR="00682A5B" w:rsidRPr="00F833FC">
              <w:t xml:space="preserve">equire government-funded programs to demonstrate evaluation practices to receive continued funding. This requirement should be introduced over a reasonable </w:t>
            </w:r>
            <w:r w:rsidR="00E45768" w:rsidRPr="00F833FC">
              <w:t>period</w:t>
            </w:r>
            <w:r w:rsidR="00682A5B" w:rsidRPr="00F833FC">
              <w:t xml:space="preserve"> to enable service provid</w:t>
            </w:r>
            <w:r w:rsidR="3188CD5B" w:rsidRPr="00F833FC">
              <w:t>er</w:t>
            </w:r>
            <w:r w:rsidR="00682A5B" w:rsidRPr="00F833FC">
              <w:t xml:space="preserve"> organisations to </w:t>
            </w:r>
            <w:r w:rsidR="24C149E3" w:rsidRPr="00F833FC">
              <w:t>prepare</w:t>
            </w:r>
            <w:r w:rsidR="53CE1520" w:rsidRPr="00F833FC">
              <w:t>.</w:t>
            </w:r>
          </w:p>
          <w:p w14:paraId="72AABDE1" w14:textId="2A7DE94C" w:rsidR="00682A5B" w:rsidRPr="00F833FC" w:rsidRDefault="00682A5B" w:rsidP="00634A83">
            <w:pPr>
              <w:pStyle w:val="ListParagraph"/>
              <w:numPr>
                <w:ilvl w:val="0"/>
                <w:numId w:val="42"/>
              </w:numPr>
            </w:pPr>
            <w:r w:rsidRPr="00F833FC">
              <w:t xml:space="preserve">Build evaluation </w:t>
            </w:r>
            <w:r w:rsidR="09DF5F29" w:rsidRPr="00F833FC">
              <w:t>funding</w:t>
            </w:r>
            <w:r w:rsidR="00F45C60" w:rsidRPr="00F833FC">
              <w:t xml:space="preserve"> </w:t>
            </w:r>
            <w:r w:rsidRPr="00F833FC">
              <w:t>into the budgets</w:t>
            </w:r>
            <w:r w:rsidR="4BF68039" w:rsidRPr="00F833FC">
              <w:t>, and evaluation requirements</w:t>
            </w:r>
            <w:r w:rsidR="2255E5C1" w:rsidRPr="00F833FC">
              <w:t xml:space="preserve"> </w:t>
            </w:r>
            <w:r w:rsidR="1434B65B" w:rsidRPr="00F833FC">
              <w:t>into</w:t>
            </w:r>
            <w:r w:rsidRPr="00F833FC">
              <w:t xml:space="preserve"> new contracts for government-funded programs</w:t>
            </w:r>
            <w:r w:rsidR="73E97C6A" w:rsidRPr="00F833FC">
              <w:t>.</w:t>
            </w:r>
          </w:p>
          <w:p w14:paraId="1B434C43" w14:textId="19969606" w:rsidR="00682A5B" w:rsidRPr="00F833FC" w:rsidRDefault="00682A5B" w:rsidP="00634A83">
            <w:pPr>
              <w:pStyle w:val="ListParagraph"/>
              <w:numPr>
                <w:ilvl w:val="0"/>
                <w:numId w:val="42"/>
              </w:numPr>
            </w:pPr>
            <w:r w:rsidRPr="00F833FC">
              <w:t>Require evaluations to consider effectiveness (including for groups disproportionately impacted by suicide) and cost-effectiveness</w:t>
            </w:r>
            <w:r w:rsidR="2649E967" w:rsidRPr="00F833FC">
              <w:t>.</w:t>
            </w:r>
          </w:p>
          <w:p w14:paraId="7FD172FD" w14:textId="571A9F03" w:rsidR="00682A5B" w:rsidRPr="00F833FC" w:rsidRDefault="00682A5B" w:rsidP="00634A83">
            <w:pPr>
              <w:pStyle w:val="ListParagraph"/>
              <w:numPr>
                <w:ilvl w:val="0"/>
                <w:numId w:val="42"/>
              </w:numPr>
            </w:pPr>
            <w:r w:rsidRPr="00F833FC">
              <w:t>Ensure data collection can support evaluation, outcome measurement and data analytics</w:t>
            </w:r>
            <w:r w:rsidR="2649E967" w:rsidRPr="00F833FC">
              <w:t>.</w:t>
            </w:r>
          </w:p>
          <w:p w14:paraId="21354D25" w14:textId="444C4C59" w:rsidR="00682A5B" w:rsidRPr="00F833FC" w:rsidRDefault="00682A5B" w:rsidP="00634A83">
            <w:pPr>
              <w:pStyle w:val="ListParagraph"/>
              <w:numPr>
                <w:ilvl w:val="0"/>
                <w:numId w:val="42"/>
              </w:numPr>
            </w:pPr>
            <w:r w:rsidRPr="00F833FC">
              <w:t>F</w:t>
            </w:r>
            <w:r w:rsidR="77CB747B" w:rsidRPr="00F833FC">
              <w:t>or services that do not have this capacity in-house, f</w:t>
            </w:r>
            <w:r w:rsidRPr="00F833FC">
              <w:t xml:space="preserve">und a suitably qualified and independent organisation to support service organisations to build their evaluation culture and capabilities </w:t>
            </w:r>
            <w:r w:rsidR="443A8456" w:rsidRPr="00F833FC">
              <w:t>in</w:t>
            </w:r>
            <w:r w:rsidR="6AEAFE65" w:rsidRPr="00F833FC">
              <w:t xml:space="preserve"> </w:t>
            </w:r>
            <w:r w:rsidR="443A8456" w:rsidRPr="00F833FC">
              <w:t>line with</w:t>
            </w:r>
            <w:r w:rsidRPr="00F833FC">
              <w:t xml:space="preserve"> the above requirements.</w:t>
            </w:r>
          </w:p>
        </w:tc>
      </w:tr>
      <w:tr w:rsidR="00682A5B" w:rsidRPr="00B768A1" w14:paraId="1A000877" w14:textId="77777777" w:rsidTr="45E58E07">
        <w:trPr>
          <w:trHeight w:val="300"/>
        </w:trPr>
        <w:tc>
          <w:tcPr>
            <w:tcW w:w="1270" w:type="dxa"/>
          </w:tcPr>
          <w:p w14:paraId="0AE1488E" w14:textId="565D0260" w:rsidR="00682A5B" w:rsidRPr="00F833FC" w:rsidRDefault="00752C00" w:rsidP="00634A83">
            <w:r w:rsidRPr="00F833FC">
              <w:t>ce</w:t>
            </w:r>
            <w:r w:rsidR="00682A5B" w:rsidRPr="00F833FC">
              <w:t>3.3b</w:t>
            </w:r>
          </w:p>
        </w:tc>
        <w:tc>
          <w:tcPr>
            <w:tcW w:w="7943" w:type="dxa"/>
            <w:tcMar>
              <w:top w:w="28" w:type="dxa"/>
              <w:bottom w:w="28" w:type="dxa"/>
            </w:tcMar>
          </w:tcPr>
          <w:p w14:paraId="7FA93916" w14:textId="4129C905" w:rsidR="00682A5B" w:rsidRPr="00F833FC" w:rsidRDefault="00682A5B" w:rsidP="00634A83">
            <w:r w:rsidRPr="00F833FC">
              <w:t>Develop and implement a National Suicide Prevention Outcomes Framework that identifies an agreed set of suicide prevention outcomes and indicators, extending beyond health measures</w:t>
            </w:r>
            <w:r w:rsidR="4290E45C" w:rsidRPr="00F833FC">
              <w:rPr>
                <w:rFonts w:eastAsia="Century Gothic"/>
              </w:rPr>
              <w:t>.</w:t>
            </w:r>
            <w:r w:rsidR="4290E45C" w:rsidRPr="45E58E07">
              <w:rPr>
                <w:rFonts w:ascii="Century Gothic" w:eastAsia="Century Gothic" w:hAnsi="Century Gothic" w:cs="Century Gothic"/>
              </w:rPr>
              <w:t xml:space="preserve"> </w:t>
            </w:r>
          </w:p>
        </w:tc>
      </w:tr>
      <w:tr w:rsidR="00E14117" w:rsidRPr="00B768A1" w14:paraId="50671528" w14:textId="77777777" w:rsidTr="45E58E07">
        <w:trPr>
          <w:trHeight w:val="300"/>
        </w:trPr>
        <w:tc>
          <w:tcPr>
            <w:tcW w:w="1270" w:type="dxa"/>
          </w:tcPr>
          <w:p w14:paraId="481850A6" w14:textId="16567669" w:rsidR="00E14117" w:rsidRPr="00F833FC" w:rsidRDefault="00E14117" w:rsidP="00E14117">
            <w:r>
              <w:t>ce3.3c</w:t>
            </w:r>
          </w:p>
        </w:tc>
        <w:tc>
          <w:tcPr>
            <w:tcW w:w="7943" w:type="dxa"/>
            <w:tcMar>
              <w:top w:w="28" w:type="dxa"/>
              <w:bottom w:w="28" w:type="dxa"/>
            </w:tcMar>
          </w:tcPr>
          <w:p w14:paraId="67DACFE9" w14:textId="5E449FC3" w:rsidR="00E14117" w:rsidRPr="00F833FC" w:rsidRDefault="00E14117" w:rsidP="00E14117">
            <w:r>
              <w:t>Develop and implement an approach to the regular monitoring of, and reporting on, the implementation of the National Suicide Prevention Strategy.</w:t>
            </w:r>
          </w:p>
        </w:tc>
      </w:tr>
    </w:tbl>
    <w:p w14:paraId="0E51804B" w14:textId="41951494" w:rsidR="00682A5B" w:rsidRPr="00B768A1" w:rsidRDefault="7365639E" w:rsidP="00634A83">
      <w:pPr>
        <w:pStyle w:val="Heading3"/>
      </w:pPr>
      <w:r w:rsidRPr="5B74CE65">
        <w:t>ce</w:t>
      </w:r>
      <w:r w:rsidR="00682A5B" w:rsidRPr="5B74CE65">
        <w:t>3.4 Improv</w:t>
      </w:r>
      <w:r w:rsidR="00F45C60" w:rsidRPr="5B74CE65">
        <w:t>e</w:t>
      </w:r>
      <w:r w:rsidR="00682A5B" w:rsidRPr="5B74CE65">
        <w:t xml:space="preserve"> the translation of evidence into practice</w:t>
      </w:r>
    </w:p>
    <w:p w14:paraId="67B38686" w14:textId="5B0CF497" w:rsidR="00682A5B" w:rsidRPr="00B768A1" w:rsidRDefault="7899AB99" w:rsidP="00634A83">
      <w:r w:rsidRPr="00B768A1">
        <w:t>Evidence is mo</w:t>
      </w:r>
      <w:r w:rsidR="3296D25A" w:rsidRPr="00B768A1">
        <w:t xml:space="preserve">st valuable when it can </w:t>
      </w:r>
      <w:r w:rsidR="3605BDAC" w:rsidRPr="00B768A1">
        <w:t xml:space="preserve">be rapidly translated into actions </w:t>
      </w:r>
      <w:r w:rsidR="3296D25A" w:rsidRPr="00B768A1">
        <w:t xml:space="preserve">that </w:t>
      </w:r>
      <w:r w:rsidR="3605BDAC" w:rsidRPr="00B768A1">
        <w:t xml:space="preserve">improve the quality and effectiveness of what is being delivered. However, there are barriers to </w:t>
      </w:r>
      <w:r w:rsidR="68574955">
        <w:t>evidence</w:t>
      </w:r>
      <w:r w:rsidR="2E3C41E0" w:rsidRPr="00B768A1">
        <w:t xml:space="preserve"> translation</w:t>
      </w:r>
      <w:r w:rsidR="60C594DF">
        <w:t>,</w:t>
      </w:r>
      <w:r w:rsidR="2C0E2D50" w:rsidRPr="00B768A1">
        <w:t xml:space="preserve"> such as </w:t>
      </w:r>
      <w:r w:rsidR="3605BDAC" w:rsidRPr="00B768A1">
        <w:t>data</w:t>
      </w:r>
      <w:r w:rsidR="2091DEE9">
        <w:t>, research</w:t>
      </w:r>
      <w:r w:rsidR="3605BDAC" w:rsidRPr="00B768A1">
        <w:t xml:space="preserve"> and evaluation findings not be</w:t>
      </w:r>
      <w:r w:rsidR="2C0E2D50" w:rsidRPr="00B768A1">
        <w:t>ing</w:t>
      </w:r>
      <w:r w:rsidR="3605BDAC" w:rsidRPr="00B768A1">
        <w:t xml:space="preserve"> </w:t>
      </w:r>
      <w:r w:rsidR="2C0E2D50" w:rsidRPr="00B768A1">
        <w:t>widely</w:t>
      </w:r>
      <w:r w:rsidR="3605BDAC" w:rsidRPr="00B768A1">
        <w:t xml:space="preserve"> accessible</w:t>
      </w:r>
      <w:r w:rsidR="2EADEB93" w:rsidRPr="00B768A1">
        <w:t xml:space="preserve">. </w:t>
      </w:r>
      <w:r w:rsidR="3C486D6A">
        <w:t>As a result, t</w:t>
      </w:r>
      <w:r w:rsidR="004EAC10" w:rsidRPr="00B768A1">
        <w:t>he</w:t>
      </w:r>
      <w:r w:rsidR="0489C641">
        <w:t>re</w:t>
      </w:r>
      <w:r w:rsidR="3605BDAC" w:rsidRPr="00B768A1">
        <w:t xml:space="preserve"> </w:t>
      </w:r>
      <w:r w:rsidR="6403EED9">
        <w:t xml:space="preserve">is a </w:t>
      </w:r>
      <w:r w:rsidR="3605BDAC" w:rsidRPr="00B768A1">
        <w:t>typical evidence-to-practice gap</w:t>
      </w:r>
      <w:r w:rsidR="552BDC8F" w:rsidRPr="00B768A1">
        <w:t>—the time it takes for health research to be embedded in routine practice—</w:t>
      </w:r>
      <w:r w:rsidR="21D2D8CC">
        <w:t>of</w:t>
      </w:r>
      <w:r w:rsidR="3605BDAC" w:rsidRPr="00B768A1">
        <w:t xml:space="preserve"> </w:t>
      </w:r>
      <w:r w:rsidR="552BDC8F" w:rsidRPr="00B768A1">
        <w:t xml:space="preserve">about </w:t>
      </w:r>
      <w:r w:rsidR="3605BDAC" w:rsidRPr="00B768A1">
        <w:t>17 years.</w:t>
      </w:r>
      <w:hyperlink w:anchor="_ENREF_332" w:tooltip="Z, 2011 #1129" w:history="1">
        <w:r w:rsidR="002D6F18">
          <w:fldChar w:fldCharType="begin"/>
        </w:r>
        <w:r w:rsidR="002D6F18">
          <w:instrText xml:space="preserve"> ADDIN EN.CITE &lt;EndNote&gt;&lt;Cite&gt;&lt;Author&gt;Z&lt;/Author&gt;&lt;Year&gt;2011&lt;/Year&gt;&lt;RecNum&gt;1129&lt;/RecNum&gt;&lt;DisplayText&gt;&lt;style face="superscript"&gt;332&lt;/style&gt;&lt;/DisplayText&gt;&lt;record&gt;&lt;rec-number&gt;1129&lt;/rec-number&gt;&lt;foreign-keys&gt;&lt;key app="EN" db-id="rsettzd2isasdweewww55s9lffasxav0d0ft" timestamp="1720524854" guid="f5a4a215-df6f-4f12-975b-e615c485628e"&gt;1129&lt;/key&gt;&lt;/foreign-keys&gt;&lt;ref-type name="Journal Article"&gt;17&lt;/ref-type&gt;&lt;contributors&gt;&lt;authors&gt;&lt;author&gt;Morris Z&lt;/author&gt;&lt;author&gt;Wooding S&lt;/author&gt;&lt;author&gt;Grant J&lt;/author&gt;&lt;/authors&gt;&lt;/contributors&gt;&lt;titles&gt;&lt;title&gt;The answer is 17 years, what is the question: Understanding time lags in translational research&lt;/title&gt;&lt;secondary-title&gt;Journal of the Royal Society of Medicine&lt;/secondary-title&gt;&lt;/titles&gt;&lt;periodical&gt;&lt;full-title&gt;Journal of the Royal Society of Medicine&lt;/full-title&gt;&lt;/periodical&gt;&lt;pages&gt;510-20&lt;/pages&gt;&lt;volume&gt;104&lt;/volume&gt;&lt;dates&gt;&lt;year&gt;2011&lt;/year&gt;&lt;pub-dates&gt;&lt;date&gt;12/01&lt;/date&gt;&lt;/pub-dates&gt;&lt;/dates&gt;&lt;urls&gt;&lt;/urls&gt;&lt;electronic-resource-num&gt;10.1258/jrsm.2011.110180&lt;/electronic-resource-num&gt;&lt;/record&gt;&lt;/Cite&gt;&lt;/EndNote&gt;</w:instrText>
        </w:r>
        <w:r w:rsidR="002D6F18">
          <w:fldChar w:fldCharType="separate"/>
        </w:r>
        <w:r w:rsidR="002D6F18" w:rsidRPr="00C559B5">
          <w:rPr>
            <w:noProof/>
            <w:vertAlign w:val="superscript"/>
          </w:rPr>
          <w:t>332</w:t>
        </w:r>
        <w:r w:rsidR="002D6F18">
          <w:fldChar w:fldCharType="end"/>
        </w:r>
      </w:hyperlink>
      <w:r w:rsidR="00CB162F">
        <w:t xml:space="preserve"> </w:t>
      </w:r>
      <w:r w:rsidR="3605BDAC" w:rsidRPr="00B768A1">
        <w:t>Th</w:t>
      </w:r>
      <w:r w:rsidR="13BCCFCA">
        <w:t>is</w:t>
      </w:r>
      <w:r w:rsidR="3605BDAC" w:rsidRPr="00B768A1">
        <w:t xml:space="preserve"> gap can be </w:t>
      </w:r>
      <w:r w:rsidR="0D6CD514" w:rsidRPr="00B768A1">
        <w:t>reduced</w:t>
      </w:r>
      <w:r w:rsidR="64FF70AC">
        <w:t>, including</w:t>
      </w:r>
      <w:r w:rsidR="0D6CD514" w:rsidRPr="00B768A1">
        <w:t xml:space="preserve"> </w:t>
      </w:r>
      <w:r w:rsidR="65AEE1F7">
        <w:t>by</w:t>
      </w:r>
      <w:r w:rsidR="2BC06363">
        <w:t>:</w:t>
      </w:r>
      <w:r w:rsidR="3605BDAC" w:rsidRPr="00B768A1">
        <w:t xml:space="preserve"> </w:t>
      </w:r>
    </w:p>
    <w:p w14:paraId="6D3CB53E" w14:textId="20FC0124" w:rsidR="00682A5B" w:rsidRPr="00B768A1" w:rsidRDefault="007B2D5B" w:rsidP="00634A83">
      <w:pPr>
        <w:pStyle w:val="ListParagraph"/>
        <w:numPr>
          <w:ilvl w:val="0"/>
          <w:numId w:val="46"/>
        </w:numPr>
      </w:pPr>
      <w:r w:rsidRPr="00B768A1">
        <w:t xml:space="preserve">building </w:t>
      </w:r>
      <w:r w:rsidR="00AC5B8F" w:rsidRPr="00B768A1">
        <w:t>capabilit</w:t>
      </w:r>
      <w:r w:rsidRPr="00B768A1">
        <w:t>y</w:t>
      </w:r>
      <w:r w:rsidR="00AC5B8F" w:rsidRPr="00B768A1">
        <w:t xml:space="preserve"> </w:t>
      </w:r>
      <w:r w:rsidR="00682A5B" w:rsidRPr="00B768A1">
        <w:t>in translation practices</w:t>
      </w:r>
    </w:p>
    <w:p w14:paraId="4D02014F" w14:textId="697FD140" w:rsidR="00682A5B" w:rsidRPr="00C66B25" w:rsidRDefault="7FEC4233" w:rsidP="00634A83">
      <w:pPr>
        <w:pStyle w:val="ListParagraph"/>
        <w:numPr>
          <w:ilvl w:val="0"/>
          <w:numId w:val="46"/>
        </w:numPr>
      </w:pPr>
      <w:r w:rsidRPr="5B74CE65">
        <w:t xml:space="preserve">ensuring </w:t>
      </w:r>
      <w:r w:rsidR="3605BDAC" w:rsidRPr="5B74CE65">
        <w:t xml:space="preserve">evidence is shared with </w:t>
      </w:r>
      <w:r w:rsidR="2891C824" w:rsidRPr="5B74CE65">
        <w:t xml:space="preserve">and able to be used by </w:t>
      </w:r>
      <w:r w:rsidR="3605BDAC" w:rsidRPr="5B74CE65">
        <w:t xml:space="preserve">the people </w:t>
      </w:r>
      <w:r w:rsidR="57F6C95F" w:rsidRPr="5B74CE65">
        <w:t xml:space="preserve">who </w:t>
      </w:r>
      <w:r w:rsidR="3605BDAC" w:rsidRPr="5B74CE65">
        <w:t>are represented in the evidence</w:t>
      </w:r>
      <w:r w:rsidR="57F6C95F" w:rsidRPr="5B74CE65">
        <w:t>;</w:t>
      </w:r>
      <w:r w:rsidR="3605BDAC" w:rsidRPr="5B74CE65">
        <w:t xml:space="preserve"> for example, ensuring data sovereignty for Aboriginal and Torres Strait Islander peoples to make locally</w:t>
      </w:r>
      <w:r w:rsidR="57F6C95F" w:rsidRPr="5B74CE65">
        <w:t xml:space="preserve"> </w:t>
      </w:r>
      <w:r w:rsidR="3605BDAC" w:rsidRPr="5B74CE65">
        <w:t>driven improvements to services and report on specific targets under the National Agreement on Closing the Gap</w:t>
      </w:r>
      <w:hyperlink w:anchor="_ENREF_33" w:tooltip="Cabinet, 2020 #787" w:history="1">
        <w:r w:rsidR="002D6F18">
          <w:fldChar w:fldCharType="begin"/>
        </w:r>
        <w:r w:rsidR="002D6F18">
          <w:instrText xml:space="preserve"> ADDIN EN.CITE &lt;EndNote&gt;&lt;Cite&gt;&lt;Author&gt;Cabinet&lt;/Author&gt;&lt;Year&gt;2020&lt;/Year&gt;&lt;RecNum&gt;326&lt;/RecNum&gt;&lt;DisplayText&gt;&lt;style face="superscript"&gt;33&lt;/style&gt;&lt;/DisplayText&gt;&lt;record&gt;&lt;rec-number&gt;326&lt;/rec-number&gt;&lt;foreign-keys&gt;&lt;key app="EN" db-id="rsettzd2isasdweewww55s9lffasxav0d0ft" timestamp="1700699471" guid="a4238ffb-d198-47d8-82bc-b107f32af72a"&gt;326&lt;/key&gt;&lt;/foreign-keys&gt;&lt;ref-type name="Web Page"&gt;12&lt;/ref-type&gt;&lt;contributors&gt;&lt;authors&gt;&lt;author&gt;Department of the Prime Minister and Cabinet&lt;/author&gt;&lt;/authors&gt;&lt;/contributors&gt;&lt;titles&gt;&lt;title&gt;National Agreement on Closing the Gap&lt;/title&gt;&lt;/titles&gt;&lt;dates&gt;&lt;year&gt;2020&lt;/year&gt;&lt;/dates&gt;&lt;pub-location&gt;Canberra, Australian Capital Territory&lt;/pub-location&gt;&lt;publisher&gt;PM&amp;amp;C&lt;/publisher&gt;&lt;work-type&gt;Internet&lt;/work-type&gt;&lt;urls&gt;&lt;related-urls&gt;&lt;url&gt;https://www.closingthegap.gov.au/national-agreement&lt;/url&gt;&lt;/related-urls&gt;&lt;/urls&gt;&lt;custom1&gt;2023&lt;/custom1&gt;&lt;custom2&gt;October 04&lt;/custom2&gt;&lt;/record&gt;&lt;/Cite&gt;&lt;/EndNote&gt;</w:instrText>
        </w:r>
        <w:r w:rsidR="002D6F18">
          <w:fldChar w:fldCharType="separate"/>
        </w:r>
        <w:r w:rsidR="002D6F18" w:rsidRPr="0082082D">
          <w:rPr>
            <w:noProof/>
            <w:vertAlign w:val="superscript"/>
          </w:rPr>
          <w:t>33</w:t>
        </w:r>
        <w:r w:rsidR="002D6F18">
          <w:fldChar w:fldCharType="end"/>
        </w:r>
      </w:hyperlink>
      <w:r w:rsidR="00D30CF4">
        <w:t xml:space="preserve"> </w:t>
      </w:r>
    </w:p>
    <w:p w14:paraId="60F92237" w14:textId="2EF5941D" w:rsidR="00682A5B" w:rsidRPr="00B768A1" w:rsidRDefault="009629BC" w:rsidP="00634A83">
      <w:pPr>
        <w:pStyle w:val="ListParagraph"/>
        <w:numPr>
          <w:ilvl w:val="0"/>
          <w:numId w:val="46"/>
        </w:numPr>
      </w:pPr>
      <w:r w:rsidRPr="00B768A1">
        <w:t xml:space="preserve">improving </w:t>
      </w:r>
      <w:r w:rsidR="00682A5B" w:rsidRPr="00B768A1">
        <w:t>access</w:t>
      </w:r>
      <w:r w:rsidRPr="00B768A1">
        <w:t xml:space="preserve"> to </w:t>
      </w:r>
      <w:r w:rsidR="00EE44FB" w:rsidRPr="00B768A1">
        <w:t xml:space="preserve">evidence through the use of </w:t>
      </w:r>
      <w:r w:rsidR="00682A5B" w:rsidRPr="00B768A1">
        <w:t>central repositories</w:t>
      </w:r>
      <w:r w:rsidR="00C0493C" w:rsidRPr="00B768A1">
        <w:t xml:space="preserve"> and</w:t>
      </w:r>
      <w:r w:rsidR="00682A5B" w:rsidRPr="00B768A1">
        <w:t xml:space="preserve"> </w:t>
      </w:r>
      <w:r w:rsidR="0004105F" w:rsidRPr="00B768A1">
        <w:t>customisable reporting</w:t>
      </w:r>
      <w:r w:rsidR="00654861" w:rsidRPr="00B768A1">
        <w:t>,</w:t>
      </w:r>
      <w:r w:rsidR="0004105F" w:rsidRPr="00B768A1">
        <w:t xml:space="preserve"> so </w:t>
      </w:r>
      <w:r w:rsidR="00682A5B" w:rsidRPr="00B768A1">
        <w:t xml:space="preserve">people </w:t>
      </w:r>
      <w:r w:rsidR="00237508" w:rsidRPr="00B768A1">
        <w:t xml:space="preserve">can find evidence on </w:t>
      </w:r>
      <w:r w:rsidR="00682A5B" w:rsidRPr="00B768A1">
        <w:t xml:space="preserve">what is </w:t>
      </w:r>
      <w:r w:rsidR="00237508" w:rsidRPr="00B768A1">
        <w:t xml:space="preserve">most </w:t>
      </w:r>
      <w:r w:rsidR="00682A5B" w:rsidRPr="00B768A1">
        <w:t>important for the</w:t>
      </w:r>
      <w:r w:rsidR="003C7EBB" w:rsidRPr="00B768A1">
        <w:t>ir organisation</w:t>
      </w:r>
      <w:r w:rsidR="00682A5B" w:rsidRPr="00B768A1">
        <w:t xml:space="preserve">, </w:t>
      </w:r>
      <w:r w:rsidR="006F157E" w:rsidRPr="00B768A1">
        <w:t xml:space="preserve">as well as </w:t>
      </w:r>
      <w:r w:rsidR="00654861" w:rsidRPr="00B768A1">
        <w:t xml:space="preserve">enhanced data analytics to </w:t>
      </w:r>
      <w:r w:rsidR="00682A5B" w:rsidRPr="00B768A1">
        <w:t>support decision-making</w:t>
      </w:r>
    </w:p>
    <w:p w14:paraId="50A2951C" w14:textId="23D56544" w:rsidR="00682A5B" w:rsidRPr="00B768A1" w:rsidRDefault="009A40AC" w:rsidP="00634A83">
      <w:pPr>
        <w:pStyle w:val="ListParagraph"/>
        <w:numPr>
          <w:ilvl w:val="0"/>
          <w:numId w:val="46"/>
        </w:numPr>
      </w:pPr>
      <w:r w:rsidRPr="00B768A1">
        <w:t>e</w:t>
      </w:r>
      <w:r w:rsidR="00682A5B" w:rsidRPr="00B768A1">
        <w:t xml:space="preserve">stablishing networks </w:t>
      </w:r>
      <w:r w:rsidR="00F0529E" w:rsidRPr="00B768A1">
        <w:t xml:space="preserve">and partnerships </w:t>
      </w:r>
      <w:r w:rsidR="00682A5B" w:rsidRPr="00B768A1">
        <w:t>between those with the evidence and those who need to apply it to policy and programs</w:t>
      </w:r>
    </w:p>
    <w:p w14:paraId="083F3A0D" w14:textId="092CBB32" w:rsidR="00682A5B" w:rsidRPr="00B768A1" w:rsidRDefault="0069453B" w:rsidP="00634A83">
      <w:pPr>
        <w:pStyle w:val="ListParagraph"/>
        <w:numPr>
          <w:ilvl w:val="0"/>
          <w:numId w:val="46"/>
        </w:numPr>
      </w:pPr>
      <w:r w:rsidRPr="00B768A1">
        <w:t>b</w:t>
      </w:r>
      <w:r w:rsidR="00682A5B" w:rsidRPr="00B768A1">
        <w:t>olstering the efforts of bodies that are engaged in translating evidence, such as the National Health and Medical Research Council (NHMRC), Suicide Prevention Australia, and LIFEWAYS, so they can reach more people.</w:t>
      </w:r>
    </w:p>
    <w:p w14:paraId="5F7A265F" w14:textId="02F1B371" w:rsidR="147D685B" w:rsidRPr="00EE668A" w:rsidRDefault="147D685B" w:rsidP="00634A83">
      <w:r w:rsidRPr="009A64B7">
        <w:t xml:space="preserve">Addressing these challenges will see significant progress being made to the way that suicide data is used to improve </w:t>
      </w:r>
      <w:r w:rsidR="00016113" w:rsidRPr="009A64B7">
        <w:t>outcomes</w:t>
      </w:r>
      <w:r w:rsidRPr="009A64B7">
        <w:t xml:space="preserve"> </w:t>
      </w:r>
      <w:r w:rsidRPr="00EE668A">
        <w:t>(</w:t>
      </w:r>
      <w:r w:rsidR="00177571">
        <w:t>action ce</w:t>
      </w:r>
      <w:r w:rsidRPr="00EE668A">
        <w:t>3.4a).</w:t>
      </w:r>
    </w:p>
    <w:p w14:paraId="7CA2C741" w14:textId="4D9668CC" w:rsidR="00682A5B" w:rsidRDefault="67F5B451" w:rsidP="00634A83">
      <w:r w:rsidRPr="00B768A1">
        <w:t>T</w:t>
      </w:r>
      <w:r w:rsidR="3605BDAC" w:rsidRPr="00B768A1">
        <w:t xml:space="preserve">ranslation </w:t>
      </w:r>
      <w:r w:rsidRPr="00B768A1">
        <w:t xml:space="preserve">goes beyond </w:t>
      </w:r>
      <w:r w:rsidR="005F6A85">
        <w:t xml:space="preserve">ensuring </w:t>
      </w:r>
      <w:r w:rsidR="3605BDAC" w:rsidRPr="00B768A1">
        <w:t>evidence-based care</w:t>
      </w:r>
      <w:r w:rsidR="2C5A2430" w:rsidRPr="00B768A1">
        <w:t xml:space="preserve">. </w:t>
      </w:r>
      <w:r w:rsidR="1746BA04">
        <w:t>T</w:t>
      </w:r>
      <w:r w:rsidR="3605BDAC" w:rsidRPr="00B768A1">
        <w:t xml:space="preserve">ranslation of population prevalence and demographics </w:t>
      </w:r>
      <w:r w:rsidR="6E39303C">
        <w:t xml:space="preserve">can </w:t>
      </w:r>
      <w:r w:rsidR="1746BA04">
        <w:t xml:space="preserve">assist with service </w:t>
      </w:r>
      <w:r w:rsidR="6E39303C" w:rsidRPr="00B768A1">
        <w:t xml:space="preserve">planning </w:t>
      </w:r>
      <w:r w:rsidR="63EDDE1D">
        <w:t xml:space="preserve">by </w:t>
      </w:r>
      <w:r w:rsidR="02318228">
        <w:t xml:space="preserve">providing </w:t>
      </w:r>
      <w:r w:rsidR="1E921532">
        <w:t>information about</w:t>
      </w:r>
      <w:r w:rsidR="3605BDAC" w:rsidRPr="00B768A1">
        <w:t xml:space="preserve"> expected </w:t>
      </w:r>
      <w:r w:rsidR="08EF0D54" w:rsidRPr="00B768A1">
        <w:t xml:space="preserve">demand </w:t>
      </w:r>
      <w:r w:rsidR="3605BDAC" w:rsidRPr="00B768A1">
        <w:t xml:space="preserve">for services, </w:t>
      </w:r>
      <w:r w:rsidR="4343FC11" w:rsidRPr="00B768A1">
        <w:t xml:space="preserve">alongside an </w:t>
      </w:r>
      <w:r w:rsidR="3605BDAC" w:rsidRPr="00B768A1">
        <w:t xml:space="preserve">understanding </w:t>
      </w:r>
      <w:r w:rsidR="4343FC11" w:rsidRPr="00B768A1">
        <w:t xml:space="preserve">of the nature and capacity of the </w:t>
      </w:r>
      <w:r w:rsidR="3605BDAC" w:rsidRPr="00B768A1">
        <w:t>services in a</w:t>
      </w:r>
      <w:r w:rsidR="4343FC11" w:rsidRPr="00B768A1">
        <w:t>ny particular</w:t>
      </w:r>
      <w:r w:rsidR="3605BDAC" w:rsidRPr="00B768A1">
        <w:t xml:space="preserve"> location. </w:t>
      </w:r>
      <w:r w:rsidR="231668D3" w:rsidRPr="00B768A1">
        <w:t xml:space="preserve">For example, the </w:t>
      </w:r>
      <w:r w:rsidR="3605BDAC" w:rsidRPr="48215A0F">
        <w:rPr>
          <w:i/>
          <w:iCs/>
        </w:rPr>
        <w:t>National Mental Health Service Planning Framework</w:t>
      </w:r>
      <w:hyperlink w:anchor="_ENREF_333" w:tooltip="Welfare, n.d. #1108" w:history="1">
        <w:r w:rsidR="002D6F18">
          <w:rPr>
            <w:i/>
            <w:iCs/>
          </w:rPr>
          <w:fldChar w:fldCharType="begin"/>
        </w:r>
        <w:r w:rsidR="002D6F18">
          <w:rPr>
            <w:i/>
            <w:iCs/>
          </w:rPr>
          <w:instrText xml:space="preserve"> ADDIN EN.CITE &lt;EndNote&gt;&lt;Cite&gt;&lt;Author&gt;Welfare&lt;/Author&gt;&lt;Year&gt;n.d.&lt;/Year&gt;&lt;RecNum&gt;1108&lt;/RecNum&gt;&lt;DisplayText&gt;&lt;style face="superscript"&gt;333&lt;/style&gt;&lt;/DisplayText&gt;&lt;record&gt;&lt;rec-number&gt;1108&lt;/rec-number&gt;&lt;foreign-keys&gt;&lt;key app="EN" db-id="rsettzd2isasdweewww55s9lffasxav0d0ft" timestamp="1720504196" guid="06eb9a33-22b6-4a6d-90c9-5a1d7d97317b"&gt;1108&lt;/key&gt;&lt;/foreign-keys&gt;&lt;ref-type name="Web Page"&gt;12&lt;/ref-type&gt;&lt;contributors&gt;&lt;authors&gt;&lt;author&gt;Australian Institute of Health and Welfare&lt;/author&gt;&lt;/authors&gt;&lt;/contributors&gt;&lt;titles&gt;&lt;title&gt;National mental health service planning framework&lt;/title&gt;&lt;/titles&gt;&lt;dates&gt;&lt;year&gt;n.d.&lt;/year&gt;&lt;/dates&gt;&lt;publisher&gt;AIHW, Australian Government&lt;/publisher&gt;&lt;work-type&gt;Internet&lt;/work-type&gt;&lt;urls&gt;&lt;related-urls&gt;&lt;url&gt;https://www.aihw.gov.au/nmhspf&lt;/url&gt;&lt;/related-urls&gt;&lt;/urls&gt;&lt;custom1&gt;2024&lt;/custom1&gt;&lt;custom2&gt;March 06&lt;/custom2&gt;&lt;/record&gt;&lt;/Cite&gt;&lt;/EndNote&gt;</w:instrText>
        </w:r>
        <w:r w:rsidR="002D6F18">
          <w:rPr>
            <w:i/>
            <w:iCs/>
          </w:rPr>
          <w:fldChar w:fldCharType="separate"/>
        </w:r>
        <w:r w:rsidR="002D6F18" w:rsidRPr="00C559B5">
          <w:rPr>
            <w:i/>
            <w:iCs/>
            <w:noProof/>
            <w:vertAlign w:val="superscript"/>
          </w:rPr>
          <w:t>333</w:t>
        </w:r>
        <w:r w:rsidR="002D6F18">
          <w:rPr>
            <w:i/>
            <w:iCs/>
          </w:rPr>
          <w:fldChar w:fldCharType="end"/>
        </w:r>
      </w:hyperlink>
      <w:r w:rsidR="00D30CF4">
        <w:rPr>
          <w:i/>
          <w:iCs/>
        </w:rPr>
        <w:t xml:space="preserve"> </w:t>
      </w:r>
      <w:r w:rsidR="59D8F130" w:rsidRPr="00B768A1">
        <w:t>has begun to</w:t>
      </w:r>
      <w:r w:rsidR="3605BDAC" w:rsidRPr="00B768A1">
        <w:t xml:space="preserve"> be applied to suicide prevention to understand </w:t>
      </w:r>
      <w:r w:rsidR="0B2B6329" w:rsidRPr="00B768A1">
        <w:t xml:space="preserve">current and </w:t>
      </w:r>
      <w:r w:rsidR="75FC89A5" w:rsidRPr="00B768A1">
        <w:t xml:space="preserve">needed </w:t>
      </w:r>
      <w:r w:rsidR="3605BDAC" w:rsidRPr="00B768A1">
        <w:t>services in different locations</w:t>
      </w:r>
      <w:r w:rsidR="3605BDAC" w:rsidRPr="00B768A1" w:rsidDel="00BC1499">
        <w:t xml:space="preserve"> </w:t>
      </w:r>
      <w:r w:rsidR="65E9D21A" w:rsidRPr="00B768A1">
        <w:t>(</w:t>
      </w:r>
      <w:r w:rsidR="09383C33">
        <w:t>action ce</w:t>
      </w:r>
      <w:r w:rsidR="65E9D21A" w:rsidRPr="00B768A1">
        <w:t>3.3b)</w:t>
      </w:r>
      <w:r w:rsidR="3605BDAC" w:rsidRPr="00B768A1">
        <w:t xml:space="preserve">. Another </w:t>
      </w:r>
      <w:r w:rsidR="21102433" w:rsidRPr="00B768A1">
        <w:t xml:space="preserve">application </w:t>
      </w:r>
      <w:r w:rsidR="3605BDAC" w:rsidRPr="00B768A1">
        <w:t>includes the translation of emerging trends in suicide</w:t>
      </w:r>
      <w:r w:rsidR="17161BA3" w:rsidRPr="00B768A1">
        <w:t xml:space="preserve"> into timely and localised responses</w:t>
      </w:r>
      <w:r w:rsidR="49753306" w:rsidRPr="00B768A1">
        <w:t>;</w:t>
      </w:r>
      <w:r w:rsidR="3605BDAC" w:rsidRPr="00B768A1">
        <w:t xml:space="preserve"> for example, making sure the right people know about suicides </w:t>
      </w:r>
      <w:r w:rsidR="20585955" w:rsidRPr="00B768A1">
        <w:t xml:space="preserve">clustered </w:t>
      </w:r>
      <w:r w:rsidR="3605BDAC" w:rsidRPr="00B768A1">
        <w:t xml:space="preserve">around a location or time, or increasing use of a specific method of suicide. The </w:t>
      </w:r>
      <w:r w:rsidR="26B86DA0" w:rsidRPr="00B768A1">
        <w:t>N</w:t>
      </w:r>
      <w:r w:rsidR="26B86DA0" w:rsidRPr="00EE668A">
        <w:t>ational Suicide and Self-harm Monitoring Syste</w:t>
      </w:r>
      <w:r w:rsidR="26B86DA0" w:rsidRPr="00B768A1">
        <w:t>m</w:t>
      </w:r>
      <w:r w:rsidR="3605BDAC" w:rsidRPr="00B768A1">
        <w:t xml:space="preserve"> is working towards </w:t>
      </w:r>
      <w:r w:rsidR="1D4C9CCF" w:rsidRPr="00B768A1">
        <w:t>providing such</w:t>
      </w:r>
      <w:r w:rsidR="37728CC3">
        <w:t xml:space="preserve"> information</w:t>
      </w:r>
      <w:r w:rsidR="3605BDAC" w:rsidRPr="00B768A1">
        <w:t xml:space="preserve">, </w:t>
      </w:r>
      <w:r w:rsidR="1D4C9CCF" w:rsidRPr="00B768A1">
        <w:t xml:space="preserve">but </w:t>
      </w:r>
      <w:r w:rsidR="3605BDAC" w:rsidRPr="00B768A1">
        <w:t xml:space="preserve">there is </w:t>
      </w:r>
      <w:r w:rsidR="4E3C6F88" w:rsidRPr="00B768A1">
        <w:t xml:space="preserve">also </w:t>
      </w:r>
      <w:r w:rsidR="3605BDAC" w:rsidRPr="00B768A1">
        <w:t xml:space="preserve">a need to </w:t>
      </w:r>
      <w:r w:rsidR="4E3C6F88" w:rsidRPr="00B768A1">
        <w:t xml:space="preserve">establish </w:t>
      </w:r>
      <w:r w:rsidR="3605BDAC" w:rsidRPr="00B768A1">
        <w:t>translation process</w:t>
      </w:r>
      <w:r w:rsidR="4E3C6F88" w:rsidRPr="00B768A1">
        <w:t>es</w:t>
      </w:r>
      <w:r w:rsidR="3605BDAC" w:rsidRPr="00B768A1">
        <w:t xml:space="preserve"> to deliver responses at a regional </w:t>
      </w:r>
      <w:r w:rsidR="4E3C6F88" w:rsidRPr="00B768A1">
        <w:t xml:space="preserve">or local </w:t>
      </w:r>
      <w:r w:rsidR="3605BDAC" w:rsidRPr="00B768A1">
        <w:t>level</w:t>
      </w:r>
      <w:r w:rsidR="196B691A" w:rsidRPr="00B768A1">
        <w:t xml:space="preserve"> (</w:t>
      </w:r>
      <w:r w:rsidR="09383C33">
        <w:t>action ce</w:t>
      </w:r>
      <w:r w:rsidR="196B691A" w:rsidRPr="00B768A1">
        <w:t>3.4c)</w:t>
      </w:r>
      <w:r w:rsidR="3605BDAC" w:rsidRPr="00B768A1">
        <w:t>.</w:t>
      </w:r>
    </w:p>
    <w:p w14:paraId="2AA0DE09" w14:textId="657DC21D" w:rsidR="00EE668A" w:rsidRPr="00B768A1" w:rsidRDefault="00EE668A" w:rsidP="00634A83">
      <w:r>
        <w:t xml:space="preserve">The recommended actions </w:t>
      </w:r>
      <w:r w:rsidR="00FD0442">
        <w:t xml:space="preserve">to improve evidence translation </w:t>
      </w:r>
      <w:r>
        <w:t>are described in</w:t>
      </w:r>
      <w:r w:rsidR="00F04C6C">
        <w:t xml:space="preserve"> </w:t>
      </w:r>
      <w:r w:rsidR="00F04C6C">
        <w:fldChar w:fldCharType="begin"/>
      </w:r>
      <w:r w:rsidR="00F04C6C">
        <w:instrText xml:space="preserve"> REF _Ref162255638 \h </w:instrText>
      </w:r>
      <w:r w:rsidR="00F04C6C">
        <w:fldChar w:fldCharType="separate"/>
      </w:r>
      <w:r w:rsidR="009F12B4">
        <w:t xml:space="preserve">Table </w:t>
      </w:r>
      <w:r w:rsidR="009F12B4">
        <w:rPr>
          <w:noProof/>
        </w:rPr>
        <w:t>40</w:t>
      </w:r>
      <w:r w:rsidR="00F04C6C">
        <w:fldChar w:fldCharType="end"/>
      </w:r>
      <w:r>
        <w:t>.</w:t>
      </w:r>
    </w:p>
    <w:p w14:paraId="5CB09078" w14:textId="2D2468E8" w:rsidR="00EE668A" w:rsidRPr="00B768A1" w:rsidRDefault="00EE668A" w:rsidP="00745B34">
      <w:pPr>
        <w:pStyle w:val="Caption"/>
      </w:pPr>
      <w:bookmarkStart w:id="173" w:name="_Ref162255638"/>
      <w:r>
        <w:t xml:space="preserve">Table </w:t>
      </w:r>
      <w:r>
        <w:fldChar w:fldCharType="begin"/>
      </w:r>
      <w:r>
        <w:instrText>SEQ Table \* ARABIC</w:instrText>
      </w:r>
      <w:r>
        <w:fldChar w:fldCharType="separate"/>
      </w:r>
      <w:r w:rsidR="009F12B4">
        <w:rPr>
          <w:noProof/>
        </w:rPr>
        <w:t>40</w:t>
      </w:r>
      <w:r>
        <w:fldChar w:fldCharType="end"/>
      </w:r>
      <w:bookmarkEnd w:id="173"/>
      <w:r>
        <w:t>: Recommended actions for critical enabler 3.4: Improve the translation of evidence into practice</w:t>
      </w:r>
    </w:p>
    <w:tbl>
      <w:tblPr>
        <w:tblStyle w:val="TableGrid"/>
        <w:tblW w:w="9213" w:type="dxa"/>
        <w:tblLook w:val="0420" w:firstRow="1" w:lastRow="0" w:firstColumn="0" w:lastColumn="0" w:noHBand="0" w:noVBand="1"/>
        <w:tblCaption w:val="Recommended actions for critical enabler 3.4: Improve the translation of evidence into practice"/>
        <w:tblDescription w:val="Describes actions ce3.4a, ce3.4b and ce3.4c."/>
      </w:tblPr>
      <w:tblGrid>
        <w:gridCol w:w="1270"/>
        <w:gridCol w:w="7943"/>
      </w:tblGrid>
      <w:tr w:rsidR="00EE668A" w:rsidRPr="00B768A1" w14:paraId="20755CA3" w14:textId="77777777" w:rsidTr="45E58E07">
        <w:trPr>
          <w:cnfStyle w:val="100000000000" w:firstRow="1" w:lastRow="0" w:firstColumn="0" w:lastColumn="0" w:oddVBand="0" w:evenVBand="0" w:oddHBand="0" w:evenHBand="0" w:firstRowFirstColumn="0" w:firstRowLastColumn="0" w:lastRowFirstColumn="0" w:lastRowLastColumn="0"/>
          <w:cantSplit/>
          <w:trHeight w:val="300"/>
          <w:tblHeader/>
        </w:trPr>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80AD" w:themeFill="accent4"/>
          </w:tcPr>
          <w:p w14:paraId="37E7235F" w14:textId="387FB2E3" w:rsidR="00EE668A" w:rsidRPr="00B768A1" w:rsidRDefault="00EE668A" w:rsidP="004F5B0E">
            <w:pPr>
              <w:pStyle w:val="NMHCTableHeaderRow"/>
            </w:pPr>
            <w:r>
              <w:t>Action</w:t>
            </w:r>
          </w:p>
        </w:tc>
        <w:tc>
          <w:tcPr>
            <w:tcW w:w="7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80AD" w:themeFill="accent4"/>
          </w:tcPr>
          <w:p w14:paraId="3944D392" w14:textId="28DA85F1" w:rsidR="00EE668A" w:rsidRPr="00B768A1" w:rsidRDefault="00463C6E" w:rsidP="004F5B0E">
            <w:pPr>
              <w:pStyle w:val="NMHCTableHeaderRow"/>
            </w:pPr>
            <w:r>
              <w:t>Description</w:t>
            </w:r>
          </w:p>
        </w:tc>
      </w:tr>
      <w:tr w:rsidR="00B445FF" w:rsidRPr="00B768A1" w14:paraId="4AEC5097" w14:textId="77777777" w:rsidTr="45E58E07">
        <w:trPr>
          <w:trHeight w:val="300"/>
        </w:trPr>
        <w:tc>
          <w:tcPr>
            <w:tcW w:w="1270" w:type="dxa"/>
            <w:tcBorders>
              <w:top w:val="single" w:sz="4" w:space="0" w:color="FFFFFF" w:themeColor="background1"/>
            </w:tcBorders>
          </w:tcPr>
          <w:p w14:paraId="444C3B71" w14:textId="6E9BDD17" w:rsidR="00B445FF" w:rsidRPr="00F833FC" w:rsidRDefault="00752C00" w:rsidP="00634A83">
            <w:r w:rsidRPr="00F833FC">
              <w:t>ce</w:t>
            </w:r>
            <w:r w:rsidR="773B1738" w:rsidRPr="00F833FC">
              <w:t>3.4a</w:t>
            </w:r>
          </w:p>
        </w:tc>
        <w:tc>
          <w:tcPr>
            <w:tcW w:w="7943" w:type="dxa"/>
            <w:tcBorders>
              <w:top w:val="single" w:sz="4" w:space="0" w:color="FFFFFF" w:themeColor="background1"/>
            </w:tcBorders>
            <w:tcMar>
              <w:top w:w="28" w:type="dxa"/>
              <w:bottom w:w="28" w:type="dxa"/>
            </w:tcMar>
          </w:tcPr>
          <w:p w14:paraId="78CD77D2" w14:textId="31E0EA23" w:rsidR="00B445FF" w:rsidRPr="00F833FC" w:rsidRDefault="773B1738" w:rsidP="00634A83">
            <w:r w:rsidRPr="00F833FC">
              <w:t>Enhance the ability of government agencies, primary health networks and local hospital networks to use findings from the best</w:t>
            </w:r>
            <w:r w:rsidR="0831A1FF" w:rsidRPr="00F833FC">
              <w:t xml:space="preserve"> </w:t>
            </w:r>
            <w:r w:rsidRPr="00F833FC">
              <w:t>available evidence to inform suicide prevention planning and funding decisions:</w:t>
            </w:r>
          </w:p>
          <w:p w14:paraId="7D7A9CDC" w14:textId="4FEF7717" w:rsidR="00B445FF" w:rsidRPr="00F833FC" w:rsidRDefault="04DC166C" w:rsidP="00634A83">
            <w:pPr>
              <w:pStyle w:val="ListParagraph"/>
              <w:numPr>
                <w:ilvl w:val="0"/>
                <w:numId w:val="47"/>
              </w:numPr>
            </w:pPr>
            <w:r w:rsidRPr="00F833FC">
              <w:t>S</w:t>
            </w:r>
            <w:r w:rsidR="773B1738" w:rsidRPr="00F833FC">
              <w:t>trengthen their capability in data, statistics and continuous improvement</w:t>
            </w:r>
            <w:r w:rsidRPr="00F833FC">
              <w:t>.</w:t>
            </w:r>
          </w:p>
          <w:p w14:paraId="63E0A193" w14:textId="35A3EF02" w:rsidR="00B445FF" w:rsidRPr="00F833FC" w:rsidRDefault="04DC166C" w:rsidP="00634A83">
            <w:pPr>
              <w:pStyle w:val="ListParagraph"/>
              <w:numPr>
                <w:ilvl w:val="0"/>
                <w:numId w:val="47"/>
              </w:numPr>
              <w:rPr>
                <w:color w:val="231C24" w:themeColor="text1"/>
                <w:lang w:eastAsia="en-AU"/>
              </w:rPr>
            </w:pPr>
            <w:r w:rsidRPr="00F833FC">
              <w:rPr>
                <w:color w:val="231C24" w:themeColor="text1"/>
                <w:lang w:eastAsia="en-AU"/>
              </w:rPr>
              <w:t>E</w:t>
            </w:r>
            <w:r w:rsidR="773B1738" w:rsidRPr="00F833FC">
              <w:rPr>
                <w:color w:val="231C24" w:themeColor="text1"/>
                <w:lang w:eastAsia="en-AU"/>
              </w:rPr>
              <w:t xml:space="preserve">nhance the value of data from the </w:t>
            </w:r>
            <w:r w:rsidR="773B1738" w:rsidRPr="00F833FC">
              <w:t>National Suicide and Self-harm Monitoring System through improve</w:t>
            </w:r>
            <w:r w:rsidR="5B751031" w:rsidRPr="00F833FC">
              <w:t>d</w:t>
            </w:r>
            <w:r w:rsidR="773B1738" w:rsidRPr="00F833FC">
              <w:t xml:space="preserve"> access and </w:t>
            </w:r>
            <w:r w:rsidR="773B1738" w:rsidRPr="00F833FC">
              <w:rPr>
                <w:color w:val="231C24" w:themeColor="text1"/>
                <w:lang w:eastAsia="en-AU"/>
              </w:rPr>
              <w:t>tailored reporting for users</w:t>
            </w:r>
            <w:r w:rsidRPr="00F833FC">
              <w:rPr>
                <w:color w:val="231C24" w:themeColor="text1"/>
                <w:lang w:eastAsia="en-AU"/>
              </w:rPr>
              <w:t>.</w:t>
            </w:r>
          </w:p>
          <w:p w14:paraId="3BA375C5" w14:textId="31CA87AE" w:rsidR="00B445FF" w:rsidRPr="00F833FC" w:rsidRDefault="04DC166C" w:rsidP="00634A83">
            <w:pPr>
              <w:pStyle w:val="ListParagraph"/>
              <w:numPr>
                <w:ilvl w:val="0"/>
                <w:numId w:val="47"/>
              </w:numPr>
              <w:rPr>
                <w:color w:val="231C24" w:themeColor="text1"/>
              </w:rPr>
            </w:pPr>
            <w:r w:rsidRPr="00F833FC">
              <w:rPr>
                <w:color w:val="231C24" w:themeColor="text1"/>
              </w:rPr>
              <w:t>D</w:t>
            </w:r>
            <w:r w:rsidR="773B1738" w:rsidRPr="00F833FC">
              <w:t>evelop a central national repository of evaluation reports on suicide prevention programs, services and other activities</w:t>
            </w:r>
            <w:r w:rsidRPr="00F833FC">
              <w:t>.</w:t>
            </w:r>
          </w:p>
          <w:p w14:paraId="50BFA160" w14:textId="3B27CEA4" w:rsidR="00B445FF" w:rsidRPr="00F833FC" w:rsidRDefault="04DC166C" w:rsidP="00634A83">
            <w:pPr>
              <w:pStyle w:val="ListParagraph"/>
              <w:numPr>
                <w:ilvl w:val="0"/>
                <w:numId w:val="47"/>
              </w:numPr>
            </w:pPr>
            <w:r w:rsidRPr="00F833FC">
              <w:t>E</w:t>
            </w:r>
            <w:r w:rsidR="773B1738" w:rsidRPr="00F833FC">
              <w:t>stablish translation networks and governance systems to support the translation of evidence into the improvement and implementation of policies and programs</w:t>
            </w:r>
            <w:r w:rsidRPr="00F833FC">
              <w:t>.</w:t>
            </w:r>
          </w:p>
          <w:p w14:paraId="3B91295B" w14:textId="16A8E753" w:rsidR="00B445FF" w:rsidRPr="00F833FC" w:rsidDel="00682A5B" w:rsidRDefault="04DC166C" w:rsidP="00634A83">
            <w:pPr>
              <w:pStyle w:val="ListParagraph"/>
              <w:numPr>
                <w:ilvl w:val="0"/>
                <w:numId w:val="47"/>
              </w:numPr>
            </w:pPr>
            <w:r w:rsidRPr="00F833FC">
              <w:t>I</w:t>
            </w:r>
            <w:r w:rsidR="773B1738" w:rsidRPr="00F833FC">
              <w:t>ncentivise research bodies to facilitate the timely translation and communication of suicide prevention research.</w:t>
            </w:r>
          </w:p>
        </w:tc>
      </w:tr>
      <w:tr w:rsidR="00B445FF" w:rsidRPr="00B768A1" w14:paraId="5F8946B7" w14:textId="77777777" w:rsidTr="45E58E07">
        <w:trPr>
          <w:trHeight w:val="300"/>
        </w:trPr>
        <w:tc>
          <w:tcPr>
            <w:tcW w:w="1270" w:type="dxa"/>
          </w:tcPr>
          <w:p w14:paraId="5E70F0F7" w14:textId="18FB3F38" w:rsidR="00B445FF" w:rsidRPr="00F833FC" w:rsidRDefault="00752C00" w:rsidP="00634A83">
            <w:r w:rsidRPr="00F833FC">
              <w:t>ce</w:t>
            </w:r>
            <w:r w:rsidR="773B1738" w:rsidRPr="00F833FC">
              <w:t>3.4b</w:t>
            </w:r>
          </w:p>
        </w:tc>
        <w:tc>
          <w:tcPr>
            <w:tcW w:w="7943" w:type="dxa"/>
            <w:tcMar>
              <w:top w:w="28" w:type="dxa"/>
              <w:bottom w:w="28" w:type="dxa"/>
            </w:tcMar>
          </w:tcPr>
          <w:p w14:paraId="2DD92DCA" w14:textId="0FD89D2B" w:rsidR="00B445FF" w:rsidRPr="00F833FC" w:rsidRDefault="773B1738" w:rsidP="00634A83">
            <w:r w:rsidRPr="00F833FC">
              <w:t xml:space="preserve">Continue to build on the </w:t>
            </w:r>
            <w:r w:rsidRPr="00F833FC">
              <w:rPr>
                <w:i/>
                <w:iCs/>
              </w:rPr>
              <w:t xml:space="preserve">National Mental Health Service Planning Framework </w:t>
            </w:r>
            <w:r w:rsidRPr="00F833FC">
              <w:t>and accompanying tool to support the planning of regional suicide prevention services:</w:t>
            </w:r>
          </w:p>
          <w:p w14:paraId="7FBE7419" w14:textId="51456E08" w:rsidR="00B445FF" w:rsidRPr="00F833FC" w:rsidRDefault="1C09AEB1" w:rsidP="00634A83">
            <w:pPr>
              <w:pStyle w:val="ListParagraph"/>
              <w:numPr>
                <w:ilvl w:val="0"/>
                <w:numId w:val="33"/>
              </w:numPr>
            </w:pPr>
            <w:r w:rsidRPr="00F833FC">
              <w:t xml:space="preserve">Ensure </w:t>
            </w:r>
            <w:r w:rsidR="773B1738" w:rsidRPr="00F833FC">
              <w:t>epidemiological estimates include the prevalence rates of the social determinants of suicide, consider groups that are disproportionately impacted by suicide and cover suicidal thoughts, distress and behaviours</w:t>
            </w:r>
            <w:r w:rsidR="28B64AA1" w:rsidRPr="00F833FC">
              <w:t>.</w:t>
            </w:r>
          </w:p>
          <w:p w14:paraId="4878DB7E" w14:textId="04A98D55" w:rsidR="00B445FF" w:rsidRPr="00F833FC" w:rsidRDefault="28B64AA1" w:rsidP="00634A83">
            <w:pPr>
              <w:pStyle w:val="ListParagraph"/>
              <w:numPr>
                <w:ilvl w:val="0"/>
                <w:numId w:val="33"/>
              </w:numPr>
            </w:pPr>
            <w:r w:rsidRPr="00F833FC">
              <w:t>Use</w:t>
            </w:r>
            <w:r w:rsidR="773B1738" w:rsidRPr="00F833FC">
              <w:t xml:space="preserve"> a service taxonomy and workforce categories specific to suicide prevention.</w:t>
            </w:r>
          </w:p>
        </w:tc>
      </w:tr>
      <w:tr w:rsidR="00B445FF" w:rsidRPr="00B768A1" w14:paraId="0131BD39" w14:textId="77777777" w:rsidTr="45E58E07">
        <w:trPr>
          <w:trHeight w:val="300"/>
        </w:trPr>
        <w:tc>
          <w:tcPr>
            <w:tcW w:w="1270" w:type="dxa"/>
          </w:tcPr>
          <w:p w14:paraId="306AC16F" w14:textId="557AE18A" w:rsidR="00B445FF" w:rsidRPr="00F833FC" w:rsidRDefault="00752C00" w:rsidP="00634A83">
            <w:r w:rsidRPr="00F833FC">
              <w:t>ce</w:t>
            </w:r>
            <w:r w:rsidR="773B1738" w:rsidRPr="00F833FC">
              <w:t>3.4c</w:t>
            </w:r>
          </w:p>
        </w:tc>
        <w:tc>
          <w:tcPr>
            <w:tcW w:w="7943" w:type="dxa"/>
            <w:tcMar>
              <w:top w:w="28" w:type="dxa"/>
              <w:bottom w:w="28" w:type="dxa"/>
            </w:tcMar>
          </w:tcPr>
          <w:p w14:paraId="0A8B88D5" w14:textId="0E6B286D" w:rsidR="00B445FF" w:rsidRPr="00F833FC" w:rsidRDefault="773B1738" w:rsidP="00634A83">
            <w:r w:rsidRPr="00F833FC">
              <w:t>Expand the ability of the National Suicide and Self-harm Monitoring System to inform timely translation into policy, program and service responses:</w:t>
            </w:r>
          </w:p>
          <w:p w14:paraId="260D0E20" w14:textId="4D6C3562" w:rsidR="00B445FF" w:rsidRPr="00F833FC" w:rsidRDefault="28B64AA1" w:rsidP="00634A83">
            <w:pPr>
              <w:pStyle w:val="ListParagraph"/>
              <w:numPr>
                <w:ilvl w:val="0"/>
                <w:numId w:val="48"/>
              </w:numPr>
            </w:pPr>
            <w:r w:rsidRPr="00F833FC">
              <w:t>E</w:t>
            </w:r>
            <w:r w:rsidR="773B1738" w:rsidRPr="00F833FC">
              <w:t>stablish routine processes to review new data to identify emerging issues that should be prioritised for policy, funding and service responses (including trends in methods of suicide, demographics or lead indicators)</w:t>
            </w:r>
            <w:r w:rsidR="12065995" w:rsidRPr="00F833FC">
              <w:t>.</w:t>
            </w:r>
          </w:p>
          <w:p w14:paraId="5DE3A4AF" w14:textId="0EFC3990" w:rsidR="00B445FF" w:rsidRPr="00F833FC" w:rsidRDefault="12065995" w:rsidP="00634A83">
            <w:pPr>
              <w:pStyle w:val="ListParagraph"/>
              <w:numPr>
                <w:ilvl w:val="0"/>
                <w:numId w:val="48"/>
              </w:numPr>
            </w:pPr>
            <w:r w:rsidRPr="00F833FC">
              <w:t>I</w:t>
            </w:r>
            <w:r w:rsidR="773B1738" w:rsidRPr="00F833FC">
              <w:t>ntroduc</w:t>
            </w:r>
            <w:r w:rsidRPr="00F833FC">
              <w:t>e</w:t>
            </w:r>
            <w:r w:rsidR="773B1738" w:rsidRPr="00F833FC">
              <w:t xml:space="preserve"> geospatial surveillance functionality to enable rapid identification of regional suicide and suicide attempt clusters to trigger timely local service responses.</w:t>
            </w:r>
          </w:p>
        </w:tc>
      </w:tr>
    </w:tbl>
    <w:p w14:paraId="22EE305D" w14:textId="77777777" w:rsidR="008D2B27" w:rsidRDefault="008D2B27" w:rsidP="00634A83">
      <w:pPr>
        <w:rPr>
          <w:rFonts w:eastAsiaTheme="majorEastAsia" w:cstheme="majorBidi"/>
          <w:sz w:val="40"/>
          <w:szCs w:val="26"/>
        </w:rPr>
      </w:pPr>
      <w:bookmarkStart w:id="174" w:name="_Toc1356228146"/>
      <w:bookmarkStart w:id="175" w:name="_Toc142403321"/>
      <w:bookmarkStart w:id="176" w:name="_Toc142407495"/>
      <w:bookmarkStart w:id="177" w:name="_Toc152082314"/>
      <w:bookmarkStart w:id="178" w:name="_Ref152166399"/>
      <w:r>
        <w:br w:type="page"/>
      </w:r>
    </w:p>
    <w:p w14:paraId="5AF10B78" w14:textId="75AD294A" w:rsidR="00682A5B" w:rsidRPr="00B768A1" w:rsidRDefault="00CA01C7" w:rsidP="00996915">
      <w:pPr>
        <w:pStyle w:val="Heading2"/>
      </w:pPr>
      <w:bookmarkStart w:id="179" w:name="_Toc164868160"/>
      <w:bookmarkStart w:id="180" w:name="_Toc1587318917"/>
      <w:bookmarkStart w:id="181" w:name="_Toc524528696"/>
      <w:bookmarkStart w:id="182" w:name="_Toc171459041"/>
      <w:r>
        <w:drawing>
          <wp:anchor distT="0" distB="0" distL="114300" distR="114300" simplePos="0" relativeHeight="251658241" behindDoc="1" locked="0" layoutInCell="1" allowOverlap="1" wp14:anchorId="37EBA67F" wp14:editId="4E9A8880">
            <wp:simplePos x="0" y="0"/>
            <wp:positionH relativeFrom="margin">
              <wp:align>right</wp:align>
            </wp:positionH>
            <wp:positionV relativeFrom="paragraph">
              <wp:posOffset>9525</wp:posOffset>
            </wp:positionV>
            <wp:extent cx="1278639" cy="843705"/>
            <wp:effectExtent l="0" t="0" r="0" b="0"/>
            <wp:wrapTight wrapText="bothSides">
              <wp:wrapPolygon edited="0">
                <wp:start x="0" y="0"/>
                <wp:lineTo x="0" y="20982"/>
                <wp:lineTo x="21246" y="20982"/>
                <wp:lineTo x="21246" y="0"/>
                <wp:lineTo x="0" y="0"/>
              </wp:wrapPolygon>
            </wp:wrapTight>
            <wp:docPr id="1844247356" name="Picture 1844247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78639" cy="843705"/>
                    </a:xfrm>
                    <a:prstGeom prst="rect">
                      <a:avLst/>
                    </a:prstGeom>
                  </pic:spPr>
                </pic:pic>
              </a:graphicData>
            </a:graphic>
            <wp14:sizeRelH relativeFrom="page">
              <wp14:pctWidth>0</wp14:pctWidth>
            </wp14:sizeRelH>
            <wp14:sizeRelV relativeFrom="page">
              <wp14:pctHeight>0</wp14:pctHeight>
            </wp14:sizeRelV>
          </wp:anchor>
        </w:drawing>
      </w:r>
      <w:r w:rsidR="4F506234" w:rsidRPr="5B74CE65">
        <w:t>Critical e</w:t>
      </w:r>
      <w:r w:rsidR="00682A5B" w:rsidRPr="5B74CE65">
        <w:t>nabler 4: Capable and integrated workforce</w:t>
      </w:r>
      <w:bookmarkEnd w:id="174"/>
      <w:bookmarkEnd w:id="175"/>
      <w:bookmarkEnd w:id="176"/>
      <w:bookmarkEnd w:id="177"/>
      <w:bookmarkEnd w:id="178"/>
      <w:bookmarkEnd w:id="179"/>
      <w:bookmarkEnd w:id="180"/>
      <w:bookmarkEnd w:id="181"/>
      <w:bookmarkEnd w:id="182"/>
    </w:p>
    <w:p w14:paraId="6C51D4A8" w14:textId="6034CFB7" w:rsidR="00682A5B" w:rsidRPr="00B768A1" w:rsidRDefault="6511D72A" w:rsidP="00634A83">
      <w:r>
        <w:t xml:space="preserve">The most foundational requirement for the delivery of the approach to suicide prevention described in this Strategy is a robust, capable and well-supported suicide prevention workforce. </w:t>
      </w:r>
    </w:p>
    <w:p w14:paraId="1A58179C" w14:textId="241CD9FC" w:rsidR="00682A5B" w:rsidRPr="00B768A1" w:rsidRDefault="00682A5B" w:rsidP="00634A83">
      <w:r w:rsidRPr="00B768A1">
        <w:t xml:space="preserve">This Strategy conceptualises the ‘suicide prevention workforce’ as the broadest possible network of people involved in providing compassionate </w:t>
      </w:r>
      <w:r w:rsidR="00C721E6" w:rsidRPr="00B768A1">
        <w:t xml:space="preserve">and effective </w:t>
      </w:r>
      <w:r w:rsidRPr="00B768A1">
        <w:t>responses to people in suicidal distress</w:t>
      </w:r>
      <w:r w:rsidR="00135E02" w:rsidRPr="00B768A1">
        <w:t xml:space="preserve"> and to </w:t>
      </w:r>
      <w:r w:rsidRPr="00B768A1">
        <w:t xml:space="preserve">those impacted by the social determinants that can lead to suicidal distress. </w:t>
      </w:r>
      <w:r>
        <w:t>This</w:t>
      </w:r>
      <w:r w:rsidR="272B1E66">
        <w:t xml:space="preserve"> </w:t>
      </w:r>
      <w:r w:rsidR="00135E02">
        <w:t>workforce</w:t>
      </w:r>
      <w:r w:rsidR="008F376A">
        <w:t xml:space="preserve"> </w:t>
      </w:r>
      <w:r>
        <w:t>includes:</w:t>
      </w:r>
    </w:p>
    <w:p w14:paraId="408E88C6" w14:textId="748B3F03" w:rsidR="00682A5B" w:rsidRPr="00B768A1" w:rsidRDefault="5FE0151A" w:rsidP="00634A83">
      <w:pPr>
        <w:pStyle w:val="ListParagraph"/>
        <w:numPr>
          <w:ilvl w:val="0"/>
          <w:numId w:val="37"/>
        </w:numPr>
      </w:pPr>
      <w:r>
        <w:t>p</w:t>
      </w:r>
      <w:r w:rsidR="7164BEF7">
        <w:t>eople working in</w:t>
      </w:r>
      <w:r w:rsidR="3E02E243">
        <w:t xml:space="preserve"> emergency services and</w:t>
      </w:r>
      <w:r w:rsidR="7164BEF7">
        <w:t xml:space="preserve"> health care </w:t>
      </w:r>
      <w:r w:rsidR="00FA47C7">
        <w:t>(</w:t>
      </w:r>
      <w:r w:rsidR="576D391C">
        <w:t>including</w:t>
      </w:r>
      <w:r w:rsidR="4A8D0D8C">
        <w:t>, among others,</w:t>
      </w:r>
      <w:r w:rsidR="576D391C">
        <w:t xml:space="preserve"> </w:t>
      </w:r>
      <w:r w:rsidR="30157C50">
        <w:t>general practitioners</w:t>
      </w:r>
      <w:r w:rsidR="576D391C">
        <w:t xml:space="preserve">, </w:t>
      </w:r>
      <w:r w:rsidR="0EBE9FF6">
        <w:t xml:space="preserve">doctors, </w:t>
      </w:r>
      <w:r w:rsidR="41D71665">
        <w:t xml:space="preserve">nurses, </w:t>
      </w:r>
      <w:r w:rsidR="734D860F">
        <w:t>pharmacists</w:t>
      </w:r>
      <w:r w:rsidR="576D391C">
        <w:t xml:space="preserve">, </w:t>
      </w:r>
      <w:r w:rsidR="02A9EEDD">
        <w:t>psychologists</w:t>
      </w:r>
      <w:r w:rsidR="576D391C">
        <w:t xml:space="preserve">, psychiatrists, </w:t>
      </w:r>
      <w:r w:rsidR="02A9EEDD">
        <w:t>social workers</w:t>
      </w:r>
      <w:r w:rsidR="7569FB51">
        <w:t>, peer workers</w:t>
      </w:r>
      <w:r w:rsidR="00AD2F19">
        <w:t>)</w:t>
      </w:r>
      <w:r w:rsidR="7CFB17D7">
        <w:t xml:space="preserve"> in both universal and Aboriginal Community Controlled Health Organisations</w:t>
      </w:r>
    </w:p>
    <w:p w14:paraId="3721EA3F" w14:textId="6AC9692B" w:rsidR="00682A5B" w:rsidRPr="00B768A1" w:rsidRDefault="00E125FF" w:rsidP="00634A83">
      <w:pPr>
        <w:pStyle w:val="ListParagraph"/>
        <w:numPr>
          <w:ilvl w:val="0"/>
          <w:numId w:val="37"/>
        </w:numPr>
      </w:pPr>
      <w:r>
        <w:t>f</w:t>
      </w:r>
      <w:r w:rsidR="00682A5B">
        <w:t>rontline</w:t>
      </w:r>
      <w:r w:rsidR="00675916">
        <w:t xml:space="preserve"> </w:t>
      </w:r>
      <w:r w:rsidR="00682A5B">
        <w:t xml:space="preserve">workers </w:t>
      </w:r>
      <w:r w:rsidR="006010FC">
        <w:t>del</w:t>
      </w:r>
      <w:r w:rsidR="005507EE">
        <w:t>ivering</w:t>
      </w:r>
      <w:r w:rsidR="00682A5B">
        <w:t xml:space="preserve"> </w:t>
      </w:r>
      <w:r w:rsidR="541965A8">
        <w:t>income</w:t>
      </w:r>
      <w:r w:rsidR="00682A5B">
        <w:t xml:space="preserve"> and psychosocial supports </w:t>
      </w:r>
      <w:r w:rsidR="001B4EF9">
        <w:t>for example</w:t>
      </w:r>
      <w:r w:rsidR="00E45768">
        <w:t>,</w:t>
      </w:r>
      <w:r w:rsidR="00682A5B">
        <w:t xml:space="preserve"> financial, housing, unemployment and family support services</w:t>
      </w:r>
      <w:r w:rsidR="00BD4B18">
        <w:t xml:space="preserve"> in </w:t>
      </w:r>
      <w:r w:rsidR="00070708">
        <w:t>the community</w:t>
      </w:r>
    </w:p>
    <w:p w14:paraId="2B245651" w14:textId="4BD4977F" w:rsidR="00682A5B" w:rsidRPr="00B768A1" w:rsidRDefault="00725111" w:rsidP="00634A83">
      <w:pPr>
        <w:pStyle w:val="ListParagraph"/>
        <w:numPr>
          <w:ilvl w:val="0"/>
          <w:numId w:val="37"/>
        </w:numPr>
      </w:pPr>
      <w:r>
        <w:t>p</w:t>
      </w:r>
      <w:r w:rsidR="00682A5B">
        <w:t xml:space="preserve">ersonal support networks, such as </w:t>
      </w:r>
      <w:r w:rsidR="00FB3E65">
        <w:t>family</w:t>
      </w:r>
      <w:r w:rsidR="00682A5B">
        <w:t>, carers and kin, and social supports</w:t>
      </w:r>
      <w:r w:rsidR="006103E2">
        <w:t>,</w:t>
      </w:r>
      <w:r w:rsidR="00682A5B">
        <w:t xml:space="preserve"> and institutions, such as educat</w:t>
      </w:r>
      <w:r w:rsidR="00386385">
        <w:t>ional</w:t>
      </w:r>
      <w:r w:rsidR="00682A5B">
        <w:t>, religious and spiritual communities, media, interest groups, and workplaces</w:t>
      </w:r>
    </w:p>
    <w:p w14:paraId="2C103CB1" w14:textId="1ECDFA19" w:rsidR="00682A5B" w:rsidRPr="00B768A1" w:rsidRDefault="000A571D" w:rsidP="00634A83">
      <w:pPr>
        <w:pStyle w:val="ListParagraph"/>
        <w:numPr>
          <w:ilvl w:val="0"/>
          <w:numId w:val="37"/>
        </w:numPr>
      </w:pPr>
      <w:r>
        <w:t>p</w:t>
      </w:r>
      <w:r w:rsidR="00682A5B">
        <w:t>olicymakers who develop and implement population</w:t>
      </w:r>
      <w:r w:rsidR="0061020A">
        <w:t>-</w:t>
      </w:r>
      <w:r w:rsidR="00682A5B">
        <w:t>level interventions related to suicide prevention</w:t>
      </w:r>
      <w:r w:rsidR="0061020A">
        <w:t xml:space="preserve">, including </w:t>
      </w:r>
      <w:r w:rsidR="00682A5B">
        <w:t>policies that promote general wellbeing, reduce the impact of the social determinants of suicide, or aim to alleviate suicidal distress itself.</w:t>
      </w:r>
    </w:p>
    <w:p w14:paraId="422702CD" w14:textId="186C9EAA" w:rsidR="7CDB68FD" w:rsidRDefault="7CDB68FD" w:rsidP="00634A83">
      <w:r>
        <w:t>All parts of the suicide prevention workforce must be empowered to understand their role in suicide prevention, have the capability to perform their role, and be sufficiently supported to operate effectively and compassionately in a sustainable way.</w:t>
      </w:r>
    </w:p>
    <w:p w14:paraId="6ED5095B" w14:textId="18D11B03" w:rsidR="0068336D" w:rsidRDefault="62B9CE5F" w:rsidP="00634A83">
      <w:pPr>
        <w:pStyle w:val="BT-Livedexperience-Pink-Heading"/>
      </w:pPr>
      <w:r w:rsidRPr="0068336D">
        <w:t xml:space="preserve">What </w:t>
      </w:r>
      <w:r w:rsidR="00DE14DA">
        <w:t xml:space="preserve">do </w:t>
      </w:r>
      <w:r w:rsidRPr="0068336D">
        <w:t xml:space="preserve">we </w:t>
      </w:r>
      <w:r w:rsidR="00DE14DA">
        <w:t xml:space="preserve">need </w:t>
      </w:r>
      <w:r w:rsidRPr="0068336D">
        <w:t>to achieve?</w:t>
      </w:r>
    </w:p>
    <w:p w14:paraId="6DB8FA36" w14:textId="7D422D69" w:rsidR="20D519D4" w:rsidRPr="0068336D" w:rsidRDefault="62B9CE5F" w:rsidP="00634A83">
      <w:pPr>
        <w:pStyle w:val="BT-Livedexperience-Pink"/>
      </w:pPr>
      <w:r w:rsidRPr="0068336D">
        <w:t>Suicide prevention in Australia is delivered by a capable, integrated and sustained workforce.</w:t>
      </w:r>
    </w:p>
    <w:p w14:paraId="05F50EEC" w14:textId="24A4AD7A" w:rsidR="00682A5B" w:rsidRPr="00B768A1" w:rsidRDefault="7D7A9206" w:rsidP="00634A83">
      <w:pPr>
        <w:pStyle w:val="Heading3"/>
      </w:pPr>
      <w:r w:rsidRPr="5B74CE65">
        <w:t>ce</w:t>
      </w:r>
      <w:r w:rsidR="00682A5B" w:rsidRPr="5B74CE65">
        <w:t xml:space="preserve">4.1 Develop a </w:t>
      </w:r>
      <w:r w:rsidR="003A0B08" w:rsidRPr="5B74CE65">
        <w:t>n</w:t>
      </w:r>
      <w:r w:rsidR="00682A5B" w:rsidRPr="5B74CE65">
        <w:t xml:space="preserve">ational </w:t>
      </w:r>
      <w:r w:rsidR="003A0B08" w:rsidRPr="5B74CE65">
        <w:t>s</w:t>
      </w:r>
      <w:r w:rsidR="00682A5B" w:rsidRPr="5B74CE65">
        <w:t xml:space="preserve">uicide </w:t>
      </w:r>
      <w:r w:rsidR="003A0B08" w:rsidRPr="5B74CE65">
        <w:t>p</w:t>
      </w:r>
      <w:r w:rsidR="00682A5B" w:rsidRPr="5B74CE65">
        <w:t xml:space="preserve">revention </w:t>
      </w:r>
      <w:r w:rsidR="003A0B08" w:rsidRPr="5B74CE65">
        <w:t>w</w:t>
      </w:r>
      <w:r w:rsidR="00682A5B" w:rsidRPr="5B74CE65">
        <w:t xml:space="preserve">orkforce </w:t>
      </w:r>
      <w:r w:rsidR="003A0B08" w:rsidRPr="5B74CE65">
        <w:t>s</w:t>
      </w:r>
      <w:r w:rsidR="00682A5B" w:rsidRPr="5B74CE65">
        <w:t>trategy</w:t>
      </w:r>
    </w:p>
    <w:p w14:paraId="22B0FD41" w14:textId="33647F54" w:rsidR="00682A5B" w:rsidRPr="00B768A1" w:rsidRDefault="26DD8253" w:rsidP="00634A83">
      <w:r>
        <w:t xml:space="preserve">Given the central role of the mental health system in supporting people experiencing suicidal distress, </w:t>
      </w:r>
      <w:r w:rsidR="2AB81841">
        <w:t>challenges faced by the mental health workforce are of fundamental relevance to suicide prevention</w:t>
      </w:r>
      <w:r w:rsidR="4834E338">
        <w:t xml:space="preserve">. The </w:t>
      </w:r>
      <w:r w:rsidR="4834E338" w:rsidRPr="31ACB141">
        <w:rPr>
          <w:i/>
          <w:iCs/>
        </w:rPr>
        <w:t>National Mental Health Workforce Strategy 2022–2032</w:t>
      </w:r>
      <w:r w:rsidR="4834E338">
        <w:t>, highlights workforce shortages, poor geographical distribution of the workforce, underutilisation of skills and qualifications, out-of-date competencies that do not reflect contemporary approaches, and the lack of a long-term sustainability plan for the workforce.</w:t>
      </w:r>
    </w:p>
    <w:p w14:paraId="254A2530" w14:textId="4E9EC091" w:rsidR="00682A5B" w:rsidRPr="00B768A1" w:rsidRDefault="6D90AF01" w:rsidP="00634A83">
      <w:r>
        <w:t xml:space="preserve">The </w:t>
      </w:r>
      <w:r w:rsidRPr="48215A0F">
        <w:rPr>
          <w:i/>
          <w:iCs/>
        </w:rPr>
        <w:t>Productivity Commission</w:t>
      </w:r>
      <w:r w:rsidR="01739C51" w:rsidRPr="48215A0F">
        <w:rPr>
          <w:i/>
          <w:iCs/>
        </w:rPr>
        <w:t>, Mental Health,</w:t>
      </w:r>
      <w:r w:rsidRPr="48215A0F">
        <w:rPr>
          <w:i/>
          <w:iCs/>
        </w:rPr>
        <w:t xml:space="preserve"> </w:t>
      </w:r>
      <w:r w:rsidR="3AB89EC8" w:rsidRPr="48215A0F">
        <w:rPr>
          <w:i/>
          <w:iCs/>
        </w:rPr>
        <w:t xml:space="preserve">Inquiry </w:t>
      </w:r>
      <w:r w:rsidR="01739C51" w:rsidRPr="48215A0F">
        <w:rPr>
          <w:i/>
          <w:iCs/>
        </w:rPr>
        <w:t>Report</w:t>
      </w:r>
      <w:hyperlink w:anchor="_ENREF_10" w:tooltip="Commission, 2020 #16" w:history="1">
        <w:r w:rsidR="002D6F18">
          <w:rPr>
            <w:i/>
            <w:iCs/>
          </w:rPr>
          <w:fldChar w:fldCharType="begin"/>
        </w:r>
        <w:r w:rsidR="002D6F18">
          <w:rPr>
            <w:i/>
            <w:iCs/>
          </w:rPr>
          <w:instrText xml:space="preserve"> ADDIN EN.CITE &lt;EndNote&gt;&lt;Cite&gt;&lt;Author&gt;Commission&lt;/Author&gt;&lt;Year&gt;2020&lt;/Year&gt;&lt;RecNum&gt;16&lt;/RecNum&gt;&lt;DisplayText&gt;&lt;style face="superscript"&gt;10&lt;/style&gt;&lt;/DisplayText&gt;&lt;record&gt;&lt;rec-number&gt;16&lt;/rec-number&gt;&lt;foreign-keys&gt;&lt;key app="EN" db-id="rsettzd2isasdweewww55s9lffasxav0d0ft" timestamp="1700699466" guid="211cab95-640a-4261-a3ce-923e676f72bf"&gt;16&lt;/key&gt;&lt;/foreign-keys&gt;&lt;ref-type name="Web Page"&gt;12&lt;/ref-type&gt;&lt;contributors&gt;&lt;authors&gt;&lt;author&gt;Productivity Commission&lt;/author&gt;&lt;/authors&gt;&lt;/contributors&gt;&lt;titles&gt;&lt;title&gt;Mental Health, Report No. 95&lt;/title&gt;&lt;/titles&gt;&lt;dates&gt;&lt;year&gt;2020&lt;/year&gt;&lt;/dates&gt;&lt;pub-location&gt;Canberra&lt;/pub-location&gt;&lt;publisher&gt;PC, Australian Government&lt;/publisher&gt;&lt;isbn&gt;978-1-74037-699-0 &lt;/isbn&gt;&lt;work-type&gt;Internet&lt;/work-type&gt;&lt;urls&gt;&lt;related-urls&gt;&lt;url&gt;https://www.pc.gov.au/inquiries/completed/mental-health/report&lt;/url&gt;&lt;/related-urls&gt;&lt;/urls&gt;&lt;custom1&gt;2023&lt;/custom1&gt;&lt;custom2&gt;October 03&lt;/custom2&gt;&lt;/record&gt;&lt;/Cite&gt;&lt;/EndNote&gt;</w:instrText>
        </w:r>
        <w:r w:rsidR="002D6F18">
          <w:rPr>
            <w:i/>
            <w:iCs/>
          </w:rPr>
          <w:fldChar w:fldCharType="separate"/>
        </w:r>
        <w:r w:rsidR="002D6F18" w:rsidRPr="0082082D">
          <w:rPr>
            <w:i/>
            <w:iCs/>
            <w:noProof/>
            <w:vertAlign w:val="superscript"/>
          </w:rPr>
          <w:t>10</w:t>
        </w:r>
        <w:r w:rsidR="002D6F18">
          <w:rPr>
            <w:i/>
            <w:iCs/>
          </w:rPr>
          <w:fldChar w:fldCharType="end"/>
        </w:r>
      </w:hyperlink>
      <w:r w:rsidR="3AB89EC8">
        <w:t xml:space="preserve"> </w:t>
      </w:r>
      <w:r w:rsidR="3F3DF79E">
        <w:t>outlines</w:t>
      </w:r>
      <w:r w:rsidR="3AB89EC8">
        <w:t xml:space="preserve"> a number </w:t>
      </w:r>
      <w:r w:rsidR="3F3DF79E">
        <w:t>of</w:t>
      </w:r>
      <w:r w:rsidR="3AB89EC8">
        <w:t xml:space="preserve"> recommendations </w:t>
      </w:r>
      <w:r w:rsidR="0F90919F">
        <w:t>aimed at</w:t>
      </w:r>
      <w:r w:rsidR="67283AFD">
        <w:t xml:space="preserve"> </w:t>
      </w:r>
      <w:r w:rsidR="20A2E23A">
        <w:t xml:space="preserve">strengthening the </w:t>
      </w:r>
      <w:r w:rsidR="67283AFD">
        <w:t xml:space="preserve">mental health </w:t>
      </w:r>
      <w:r w:rsidR="59D40AC3">
        <w:t>workforce</w:t>
      </w:r>
      <w:r w:rsidR="0F90919F">
        <w:t xml:space="preserve">, including </w:t>
      </w:r>
      <w:r w:rsidR="1B38464A">
        <w:t xml:space="preserve">peer workers, mental health nurses, </w:t>
      </w:r>
      <w:r w:rsidR="59D40AC3">
        <w:t>psychologists, psychiatrists and GPs</w:t>
      </w:r>
      <w:r w:rsidR="00619504">
        <w:t xml:space="preserve">. These recommendations are not restated in this Strategy, </w:t>
      </w:r>
      <w:r w:rsidR="33BC8154">
        <w:t>but</w:t>
      </w:r>
      <w:r w:rsidR="00619504">
        <w:t xml:space="preserve"> they</w:t>
      </w:r>
      <w:r w:rsidR="346B70AF">
        <w:t xml:space="preserve"> remain </w:t>
      </w:r>
      <w:r w:rsidR="14C7734C">
        <w:t xml:space="preserve">vitally </w:t>
      </w:r>
      <w:r w:rsidR="346B70AF">
        <w:t>important to implement</w:t>
      </w:r>
      <w:r w:rsidR="59D40AC3">
        <w:t xml:space="preserve">. </w:t>
      </w:r>
    </w:p>
    <w:p w14:paraId="288177C8" w14:textId="21C03EE2" w:rsidR="00682A5B" w:rsidRPr="00B768A1" w:rsidRDefault="00E85BC1" w:rsidP="00634A83">
      <w:r>
        <w:t xml:space="preserve">In addition to </w:t>
      </w:r>
      <w:r w:rsidR="00F5783A">
        <w:t>th</w:t>
      </w:r>
      <w:r w:rsidR="7AADBDB0">
        <w:t xml:space="preserve">at ongoing work, however, there are several </w:t>
      </w:r>
      <w:r w:rsidR="00682A5B">
        <w:t>challenges specific to suicide prevention</w:t>
      </w:r>
      <w:r w:rsidR="71D4CCEF">
        <w:t xml:space="preserve"> that need to be addressed</w:t>
      </w:r>
      <w:r w:rsidR="00682A5B">
        <w:t>:</w:t>
      </w:r>
    </w:p>
    <w:p w14:paraId="09DD093A" w14:textId="761E5A08" w:rsidR="00682A5B" w:rsidRPr="00B768A1" w:rsidRDefault="3605BDAC" w:rsidP="00634A83">
      <w:pPr>
        <w:pStyle w:val="ListParagraph"/>
        <w:numPr>
          <w:ilvl w:val="0"/>
          <w:numId w:val="38"/>
        </w:numPr>
      </w:pPr>
      <w:r w:rsidRPr="5B74CE65">
        <w:t>The suicide prevention workforce</w:t>
      </w:r>
      <w:r w:rsidR="3258AEAC">
        <w:t xml:space="preserve"> </w:t>
      </w:r>
      <w:r w:rsidRPr="5B74CE65">
        <w:t xml:space="preserve">does not yet have a cohesive approach to workforce planning and capability </w:t>
      </w:r>
      <w:r w:rsidRPr="5B74CE65" w:rsidDel="00CF79A1">
        <w:t>building</w:t>
      </w:r>
      <w:r w:rsidRPr="5B74CE65">
        <w:t xml:space="preserve">. </w:t>
      </w:r>
      <w:r w:rsidR="4AC00D75" w:rsidRPr="5B74CE65">
        <w:t>Qualification and training requirements</w:t>
      </w:r>
      <w:r w:rsidR="4B8F4AB0" w:rsidRPr="5B74CE65">
        <w:t xml:space="preserve"> as well as definition of competencies</w:t>
      </w:r>
      <w:r w:rsidR="4AC00D75" w:rsidRPr="5B74CE65" w:rsidDel="00D67393">
        <w:t xml:space="preserve"> </w:t>
      </w:r>
      <w:r w:rsidR="4AC00D75" w:rsidRPr="5B74CE65">
        <w:t xml:space="preserve">are inconsistent </w:t>
      </w:r>
      <w:r w:rsidRPr="5B74CE65">
        <w:t>across jurisdictions and disciplines.</w:t>
      </w:r>
      <w:hyperlink w:anchor="_ENREF_334" w:tooltip="J, 2021 #303" w:history="1">
        <w:r w:rsidR="002D6F18">
          <w:fldChar w:fldCharType="begin"/>
        </w:r>
        <w:r w:rsidR="002D6F18">
          <w:instrText xml:space="preserve"> ADDIN EN.CITE &lt;EndNote&gt;&lt;Cite&gt;&lt;Author&gt;J&lt;/Author&gt;&lt;Year&gt;2021&lt;/Year&gt;&lt;RecNum&gt;303&lt;/RecNum&gt;&lt;DisplayText&gt;&lt;style face="superscript"&gt;334&lt;/style&gt;&lt;/DisplayText&gt;&lt;record&gt;&lt;rec-number&gt;303&lt;/rec-number&gt;&lt;foreign-keys&gt;&lt;key app="EN" db-id="rsettzd2isasdweewww55s9lffasxav0d0ft" timestamp="1700699471" guid="ee3a3c22-1b5d-4b06-b536-241eb2dec644"&gt;303&lt;/key&gt;&lt;/foreign-keys&gt;&lt;ref-type name="Journal Article"&gt;17&lt;/ref-type&gt;&lt;contributors&gt;&lt;authors&gt;&lt;author&gt;Hawgood J&lt;/author&gt;&lt;author&gt;Krysinska K&lt;/author&gt;&lt;author&gt;Mooney M&lt;/author&gt;&lt;author&gt;Ozols I&lt;/author&gt;&lt;author&gt;Andriessen K&lt;/author&gt;&lt;author&gt;Betterridge C&lt;/author&gt;&lt;author&gt;De Leo D&lt;/author&gt;&lt;author&gt;Kõlves K&lt;/author&gt;&lt;/authors&gt;&lt;/contributors&gt;&lt;titles&gt;&lt;title&gt;Suicidology Post Graduate Curriculum: Priority Topics and Delivery Mechanisms for Suicide Prevention Education&lt;/title&gt;&lt;secondary-title&gt;International Journal of Environmental Research and Public Health&lt;/secondary-title&gt;&lt;/titles&gt;&lt;periodical&gt;&lt;full-title&gt;International Journal of Environmental Research and Public Health&lt;/full-title&gt;&lt;/periodical&gt;&lt;dates&gt;&lt;year&gt;2021&lt;/year&gt;&lt;/dates&gt;&lt;urls&gt;&lt;/urls&gt;&lt;electronic-resource-num&gt;DOI: 10.3390/ijerph18189926&lt;/electronic-resource-num&gt;&lt;/record&gt;&lt;/Cite&gt;&lt;/EndNote&gt;</w:instrText>
        </w:r>
        <w:r w:rsidR="002D6F18">
          <w:fldChar w:fldCharType="separate"/>
        </w:r>
        <w:r w:rsidR="002D6F18" w:rsidRPr="00C559B5">
          <w:rPr>
            <w:noProof/>
            <w:vertAlign w:val="superscript"/>
          </w:rPr>
          <w:t>334</w:t>
        </w:r>
        <w:r w:rsidR="002D6F18">
          <w:fldChar w:fldCharType="end"/>
        </w:r>
      </w:hyperlink>
      <w:r w:rsidR="00D30CF4">
        <w:t xml:space="preserve"> </w:t>
      </w:r>
    </w:p>
    <w:p w14:paraId="7FB7BA2D" w14:textId="7FD23748" w:rsidR="00682A5B" w:rsidRPr="00B768A1" w:rsidRDefault="00682A5B" w:rsidP="00634A83">
      <w:pPr>
        <w:pStyle w:val="ListParagraph"/>
        <w:numPr>
          <w:ilvl w:val="0"/>
          <w:numId w:val="38"/>
        </w:numPr>
      </w:pPr>
      <w:r w:rsidRPr="00B768A1">
        <w:t xml:space="preserve">The broader conceptualisation of the suicide prevention workforce includes people and roles outside </w:t>
      </w:r>
      <w:r w:rsidR="00D84FC6" w:rsidRPr="00B768A1">
        <w:t xml:space="preserve">those </w:t>
      </w:r>
      <w:r w:rsidRPr="00B768A1">
        <w:t xml:space="preserve">traditionally </w:t>
      </w:r>
      <w:r w:rsidR="00D84FC6" w:rsidRPr="00B768A1">
        <w:t xml:space="preserve">associated with </w:t>
      </w:r>
      <w:r w:rsidRPr="00B768A1">
        <w:t xml:space="preserve">suicide prevention. </w:t>
      </w:r>
      <w:r w:rsidR="00D40DE5" w:rsidRPr="00B768A1">
        <w:t>E</w:t>
      </w:r>
      <w:r w:rsidRPr="00B768A1">
        <w:t xml:space="preserve">ffort </w:t>
      </w:r>
      <w:r w:rsidR="00D40DE5" w:rsidRPr="00B768A1">
        <w:t xml:space="preserve">is required </w:t>
      </w:r>
      <w:r w:rsidRPr="00B768A1">
        <w:t xml:space="preserve">to build </w:t>
      </w:r>
      <w:r w:rsidR="00D40DE5" w:rsidRPr="00B768A1">
        <w:t xml:space="preserve">their </w:t>
      </w:r>
      <w:r w:rsidRPr="00B768A1">
        <w:t>understanding of the important roles they play</w:t>
      </w:r>
      <w:r w:rsidR="009B38C1" w:rsidRPr="00B768A1">
        <w:t xml:space="preserve"> and </w:t>
      </w:r>
      <w:r w:rsidRPr="00B768A1">
        <w:t xml:space="preserve">develop </w:t>
      </w:r>
      <w:r w:rsidR="009B38C1" w:rsidRPr="00B768A1">
        <w:t>the</w:t>
      </w:r>
      <w:r w:rsidR="00AD51B0" w:rsidRPr="00B768A1">
        <w:t>ir</w:t>
      </w:r>
      <w:r w:rsidR="009B38C1" w:rsidRPr="00B768A1">
        <w:t xml:space="preserve"> </w:t>
      </w:r>
      <w:r w:rsidR="00AD51B0" w:rsidRPr="00B768A1">
        <w:t xml:space="preserve">capabilities </w:t>
      </w:r>
      <w:r w:rsidRPr="00B768A1">
        <w:t xml:space="preserve">to </w:t>
      </w:r>
      <w:r w:rsidR="009B38C1" w:rsidRPr="00B768A1">
        <w:t xml:space="preserve">be </w:t>
      </w:r>
      <w:r w:rsidRPr="00B768A1">
        <w:t>effective</w:t>
      </w:r>
      <w:r w:rsidR="009B38C1" w:rsidRPr="00B768A1">
        <w:t xml:space="preserve"> in those roles</w:t>
      </w:r>
      <w:r w:rsidRPr="00B768A1">
        <w:t>.</w:t>
      </w:r>
    </w:p>
    <w:p w14:paraId="466E54D2" w14:textId="6131E621" w:rsidR="00682A5B" w:rsidRPr="00B768A1" w:rsidRDefault="00682A5B" w:rsidP="00634A83">
      <w:r w:rsidRPr="45E58E07">
        <w:t>The</w:t>
      </w:r>
      <w:r w:rsidR="461F427D" w:rsidRPr="45E58E07">
        <w:t xml:space="preserve">re is therefore a need </w:t>
      </w:r>
      <w:r w:rsidR="123724CB" w:rsidRPr="45E58E07">
        <w:t>to develop</w:t>
      </w:r>
      <w:r w:rsidRPr="45E58E07">
        <w:t xml:space="preserve"> a </w:t>
      </w:r>
      <w:r w:rsidR="00525DBF" w:rsidRPr="45E58E07">
        <w:t>n</w:t>
      </w:r>
      <w:r w:rsidRPr="45E58E07">
        <w:t xml:space="preserve">ational </w:t>
      </w:r>
      <w:r w:rsidR="00525DBF" w:rsidRPr="45E58E07">
        <w:t>s</w:t>
      </w:r>
      <w:r w:rsidRPr="45E58E07">
        <w:t xml:space="preserve">uicide </w:t>
      </w:r>
      <w:r w:rsidR="00525DBF" w:rsidRPr="45E58E07">
        <w:t>p</w:t>
      </w:r>
      <w:r w:rsidRPr="45E58E07">
        <w:t xml:space="preserve">revention </w:t>
      </w:r>
      <w:r w:rsidR="00525DBF" w:rsidRPr="45E58E07">
        <w:t>w</w:t>
      </w:r>
      <w:r w:rsidRPr="45E58E07">
        <w:t xml:space="preserve">orkforce </w:t>
      </w:r>
      <w:r w:rsidR="00525DBF" w:rsidRPr="45E58E07">
        <w:t>s</w:t>
      </w:r>
      <w:r w:rsidRPr="45E58E07">
        <w:t>trategy</w:t>
      </w:r>
      <w:r w:rsidRPr="45E58E07">
        <w:rPr>
          <w:i/>
          <w:iCs/>
        </w:rPr>
        <w:t xml:space="preserve"> </w:t>
      </w:r>
      <w:r w:rsidRPr="45E58E07">
        <w:t xml:space="preserve">to </w:t>
      </w:r>
      <w:r w:rsidR="00B65E6B" w:rsidRPr="45E58E07">
        <w:t xml:space="preserve">guide </w:t>
      </w:r>
      <w:r w:rsidRPr="45E58E07">
        <w:t xml:space="preserve">planning across jurisdictions, disciplines and settings to help ensure Australia has a cohesive suicide prevention workforce that can meet future needs. </w:t>
      </w:r>
      <w:r w:rsidR="1956A9F8" w:rsidRPr="45E58E07">
        <w:t>This should outline a national approach to</w:t>
      </w:r>
      <w:r w:rsidRPr="45E58E07">
        <w:t>:</w:t>
      </w:r>
    </w:p>
    <w:p w14:paraId="11B8DB87" w14:textId="35C4CD29" w:rsidR="00682A5B" w:rsidRPr="00B768A1" w:rsidRDefault="2072CC70" w:rsidP="00634A83">
      <w:pPr>
        <w:pStyle w:val="ListParagraph"/>
        <w:numPr>
          <w:ilvl w:val="0"/>
          <w:numId w:val="34"/>
        </w:numPr>
      </w:pPr>
      <w:r>
        <w:t xml:space="preserve">clarifying </w:t>
      </w:r>
      <w:r w:rsidR="7164BEF7">
        <w:t xml:space="preserve">the roles and </w:t>
      </w:r>
      <w:r w:rsidR="4C1C8F8E">
        <w:t xml:space="preserve">core </w:t>
      </w:r>
      <w:r w:rsidR="7164BEF7">
        <w:t>c</w:t>
      </w:r>
      <w:r w:rsidR="71C9B5A7">
        <w:t>ompetencies</w:t>
      </w:r>
      <w:r w:rsidR="7164BEF7">
        <w:t xml:space="preserve"> of the suicide prevention workforce, aligning with existing jurisdiction</w:t>
      </w:r>
      <w:r w:rsidR="355E61AB">
        <w:t>-</w:t>
      </w:r>
      <w:r w:rsidR="7164BEF7">
        <w:t xml:space="preserve"> or discipline-specific role descriptions where possible</w:t>
      </w:r>
    </w:p>
    <w:p w14:paraId="7BCA7858" w14:textId="763C37E6" w:rsidR="00682A5B" w:rsidRPr="00B768A1" w:rsidRDefault="00682A5B" w:rsidP="00634A83">
      <w:pPr>
        <w:pStyle w:val="ListParagraph"/>
        <w:numPr>
          <w:ilvl w:val="0"/>
          <w:numId w:val="34"/>
        </w:numPr>
      </w:pPr>
      <w:r w:rsidRPr="00B768A1">
        <w:t>building a diverse</w:t>
      </w:r>
      <w:r w:rsidR="72CF6063" w:rsidRPr="00B768A1">
        <w:t>, compassionate</w:t>
      </w:r>
      <w:r w:rsidRPr="00B768A1">
        <w:t xml:space="preserve"> and trauma</w:t>
      </w:r>
      <w:r w:rsidR="00253DC7" w:rsidRPr="00B768A1">
        <w:t>-</w:t>
      </w:r>
      <w:r w:rsidRPr="00B768A1">
        <w:t xml:space="preserve">informed workforce </w:t>
      </w:r>
      <w:r w:rsidR="0028414E" w:rsidRPr="00B768A1">
        <w:t xml:space="preserve">that </w:t>
      </w:r>
      <w:r w:rsidRPr="00B768A1">
        <w:t xml:space="preserve">reflects the diversity of communities </w:t>
      </w:r>
      <w:r w:rsidR="0028414E" w:rsidRPr="00B768A1">
        <w:t xml:space="preserve">it serves </w:t>
      </w:r>
      <w:r w:rsidRPr="00B768A1">
        <w:t xml:space="preserve">and is equipped to deliver </w:t>
      </w:r>
      <w:r w:rsidR="00253DC7" w:rsidRPr="00B768A1">
        <w:t>high-</w:t>
      </w:r>
      <w:r w:rsidRPr="00B768A1">
        <w:t>quality care that meets a diverse range of needs</w:t>
      </w:r>
    </w:p>
    <w:p w14:paraId="2177D1EA" w14:textId="453697F8" w:rsidR="00682A5B" w:rsidRPr="00B768A1" w:rsidRDefault="00F261B7" w:rsidP="00634A83">
      <w:pPr>
        <w:pStyle w:val="ListParagraph"/>
        <w:numPr>
          <w:ilvl w:val="0"/>
          <w:numId w:val="34"/>
        </w:numPr>
      </w:pPr>
      <w:r w:rsidRPr="00B768A1">
        <w:t xml:space="preserve">equipping </w:t>
      </w:r>
      <w:r w:rsidR="00682A5B" w:rsidRPr="00B768A1">
        <w:t xml:space="preserve">suicide prevention workers to provide holistic support across roles and settings when needed and </w:t>
      </w:r>
      <w:r w:rsidR="00074FA7" w:rsidRPr="00B768A1">
        <w:t xml:space="preserve">enabling the required level of </w:t>
      </w:r>
      <w:r w:rsidR="00682A5B" w:rsidRPr="00B768A1">
        <w:t>integration</w:t>
      </w:r>
    </w:p>
    <w:p w14:paraId="1A950BB9" w14:textId="5789F720" w:rsidR="64B364AC" w:rsidRPr="00394768" w:rsidRDefault="1199BE30" w:rsidP="00634A83">
      <w:pPr>
        <w:pStyle w:val="ListParagraph"/>
        <w:numPr>
          <w:ilvl w:val="0"/>
          <w:numId w:val="34"/>
        </w:numPr>
      </w:pPr>
      <w:r w:rsidRPr="45E58E07">
        <w:t>recognising and responding to</w:t>
      </w:r>
      <w:r w:rsidR="4FC67CFE" w:rsidRPr="45E58E07">
        <w:t xml:space="preserve"> the impact of vicarious trauma and carer fatigue on key workforces, and its relationship to suicide prevention.</w:t>
      </w:r>
    </w:p>
    <w:p w14:paraId="608ADDC6" w14:textId="5168FC08" w:rsidR="00682A5B" w:rsidRDefault="00A5539A" w:rsidP="00634A83">
      <w:r w:rsidRPr="00B768A1">
        <w:t xml:space="preserve">To succeed, </w:t>
      </w:r>
      <w:r w:rsidR="00682A5B" w:rsidRPr="00B768A1">
        <w:t xml:space="preserve">the </w:t>
      </w:r>
      <w:r w:rsidR="002575AC" w:rsidRPr="00B768A1">
        <w:t xml:space="preserve">national </w:t>
      </w:r>
      <w:r w:rsidR="002575AC" w:rsidRPr="105AEE34">
        <w:rPr>
          <w:rFonts w:cstheme="minorBidi"/>
        </w:rPr>
        <w:t>s</w:t>
      </w:r>
      <w:r w:rsidR="00682A5B" w:rsidRPr="105AEE34">
        <w:rPr>
          <w:rFonts w:cstheme="minorBidi"/>
        </w:rPr>
        <w:t xml:space="preserve">uicide </w:t>
      </w:r>
      <w:r w:rsidR="002575AC" w:rsidRPr="105AEE34">
        <w:rPr>
          <w:rFonts w:cstheme="minorBidi"/>
        </w:rPr>
        <w:t>p</w:t>
      </w:r>
      <w:r w:rsidR="00682A5B" w:rsidRPr="105AEE34">
        <w:rPr>
          <w:rFonts w:cstheme="minorBidi"/>
        </w:rPr>
        <w:t xml:space="preserve">revention </w:t>
      </w:r>
      <w:r w:rsidR="002575AC" w:rsidRPr="105AEE34">
        <w:rPr>
          <w:rFonts w:cstheme="minorBidi"/>
        </w:rPr>
        <w:t>w</w:t>
      </w:r>
      <w:r w:rsidR="00682A5B" w:rsidRPr="105AEE34">
        <w:rPr>
          <w:rFonts w:cstheme="minorBidi"/>
        </w:rPr>
        <w:t xml:space="preserve">orkforce </w:t>
      </w:r>
      <w:r w:rsidR="002575AC" w:rsidRPr="105AEE34">
        <w:rPr>
          <w:rFonts w:cstheme="minorBidi"/>
        </w:rPr>
        <w:t>s</w:t>
      </w:r>
      <w:r w:rsidR="00682A5B" w:rsidRPr="105AEE34">
        <w:rPr>
          <w:rFonts w:cstheme="minorBidi"/>
        </w:rPr>
        <w:t xml:space="preserve">trategy </w:t>
      </w:r>
      <w:r w:rsidR="00682A5B" w:rsidRPr="00B768A1">
        <w:t xml:space="preserve">will rely on collaboration across sectors and governments to inform its development and </w:t>
      </w:r>
      <w:r w:rsidR="007730D9" w:rsidRPr="00B768A1">
        <w:t>to monitor its</w:t>
      </w:r>
      <w:r w:rsidR="00682A5B" w:rsidRPr="00B768A1">
        <w:t xml:space="preserve"> implementation and impact</w:t>
      </w:r>
      <w:r w:rsidR="5CB1D6F7" w:rsidRPr="00B768A1">
        <w:t xml:space="preserve"> (</w:t>
      </w:r>
      <w:r w:rsidR="00177571">
        <w:t>action ce</w:t>
      </w:r>
      <w:r w:rsidR="5CB1D6F7" w:rsidRPr="00B768A1">
        <w:t>4.1a)</w:t>
      </w:r>
      <w:r w:rsidR="00682A5B" w:rsidRPr="00B768A1">
        <w:t>.</w:t>
      </w:r>
      <w:r w:rsidR="008637C4">
        <w:t xml:space="preserve"> </w:t>
      </w:r>
    </w:p>
    <w:p w14:paraId="0CBCC0EC" w14:textId="7EC9F50D" w:rsidR="00682A5B" w:rsidRDefault="008637C4" w:rsidP="00634A83">
      <w:r w:rsidRPr="105AEE34">
        <w:t>The recommended action is described in</w:t>
      </w:r>
      <w:r w:rsidR="00F04C6C">
        <w:t xml:space="preserve"> </w:t>
      </w:r>
      <w:r w:rsidR="00F04C6C">
        <w:fldChar w:fldCharType="begin"/>
      </w:r>
      <w:r w:rsidR="00F04C6C">
        <w:instrText xml:space="preserve"> REF _Ref162257317 \h </w:instrText>
      </w:r>
      <w:r w:rsidR="00F04C6C">
        <w:fldChar w:fldCharType="separate"/>
      </w:r>
      <w:r w:rsidR="009F12B4">
        <w:t xml:space="preserve">Table </w:t>
      </w:r>
      <w:r w:rsidR="009F12B4">
        <w:rPr>
          <w:noProof/>
        </w:rPr>
        <w:t>41</w:t>
      </w:r>
      <w:r w:rsidR="00F04C6C">
        <w:fldChar w:fldCharType="end"/>
      </w:r>
      <w:r w:rsidRPr="00277BA5">
        <w:t>.</w:t>
      </w:r>
    </w:p>
    <w:p w14:paraId="58094E01" w14:textId="66B6EEB9" w:rsidR="00074FBD" w:rsidRPr="00247E24" w:rsidRDefault="1BADC37E" w:rsidP="00E1682B">
      <w:pPr>
        <w:pStyle w:val="BT-Livedexperience-Pink-Heading"/>
      </w:pPr>
      <w:r>
        <w:rPr>
          <w:noProof/>
        </w:rPr>
        <w:drawing>
          <wp:anchor distT="0" distB="0" distL="114300" distR="114300" simplePos="0" relativeHeight="251658249" behindDoc="0" locked="0" layoutInCell="1" allowOverlap="1" wp14:anchorId="6226B2DF" wp14:editId="576BDF34">
            <wp:simplePos x="0" y="0"/>
            <wp:positionH relativeFrom="column">
              <wp:posOffset>90170</wp:posOffset>
            </wp:positionH>
            <wp:positionV relativeFrom="paragraph">
              <wp:posOffset>135890</wp:posOffset>
            </wp:positionV>
            <wp:extent cx="318864" cy="318864"/>
            <wp:effectExtent l="0" t="0" r="5080" b="5080"/>
            <wp:wrapNone/>
            <wp:docPr id="13" name="Graphic 13"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3"/>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rot="16200000">
                      <a:off x="0" y="0"/>
                      <a:ext cx="318864" cy="318864"/>
                    </a:xfrm>
                    <a:prstGeom prst="rect">
                      <a:avLst/>
                    </a:prstGeom>
                  </pic:spPr>
                </pic:pic>
              </a:graphicData>
            </a:graphic>
          </wp:anchor>
        </w:drawing>
      </w:r>
      <w:r w:rsidR="70A76757">
        <w:t xml:space="preserve"> </w:t>
      </w:r>
      <w:r w:rsidR="00992E6F">
        <w:tab/>
      </w:r>
      <w:r w:rsidR="08E2048E" w:rsidRPr="17FA49B8">
        <w:t>Reflections from people with lived experience</w:t>
      </w:r>
    </w:p>
    <w:p w14:paraId="78025C1E" w14:textId="7E0345F6" w:rsidR="00074FBD" w:rsidRPr="00B768A1" w:rsidRDefault="000C5FDE" w:rsidP="00634A83">
      <w:pPr>
        <w:pStyle w:val="BT-Livedexperience-Pink"/>
      </w:pPr>
      <w:r>
        <w:t>“</w:t>
      </w:r>
      <w:r w:rsidR="00074FBD">
        <w:t xml:space="preserve">During my inpatient stay at a psychiatric ward, I received invaluable support from a dedicated social worker. She took the initiative to deeply reflect on and understand how my </w:t>
      </w:r>
      <w:r w:rsidR="00074FBD" w:rsidRPr="00F833FC">
        <w:rPr>
          <w:rStyle w:val="Strong"/>
          <w:b w:val="0"/>
          <w:bCs w:val="0"/>
        </w:rPr>
        <w:t>unique background</w:t>
      </w:r>
      <w:r w:rsidR="00074FBD" w:rsidRPr="45E58E07">
        <w:rPr>
          <w:color w:val="97508A"/>
        </w:rPr>
        <w:t xml:space="preserve"> </w:t>
      </w:r>
      <w:r w:rsidR="00074FBD">
        <w:t xml:space="preserve">and </w:t>
      </w:r>
      <w:r w:rsidR="00074FBD" w:rsidRPr="00F833FC">
        <w:rPr>
          <w:rStyle w:val="Strong"/>
          <w:b w:val="0"/>
          <w:bCs w:val="0"/>
        </w:rPr>
        <w:t>cultural heritage intersected</w:t>
      </w:r>
      <w:r w:rsidR="00074FBD">
        <w:t xml:space="preserve">, significantly influencing my complex need for a </w:t>
      </w:r>
      <w:r w:rsidR="00074FBD" w:rsidRPr="00F833FC">
        <w:rPr>
          <w:rStyle w:val="Strong"/>
          <w:b w:val="0"/>
          <w:bCs w:val="0"/>
        </w:rPr>
        <w:t>sense of belonging</w:t>
      </w:r>
      <w:r w:rsidR="00074FBD">
        <w:t xml:space="preserve">. Recognising the importance of this, my social worker connected me with a </w:t>
      </w:r>
      <w:r w:rsidR="00074FBD" w:rsidRPr="00F833FC">
        <w:rPr>
          <w:rStyle w:val="Strong"/>
          <w:b w:val="0"/>
          <w:bCs w:val="0"/>
        </w:rPr>
        <w:t>psychologist</w:t>
      </w:r>
      <w:r w:rsidR="00074FBD">
        <w:t xml:space="preserve"> from </w:t>
      </w:r>
      <w:r w:rsidR="00074FBD" w:rsidRPr="00F833FC">
        <w:rPr>
          <w:rStyle w:val="Strong"/>
          <w:b w:val="0"/>
          <w:bCs w:val="0"/>
        </w:rPr>
        <w:t>my own cultural community,</w:t>
      </w:r>
      <w:r w:rsidR="00074FBD">
        <w:t xml:space="preserve"> this professional not only </w:t>
      </w:r>
      <w:r w:rsidR="00074FBD" w:rsidRPr="00F833FC">
        <w:rPr>
          <w:rStyle w:val="Strong"/>
          <w:b w:val="0"/>
          <w:bCs w:val="0"/>
        </w:rPr>
        <w:t>comprehended</w:t>
      </w:r>
      <w:r w:rsidR="00074FBD">
        <w:t xml:space="preserve"> my intricate childhood </w:t>
      </w:r>
      <w:r w:rsidR="00074FBD" w:rsidRPr="00F833FC">
        <w:rPr>
          <w:rStyle w:val="Strong"/>
          <w:b w:val="0"/>
          <w:bCs w:val="0"/>
        </w:rPr>
        <w:t>experiences</w:t>
      </w:r>
      <w:r w:rsidR="00074FBD">
        <w:t xml:space="preserve">, but also provided a </w:t>
      </w:r>
      <w:r w:rsidR="00074FBD" w:rsidRPr="00F833FC">
        <w:rPr>
          <w:rStyle w:val="Strong"/>
          <w:b w:val="0"/>
          <w:bCs w:val="0"/>
        </w:rPr>
        <w:t>nurturing environment</w:t>
      </w:r>
      <w:r w:rsidR="00074FBD" w:rsidRPr="45E58E07">
        <w:rPr>
          <w:color w:val="97508A"/>
        </w:rPr>
        <w:t xml:space="preserve"> </w:t>
      </w:r>
      <w:r w:rsidR="00074FBD">
        <w:t xml:space="preserve">for </w:t>
      </w:r>
      <w:r w:rsidR="00074FBD" w:rsidRPr="00F833FC">
        <w:rPr>
          <w:rStyle w:val="Strong"/>
          <w:b w:val="0"/>
          <w:bCs w:val="0"/>
        </w:rPr>
        <w:t>growth</w:t>
      </w:r>
      <w:r w:rsidR="00074FBD" w:rsidRPr="00F833FC">
        <w:rPr>
          <w:color w:val="97508A"/>
        </w:rPr>
        <w:t xml:space="preserve"> </w:t>
      </w:r>
      <w:r w:rsidR="00074FBD" w:rsidRPr="45E58E07">
        <w:t>and</w:t>
      </w:r>
      <w:r w:rsidR="00074FBD" w:rsidRPr="00F833FC">
        <w:rPr>
          <w:color w:val="97508A"/>
        </w:rPr>
        <w:t xml:space="preserve"> </w:t>
      </w:r>
      <w:r w:rsidR="00074FBD" w:rsidRPr="00F833FC">
        <w:rPr>
          <w:rStyle w:val="Strong"/>
          <w:b w:val="0"/>
          <w:bCs w:val="0"/>
        </w:rPr>
        <w:t>recovery</w:t>
      </w:r>
      <w:r w:rsidR="00074FBD">
        <w:t xml:space="preserve">. I firmly believe that such personalised </w:t>
      </w:r>
      <w:r w:rsidR="00074FBD" w:rsidRPr="00F833FC">
        <w:rPr>
          <w:rStyle w:val="Strong"/>
          <w:b w:val="0"/>
          <w:bCs w:val="0"/>
        </w:rPr>
        <w:t>support, tailored</w:t>
      </w:r>
      <w:r w:rsidR="00074FBD" w:rsidRPr="00F833FC">
        <w:rPr>
          <w:color w:val="97508A"/>
        </w:rPr>
        <w:t xml:space="preserve"> </w:t>
      </w:r>
      <w:r w:rsidR="00074FBD">
        <w:t xml:space="preserve">for individuals from </w:t>
      </w:r>
      <w:r w:rsidR="00074FBD" w:rsidRPr="00F833FC">
        <w:rPr>
          <w:rStyle w:val="Strong"/>
          <w:b w:val="0"/>
          <w:bCs w:val="0"/>
        </w:rPr>
        <w:t>diverse cultural backgrounds</w:t>
      </w:r>
      <w:r w:rsidR="00074FBD">
        <w:t xml:space="preserve">, is pivotal. It enables us to connect with like-minded individuals and professionals who can </w:t>
      </w:r>
      <w:r w:rsidR="00074FBD" w:rsidRPr="00F833FC">
        <w:rPr>
          <w:rStyle w:val="Strong"/>
          <w:b w:val="0"/>
          <w:bCs w:val="0"/>
        </w:rPr>
        <w:t>truly empathise</w:t>
      </w:r>
      <w:r w:rsidR="00074FBD">
        <w:t xml:space="preserve"> with our </w:t>
      </w:r>
      <w:r w:rsidR="00074FBD" w:rsidRPr="00F833FC">
        <w:rPr>
          <w:rStyle w:val="Strong"/>
          <w:b w:val="0"/>
          <w:bCs w:val="0"/>
        </w:rPr>
        <w:t>core value systems</w:t>
      </w:r>
      <w:r w:rsidR="00074FBD" w:rsidRPr="00F833FC">
        <w:rPr>
          <w:color w:val="97508A"/>
        </w:rPr>
        <w:t xml:space="preserve"> </w:t>
      </w:r>
      <w:r w:rsidR="00074FBD">
        <w:t>and cultural origins.</w:t>
      </w:r>
      <w:r>
        <w:t>”</w:t>
      </w:r>
    </w:p>
    <w:p w14:paraId="0D94F059" w14:textId="64ABEEE3" w:rsidR="00074FBD" w:rsidRDefault="00074FBD" w:rsidP="007839BC">
      <w:pPr>
        <w:pStyle w:val="BT-Livedexperience-Pink"/>
        <w:jc w:val="right"/>
        <w:rPr>
          <w:rStyle w:val="Strong"/>
          <w:b w:val="0"/>
          <w:bCs w:val="0"/>
        </w:rPr>
      </w:pPr>
      <w:r w:rsidRPr="00B768A1">
        <w:rPr>
          <w:rStyle w:val="Strong"/>
        </w:rPr>
        <w:t>Isha Garg</w:t>
      </w:r>
      <w:r w:rsidRPr="00E70942">
        <w:rPr>
          <w:rStyle w:val="Strong"/>
          <w:b w:val="0"/>
          <w:bCs w:val="0"/>
        </w:rPr>
        <w:t>, Lived Experience Partnership Group member</w:t>
      </w:r>
    </w:p>
    <w:p w14:paraId="6F64F2EA" w14:textId="2D335BBC" w:rsidR="00CA56B1" w:rsidRPr="00B768A1" w:rsidRDefault="00CA56B1" w:rsidP="00745B34">
      <w:pPr>
        <w:pStyle w:val="Caption"/>
      </w:pPr>
      <w:bookmarkStart w:id="183" w:name="_Ref162257317"/>
      <w:r>
        <w:t xml:space="preserve">Table </w:t>
      </w:r>
      <w:r>
        <w:fldChar w:fldCharType="begin"/>
      </w:r>
      <w:r>
        <w:instrText>SEQ Table \* ARABIC</w:instrText>
      </w:r>
      <w:r>
        <w:fldChar w:fldCharType="separate"/>
      </w:r>
      <w:r w:rsidR="009F12B4">
        <w:rPr>
          <w:noProof/>
        </w:rPr>
        <w:t>41</w:t>
      </w:r>
      <w:r>
        <w:fldChar w:fldCharType="end"/>
      </w:r>
      <w:bookmarkEnd w:id="183"/>
      <w:r>
        <w:t>: Recommended action for critical enable</w:t>
      </w:r>
      <w:r w:rsidR="006774C3">
        <w:t>r</w:t>
      </w:r>
      <w:r>
        <w:t xml:space="preserve"> 4.1: Develop a national suicide prevention workforce strategy</w:t>
      </w:r>
    </w:p>
    <w:tbl>
      <w:tblPr>
        <w:tblStyle w:val="TableGrid"/>
        <w:tblW w:w="9213" w:type="dxa"/>
        <w:tblLook w:val="0420" w:firstRow="1" w:lastRow="0" w:firstColumn="0" w:lastColumn="0" w:noHBand="0" w:noVBand="1"/>
        <w:tblCaption w:val=": Recommended action for critical enable 4.1: Develop a national suicide prevention workforce strategy"/>
        <w:tblDescription w:val="Describes action ce4.1a"/>
      </w:tblPr>
      <w:tblGrid>
        <w:gridCol w:w="1270"/>
        <w:gridCol w:w="7943"/>
      </w:tblGrid>
      <w:tr w:rsidR="005D0DDD" w:rsidRPr="00C16C96" w14:paraId="66119E37" w14:textId="77777777" w:rsidTr="553FDA49">
        <w:trPr>
          <w:cnfStyle w:val="100000000000" w:firstRow="1" w:lastRow="0" w:firstColumn="0" w:lastColumn="0" w:oddVBand="0" w:evenVBand="0" w:oddHBand="0" w:evenHBand="0" w:firstRowFirstColumn="0" w:firstRowLastColumn="0" w:lastRowFirstColumn="0" w:lastRowLastColumn="0"/>
          <w:trHeight w:val="300"/>
          <w:tblHeader/>
        </w:trPr>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80AD" w:themeFill="accent4"/>
          </w:tcPr>
          <w:p w14:paraId="7C3D7046" w14:textId="0B123DC6" w:rsidR="005D0DDD" w:rsidRPr="00C16C96" w:rsidRDefault="005D0DDD" w:rsidP="004F5B0E">
            <w:pPr>
              <w:pStyle w:val="NMHCTableHeaderRow"/>
            </w:pPr>
            <w:r w:rsidRPr="00C16C96">
              <w:t>Action</w:t>
            </w:r>
          </w:p>
        </w:tc>
        <w:tc>
          <w:tcPr>
            <w:tcW w:w="7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80AD" w:themeFill="accent4"/>
            <w:tcMar>
              <w:top w:w="28" w:type="dxa"/>
              <w:bottom w:w="28" w:type="dxa"/>
            </w:tcMar>
          </w:tcPr>
          <w:p w14:paraId="5C09265D" w14:textId="4A17A099" w:rsidR="005D0DDD" w:rsidRPr="00C16C96" w:rsidRDefault="00463C6E" w:rsidP="004F5B0E">
            <w:pPr>
              <w:pStyle w:val="NMHCTableHeaderRow"/>
            </w:pPr>
            <w:r>
              <w:t>Description</w:t>
            </w:r>
          </w:p>
        </w:tc>
      </w:tr>
      <w:tr w:rsidR="00682A5B" w:rsidRPr="00B768A1" w14:paraId="20DE4C79" w14:textId="77777777" w:rsidTr="553FDA49">
        <w:trPr>
          <w:trHeight w:val="300"/>
        </w:trPr>
        <w:tc>
          <w:tcPr>
            <w:tcW w:w="1270" w:type="dxa"/>
            <w:tcBorders>
              <w:top w:val="single" w:sz="4" w:space="0" w:color="FFFFFF" w:themeColor="background1"/>
            </w:tcBorders>
          </w:tcPr>
          <w:p w14:paraId="4A93BD2C" w14:textId="69EF453A" w:rsidR="00682A5B" w:rsidRPr="00F833FC" w:rsidRDefault="00752C00" w:rsidP="00634A83">
            <w:pPr>
              <w:rPr>
                <w:rFonts w:cstheme="minorBidi"/>
              </w:rPr>
            </w:pPr>
            <w:r w:rsidRPr="00F833FC">
              <w:t>ce</w:t>
            </w:r>
            <w:r w:rsidR="00682A5B" w:rsidRPr="00F833FC">
              <w:t>4.1</w:t>
            </w:r>
            <w:r w:rsidR="7E4CF2B3" w:rsidRPr="00F833FC">
              <w:t>a</w:t>
            </w:r>
          </w:p>
        </w:tc>
        <w:tc>
          <w:tcPr>
            <w:tcW w:w="7943" w:type="dxa"/>
            <w:tcBorders>
              <w:top w:val="single" w:sz="4" w:space="0" w:color="FFFFFF" w:themeColor="background1"/>
            </w:tcBorders>
            <w:tcMar>
              <w:top w:w="28" w:type="dxa"/>
              <w:bottom w:w="28" w:type="dxa"/>
            </w:tcMar>
          </w:tcPr>
          <w:p w14:paraId="20CD26BD" w14:textId="43CBCD9E" w:rsidR="00682A5B" w:rsidRPr="00F833FC" w:rsidRDefault="00682A5B" w:rsidP="00634A83">
            <w:r w:rsidRPr="00F833FC">
              <w:t xml:space="preserve">Develop a </w:t>
            </w:r>
            <w:r w:rsidR="526C00F0" w:rsidRPr="00F833FC">
              <w:t>n</w:t>
            </w:r>
            <w:r w:rsidRPr="00F833FC">
              <w:t xml:space="preserve">ational </w:t>
            </w:r>
            <w:r w:rsidR="526C00F0" w:rsidRPr="00F833FC">
              <w:t>s</w:t>
            </w:r>
            <w:r w:rsidRPr="00F833FC">
              <w:t xml:space="preserve">uicide </w:t>
            </w:r>
            <w:r w:rsidR="526C00F0" w:rsidRPr="00F833FC">
              <w:t>p</w:t>
            </w:r>
            <w:r w:rsidRPr="00F833FC">
              <w:t xml:space="preserve">revention </w:t>
            </w:r>
            <w:r w:rsidR="526C00F0" w:rsidRPr="00F833FC">
              <w:t>w</w:t>
            </w:r>
            <w:r w:rsidRPr="00F833FC">
              <w:t xml:space="preserve">orkforce </w:t>
            </w:r>
            <w:r w:rsidR="526C00F0" w:rsidRPr="00F833FC">
              <w:t>s</w:t>
            </w:r>
            <w:r w:rsidRPr="00F833FC">
              <w:t>trategy to guide a coordinated approach to workforce planning and development across governments and portfolios. This strategy should:</w:t>
            </w:r>
          </w:p>
          <w:p w14:paraId="7953EDC2" w14:textId="418A5DBA" w:rsidR="00682A5B" w:rsidRPr="00F833FC" w:rsidRDefault="00682A5B" w:rsidP="00634A83">
            <w:pPr>
              <w:pStyle w:val="ListParagraph"/>
              <w:numPr>
                <w:ilvl w:val="0"/>
                <w:numId w:val="54"/>
              </w:numPr>
            </w:pPr>
            <w:r w:rsidRPr="00F833FC">
              <w:t>Define the scope of the suicide prevention workforce</w:t>
            </w:r>
            <w:r w:rsidR="2C35F056" w:rsidRPr="00F833FC">
              <w:t>.</w:t>
            </w:r>
          </w:p>
          <w:p w14:paraId="23D52829" w14:textId="77777777" w:rsidR="00682A5B" w:rsidRPr="00F833FC" w:rsidRDefault="00682A5B" w:rsidP="00634A83">
            <w:pPr>
              <w:pStyle w:val="ListParagraph"/>
              <w:numPr>
                <w:ilvl w:val="0"/>
                <w:numId w:val="54"/>
              </w:numPr>
            </w:pPr>
            <w:r w:rsidRPr="00F833FC">
              <w:t>Raise awareness of the broad range of workforces that have a role in suicide prevention.</w:t>
            </w:r>
          </w:p>
          <w:p w14:paraId="437269F6" w14:textId="79EAB51E" w:rsidR="00682A5B" w:rsidRPr="00F833FC" w:rsidRDefault="00682A5B" w:rsidP="00634A83">
            <w:pPr>
              <w:pStyle w:val="ListParagraph"/>
              <w:numPr>
                <w:ilvl w:val="0"/>
                <w:numId w:val="54"/>
              </w:numPr>
            </w:pPr>
            <w:r>
              <w:t>Clarify roles, competencies and required areas of capability development.</w:t>
            </w:r>
          </w:p>
          <w:p w14:paraId="1757DDA2" w14:textId="60388E8B" w:rsidR="00682A5B" w:rsidRPr="00F833FC" w:rsidRDefault="00682A5B" w:rsidP="00634A83">
            <w:pPr>
              <w:pStyle w:val="ListParagraph"/>
              <w:numPr>
                <w:ilvl w:val="0"/>
                <w:numId w:val="54"/>
              </w:numPr>
              <w:rPr>
                <w:rFonts w:eastAsia="Calibri"/>
                <w:lang w:eastAsia="en-AU"/>
              </w:rPr>
            </w:pPr>
            <w:r w:rsidRPr="00F833FC">
              <w:t>Identify priorities for attracting, training, maximising, supporting, retaining and sustaining key workforces that deliver culturally safe and inclusive suicide prevention services.</w:t>
            </w:r>
          </w:p>
        </w:tc>
      </w:tr>
    </w:tbl>
    <w:p w14:paraId="0B286F6A" w14:textId="38C0D78C" w:rsidR="00682A5B" w:rsidRPr="00B768A1" w:rsidRDefault="454D6EFD" w:rsidP="00634A83">
      <w:pPr>
        <w:pStyle w:val="Heading3"/>
      </w:pPr>
      <w:r>
        <w:t>ce</w:t>
      </w:r>
      <w:r w:rsidR="00682A5B">
        <w:t xml:space="preserve">4.2 Build </w:t>
      </w:r>
      <w:r w:rsidR="003E163A">
        <w:t xml:space="preserve">capacity </w:t>
      </w:r>
      <w:r w:rsidR="00B57BE8">
        <w:t xml:space="preserve">and capability </w:t>
      </w:r>
      <w:r w:rsidR="00682A5B">
        <w:t>of key workforces</w:t>
      </w:r>
    </w:p>
    <w:p w14:paraId="2946E47D" w14:textId="07FECFF0" w:rsidR="00682A5B" w:rsidRPr="00B768A1" w:rsidRDefault="7918F4A7" w:rsidP="00634A83">
      <w:r>
        <w:t xml:space="preserve">While a suicide prevention workforce strategy will help </w:t>
      </w:r>
      <w:r w:rsidR="1AAEC81F">
        <w:t xml:space="preserve">broaden and strengthen suicide prevention in the medium- to long-term, </w:t>
      </w:r>
      <w:r w:rsidR="00682A5B">
        <w:t xml:space="preserve">there are </w:t>
      </w:r>
      <w:r w:rsidR="4478CB70">
        <w:t xml:space="preserve">also </w:t>
      </w:r>
      <w:r w:rsidR="00682A5B">
        <w:t>immediate workforce needs to be addressed.</w:t>
      </w:r>
    </w:p>
    <w:p w14:paraId="1FB864FB" w14:textId="549D74B8" w:rsidR="00682A5B" w:rsidRPr="00E1682B" w:rsidRDefault="00682A5B" w:rsidP="00E1682B">
      <w:pPr>
        <w:pStyle w:val="Heading4"/>
      </w:pPr>
      <w:r w:rsidRPr="00E1682B">
        <w:t>General practitioners</w:t>
      </w:r>
    </w:p>
    <w:p w14:paraId="0C790055" w14:textId="2A1D6562" w:rsidR="00682A5B" w:rsidRPr="00B768A1" w:rsidRDefault="3A16EB42" w:rsidP="00634A83">
      <w:r w:rsidRPr="00B768A1">
        <w:t>General practi</w:t>
      </w:r>
      <w:r w:rsidR="61BC96DD" w:rsidRPr="00B768A1">
        <w:t>ti</w:t>
      </w:r>
      <w:r w:rsidRPr="00B768A1">
        <w:t>oners (</w:t>
      </w:r>
      <w:r w:rsidR="5F376F50" w:rsidRPr="00B768A1">
        <w:t>GPs</w:t>
      </w:r>
      <w:r w:rsidRPr="00B768A1">
        <w:t>)</w:t>
      </w:r>
      <w:r w:rsidR="5F376F50" w:rsidRPr="00B768A1">
        <w:t xml:space="preserve"> have a</w:t>
      </w:r>
      <w:r w:rsidR="7B9AB8EC">
        <w:t xml:space="preserve"> pivotal</w:t>
      </w:r>
      <w:r w:rsidR="5F376F50" w:rsidRPr="00B768A1">
        <w:t xml:space="preserve"> role in suicide prevention </w:t>
      </w:r>
      <w:r w:rsidR="20BFF2C8" w:rsidRPr="00B768A1">
        <w:t xml:space="preserve">because </w:t>
      </w:r>
      <w:r w:rsidR="5F376F50" w:rsidRPr="00B768A1">
        <w:t xml:space="preserve">they are often the first (and sometimes only) contact that people experiencing suicidal thoughts and behaviours have with the healthcare system, and act as the lynchpin for </w:t>
      </w:r>
      <w:r w:rsidR="321573BC" w:rsidRPr="00B768A1">
        <w:t xml:space="preserve">the inclusion of </w:t>
      </w:r>
      <w:r w:rsidR="5F376F50" w:rsidRPr="00B768A1">
        <w:t>families, carers and kin in support planning.</w:t>
      </w:r>
      <w:hyperlink w:anchor="_ENREF_335" w:tooltip="D, 2013 #1136" w:history="1">
        <w:r w:rsidR="002D6F18" w:rsidRPr="00B338F4">
          <w:rPr>
            <w:vertAlign w:val="superscript"/>
          </w:rPr>
          <w:fldChar w:fldCharType="begin"/>
        </w:r>
        <w:r w:rsidR="002D6F18">
          <w:rPr>
            <w:vertAlign w:val="superscript"/>
          </w:rPr>
          <w:instrText xml:space="preserve"> ADDIN EN.CITE &lt;EndNote&gt;&lt;Cite&gt;&lt;Author&gt;D&lt;/Author&gt;&lt;Year&gt;2013&lt;/Year&gt;&lt;RecNum&gt;1136&lt;/RecNum&gt;&lt;DisplayText&gt;&lt;style face="superscript"&gt;335&lt;/style&gt;&lt;/DisplayText&gt;&lt;record&gt;&lt;rec-number&gt;1136&lt;/rec-number&gt;&lt;foreign-keys&gt;&lt;key app="EN" db-id="rsettzd2isasdweewww55s9lffasxav0d0ft" timestamp="1720524926" guid="6462128d-960f-4acf-97b3-dd27091ccf3b"&gt;1136&lt;/key&gt;&lt;/foreign-keys&gt;&lt;ref-type name="Journal Article"&gt;17&lt;/ref-type&gt;&lt;contributors&gt;&lt;authors&gt;&lt;author&gt;De Leo D&lt;/author&gt;&lt;author&gt;Draper BM&lt;/author&gt;&lt;author&gt;Snowdon J&lt;/author&gt;&lt;author&gt;Kõlves K&lt;/author&gt;&lt;/authors&gt;&lt;/contributors&gt;&lt;titles&gt;&lt;title&gt;Contacts with health professionals before suicide: Missed opportunities for prevention?&lt;/title&gt;&lt;secondary-title&gt;Comprehensive Psychiatry&lt;/secondary-title&gt;&lt;/titles&gt;&lt;periodical&gt;&lt;full-title&gt;Comprehensive Psychiatry&lt;/full-title&gt;&lt;/periodical&gt;&lt;pages&gt;1117-1123&lt;/pages&gt;&lt;volume&gt;54&lt;/volume&gt;&lt;number&gt;7&lt;/number&gt;&lt;dates&gt;&lt;year&gt;2013&lt;/year&gt;&lt;pub-dates&gt;&lt;date&gt;2013/10/01/&lt;/date&gt;&lt;/pub-dates&gt;&lt;/dates&gt;&lt;isbn&gt;0010-440X&lt;/isbn&gt;&lt;urls&gt;&lt;related-urls&gt;&lt;url&gt;https://www.sciencedirect.com/science/article/pii/S0010440X13001168&lt;/url&gt;&lt;/related-urls&gt;&lt;/urls&gt;&lt;electronic-resource-num&gt;https://doi.org/10.1016/j.comppsych.2013.05.007&lt;/electronic-resource-num&gt;&lt;/record&gt;&lt;/Cite&gt;&lt;/EndNote&gt;</w:instrText>
        </w:r>
        <w:r w:rsidR="002D6F18" w:rsidRPr="00B338F4">
          <w:rPr>
            <w:vertAlign w:val="superscript"/>
          </w:rPr>
          <w:fldChar w:fldCharType="separate"/>
        </w:r>
        <w:r w:rsidR="002D6F18">
          <w:rPr>
            <w:noProof/>
            <w:vertAlign w:val="superscript"/>
          </w:rPr>
          <w:t>335</w:t>
        </w:r>
        <w:r w:rsidR="002D6F18" w:rsidRPr="00B338F4">
          <w:rPr>
            <w:vertAlign w:val="superscript"/>
          </w:rPr>
          <w:fldChar w:fldCharType="end"/>
        </w:r>
      </w:hyperlink>
      <w:r w:rsidR="00D30CF4" w:rsidRPr="00B338F4">
        <w:rPr>
          <w:vertAlign w:val="superscript"/>
        </w:rPr>
        <w:t>,</w:t>
      </w:r>
      <w:hyperlink w:anchor="_ENREF_336" w:tooltip="K, 2019 #1070" w:history="1">
        <w:r w:rsidR="002D6F18" w:rsidRPr="00B338F4">
          <w:rPr>
            <w:vertAlign w:val="superscript"/>
          </w:rPr>
          <w:fldChar w:fldCharType="begin"/>
        </w:r>
        <w:r w:rsidR="002D6F18">
          <w:rPr>
            <w:vertAlign w:val="superscript"/>
          </w:rPr>
          <w:instrText xml:space="preserve"> ADDIN EN.CITE &lt;EndNote&gt;&lt;Cite&gt;&lt;Author&gt;K&lt;/Author&gt;&lt;Year&gt;2019&lt;/Year&gt;&lt;RecNum&gt;1070&lt;/RecNum&gt;&lt;DisplayText&gt;&lt;style face="superscript"&gt;336&lt;/style&gt;&lt;/DisplayText&gt;&lt;record&gt;&lt;rec-number&gt;1070&lt;/rec-number&gt;&lt;foreign-keys&gt;&lt;key app="EN" db-id="rsettzd2isasdweewww55s9lffasxav0d0ft" timestamp="1720491366" guid="552878c3-58cd-4013-a9f0-a5827ff2f4d2"&gt;1070&lt;/key&gt;&lt;/foreign-keys&gt;&lt;ref-type name="Journal Article"&gt;17&lt;/ref-type&gt;&lt;contributors&gt;&lt;authors&gt;&lt;author&gt;Stene-Larsen K&lt;/author&gt;&lt;author&gt;Reneflot A&lt;/author&gt;&lt;/authors&gt;&lt;/contributors&gt;&lt;auth-address&gt;Norwegian Institute of Public Health, Domain for Mental and Physical Health, Norway.&lt;/auth-address&gt;&lt;titles&gt;&lt;title&gt;Contact with primary and mental health care prior to suicide: A systematic review of the literature from 2000 to 2017&lt;/title&gt;&lt;secondary-title&gt;Scand J Public Health&lt;/secondary-title&gt;&lt;/titles&gt;&lt;periodical&gt;&lt;full-title&gt;Scand J Public Health&lt;/full-title&gt;&lt;/periodical&gt;&lt;pages&gt;9-17&lt;/pages&gt;&lt;volume&gt;47&lt;/volume&gt;&lt;number&gt;1&lt;/number&gt;&lt;edition&gt;2017/12/07&lt;/edition&gt;&lt;keywords&gt;&lt;keyword&gt;Age Factors&lt;/keyword&gt;&lt;keyword&gt;Humans&lt;/keyword&gt;&lt;keyword&gt;Mental Health Services/*statistics &amp;amp; numerical data&lt;/keyword&gt;&lt;keyword&gt;Primary Health Care/*statistics &amp;amp; numerical data&lt;/keyword&gt;&lt;keyword&gt;Sex Factors&lt;/keyword&gt;&lt;keyword&gt;Suicide/*statistics &amp;amp; numerical data&lt;/keyword&gt;&lt;keyword&gt;Primary health services&lt;/keyword&gt;&lt;keyword&gt;gender and age differences&lt;/keyword&gt;&lt;keyword&gt;mental health&lt;/keyword&gt;&lt;keyword&gt;suicide&lt;/keyword&gt;&lt;/keywords&gt;&lt;dates&gt;&lt;year&gt;2019&lt;/year&gt;&lt;pub-dates&gt;&lt;date&gt;Feb&lt;/date&gt;&lt;/pub-dates&gt;&lt;/dates&gt;&lt;isbn&gt;1403-4948&lt;/isbn&gt;&lt;accession-num&gt;29207932&lt;/accession-num&gt;&lt;urls&gt;&lt;/urls&gt;&lt;electronic-resource-num&gt;10.1177/1403494817746274&lt;/electronic-resource-num&gt;&lt;remote-database-provider&gt;NLM&lt;/remote-database-provider&gt;&lt;language&gt;eng&lt;/language&gt;&lt;/record&gt;&lt;/Cite&gt;&lt;/EndNote&gt;</w:instrText>
        </w:r>
        <w:r w:rsidR="002D6F18" w:rsidRPr="00B338F4">
          <w:rPr>
            <w:vertAlign w:val="superscript"/>
          </w:rPr>
          <w:fldChar w:fldCharType="separate"/>
        </w:r>
        <w:r w:rsidR="002D6F18">
          <w:rPr>
            <w:noProof/>
            <w:vertAlign w:val="superscript"/>
          </w:rPr>
          <w:t>336</w:t>
        </w:r>
        <w:r w:rsidR="002D6F18" w:rsidRPr="00B338F4">
          <w:rPr>
            <w:vertAlign w:val="superscript"/>
          </w:rPr>
          <w:fldChar w:fldCharType="end"/>
        </w:r>
      </w:hyperlink>
      <w:r w:rsidR="00D30CF4" w:rsidRPr="00B338F4">
        <w:rPr>
          <w:vertAlign w:val="superscript"/>
        </w:rPr>
        <w:t>,</w:t>
      </w:r>
      <w:hyperlink w:anchor="_ENREF_337" w:tooltip="Practitioners, 2020 #1109" w:history="1">
        <w:r w:rsidR="002D6F18" w:rsidRPr="00B338F4">
          <w:rPr>
            <w:vertAlign w:val="superscript"/>
          </w:rPr>
          <w:fldChar w:fldCharType="begin"/>
        </w:r>
        <w:r w:rsidR="002D6F18">
          <w:rPr>
            <w:vertAlign w:val="superscript"/>
          </w:rPr>
          <w:instrText xml:space="preserve"> ADDIN EN.CITE &lt;EndNote&gt;&lt;Cite&gt;&lt;Author&gt;Practitioners&lt;/Author&gt;&lt;Year&gt;2020&lt;/Year&gt;&lt;RecNum&gt;1109&lt;/RecNum&gt;&lt;DisplayText&gt;&lt;style face="superscript"&gt;337&lt;/style&gt;&lt;/DisplayText&gt;&lt;record&gt;&lt;rec-number&gt;1109&lt;/rec-number&gt;&lt;foreign-keys&gt;&lt;key app="EN" db-id="rsettzd2isasdweewww55s9lffasxav0d0ft" timestamp="1720504286" guid="1d1a6e57-b0cd-4692-a3c9-6851f76d4a6c"&gt;1109&lt;/key&gt;&lt;/foreign-keys&gt;&lt;ref-type name="Web Page"&gt;12&lt;/ref-type&gt;&lt;contributors&gt;&lt;authors&gt;&lt;author&gt;Royal Australian College of General Practitioners&lt;/author&gt;&lt;/authors&gt;&lt;/contributors&gt;&lt;titles&gt;&lt;title&gt;Position statement: The role of specialist GPs&lt;/title&gt;&lt;/titles&gt;&lt;dates&gt;&lt;year&gt;2020&lt;/year&gt;&lt;/dates&gt;&lt;pub-location&gt;East Melbourne&lt;/pub-location&gt;&lt;publisher&gt;Royal Australian College of General Practitioners&lt;/publisher&gt;&lt;urls&gt;&lt;related-urls&gt;&lt;url&gt;https://www.racgp.org.au/advocacy/position-statements/view-all-position-statements/health-systems-and-environmental/the-role-of-specialist-gps&lt;/url&gt;&lt;/related-urls&gt;&lt;/urls&gt;&lt;custom1&gt;2024&lt;/custom1&gt;&lt;custom2&gt;March 06&lt;/custom2&gt;&lt;/record&gt;&lt;/Cite&gt;&lt;/EndNote&gt;</w:instrText>
        </w:r>
        <w:r w:rsidR="002D6F18" w:rsidRPr="00B338F4">
          <w:rPr>
            <w:vertAlign w:val="superscript"/>
          </w:rPr>
          <w:fldChar w:fldCharType="separate"/>
        </w:r>
        <w:r w:rsidR="002D6F18">
          <w:rPr>
            <w:noProof/>
            <w:vertAlign w:val="superscript"/>
          </w:rPr>
          <w:t>337</w:t>
        </w:r>
        <w:r w:rsidR="002D6F18" w:rsidRPr="00B338F4">
          <w:rPr>
            <w:vertAlign w:val="superscript"/>
          </w:rPr>
          <w:fldChar w:fldCharType="end"/>
        </w:r>
      </w:hyperlink>
      <w:r w:rsidR="00B338F4">
        <w:t xml:space="preserve"> </w:t>
      </w:r>
      <w:r w:rsidR="6F02E706" w:rsidRPr="00F833FC">
        <w:t>H</w:t>
      </w:r>
      <w:r w:rsidR="6F02E706">
        <w:t>owever, there are opportunities to improve the support provided by GPs to peop</w:t>
      </w:r>
      <w:r w:rsidR="7FC50FDC">
        <w:t xml:space="preserve">le experiencing suicidal thoughts and behaviours. </w:t>
      </w:r>
    </w:p>
    <w:p w14:paraId="0006B54C" w14:textId="0A4638AB" w:rsidR="00682A5B" w:rsidRPr="00B768A1" w:rsidRDefault="00731F9E" w:rsidP="55FFBE13">
      <w:pPr>
        <w:rPr>
          <w:rStyle w:val="EndnoteReference"/>
          <w:vertAlign w:val="baseline"/>
        </w:rPr>
      </w:pPr>
      <w:r>
        <w:t>Suicide prevention education and training for GPs has been shown to decrease suicide rates and suicidal behaviours at the population level.</w:t>
      </w:r>
      <w:hyperlink w:anchor="_ENREF_199" w:tooltip="JJ, 2021 #307" w:history="1">
        <w:r w:rsidR="002D6F18">
          <w:fldChar w:fldCharType="begin"/>
        </w:r>
        <w:r w:rsidR="002D6F18">
          <w:instrText xml:space="preserve"> ADDIN EN.CITE &lt;EndNote&gt;&lt;Cite&gt;&lt;Author&gt;JJ&lt;/Author&gt;&lt;Year&gt;2021&lt;/Year&gt;&lt;RecNum&gt;307&lt;/RecNum&gt;&lt;DisplayText&gt;&lt;style face="superscript"&gt;199&lt;/style&gt;&lt;/DisplayText&gt;&lt;record&gt;&lt;rec-number&gt;307&lt;/rec-number&gt;&lt;foreign-keys&gt;&lt;key app="EN" db-id="rsettzd2isasdweewww55s9lffasxav0d0ft" timestamp="1700699471" guid="0f8d2def-cd15-4c67-b209-46e01ebf838b"&gt;307&lt;/key&gt;&lt;/foreign-keys&gt;&lt;ref-type name="Journal Article"&gt;17&lt;/ref-type&gt;&lt;contributors&gt;&lt;authors&gt;&lt;author&gt;Mann JJ&lt;/author&gt;&lt;author&gt;Michel CA&lt;/author&gt;&lt;author&gt;Auerbach RP&lt;/author&gt;&lt;/authors&gt;&lt;/contributors&gt;&lt;titles&gt;&lt;title&gt;Improving Suicide Prevention Through Evidence-Based Strategies: A Systematic Review&lt;/title&gt;&lt;secondary-title&gt;American Journal of Psychiatry&lt;/secondary-title&gt;&lt;/titles&gt;&lt;periodical&gt;&lt;full-title&gt;American Journal of Psychiatry&lt;/full-title&gt;&lt;/periodical&gt;&lt;dates&gt;&lt;year&gt;2021&lt;/year&gt;&lt;/dates&gt;&lt;urls&gt;&lt;/urls&gt;&lt;electronic-resource-num&gt;DOI: 10.1176/appi.ajp.2020.20060864&lt;/electronic-resource-num&gt;&lt;/record&gt;&lt;/Cite&gt;&lt;/EndNote&gt;</w:instrText>
        </w:r>
        <w:r w:rsidR="002D6F18">
          <w:fldChar w:fldCharType="separate"/>
        </w:r>
        <w:r w:rsidR="002D6F18" w:rsidRPr="00C559B5">
          <w:rPr>
            <w:noProof/>
            <w:vertAlign w:val="superscript"/>
          </w:rPr>
          <w:t>199</w:t>
        </w:r>
        <w:r w:rsidR="002D6F18">
          <w:fldChar w:fldCharType="end"/>
        </w:r>
      </w:hyperlink>
      <w:r w:rsidR="00B338F4">
        <w:t xml:space="preserve"> </w:t>
      </w:r>
      <w:r w:rsidR="00440CC5">
        <w:t>I</w:t>
      </w:r>
      <w:r w:rsidR="00213071">
        <w:t>n Australia</w:t>
      </w:r>
      <w:r w:rsidR="00440CC5">
        <w:t>, however,</w:t>
      </w:r>
      <w:r w:rsidR="5F376F50">
        <w:t xml:space="preserve"> there is </w:t>
      </w:r>
      <w:r w:rsidR="00213071">
        <w:t>currently</w:t>
      </w:r>
      <w:r>
        <w:t xml:space="preserve"> </w:t>
      </w:r>
      <w:r w:rsidR="5F376F50">
        <w:t>no requirement for GPs to complete training in suicide prevention</w:t>
      </w:r>
      <w:r w:rsidR="00213071">
        <w:t xml:space="preserve"> and there are practical barriers for many GPs to undertake such training. </w:t>
      </w:r>
      <w:r w:rsidR="00BD5D27">
        <w:t xml:space="preserve">There is a need to increase the availability, accessibility and promotion of high-quality </w:t>
      </w:r>
      <w:r w:rsidR="008927F2">
        <w:t xml:space="preserve">suicide prevention training tailored for GPs in order to encourage uptake and improve care delivered in general practice nationally. </w:t>
      </w:r>
      <w:r w:rsidR="007517F6">
        <w:t>In addition, while</w:t>
      </w:r>
      <w:r w:rsidR="5F376F50" w:rsidRPr="00B768A1">
        <w:t xml:space="preserve"> best</w:t>
      </w:r>
      <w:r w:rsidR="68D62690" w:rsidRPr="00B768A1">
        <w:t>-</w:t>
      </w:r>
      <w:r w:rsidR="5F376F50" w:rsidRPr="00B768A1">
        <w:t xml:space="preserve">practice guidelines for suicide prevention </w:t>
      </w:r>
      <w:r w:rsidR="007517F6">
        <w:t>exist</w:t>
      </w:r>
      <w:r w:rsidR="5F376F50" w:rsidRPr="00B768A1">
        <w:t>,</w:t>
      </w:r>
      <w:hyperlink w:anchor="_ENREF_338" w:tooltip="Practitioners, 2018 #476" w:history="1">
        <w:r w:rsidR="002D6F18" w:rsidRPr="00B338F4">
          <w:rPr>
            <w:vertAlign w:val="superscript"/>
          </w:rPr>
          <w:fldChar w:fldCharType="begin"/>
        </w:r>
        <w:r w:rsidR="002D6F18">
          <w:rPr>
            <w:vertAlign w:val="superscript"/>
          </w:rPr>
          <w:instrText xml:space="preserve"> ADDIN EN.CITE &lt;EndNote&gt;&lt;Cite&gt;&lt;Author&gt;Practitioners&lt;/Author&gt;&lt;Year&gt;2018&lt;/Year&gt;&lt;RecNum&gt;476&lt;/RecNum&gt;&lt;DisplayText&gt;&lt;style face="superscript"&gt;338&lt;/style&gt;&lt;/DisplayText&gt;&lt;record&gt;&lt;rec-number&gt;476&lt;/rec-number&gt;&lt;foreign-keys&gt;&lt;key app="EN" db-id="rsettzd2isasdweewww55s9lffasxav0d0ft" timestamp="1700699474" guid="9e30adac-c2ad-4fdb-9fc9-43a2a02b0a57"&gt;476&lt;/key&gt;&lt;/foreign-keys&gt;&lt;ref-type name="Web Page"&gt;12&lt;/ref-type&gt;&lt;contributors&gt;&lt;authors&gt;&lt;author&gt;Royal Australian College of General Practitioners&lt;/author&gt;&lt;/authors&gt;&lt;/contributors&gt;&lt;titles&gt;&lt;title&gt;Guidelines for Preventative Activities in General Practice, 9th Edition&lt;/title&gt;&lt;/titles&gt;&lt;dates&gt;&lt;year&gt;2018&lt;/year&gt;&lt;/dates&gt;&lt;pub-location&gt;Melbourne, Victoria&lt;/pub-location&gt;&lt;publisher&gt;RACGP&lt;/publisher&gt;&lt;work-type&gt;Internet&lt;/work-type&gt;&lt;urls&gt;&lt;related-urls&gt;&lt;url&gt;https://www.racgp.org.au/FSDEDEV/media/documents/Clinical%20Resources/Guidelines/Red%20Book/Guidelines-for-preventive-activities-in-general-practice.pdf&lt;/url&gt;&lt;/related-urls&gt;&lt;/urls&gt;&lt;custom1&gt;2023&lt;/custom1&gt;&lt;custom2&gt;November 06&lt;/custom2&gt;&lt;/record&gt;&lt;/Cite&gt;&lt;/EndNote&gt;</w:instrText>
        </w:r>
        <w:r w:rsidR="002D6F18" w:rsidRPr="00B338F4">
          <w:rPr>
            <w:vertAlign w:val="superscript"/>
          </w:rPr>
          <w:fldChar w:fldCharType="separate"/>
        </w:r>
        <w:r w:rsidR="002D6F18">
          <w:rPr>
            <w:noProof/>
            <w:vertAlign w:val="superscript"/>
          </w:rPr>
          <w:t>338</w:t>
        </w:r>
        <w:r w:rsidR="002D6F18" w:rsidRPr="00B338F4">
          <w:rPr>
            <w:vertAlign w:val="superscript"/>
          </w:rPr>
          <w:fldChar w:fldCharType="end"/>
        </w:r>
      </w:hyperlink>
      <w:r w:rsidR="00B338F4" w:rsidRPr="00B338F4">
        <w:rPr>
          <w:vertAlign w:val="superscript"/>
        </w:rPr>
        <w:t>,</w:t>
      </w:r>
      <w:hyperlink w:anchor="_ENREF_339" w:tooltip="(GPMHSC), 2016 #477" w:history="1">
        <w:r w:rsidR="002D6F18" w:rsidRPr="00B338F4">
          <w:rPr>
            <w:vertAlign w:val="superscript"/>
          </w:rPr>
          <w:fldChar w:fldCharType="begin"/>
        </w:r>
        <w:r w:rsidR="002D6F18">
          <w:rPr>
            <w:vertAlign w:val="superscript"/>
          </w:rPr>
          <w:instrText xml:space="preserve"> ADDIN EN.CITE &lt;EndNote&gt;&lt;Cite&gt;&lt;Author&gt;(GPMHSC)&lt;/Author&gt;&lt;Year&gt;2016&lt;/Year&gt;&lt;RecNum&gt;477&lt;/RecNum&gt;&lt;DisplayText&gt;&lt;style face="superscript"&gt;339&lt;/style&gt;&lt;/DisplayText&gt;&lt;record&gt;&lt;rec-number&gt;477&lt;/rec-number&gt;&lt;foreign-keys&gt;&lt;key app="EN" db-id="rsettzd2isasdweewww55s9lffasxav0d0ft" timestamp="1700699474" guid="21e9806a-a87d-4177-8074-6123c326575c"&gt;477&lt;/key&gt;&lt;/foreign-keys&gt;&lt;ref-type name="Web Page"&gt;12&lt;/ref-type&gt;&lt;contributors&gt;&lt;authors&gt;&lt;author&gt;General Practice Mental Health Standards Collaboration (GPMHSC)&lt;/author&gt;&lt;/authors&gt;&lt;/contributors&gt;&lt;titles&gt;&lt;title&gt;Suicide Prevention and First Aid: A Resource for GPs&lt;/title&gt;&lt;/titles&gt;&lt;dates&gt;&lt;year&gt;2016&lt;/year&gt;&lt;/dates&gt;&lt;pub-location&gt;Melbourne, Victoria&lt;/pub-location&gt;&lt;publisher&gt;RACGP&lt;/publisher&gt;&lt;work-type&gt;Internet&lt;/work-type&gt;&lt;urls&gt;&lt;related-urls&gt;&lt;url&gt;https://gpmhsc.org.au/getattachment/f30b23b9-086b-4f48-a1cf-55721cd0cc3b/gpmhsc-suicide-prevention-and-first-aid-resource-for-gps.pdf&lt;/url&gt;&lt;/related-urls&gt;&lt;/urls&gt;&lt;custom1&gt;2023&lt;/custom1&gt;&lt;custom2&gt;November 06&lt;/custom2&gt;&lt;/record&gt;&lt;/Cite&gt;&lt;/EndNote&gt;</w:instrText>
        </w:r>
        <w:r w:rsidR="002D6F18" w:rsidRPr="00B338F4">
          <w:rPr>
            <w:vertAlign w:val="superscript"/>
          </w:rPr>
          <w:fldChar w:fldCharType="separate"/>
        </w:r>
        <w:r w:rsidR="002D6F18">
          <w:rPr>
            <w:noProof/>
            <w:vertAlign w:val="superscript"/>
          </w:rPr>
          <w:t>339</w:t>
        </w:r>
        <w:r w:rsidR="002D6F18" w:rsidRPr="00B338F4">
          <w:rPr>
            <w:vertAlign w:val="superscript"/>
          </w:rPr>
          <w:fldChar w:fldCharType="end"/>
        </w:r>
      </w:hyperlink>
      <w:r w:rsidR="00B338F4" w:rsidRPr="00B338F4">
        <w:rPr>
          <w:vertAlign w:val="superscript"/>
        </w:rPr>
        <w:t>,</w:t>
      </w:r>
      <w:hyperlink w:anchor="_ENREF_340" w:tooltip="C, 2021 #308" w:history="1">
        <w:r w:rsidR="002D6F18" w:rsidRPr="00B338F4">
          <w:rPr>
            <w:vertAlign w:val="superscript"/>
          </w:rPr>
          <w:fldChar w:fldCharType="begin"/>
        </w:r>
        <w:r w:rsidR="002D6F18">
          <w:rPr>
            <w:vertAlign w:val="superscript"/>
          </w:rPr>
          <w:instrText xml:space="preserve"> ADDIN EN.CITE &lt;EndNote&gt;&lt;Cite&gt;&lt;Author&gt;C&lt;/Author&gt;&lt;Year&gt;2021&lt;/Year&gt;&lt;RecNum&gt;308&lt;/RecNum&gt;&lt;DisplayText&gt;&lt;style face="superscript"&gt;340&lt;/style&gt;&lt;/DisplayText&gt;&lt;record&gt;&lt;rec-number&gt;308&lt;/rec-number&gt;&lt;foreign-keys&gt;&lt;key app="EN" db-id="rsettzd2isasdweewww55s9lffasxav0d0ft" timestamp="1700699471" guid="a2b9bf04-f96f-43ad-ab00-5688a9bcee3a"&gt;308&lt;/key&gt;&lt;/foreign-keys&gt;&lt;ref-type name="Journal Article"&gt;17&lt;/ref-type&gt;&lt;contributors&gt;&lt;authors&gt;&lt;author&gt;Nuij C&lt;/author&gt;&lt;author&gt;van Ballegooijen W&lt;/author&gt;&lt;author&gt;De Beurs D&lt;/author&gt;&lt;author&gt;Juniar D&lt;/author&gt;&lt;author&gt;Erlangsen A&lt;/author&gt;&lt;author&gt;Portzky G&lt;/author&gt;&lt;author&gt;O&amp;apos;Connor RC&lt;/author&gt;&lt;author&gt;Smit JH&lt;/author&gt;&lt;author&gt;Kerkhof A&lt;/author&gt;&lt;author&gt;Riper H&lt;/author&gt;&lt;/authors&gt;&lt;/contributors&gt;&lt;titles&gt;&lt;title&gt;Safety Planning-Type Interventions for Suicide Prevention: Meta-Analysis&lt;/title&gt;&lt;secondary-title&gt;The British Journal of Psychiatry&lt;/secondary-title&gt;&lt;/titles&gt;&lt;periodical&gt;&lt;full-title&gt;The British Journal of Psychiatry&lt;/full-title&gt;&lt;/periodical&gt;&lt;dates&gt;&lt;year&gt;2021&lt;/year&gt;&lt;/dates&gt;&lt;urls&gt;&lt;/urls&gt;&lt;electronic-resource-num&gt;DOI: 10.1192/bjp.2021.50&lt;/electronic-resource-num&gt;&lt;/record&gt;&lt;/Cite&gt;&lt;/EndNote&gt;</w:instrText>
        </w:r>
        <w:r w:rsidR="002D6F18" w:rsidRPr="00B338F4">
          <w:rPr>
            <w:vertAlign w:val="superscript"/>
          </w:rPr>
          <w:fldChar w:fldCharType="separate"/>
        </w:r>
        <w:r w:rsidR="002D6F18">
          <w:rPr>
            <w:noProof/>
            <w:vertAlign w:val="superscript"/>
          </w:rPr>
          <w:t>340</w:t>
        </w:r>
        <w:r w:rsidR="002D6F18" w:rsidRPr="00B338F4">
          <w:rPr>
            <w:vertAlign w:val="superscript"/>
          </w:rPr>
          <w:fldChar w:fldCharType="end"/>
        </w:r>
      </w:hyperlink>
      <w:r w:rsidR="00B338F4">
        <w:t xml:space="preserve"> </w:t>
      </w:r>
      <w:r w:rsidR="00C665D9">
        <w:t xml:space="preserve">brief up-to-date evidence-based guidance on care for </w:t>
      </w:r>
      <w:r w:rsidR="5F9A0C51" w:rsidRPr="16C1F79F">
        <w:rPr>
          <w:rStyle w:val="EndnoteReference"/>
          <w:vertAlign w:val="baseline"/>
        </w:rPr>
        <w:t>people with suicidal thoughts and behaviour</w:t>
      </w:r>
      <w:r w:rsidR="59E6DA00" w:rsidRPr="16C1F79F">
        <w:rPr>
          <w:rStyle w:val="EndnoteReference"/>
          <w:vertAlign w:val="baseline"/>
        </w:rPr>
        <w:t xml:space="preserve"> </w:t>
      </w:r>
      <w:r w:rsidR="00C665D9" w:rsidRPr="16C1F79F">
        <w:rPr>
          <w:rStyle w:val="EndnoteReference"/>
          <w:vertAlign w:val="baseline"/>
        </w:rPr>
        <w:t>s</w:t>
      </w:r>
      <w:r w:rsidR="00C665D9">
        <w:t>hould be readily avai</w:t>
      </w:r>
      <w:r w:rsidR="000770FE">
        <w:t xml:space="preserve">lable </w:t>
      </w:r>
      <w:r w:rsidR="2D30A8D5" w:rsidRPr="16C1F79F">
        <w:rPr>
          <w:rStyle w:val="EndnoteReference"/>
          <w:vertAlign w:val="baseline"/>
        </w:rPr>
        <w:t>to all GPs</w:t>
      </w:r>
      <w:r w:rsidR="20978A3A" w:rsidRPr="16C1F79F">
        <w:rPr>
          <w:rStyle w:val="EndnoteReference"/>
          <w:vertAlign w:val="baseline"/>
        </w:rPr>
        <w:t>, even if they have not completed training</w:t>
      </w:r>
      <w:r w:rsidR="5177644A" w:rsidRPr="16C1F79F">
        <w:rPr>
          <w:rStyle w:val="EndnoteReference"/>
          <w:vertAlign w:val="baseline"/>
        </w:rPr>
        <w:t xml:space="preserve"> (ce4.2a)</w:t>
      </w:r>
      <w:r w:rsidR="20978A3A" w:rsidRPr="16C1F79F">
        <w:rPr>
          <w:rStyle w:val="EndnoteReference"/>
          <w:vertAlign w:val="baseline"/>
        </w:rPr>
        <w:t>.</w:t>
      </w:r>
    </w:p>
    <w:p w14:paraId="57CCD80A" w14:textId="3FD0F86A" w:rsidR="00682A5B" w:rsidRDefault="26DD8253" w:rsidP="55FFBE13">
      <w:r>
        <w:t xml:space="preserve">GPs </w:t>
      </w:r>
      <w:r w:rsidR="00523915">
        <w:t>commonly report</w:t>
      </w:r>
      <w:r>
        <w:t xml:space="preserve"> that people experiencing suicidal distress often require longer and more frequent sessions which may not be sufficiently recognised by current funding models. </w:t>
      </w:r>
      <w:r w:rsidR="008670E8">
        <w:t xml:space="preserve">There is a need to recognise </w:t>
      </w:r>
      <w:r w:rsidR="2749DF3D">
        <w:t>the complexity of providing best-practice care and increase support for GPs to undertake this work</w:t>
      </w:r>
      <w:r w:rsidR="00186FD4">
        <w:t xml:space="preserve">. This may also extend to </w:t>
      </w:r>
      <w:r w:rsidR="581B5891">
        <w:t xml:space="preserve">resourcing multidisciplinary team-based care </w:t>
      </w:r>
      <w:r>
        <w:t xml:space="preserve">to </w:t>
      </w:r>
      <w:r w:rsidR="468938D7">
        <w:t xml:space="preserve">enable </w:t>
      </w:r>
      <w:r>
        <w:t>holistic support</w:t>
      </w:r>
      <w:r w:rsidR="2B5F635F">
        <w:t xml:space="preserve"> to be provided to individuals and their families, carers and kin</w:t>
      </w:r>
      <w:r w:rsidR="2A0F48E8">
        <w:t xml:space="preserve"> (ce4.2a)</w:t>
      </w:r>
      <w:r>
        <w:t>.</w:t>
      </w:r>
      <w:hyperlink w:anchor="_ENREF_341" w:tooltip="Scotland, 2023 #1110" w:history="1">
        <w:r w:rsidR="002D6F18">
          <w:fldChar w:fldCharType="begin"/>
        </w:r>
        <w:r w:rsidR="002D6F18">
          <w:instrText xml:space="preserve"> ADDIN EN.CITE &lt;EndNote&gt;&lt;Cite&gt;&lt;Author&gt;Scotland&lt;/Author&gt;&lt;Year&gt;2023&lt;/Year&gt;&lt;RecNum&gt;1110&lt;/RecNum&gt;&lt;DisplayText&gt;&lt;style face="superscript"&gt;341&lt;/style&gt;&lt;/DisplayText&gt;&lt;record&gt;&lt;rec-number&gt;1110&lt;/rec-number&gt;&lt;foreign-keys&gt;&lt;key app="EN" db-id="rsettzd2isasdweewww55s9lffasxav0d0ft" timestamp="1720504416" guid="e5d707ad-0389-429f-8d77-30fe61c60e9e"&gt;1110&lt;/key&gt;&lt;/foreign-keys&gt;&lt;ref-type name="Web Page"&gt;12&lt;/ref-type&gt;&lt;contributors&gt;&lt;authors&gt;&lt;author&gt;Healthcare Improvement Scotland&lt;/author&gt;&lt;/authors&gt;&lt;/contributors&gt;&lt;titles&gt;&lt;title&gt;An evidence review on multidisciplinary team support in primary care&lt;/title&gt;&lt;/titles&gt;&lt;dates&gt;&lt;year&gt;2023&lt;/year&gt;&lt;pub-dates&gt;&lt;date&gt;17 July 2023&lt;/date&gt;&lt;/pub-dates&gt;&lt;/dates&gt;&lt;publisher&gt;Scottish Health Technologies Group&lt;/publisher&gt;&lt;work-type&gt;Internet&lt;/work-type&gt;&lt;urls&gt;&lt;related-urls&gt;&lt;url&gt;https://shtg.scot/our-advice/an-evidence-review-on-multidisciplinary-team-support-in-primary-care/&lt;/url&gt;&lt;/related-urls&gt;&lt;/urls&gt;&lt;custom1&gt;2024&lt;/custom1&gt;&lt;custom2&gt;March 13&lt;/custom2&gt;&lt;/record&gt;&lt;/Cite&gt;&lt;/EndNote&gt;</w:instrText>
        </w:r>
        <w:r w:rsidR="002D6F18">
          <w:fldChar w:fldCharType="separate"/>
        </w:r>
        <w:r w:rsidR="002D6F18" w:rsidRPr="00C559B5">
          <w:rPr>
            <w:noProof/>
            <w:vertAlign w:val="superscript"/>
          </w:rPr>
          <w:t>341</w:t>
        </w:r>
        <w:r w:rsidR="002D6F18">
          <w:fldChar w:fldCharType="end"/>
        </w:r>
      </w:hyperlink>
      <w:r w:rsidR="00B338F4">
        <w:t xml:space="preserve"> </w:t>
      </w:r>
    </w:p>
    <w:p w14:paraId="03A0498E" w14:textId="43D3A987" w:rsidR="55A46396" w:rsidRDefault="55A46396" w:rsidP="55FFBE13">
      <w:r>
        <w:t>These actions, to</w:t>
      </w:r>
      <w:r w:rsidR="320D1D46">
        <w:t xml:space="preserve"> support general practice through strengthened funding models and </w:t>
      </w:r>
      <w:r w:rsidR="58DC5664">
        <w:t xml:space="preserve">moving towards multidisciplinary team-based care, align with the recommendations of the </w:t>
      </w:r>
      <w:r w:rsidR="58DC5664" w:rsidRPr="00381701">
        <w:rPr>
          <w:i/>
          <w:iCs/>
        </w:rPr>
        <w:t>Streng</w:t>
      </w:r>
      <w:r w:rsidR="6127199D" w:rsidRPr="00381701">
        <w:rPr>
          <w:i/>
          <w:iCs/>
        </w:rPr>
        <w:t>thening Medicare Taskforce Report</w:t>
      </w:r>
      <w:hyperlink w:anchor="_ENREF_253" w:tooltip="Care, 2022 #442" w:history="1">
        <w:r w:rsidR="002D6F18">
          <w:rPr>
            <w:i/>
            <w:iCs/>
          </w:rPr>
          <w:fldChar w:fldCharType="begin"/>
        </w:r>
        <w:r w:rsidR="002D6F18">
          <w:rPr>
            <w:i/>
            <w:iCs/>
          </w:rPr>
          <w:instrText xml:space="preserve"> ADDIN EN.CITE &lt;EndNote&gt;&lt;Cite&gt;&lt;Author&gt;Care&lt;/Author&gt;&lt;Year&gt;2022&lt;/Year&gt;&lt;RecNum&gt;442&lt;/RecNum&gt;&lt;DisplayText&gt;&lt;style face="superscript"&gt;253&lt;/style&gt;&lt;/DisplayText&gt;&lt;record&gt;&lt;rec-number&gt;442&lt;/rec-number&gt;&lt;foreign-keys&gt;&lt;key app="EN" db-id="rsettzd2isasdweewww55s9lffasxav0d0ft" timestamp="1700699473" guid="d984e670-8a26-498a-9ed4-08caf3c53070"&gt;442&lt;/key&gt;&lt;/foreign-keys&gt;&lt;ref-type name="Web Page"&gt;12&lt;/ref-type&gt;&lt;contributors&gt;&lt;authors&gt;&lt;author&gt;Department of Health and Aged Care&lt;/author&gt;&lt;/authors&gt;&lt;/contributors&gt;&lt;titles&gt;&lt;title&gt;Strengthening Medicare Taskforce Report, December 2022&lt;/title&gt;&lt;/titles&gt;&lt;dates&gt;&lt;year&gt;2022&lt;/year&gt;&lt;/dates&gt;&lt;publisher&gt;Department of Health and Aged Care&lt;/publisher&gt;&lt;work-type&gt;Internet&lt;/work-type&gt;&lt;urls&gt;&lt;related-urls&gt;&lt;url&gt;https://www.health.gov.au/sites/default/files/2023-02/strengthening-medicare-taskforce-report_0.pdf&lt;/url&gt;&lt;/related-urls&gt;&lt;/urls&gt;&lt;custom1&gt;2023&lt;/custom1&gt;&lt;custom2&gt;November 05&lt;/custom2&gt;&lt;/record&gt;&lt;/Cite&gt;&lt;/EndNote&gt;</w:instrText>
        </w:r>
        <w:r w:rsidR="002D6F18">
          <w:rPr>
            <w:i/>
            <w:iCs/>
          </w:rPr>
          <w:fldChar w:fldCharType="separate"/>
        </w:r>
        <w:r w:rsidR="002D6F18" w:rsidRPr="00C559B5">
          <w:rPr>
            <w:i/>
            <w:iCs/>
            <w:noProof/>
            <w:vertAlign w:val="superscript"/>
          </w:rPr>
          <w:t>253</w:t>
        </w:r>
        <w:r w:rsidR="002D6F18">
          <w:rPr>
            <w:i/>
            <w:iCs/>
          </w:rPr>
          <w:fldChar w:fldCharType="end"/>
        </w:r>
      </w:hyperlink>
      <w:r w:rsidR="7563B19E">
        <w:t>, and would help to improve access to primary care and strengthen continuity of person-centred care</w:t>
      </w:r>
      <w:r w:rsidR="0C20802D">
        <w:t xml:space="preserve"> for people with suicidal thoughts and behaviour</w:t>
      </w:r>
      <w:r w:rsidR="7563B19E">
        <w:t>.</w:t>
      </w:r>
    </w:p>
    <w:p w14:paraId="2CF0A987" w14:textId="322B9803" w:rsidR="009859AA" w:rsidRDefault="00926204" w:rsidP="00634A83">
      <w:r>
        <w:t xml:space="preserve">The recommended action to </w:t>
      </w:r>
      <w:r w:rsidR="00D6123C">
        <w:t xml:space="preserve">build </w:t>
      </w:r>
      <w:r w:rsidR="00F401A8">
        <w:t>capacity</w:t>
      </w:r>
      <w:r w:rsidR="00D6123C">
        <w:t xml:space="preserve"> of GPs in suicide prevention </w:t>
      </w:r>
      <w:r>
        <w:t>is described in</w:t>
      </w:r>
      <w:r w:rsidR="00F04C6C">
        <w:t xml:space="preserve"> </w:t>
      </w:r>
      <w:r w:rsidR="00F04C6C">
        <w:fldChar w:fldCharType="begin"/>
      </w:r>
      <w:r w:rsidR="00F04C6C">
        <w:instrText xml:space="preserve"> REF _Ref162257819 \h </w:instrText>
      </w:r>
      <w:r w:rsidR="00F04C6C">
        <w:fldChar w:fldCharType="separate"/>
      </w:r>
      <w:r w:rsidR="009F12B4">
        <w:t xml:space="preserve">Table </w:t>
      </w:r>
      <w:r w:rsidR="009F12B4">
        <w:rPr>
          <w:noProof/>
        </w:rPr>
        <w:t>42</w:t>
      </w:r>
      <w:r w:rsidR="00F04C6C">
        <w:fldChar w:fldCharType="end"/>
      </w:r>
      <w:r w:rsidR="0065440D">
        <w:t>.</w:t>
      </w:r>
    </w:p>
    <w:p w14:paraId="66B48215" w14:textId="77777777" w:rsidR="00290EF2" w:rsidRDefault="00290EF2">
      <w:pPr>
        <w:spacing w:after="160"/>
        <w:rPr>
          <w:rStyle w:val="normaltextrun"/>
          <w:rFonts w:eastAsia="Roboto-Light" w:cstheme="minorHAnsi"/>
          <w:b/>
          <w:bCs/>
          <w:iCs/>
        </w:rPr>
      </w:pPr>
      <w:r>
        <w:rPr>
          <w:rStyle w:val="normaltextrun"/>
          <w:rFonts w:eastAsia="Roboto-Light" w:cstheme="minorHAnsi"/>
          <w:bCs/>
          <w:iCs/>
        </w:rPr>
        <w:br w:type="page"/>
      </w:r>
    </w:p>
    <w:p w14:paraId="78FF7B30" w14:textId="0EFBA34D" w:rsidR="004D64F8" w:rsidRPr="0083775A" w:rsidRDefault="004D64F8" w:rsidP="00381701">
      <w:pPr>
        <w:pStyle w:val="BT-Beigebox-Heading"/>
        <w:spacing w:before="0" w:after="120"/>
        <w:rPr>
          <w:rStyle w:val="normaltextrun"/>
          <w:rFonts w:eastAsia="Roboto-Light" w:cstheme="minorHAnsi"/>
          <w:b w:val="0"/>
          <w:bCs/>
          <w:iCs/>
        </w:rPr>
      </w:pPr>
      <w:r w:rsidRPr="0083775A">
        <w:rPr>
          <w:rStyle w:val="normaltextrun"/>
          <w:rFonts w:eastAsia="Roboto-Light" w:cstheme="minorHAnsi"/>
          <w:bCs/>
          <w:iCs/>
        </w:rPr>
        <w:t>Activity to build on</w:t>
      </w:r>
    </w:p>
    <w:p w14:paraId="470E4C96" w14:textId="77777777" w:rsidR="009004A4" w:rsidRDefault="317E616B" w:rsidP="00070CB3">
      <w:pPr>
        <w:pStyle w:val="BT-Beigebox"/>
        <w:spacing w:before="0" w:after="120"/>
      </w:pPr>
      <w:r>
        <w:t xml:space="preserve">A </w:t>
      </w:r>
      <w:r w:rsidR="0C48B0E7">
        <w:t>va</w:t>
      </w:r>
      <w:r w:rsidR="64BD6CF6">
        <w:t xml:space="preserve">riety of suicide prevention </w:t>
      </w:r>
      <w:r w:rsidR="7EB52590">
        <w:t xml:space="preserve">training is available to build the capability of health </w:t>
      </w:r>
      <w:r w:rsidR="66416E12">
        <w:t xml:space="preserve">workers to work with people experiencing </w:t>
      </w:r>
      <w:r w:rsidR="44FBD6C2">
        <w:t xml:space="preserve">suicidal thoughts and </w:t>
      </w:r>
      <w:r w:rsidR="21B1E3E2">
        <w:t>behaviours</w:t>
      </w:r>
      <w:r w:rsidR="16B299FB">
        <w:t>, including:</w:t>
      </w:r>
      <w:r w:rsidR="1C26FBCC">
        <w:t xml:space="preserve"> </w:t>
      </w:r>
    </w:p>
    <w:p w14:paraId="3110A190" w14:textId="1E6E90E9" w:rsidR="00997306" w:rsidRDefault="1B5241E1" w:rsidP="00381701">
      <w:pPr>
        <w:pStyle w:val="BT-Beigebox"/>
        <w:numPr>
          <w:ilvl w:val="0"/>
          <w:numId w:val="90"/>
        </w:numPr>
        <w:spacing w:before="0" w:after="120"/>
        <w:rPr>
          <w:rStyle w:val="normaltextrun"/>
          <w:rFonts w:eastAsia="Roboto-Light" w:cstheme="minorBidi"/>
        </w:rPr>
      </w:pPr>
      <w:r w:rsidRPr="004C6F9F">
        <w:t xml:space="preserve">Advanced </w:t>
      </w:r>
      <w:r w:rsidR="33ACD068" w:rsidRPr="004C6F9F">
        <w:t>Training in Suicide Prevention</w:t>
      </w:r>
      <w:r w:rsidR="7F322A65" w:rsidRPr="00675AB1">
        <w:rPr>
          <w:rStyle w:val="normaltextrun"/>
          <w:rFonts w:eastAsia="Roboto-Light"/>
        </w:rPr>
        <w:t>,</w:t>
      </w:r>
      <w:hyperlink w:anchor="_ENREF_342" w:tooltip="K, 2016 #1111" w:history="1">
        <w:r w:rsidR="002D6F18">
          <w:rPr>
            <w:rStyle w:val="normaltextrun"/>
            <w:rFonts w:eastAsia="Roboto-Light"/>
          </w:rPr>
          <w:fldChar w:fldCharType="begin"/>
        </w:r>
        <w:r w:rsidR="002D6F18">
          <w:rPr>
            <w:rStyle w:val="normaltextrun"/>
            <w:rFonts w:eastAsia="Roboto-Light"/>
          </w:rPr>
          <w:instrText xml:space="preserve"> ADDIN EN.CITE &lt;EndNote&gt;&lt;Cite&gt;&lt;Author&gt;K&lt;/Author&gt;&lt;Year&gt;2016&lt;/Year&gt;&lt;RecNum&gt;1111&lt;/RecNum&gt;&lt;DisplayText&gt;&lt;style face="superscript"&gt;342&lt;/style&gt;&lt;/DisplayText&gt;&lt;record&gt;&lt;rec-number&gt;1111&lt;/rec-number&gt;&lt;foreign-keys&gt;&lt;key app="EN" db-id="rsettzd2isasdweewww55s9lffasxav0d0ft" timestamp="1720504637" guid="d59f20a1-2e13-498d-b175-467e563ff4c8"&gt;1111&lt;/key&gt;&lt;/foreign-keys&gt;&lt;ref-type name="Web Page"&gt;12&lt;/ref-type&gt;&lt;contributors&gt;&lt;authors&gt;&lt;author&gt;Davies K&lt;/author&gt;&lt;author&gt;Handley T&lt;/author&gt;&lt;author&gt;Livingstone F&lt;/author&gt;&lt;author&gt;de Jaeger A&lt;/author&gt;&lt;/authors&gt;&lt;/contributors&gt;&lt;titles&gt;&lt;title&gt;‘Making the journey easier’: an evaluation of community- and clinician-targeted rural suicide prevention workshops - 8th Australian Rural and Remote Mental Health Symposium&lt;/title&gt;&lt;/titles&gt;&lt;dates&gt;&lt;year&gt;2016&lt;/year&gt;&lt;/dates&gt;&lt;pub-location&gt;Kingscliff, New South Wales&lt;/pub-location&gt;&lt;work-type&gt;Internet&lt;/work-type&gt;&lt;urls&gt;&lt;related-urls&gt;&lt;url&gt;https://nova.newcastle.edu.au/vital/access/manager/Repository/uon:33517&lt;/url&gt;&lt;/related-urls&gt;&lt;/urls&gt;&lt;custom1&gt;2024&lt;/custom1&gt;&lt;custom2&gt;March 06&lt;/custom2&gt;&lt;/record&gt;&lt;/Cite&gt;&lt;/EndNote&gt;</w:instrText>
        </w:r>
        <w:r w:rsidR="002D6F18">
          <w:rPr>
            <w:rStyle w:val="normaltextrun"/>
            <w:rFonts w:eastAsia="Roboto-Light"/>
          </w:rPr>
          <w:fldChar w:fldCharType="separate"/>
        </w:r>
        <w:r w:rsidR="002D6F18" w:rsidRPr="00C559B5">
          <w:rPr>
            <w:rStyle w:val="normaltextrun"/>
            <w:rFonts w:eastAsia="Roboto-Light"/>
            <w:noProof/>
            <w:vertAlign w:val="superscript"/>
          </w:rPr>
          <w:t>342</w:t>
        </w:r>
        <w:r w:rsidR="002D6F18">
          <w:rPr>
            <w:rStyle w:val="normaltextrun"/>
            <w:rFonts w:eastAsia="Roboto-Light"/>
          </w:rPr>
          <w:fldChar w:fldCharType="end"/>
        </w:r>
      </w:hyperlink>
      <w:r w:rsidR="0035482C">
        <w:rPr>
          <w:rStyle w:val="normaltextrun"/>
          <w:rFonts w:eastAsia="Roboto-Light"/>
        </w:rPr>
        <w:t xml:space="preserve"> </w:t>
      </w:r>
      <w:r w:rsidR="7F322A65" w:rsidRPr="55FFBE13">
        <w:rPr>
          <w:rStyle w:val="normaltextrun"/>
          <w:rFonts w:eastAsia="Roboto-Light" w:cstheme="minorBidi"/>
        </w:rPr>
        <w:t>which aims to increase the health professional’s skill and confidence in taking a detailed history and developing a collaborative management plan to increase safety.</w:t>
      </w:r>
    </w:p>
    <w:p w14:paraId="29B55B1E" w14:textId="124AED50" w:rsidR="004C6F9F" w:rsidRPr="008D1408" w:rsidRDefault="41AE28CE" w:rsidP="00381701">
      <w:pPr>
        <w:pStyle w:val="BT-Beigebox"/>
        <w:numPr>
          <w:ilvl w:val="0"/>
          <w:numId w:val="90"/>
        </w:numPr>
        <w:spacing w:before="0" w:after="120"/>
        <w:rPr>
          <w:rStyle w:val="normaltextrun"/>
          <w:rFonts w:eastAsia="Roboto-Light" w:cstheme="minorBidi"/>
        </w:rPr>
      </w:pPr>
      <w:r w:rsidRPr="55FFBE13">
        <w:rPr>
          <w:rStyle w:val="normaltextrun"/>
          <w:rFonts w:eastAsia="Roboto-Light" w:cstheme="minorBidi"/>
        </w:rPr>
        <w:t xml:space="preserve">Collaborative Assessment </w:t>
      </w:r>
      <w:r w:rsidR="348DB86E" w:rsidRPr="55FFBE13">
        <w:rPr>
          <w:rStyle w:val="normaltextrun"/>
          <w:rFonts w:eastAsia="Roboto-Light" w:cstheme="minorBidi"/>
        </w:rPr>
        <w:t xml:space="preserve">and Management </w:t>
      </w:r>
      <w:r w:rsidR="26BA6B0E" w:rsidRPr="55FFBE13">
        <w:rPr>
          <w:rStyle w:val="normaltextrun"/>
          <w:rFonts w:eastAsia="Roboto-Light" w:cstheme="minorBidi"/>
        </w:rPr>
        <w:t>of Suicidality (CAMS),</w:t>
      </w:r>
      <w:hyperlink w:anchor="_ENREF_343" w:tooltip="JK, 2021 #277" w:history="1">
        <w:r w:rsidR="002D6F18">
          <w:rPr>
            <w:rStyle w:val="normaltextrun"/>
            <w:rFonts w:eastAsia="Roboto-Light" w:cstheme="minorBidi"/>
          </w:rPr>
          <w:fldChar w:fldCharType="begin"/>
        </w:r>
        <w:r w:rsidR="002D6F18">
          <w:rPr>
            <w:rStyle w:val="normaltextrun"/>
            <w:rFonts w:eastAsia="Roboto-Light" w:cstheme="minorBidi"/>
          </w:rPr>
          <w:instrText xml:space="preserve"> ADDIN EN.CITE &lt;EndNote&gt;&lt;Cite&gt;&lt;Author&gt;JK&lt;/Author&gt;&lt;Year&gt;2021&lt;/Year&gt;&lt;RecNum&gt;277&lt;/RecNum&gt;&lt;DisplayText&gt;&lt;style face="superscript"&gt;343&lt;/style&gt;&lt;/DisplayText&gt;&lt;record&gt;&lt;rec-number&gt;277&lt;/rec-number&gt;&lt;foreign-keys&gt;&lt;key app="EN" db-id="rsettzd2isasdweewww55s9lffasxav0d0ft" timestamp="1700699470" guid="878832b8-cb58-4e39-8aef-0b47efb2e480"&gt;277&lt;/key&gt;&lt;/foreign-keys&gt;&lt;ref-type name="Journal Article"&gt;17&lt;/ref-type&gt;&lt;contributors&gt;&lt;authors&gt;&lt;author&gt;Swift JK&lt;/author&gt;&lt;author&gt;Trusty WT&lt;/author&gt;&lt;author&gt;Penix EA&lt;/author&gt;&lt;/authors&gt;&lt;/contributors&gt;&lt;titles&gt;&lt;title&gt;The Effectiveness of the Collaborative Assessment and Management of Suicidality (CAMS) Compared to Alternative Treatment Conditions: A Meta‐Analysis&lt;/title&gt;&lt;secondary-title&gt;Suicide and Life‐Threatening Behavior&lt;/secondary-title&gt;&lt;/titles&gt;&lt;periodical&gt;&lt;full-title&gt;Suicide and Life‐Threatening Behavior&lt;/full-title&gt;&lt;/periodical&gt;&lt;dates&gt;&lt;year&gt;2021&lt;/year&gt;&lt;/dates&gt;&lt;urls&gt;&lt;/urls&gt;&lt;electronic-resource-num&gt;DOI: 10.1111/sltb.12765&lt;/electronic-resource-num&gt;&lt;/record&gt;&lt;/Cite&gt;&lt;/EndNote&gt;</w:instrText>
        </w:r>
        <w:r w:rsidR="002D6F18">
          <w:rPr>
            <w:rStyle w:val="normaltextrun"/>
            <w:rFonts w:eastAsia="Roboto-Light" w:cstheme="minorBidi"/>
          </w:rPr>
          <w:fldChar w:fldCharType="separate"/>
        </w:r>
        <w:r w:rsidR="002D6F18" w:rsidRPr="00C559B5">
          <w:rPr>
            <w:rStyle w:val="normaltextrun"/>
            <w:rFonts w:eastAsia="Roboto-Light" w:cstheme="minorBidi"/>
            <w:noProof/>
            <w:vertAlign w:val="superscript"/>
          </w:rPr>
          <w:t>343</w:t>
        </w:r>
        <w:r w:rsidR="002D6F18">
          <w:rPr>
            <w:rStyle w:val="normaltextrun"/>
            <w:rFonts w:eastAsia="Roboto-Light" w:cstheme="minorBidi"/>
          </w:rPr>
          <w:fldChar w:fldCharType="end"/>
        </w:r>
      </w:hyperlink>
      <w:r w:rsidR="00F73643">
        <w:rPr>
          <w:rStyle w:val="normaltextrun"/>
          <w:rFonts w:eastAsia="Roboto-Light" w:cstheme="minorBidi"/>
        </w:rPr>
        <w:t xml:space="preserve"> </w:t>
      </w:r>
      <w:r w:rsidR="00873425">
        <w:rPr>
          <w:rStyle w:val="normaltextrun"/>
          <w:rFonts w:eastAsia="Roboto-Light" w:cstheme="minorBidi"/>
        </w:rPr>
        <w:t xml:space="preserve">which </w:t>
      </w:r>
      <w:r w:rsidR="26BA6B0E" w:rsidRPr="55FFBE13">
        <w:rPr>
          <w:rStyle w:val="normaltextrun"/>
          <w:rFonts w:eastAsia="Roboto-Light" w:cstheme="minorBidi"/>
        </w:rPr>
        <w:t>is a therapeutic framework to guide collaborative assessment and care planning.</w:t>
      </w:r>
    </w:p>
    <w:p w14:paraId="426C229F" w14:textId="4A019459" w:rsidR="00926204" w:rsidRPr="00B768A1" w:rsidRDefault="00926204" w:rsidP="00745B34">
      <w:pPr>
        <w:pStyle w:val="Caption"/>
      </w:pPr>
      <w:bookmarkStart w:id="184" w:name="_Ref162257819"/>
      <w:r>
        <w:t xml:space="preserve">Table </w:t>
      </w:r>
      <w:r>
        <w:fldChar w:fldCharType="begin"/>
      </w:r>
      <w:r>
        <w:instrText>SEQ Table \* ARABIC</w:instrText>
      </w:r>
      <w:r>
        <w:fldChar w:fldCharType="separate"/>
      </w:r>
      <w:r w:rsidR="009F12B4">
        <w:rPr>
          <w:noProof/>
        </w:rPr>
        <w:t>42</w:t>
      </w:r>
      <w:r>
        <w:fldChar w:fldCharType="end"/>
      </w:r>
      <w:bookmarkEnd w:id="184"/>
      <w:r>
        <w:t xml:space="preserve">: </w:t>
      </w:r>
      <w:r w:rsidR="006415CA">
        <w:t xml:space="preserve">Recommended action for critical enabler 4.2: Build </w:t>
      </w:r>
      <w:r w:rsidR="00F97588">
        <w:t xml:space="preserve">capacity </w:t>
      </w:r>
      <w:r w:rsidR="00B57BE8">
        <w:t xml:space="preserve">and capability </w:t>
      </w:r>
      <w:r w:rsidR="006415CA">
        <w:t>of key workforces (</w:t>
      </w:r>
      <w:r w:rsidR="00C77D4E">
        <w:t>GPs</w:t>
      </w:r>
      <w:r w:rsidR="006415CA">
        <w:t>)</w:t>
      </w:r>
    </w:p>
    <w:tbl>
      <w:tblPr>
        <w:tblStyle w:val="TableGrid"/>
        <w:tblW w:w="9072" w:type="dxa"/>
        <w:tblLook w:val="0400" w:firstRow="0" w:lastRow="0" w:firstColumn="0" w:lastColumn="0" w:noHBand="0" w:noVBand="1"/>
        <w:tblCaption w:val="Recommended action for critical enabler 4.2: Build capability of key workforces (general practitioners)"/>
        <w:tblDescription w:val="Describes action ce4.2a"/>
      </w:tblPr>
      <w:tblGrid>
        <w:gridCol w:w="1129"/>
        <w:gridCol w:w="7943"/>
      </w:tblGrid>
      <w:tr w:rsidR="006415CA" w:rsidRPr="00B768A1" w14:paraId="5684D889" w14:textId="77777777" w:rsidTr="55FFBE13">
        <w:trPr>
          <w:cantSplit/>
          <w:trHeight w:val="300"/>
          <w:tblHeader/>
        </w:trPr>
        <w:tc>
          <w:tcPr>
            <w:tcW w:w="1129" w:type="dxa"/>
            <w:tcBorders>
              <w:top w:val="nil"/>
            </w:tcBorders>
            <w:shd w:val="clear" w:color="auto" w:fill="D980AD" w:themeFill="accent4"/>
          </w:tcPr>
          <w:p w14:paraId="75DA590F" w14:textId="7085F841" w:rsidR="006415CA" w:rsidRPr="00B768A1" w:rsidRDefault="006415CA" w:rsidP="004F5B0E">
            <w:pPr>
              <w:pStyle w:val="NMHCTableHeaderRow"/>
            </w:pPr>
            <w:r>
              <w:t>Action</w:t>
            </w:r>
          </w:p>
        </w:tc>
        <w:tc>
          <w:tcPr>
            <w:tcW w:w="7943" w:type="dxa"/>
            <w:tcBorders>
              <w:top w:val="nil"/>
            </w:tcBorders>
            <w:shd w:val="clear" w:color="auto" w:fill="D980AD" w:themeFill="accent4"/>
            <w:tcMar>
              <w:top w:w="28" w:type="dxa"/>
              <w:bottom w:w="28" w:type="dxa"/>
            </w:tcMar>
          </w:tcPr>
          <w:p w14:paraId="549796E6" w14:textId="6DA214F7" w:rsidR="006415CA" w:rsidRPr="00B768A1" w:rsidRDefault="00463C6E" w:rsidP="004F5B0E">
            <w:pPr>
              <w:pStyle w:val="NMHCTableHeaderRow"/>
            </w:pPr>
            <w:r>
              <w:t>Description</w:t>
            </w:r>
          </w:p>
        </w:tc>
      </w:tr>
      <w:tr w:rsidR="00682A5B" w:rsidRPr="00B768A1" w14:paraId="558C3388" w14:textId="77777777" w:rsidTr="55FFBE13">
        <w:trPr>
          <w:trHeight w:val="300"/>
        </w:trPr>
        <w:tc>
          <w:tcPr>
            <w:tcW w:w="1129" w:type="dxa"/>
            <w:tcBorders>
              <w:top w:val="nil"/>
            </w:tcBorders>
          </w:tcPr>
          <w:p w14:paraId="420FFE7D" w14:textId="3164AACC" w:rsidR="00682A5B" w:rsidRPr="00F833FC" w:rsidRDefault="00752C00" w:rsidP="00634A83">
            <w:r w:rsidRPr="00F833FC">
              <w:t>ce</w:t>
            </w:r>
            <w:r w:rsidR="00682A5B" w:rsidRPr="00F833FC">
              <w:t>4.2a</w:t>
            </w:r>
          </w:p>
        </w:tc>
        <w:tc>
          <w:tcPr>
            <w:tcW w:w="7943" w:type="dxa"/>
            <w:tcBorders>
              <w:top w:val="nil"/>
            </w:tcBorders>
            <w:tcMar>
              <w:top w:w="28" w:type="dxa"/>
              <w:bottom w:w="28" w:type="dxa"/>
            </w:tcMar>
          </w:tcPr>
          <w:p w14:paraId="7AA2EA02" w14:textId="5E9AA4FC" w:rsidR="00682A5B" w:rsidRPr="00F833FC" w:rsidRDefault="00682A5B" w:rsidP="00634A83">
            <w:r w:rsidRPr="00F833FC">
              <w:t>Better equip GPs to provide and coordinate care for people experiencing suicidal thoughts and behaviours:</w:t>
            </w:r>
          </w:p>
          <w:p w14:paraId="0843252D" w14:textId="56AF6D23" w:rsidR="00682A5B" w:rsidRPr="00F833FC" w:rsidRDefault="11EE4B12" w:rsidP="3B57EA85">
            <w:pPr>
              <w:pStyle w:val="ListParagraph"/>
              <w:rPr>
                <w:color w:val="auto"/>
              </w:rPr>
            </w:pPr>
            <w:r>
              <w:t>Support access to high-quality suicide prevention training</w:t>
            </w:r>
            <w:r w:rsidR="3058EA5A">
              <w:t xml:space="preserve"> tailored for GPs</w:t>
            </w:r>
            <w:r w:rsidR="421142E4">
              <w:t xml:space="preserve"> and </w:t>
            </w:r>
            <w:r w:rsidR="128D8F67">
              <w:t xml:space="preserve">disseminate </w:t>
            </w:r>
            <w:r w:rsidR="421142E4">
              <w:t xml:space="preserve">evidence-based </w:t>
            </w:r>
            <w:r w:rsidR="5B6110A8">
              <w:t>guidance</w:t>
            </w:r>
            <w:r w:rsidR="421142E4">
              <w:t xml:space="preserve"> on best practice care </w:t>
            </w:r>
            <w:r w:rsidR="40B5A05F">
              <w:t>to all GPs</w:t>
            </w:r>
          </w:p>
          <w:p w14:paraId="0C806EAA" w14:textId="7C300429" w:rsidR="00682A5B" w:rsidRPr="00F833FC" w:rsidRDefault="46CFC5A1" w:rsidP="00634A83">
            <w:pPr>
              <w:pStyle w:val="ListParagraph"/>
              <w:numPr>
                <w:ilvl w:val="0"/>
                <w:numId w:val="35"/>
              </w:numPr>
            </w:pPr>
            <w:r>
              <w:t xml:space="preserve">Establish a mechanism to recognise the complexity of presentations and length of time required </w:t>
            </w:r>
            <w:r w:rsidR="7F14EEB5">
              <w:t xml:space="preserve">by GPs </w:t>
            </w:r>
            <w:r>
              <w:t>to provide best practice support</w:t>
            </w:r>
            <w:r w:rsidR="5C0BB615">
              <w:t xml:space="preserve"> for people with suicidal thoughts and behaviour</w:t>
            </w:r>
            <w:r w:rsidR="006601AA">
              <w:t xml:space="preserve"> (which includes,</w:t>
            </w:r>
            <w:r w:rsidR="209C6171">
              <w:t xml:space="preserve"> for example, developing and reviewing</w:t>
            </w:r>
            <w:r>
              <w:t xml:space="preserve"> </w:t>
            </w:r>
            <w:r w:rsidR="00682A5B">
              <w:t>safety plans, care coordination with other service providers and case conferencing</w:t>
            </w:r>
            <w:r w:rsidR="006601AA">
              <w:t>)</w:t>
            </w:r>
          </w:p>
          <w:p w14:paraId="36221BAB" w14:textId="6AB6C261" w:rsidR="00682A5B" w:rsidRPr="00F833FC" w:rsidRDefault="2CFFD713" w:rsidP="00634A83">
            <w:pPr>
              <w:pStyle w:val="ListParagraph"/>
              <w:numPr>
                <w:ilvl w:val="0"/>
                <w:numId w:val="35"/>
              </w:numPr>
            </w:pPr>
            <w:r w:rsidRPr="55FFBE13">
              <w:t xml:space="preserve">Ensure GPs can facilitate access to support services for people experiencing suicidal thoughts and behaviour by enhancing </w:t>
            </w:r>
            <w:r w:rsidR="23AFDDDD" w:rsidRPr="55FFBE13">
              <w:t>multi-disciplinary team-based care in primary care</w:t>
            </w:r>
            <w:r w:rsidR="3318ECE8" w:rsidRPr="55FFBE13">
              <w:t>.</w:t>
            </w:r>
          </w:p>
        </w:tc>
      </w:tr>
    </w:tbl>
    <w:p w14:paraId="1DB7274C" w14:textId="336D9120" w:rsidR="00682A5B" w:rsidRPr="00E1682B" w:rsidRDefault="00682A5B" w:rsidP="00E1682B">
      <w:pPr>
        <w:pStyle w:val="Heading4"/>
      </w:pPr>
      <w:r>
        <w:t>Suicide prevention peer workforce</w:t>
      </w:r>
    </w:p>
    <w:p w14:paraId="166B3E7E" w14:textId="5B63D150" w:rsidR="00682A5B" w:rsidRPr="00B768A1" w:rsidRDefault="6904722F" w:rsidP="00634A83">
      <w:r w:rsidRPr="00B768A1">
        <w:t xml:space="preserve">In this Strategy, the suicide prevention peer workforce refers to people trained in peer work with a lived or living experience of suicide working in service settings. </w:t>
      </w:r>
      <w:r w:rsidR="27C9B0CD" w:rsidRPr="00B768A1">
        <w:t>T</w:t>
      </w:r>
      <w:r w:rsidR="3605BDAC" w:rsidRPr="00B768A1">
        <w:t>he important role that the peer workforce plays in suicide prevention</w:t>
      </w:r>
      <w:r w:rsidR="27C9B0CD" w:rsidRPr="00B768A1">
        <w:t xml:space="preserve"> has been widely recognised</w:t>
      </w:r>
      <w:r w:rsidR="3605BDAC" w:rsidRPr="00B768A1">
        <w:t>.</w:t>
      </w:r>
      <w:hyperlink w:anchor="_ENREF_269" w:tooltip="M, 2020 #309" w:history="1">
        <w:r w:rsidR="002D6F18">
          <w:fldChar w:fldCharType="begin"/>
        </w:r>
        <w:r w:rsidR="002D6F18">
          <w:instrText xml:space="preserve"> ADDIN EN.CITE &lt;EndNote&gt;&lt;Cite&gt;&lt;Author&gt;M&lt;/Author&gt;&lt;Year&gt;2020&lt;/Year&gt;&lt;RecNum&gt;309&lt;/RecNum&gt;&lt;DisplayText&gt;&lt;style face="superscript"&gt;269&lt;/style&gt;&lt;/DisplayText&gt;&lt;record&gt;&lt;rec-number&gt;309&lt;/rec-number&gt;&lt;foreign-keys&gt;&lt;key app="EN" db-id="rsettzd2isasdweewww55s9lffasxav0d0ft" timestamp="1700699471" guid="ff47e27a-6ff2-4233-a278-76bd30572941"&gt;309&lt;/key&gt;&lt;/foreign-keys&gt;&lt;ref-type name="Journal Article"&gt;17&lt;/ref-type&gt;&lt;contributors&gt;&lt;authors&gt;&lt;author&gt;Schlichthorst M&lt;/author&gt;&lt;author&gt;Ozols I&lt;/author&gt;&lt;author&gt;Reifels L&lt;/author&gt;&lt;author&gt;Morgan A&lt;/author&gt;&lt;/authors&gt;&lt;/contributors&gt;&lt;titles&gt;&lt;title&gt;Lived Experience Peer Support Programs for Suicide Prevention: A Systematic Scoping Review&lt;/title&gt;&lt;secondary-title&gt;International Journal of Mental Health Systems&lt;/secondary-title&gt;&lt;/titles&gt;&lt;periodical&gt;&lt;full-title&gt;International Journal of Mental Health Systems&lt;/full-title&gt;&lt;/periodical&gt;&lt;dates&gt;&lt;year&gt;2020&lt;/year&gt;&lt;/dates&gt;&lt;urls&gt;&lt;/urls&gt;&lt;electronic-resource-num&gt;DOI: 10.1186/s13033-020-00396-1&lt;/electronic-resource-num&gt;&lt;/record&gt;&lt;/Cite&gt;&lt;/EndNote&gt;</w:instrText>
        </w:r>
        <w:r w:rsidR="002D6F18">
          <w:fldChar w:fldCharType="separate"/>
        </w:r>
        <w:r w:rsidR="002D6F18" w:rsidRPr="00C559B5">
          <w:rPr>
            <w:noProof/>
            <w:vertAlign w:val="superscript"/>
          </w:rPr>
          <w:t>269</w:t>
        </w:r>
        <w:r w:rsidR="002D6F18">
          <w:fldChar w:fldCharType="end"/>
        </w:r>
      </w:hyperlink>
      <w:r w:rsidR="00F73643">
        <w:t xml:space="preserve"> </w:t>
      </w:r>
      <w:r w:rsidR="3605BDAC" w:rsidRPr="00B768A1">
        <w:t xml:space="preserve">While the evidence base is still developing, early research shows promise </w:t>
      </w:r>
      <w:r w:rsidR="35B87D81" w:rsidRPr="00B768A1">
        <w:t xml:space="preserve">in relation to </w:t>
      </w:r>
      <w:r w:rsidR="3605BDAC" w:rsidRPr="00B768A1">
        <w:t>suicide risk, access, engagement and participant satisfaction.</w:t>
      </w:r>
      <w:hyperlink w:anchor="_ENREF_269" w:tooltip="M, 2020 #309" w:history="1">
        <w:r w:rsidR="002D6F18" w:rsidRPr="00DD524C">
          <w:rPr>
            <w:vertAlign w:val="superscript"/>
          </w:rPr>
          <w:fldChar w:fldCharType="begin"/>
        </w:r>
        <w:r w:rsidR="002D6F18">
          <w:rPr>
            <w:vertAlign w:val="superscript"/>
          </w:rPr>
          <w:instrText xml:space="preserve"> ADDIN EN.CITE &lt;EndNote&gt;&lt;Cite&gt;&lt;Author&gt;M&lt;/Author&gt;&lt;Year&gt;2020&lt;/Year&gt;&lt;RecNum&gt;309&lt;/RecNum&gt;&lt;DisplayText&gt;&lt;style face="superscript"&gt;269&lt;/style&gt;&lt;/DisplayText&gt;&lt;record&gt;&lt;rec-number&gt;309&lt;/rec-number&gt;&lt;foreign-keys&gt;&lt;key app="EN" db-id="rsettzd2isasdweewww55s9lffasxav0d0ft" timestamp="1700699471" guid="ff47e27a-6ff2-4233-a278-76bd30572941"&gt;309&lt;/key&gt;&lt;/foreign-keys&gt;&lt;ref-type name="Journal Article"&gt;17&lt;/ref-type&gt;&lt;contributors&gt;&lt;authors&gt;&lt;author&gt;Schlichthorst M&lt;/author&gt;&lt;author&gt;Ozols I&lt;/author&gt;&lt;author&gt;Reifels L&lt;/author&gt;&lt;author&gt;Morgan A&lt;/author&gt;&lt;/authors&gt;&lt;/contributors&gt;&lt;titles&gt;&lt;title&gt;Lived Experience Peer Support Programs for Suicide Prevention: A Systematic Scoping Review&lt;/title&gt;&lt;secondary-title&gt;International Journal of Mental Health Systems&lt;/secondary-title&gt;&lt;/titles&gt;&lt;periodical&gt;&lt;full-title&gt;International Journal of Mental Health Systems&lt;/full-title&gt;&lt;/periodical&gt;&lt;dates&gt;&lt;year&gt;2020&lt;/year&gt;&lt;/dates&gt;&lt;urls&gt;&lt;/urls&gt;&lt;electronic-resource-num&gt;DOI: 10.1186/s13033-020-00396-1&lt;/electronic-resource-num&gt;&lt;/record&gt;&lt;/Cite&gt;&lt;/EndNote&gt;</w:instrText>
        </w:r>
        <w:r w:rsidR="002D6F18" w:rsidRPr="00DD524C">
          <w:rPr>
            <w:vertAlign w:val="superscript"/>
          </w:rPr>
          <w:fldChar w:fldCharType="separate"/>
        </w:r>
        <w:r w:rsidR="002D6F18">
          <w:rPr>
            <w:noProof/>
            <w:vertAlign w:val="superscript"/>
          </w:rPr>
          <w:t>269</w:t>
        </w:r>
        <w:r w:rsidR="002D6F18" w:rsidRPr="00DD524C">
          <w:rPr>
            <w:vertAlign w:val="superscript"/>
          </w:rPr>
          <w:fldChar w:fldCharType="end"/>
        </w:r>
      </w:hyperlink>
      <w:r w:rsidR="00F73643" w:rsidRPr="00DD524C">
        <w:rPr>
          <w:vertAlign w:val="superscript"/>
        </w:rPr>
        <w:t>,</w:t>
      </w:r>
      <w:hyperlink w:anchor="_ENREF_247" w:tooltip="Group, 2022 #75" w:history="1">
        <w:r w:rsidR="002D6F18" w:rsidRPr="00DD524C">
          <w:rPr>
            <w:vertAlign w:val="superscript"/>
          </w:rPr>
          <w:fldChar w:fldCharType="begin"/>
        </w:r>
        <w:r w:rsidR="002D6F18">
          <w:rPr>
            <w:vertAlign w:val="superscript"/>
          </w:rPr>
          <w:instrText xml:space="preserve"> ADDIN EN.CITE &lt;EndNote&gt;&lt;Cite&gt;&lt;Author&gt;Group&lt;/Author&gt;&lt;Year&gt;2022&lt;/Year&gt;&lt;RecNum&gt;75&lt;/RecNum&gt;&lt;DisplayText&gt;&lt;style face="superscript"&gt;247&lt;/style&gt;&lt;/DisplayText&gt;&lt;record&gt;&lt;rec-number&gt;75&lt;/rec-number&gt;&lt;foreign-keys&gt;&lt;key app="EN" db-id="rsettzd2isasdweewww55s9lffasxav0d0ft" timestamp="1700699467" guid="b3302be0-fb6b-454d-894f-a9ae260b95bd"&gt;75&lt;/key&gt;&lt;/foreign-keys&gt;&lt;ref-type name="Web Page"&gt;12&lt;/ref-type&gt;&lt;contributors&gt;&lt;authors&gt;&lt;author&gt;Nous Group&lt;/author&gt;&lt;/authors&gt;&lt;/contributors&gt;&lt;titles&gt;&lt;title&gt;The Way Back Support Services Evaluation: Final Evaluation Report&lt;/title&gt;&lt;/titles&gt;&lt;dates&gt;&lt;year&gt;2022&lt;/year&gt;&lt;/dates&gt;&lt;publisher&gt;Beyond Blue&lt;/publisher&gt;&lt;work-type&gt;Internet&lt;/work-type&gt;&lt;urls&gt;&lt;related-urls&gt;&lt;url&gt;https://www.beyondblue.org.au/docs/default-source/media-release-pdf/the-way-back-support-services-evaluation-final-evaluation-report.pdf&lt;/url&gt;&lt;/related-urls&gt;&lt;/urls&gt;&lt;custom1&gt;2023&lt;/custom1&gt;&lt;custom2&gt;November 05&lt;/custom2&gt;&lt;/record&gt;&lt;/Cite&gt;&lt;/EndNote&gt;</w:instrText>
        </w:r>
        <w:r w:rsidR="002D6F18" w:rsidRPr="00DD524C">
          <w:rPr>
            <w:vertAlign w:val="superscript"/>
          </w:rPr>
          <w:fldChar w:fldCharType="separate"/>
        </w:r>
        <w:r w:rsidR="002D6F18">
          <w:rPr>
            <w:noProof/>
            <w:vertAlign w:val="superscript"/>
          </w:rPr>
          <w:t>247</w:t>
        </w:r>
        <w:r w:rsidR="002D6F18" w:rsidRPr="00DD524C">
          <w:rPr>
            <w:vertAlign w:val="superscript"/>
          </w:rPr>
          <w:fldChar w:fldCharType="end"/>
        </w:r>
      </w:hyperlink>
      <w:r w:rsidR="00F73643" w:rsidRPr="00DD524C">
        <w:rPr>
          <w:vertAlign w:val="superscript"/>
        </w:rPr>
        <w:t>,</w:t>
      </w:r>
      <w:hyperlink w:anchor="_ENREF_200" w:tooltip="NW, 2021 #38" w:history="1">
        <w:r w:rsidR="002D6F18" w:rsidRPr="00DD524C">
          <w:rPr>
            <w:vertAlign w:val="superscript"/>
          </w:rPr>
          <w:fldChar w:fldCharType="begin"/>
        </w:r>
        <w:r w:rsidR="002D6F18">
          <w:rPr>
            <w:vertAlign w:val="superscript"/>
          </w:rPr>
          <w:instrText xml:space="preserve"> ADDIN EN.CITE &lt;EndNote&gt;&lt;Cite&gt;&lt;Author&gt;NW&lt;/Author&gt;&lt;Year&gt;2021&lt;/Year&gt;&lt;RecNum&gt;38&lt;/RecNum&gt;&lt;DisplayText&gt;&lt;style face="superscript"&gt;200&lt;/style&gt;&lt;/DisplayText&gt;&lt;record&gt;&lt;rec-number&gt;38&lt;/rec-number&gt;&lt;foreign-keys&gt;&lt;key app="EN" db-id="rsettzd2isasdweewww55s9lffasxav0d0ft" timestamp="1700699466" guid="8b12b083-7760-4115-9d94-e89a810633b5"&gt;38&lt;/key&gt;&lt;/foreign-keys&gt;&lt;ref-type name="Journal Article"&gt;17&lt;/ref-type&gt;&lt;contributors&gt;&lt;authors&gt;&lt;author&gt;Bowersox NW&lt;/author&gt;&lt;author&gt;Jagusch J&lt;/author&gt;&lt;author&gt;Garlick J&lt;/author&gt;&lt;author&gt;Chen JI&lt;/author&gt;&lt;author&gt;Pfeiffer PN&lt;/author&gt;&lt;/authors&gt;&lt;/contributors&gt;&lt;titles&gt;&lt;title&gt;Peer-Based Interventions Targeting Suicide Prevention: A Scoping Review&lt;/title&gt;&lt;secondary-title&gt;American Journal of Community Psychology&lt;/secondary-title&gt;&lt;/titles&gt;&lt;periodical&gt;&lt;full-title&gt;American Journal of Community Psychology&lt;/full-title&gt;&lt;/periodical&gt;&lt;dates&gt;&lt;year&gt;2021&lt;/year&gt;&lt;/dates&gt;&lt;urls&gt;&lt;/urls&gt;&lt;electronic-resource-num&gt;DOI: 10.1002/ajcp.12510&lt;/electronic-resource-num&gt;&lt;/record&gt;&lt;/Cite&gt;&lt;/EndNote&gt;</w:instrText>
        </w:r>
        <w:r w:rsidR="002D6F18" w:rsidRPr="00DD524C">
          <w:rPr>
            <w:vertAlign w:val="superscript"/>
          </w:rPr>
          <w:fldChar w:fldCharType="separate"/>
        </w:r>
        <w:r w:rsidR="002D6F18">
          <w:rPr>
            <w:noProof/>
            <w:vertAlign w:val="superscript"/>
          </w:rPr>
          <w:t>200</w:t>
        </w:r>
        <w:r w:rsidR="002D6F18" w:rsidRPr="00DD524C">
          <w:rPr>
            <w:vertAlign w:val="superscript"/>
          </w:rPr>
          <w:fldChar w:fldCharType="end"/>
        </w:r>
      </w:hyperlink>
      <w:r w:rsidR="00F73643">
        <w:t xml:space="preserve"> </w:t>
      </w:r>
      <w:r w:rsidR="3605BDAC" w:rsidRPr="00B768A1">
        <w:t xml:space="preserve">As a result, there has been </w:t>
      </w:r>
      <w:r w:rsidR="70AF4D8B">
        <w:t>some effort</w:t>
      </w:r>
      <w:r w:rsidR="3605BDAC" w:rsidRPr="00B768A1">
        <w:t xml:space="preserve"> to integrate this workforce into suicide prevention supports across Australia.</w:t>
      </w:r>
      <w:hyperlink w:anchor="_ENREF_344" w:tooltip="L, 2021 #6" w:history="1">
        <w:r w:rsidR="002D6F18">
          <w:fldChar w:fldCharType="begin"/>
        </w:r>
        <w:r w:rsidR="002D6F18">
          <w:instrText xml:space="preserve"> ADDIN EN.CITE &lt;EndNote&gt;&lt;Cite&gt;&lt;Author&gt;L&lt;/Author&gt;&lt;Year&gt;2021&lt;/Year&gt;&lt;RecNum&gt;6&lt;/RecNum&gt;&lt;DisplayText&gt;&lt;style face="superscript"&gt;344&lt;/style&gt;&lt;/DisplayText&gt;&lt;record&gt;&lt;rec-number&gt;6&lt;/rec-number&gt;&lt;foreign-keys&gt;&lt;key app="EN" db-id="rsettzd2isasdweewww55s9lffasxav0d0ft" timestamp="1700699466" guid="644a7eaa-26ab-4ca0-ad9b-794e72cff9c4"&gt;6&lt;/key&gt;&lt;/foreign-keys&gt;&lt;ref-type name="Web Page"&gt;12&lt;/ref-type&gt;&lt;contributors&gt;&lt;authors&gt;&lt;author&gt;Byrne L&lt;/author&gt;&lt;author&gt;Wang L&lt;/author&gt;&lt;author&gt;Roennfeldt H&lt;/author&gt;&lt;author&gt;Chapman M&lt;/author&gt;&lt;author&gt;Darwin L&lt;/author&gt;&lt;author&gt;Castles C&lt;/author&gt;&lt;author&gt;Craze L&lt;/author&gt;&lt;author&gt;Saunders M&lt;/author&gt;&lt;/authors&gt;&lt;/contributors&gt;&lt;titles&gt;&lt;title&gt;National Lived Experience Workforce Guidelines&lt;/title&gt;&lt;/titles&gt;&lt;dates&gt;&lt;year&gt;2021&lt;/year&gt;&lt;/dates&gt;&lt;publisher&gt;National Mental Health Commission&lt;/publisher&gt;&lt;work-type&gt;Internet&lt;/work-type&gt;&lt;urls&gt;&lt;related-urls&gt;&lt;url&gt;https://www.mentalhealthcommission.gov.au/getmedia/a33cce2a-e7fa-4f90-964d-85dbf1514b6b/NMHC_Lived-Experience-Workforce-Development-Guidelines&lt;/url&gt;&lt;/related-urls&gt;&lt;/urls&gt;&lt;custom1&gt;2023&lt;/custom1&gt;&lt;custom2&gt;November 06&lt;/custom2&gt;&lt;/record&gt;&lt;/Cite&gt;&lt;/EndNote&gt;</w:instrText>
        </w:r>
        <w:r w:rsidR="002D6F18">
          <w:fldChar w:fldCharType="separate"/>
        </w:r>
        <w:r w:rsidR="002D6F18" w:rsidRPr="00C559B5">
          <w:rPr>
            <w:noProof/>
            <w:vertAlign w:val="superscript"/>
          </w:rPr>
          <w:t>344</w:t>
        </w:r>
        <w:r w:rsidR="002D6F18">
          <w:fldChar w:fldCharType="end"/>
        </w:r>
      </w:hyperlink>
      <w:r w:rsidR="00F73643">
        <w:t xml:space="preserve"> </w:t>
      </w:r>
    </w:p>
    <w:p w14:paraId="7B082655" w14:textId="732E87E3" w:rsidR="000C5FDE" w:rsidRPr="008E5391" w:rsidDel="008E5391" w:rsidRDefault="378E79E0" w:rsidP="00E1682B">
      <w:pPr>
        <w:pStyle w:val="BT-Livedexperience-Pink-Heading"/>
        <w:ind w:firstLine="465"/>
      </w:pPr>
      <w:r>
        <w:rPr>
          <w:noProof/>
        </w:rPr>
        <w:drawing>
          <wp:anchor distT="0" distB="0" distL="114300" distR="114300" simplePos="0" relativeHeight="251658250" behindDoc="0" locked="0" layoutInCell="1" allowOverlap="1" wp14:anchorId="0D746BC7" wp14:editId="7134C0E8">
            <wp:simplePos x="0" y="0"/>
            <wp:positionH relativeFrom="column">
              <wp:posOffset>71120</wp:posOffset>
            </wp:positionH>
            <wp:positionV relativeFrom="paragraph">
              <wp:posOffset>118745</wp:posOffset>
            </wp:positionV>
            <wp:extent cx="318864" cy="318864"/>
            <wp:effectExtent l="0" t="0" r="5080" b="5080"/>
            <wp:wrapNone/>
            <wp:docPr id="1476069830" name="Graphic 1476069830" descr="Circle with left arr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476069830"/>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rot="16200000">
                      <a:off x="0" y="0"/>
                      <a:ext cx="318864" cy="318864"/>
                    </a:xfrm>
                    <a:prstGeom prst="rect">
                      <a:avLst/>
                    </a:prstGeom>
                  </pic:spPr>
                </pic:pic>
              </a:graphicData>
            </a:graphic>
          </wp:anchor>
        </w:drawing>
      </w:r>
      <w:r w:rsidR="4A936805" w:rsidRPr="04A3B251">
        <w:t>Reflections from people with lived experience</w:t>
      </w:r>
    </w:p>
    <w:p w14:paraId="3D50F523" w14:textId="2FC9C12E" w:rsidR="00074FBD" w:rsidRPr="003715A2" w:rsidRDefault="000C5FDE" w:rsidP="00634A83">
      <w:pPr>
        <w:pStyle w:val="BT-Livedexperience-Pink"/>
      </w:pPr>
      <w:r>
        <w:t>“</w:t>
      </w:r>
      <w:r w:rsidR="00074FBD">
        <w:t xml:space="preserve">The growth of a peer workforce that is distinctively for suicide prevention is critical. This means </w:t>
      </w:r>
      <w:r w:rsidR="00074FBD" w:rsidRPr="00F833FC">
        <w:rPr>
          <w:rStyle w:val="Strong"/>
          <w:b w:val="0"/>
          <w:bCs w:val="0"/>
        </w:rPr>
        <w:t>decentralising support services</w:t>
      </w:r>
      <w:r w:rsidR="00074FBD" w:rsidRPr="45E58E07">
        <w:rPr>
          <w:color w:val="97508A"/>
        </w:rPr>
        <w:t xml:space="preserve"> </w:t>
      </w:r>
      <w:r w:rsidR="00074FBD">
        <w:t xml:space="preserve">out of their concentration in mental health systems, making </w:t>
      </w:r>
      <w:r w:rsidR="008A41A9">
        <w:t>s</w:t>
      </w:r>
      <w:r w:rsidR="00074FBD">
        <w:t xml:space="preserve">uicide </w:t>
      </w:r>
      <w:r w:rsidR="008A41A9">
        <w:t>p</w:t>
      </w:r>
      <w:r w:rsidR="00074FBD">
        <w:t xml:space="preserve">revention </w:t>
      </w:r>
      <w:r w:rsidR="008A41A9">
        <w:t>p</w:t>
      </w:r>
      <w:r w:rsidR="00074FBD">
        <w:t xml:space="preserve">eer </w:t>
      </w:r>
      <w:r w:rsidR="008A41A9">
        <w:t>w</w:t>
      </w:r>
      <w:r w:rsidR="00074FBD">
        <w:t xml:space="preserve">orkers easily and directly </w:t>
      </w:r>
      <w:r w:rsidR="00074FBD" w:rsidRPr="00F833FC">
        <w:rPr>
          <w:rStyle w:val="Strong"/>
          <w:b w:val="0"/>
          <w:bCs w:val="0"/>
        </w:rPr>
        <w:t>accessible throughout communities</w:t>
      </w:r>
      <w:r w:rsidR="00074FBD">
        <w:t xml:space="preserve">. People in crisis are looking for benign points of entry to support that are </w:t>
      </w:r>
      <w:r w:rsidR="00074FBD" w:rsidRPr="00F833FC">
        <w:rPr>
          <w:rStyle w:val="Strong"/>
          <w:b w:val="0"/>
          <w:bCs w:val="0"/>
        </w:rPr>
        <w:t>outside of hospitals</w:t>
      </w:r>
      <w:r w:rsidR="00074FBD" w:rsidRPr="45E58E07">
        <w:rPr>
          <w:color w:val="97508A"/>
        </w:rPr>
        <w:t xml:space="preserve"> </w:t>
      </w:r>
      <w:r w:rsidR="00074FBD">
        <w:t xml:space="preserve">and emergency departments, where the </w:t>
      </w:r>
      <w:r w:rsidR="00074FBD" w:rsidRPr="00F833FC">
        <w:rPr>
          <w:rStyle w:val="Strong"/>
          <w:b w:val="0"/>
          <w:bCs w:val="0"/>
        </w:rPr>
        <w:t>rapport, compassion</w:t>
      </w:r>
      <w:r w:rsidR="00074FBD" w:rsidRPr="45E58E07">
        <w:rPr>
          <w:color w:val="97508A"/>
        </w:rPr>
        <w:t xml:space="preserve"> </w:t>
      </w:r>
      <w:r w:rsidR="00074FBD">
        <w:t xml:space="preserve">and </w:t>
      </w:r>
      <w:r w:rsidR="00074FBD" w:rsidRPr="00F833FC">
        <w:rPr>
          <w:rStyle w:val="Strong"/>
          <w:b w:val="0"/>
          <w:bCs w:val="0"/>
        </w:rPr>
        <w:t>lived understanding</w:t>
      </w:r>
      <w:r w:rsidR="00074FBD" w:rsidRPr="45E58E07">
        <w:rPr>
          <w:color w:val="97508A"/>
        </w:rPr>
        <w:t xml:space="preserve"> </w:t>
      </w:r>
      <w:r w:rsidR="00074FBD">
        <w:t xml:space="preserve">of Suicide Prevention </w:t>
      </w:r>
      <w:r w:rsidR="00074FBD" w:rsidRPr="00F833FC">
        <w:rPr>
          <w:rStyle w:val="Strong"/>
          <w:b w:val="0"/>
          <w:bCs w:val="0"/>
        </w:rPr>
        <w:t>Peer Workers</w:t>
      </w:r>
      <w:r w:rsidR="00074FBD" w:rsidRPr="45E58E07">
        <w:rPr>
          <w:color w:val="97508A"/>
        </w:rPr>
        <w:t xml:space="preserve"> </w:t>
      </w:r>
      <w:r w:rsidR="00074FBD">
        <w:t xml:space="preserve">is readily </w:t>
      </w:r>
      <w:r w:rsidR="00074FBD" w:rsidRPr="00F833FC">
        <w:rPr>
          <w:rStyle w:val="Strong"/>
          <w:b w:val="0"/>
          <w:bCs w:val="0"/>
        </w:rPr>
        <w:t>available</w:t>
      </w:r>
      <w:r w:rsidR="00074FBD">
        <w:t>.</w:t>
      </w:r>
      <w:r>
        <w:t>”</w:t>
      </w:r>
    </w:p>
    <w:p w14:paraId="557C8555" w14:textId="6C619718" w:rsidR="00074FBD" w:rsidRPr="00B768A1" w:rsidRDefault="50C8AB50" w:rsidP="007839BC">
      <w:pPr>
        <w:pStyle w:val="BT-Livedexperience-Pink"/>
        <w:jc w:val="right"/>
        <w:rPr>
          <w:rStyle w:val="Strong"/>
        </w:rPr>
      </w:pPr>
      <w:r w:rsidRPr="55FFBE13">
        <w:rPr>
          <w:rStyle w:val="Strong"/>
        </w:rPr>
        <w:t>Mark Ellis</w:t>
      </w:r>
      <w:r w:rsidRPr="55FFBE13">
        <w:rPr>
          <w:rStyle w:val="Strong"/>
          <w:b w:val="0"/>
          <w:bCs w:val="0"/>
        </w:rPr>
        <w:t>,</w:t>
      </w:r>
      <w:r w:rsidR="00074FBD" w:rsidRPr="55FFBE13">
        <w:rPr>
          <w:rStyle w:val="Strong"/>
          <w:b w:val="0"/>
          <w:bCs w:val="0"/>
        </w:rPr>
        <w:t xml:space="preserve"> </w:t>
      </w:r>
      <w:r w:rsidR="122E6237" w:rsidRPr="55FFBE13">
        <w:rPr>
          <w:rStyle w:val="Strong"/>
          <w:b w:val="0"/>
          <w:bCs w:val="0"/>
        </w:rPr>
        <w:t>Service Systems Working Group</w:t>
      </w:r>
      <w:r w:rsidR="00074FBD" w:rsidRPr="55FFBE13">
        <w:rPr>
          <w:rStyle w:val="Strong"/>
          <w:b w:val="0"/>
          <w:bCs w:val="0"/>
        </w:rPr>
        <w:t xml:space="preserve"> member</w:t>
      </w:r>
    </w:p>
    <w:p w14:paraId="04B02439" w14:textId="6474EAA7" w:rsidR="00E431D7" w:rsidRDefault="7C55753A" w:rsidP="00634A83">
      <w:r>
        <w:t xml:space="preserve">However, there are </w:t>
      </w:r>
      <w:r w:rsidR="002364AE">
        <w:t>not enough peer workers to meet the current demand</w:t>
      </w:r>
      <w:r w:rsidR="00153C8D">
        <w:t xml:space="preserve"> in suicide prevention services</w:t>
      </w:r>
      <w:r w:rsidR="002364AE">
        <w:t xml:space="preserve"> and there are </w:t>
      </w:r>
      <w:r>
        <w:t xml:space="preserve">challenges </w:t>
      </w:r>
      <w:r w:rsidR="002364AE">
        <w:t>related to</w:t>
      </w:r>
      <w:r w:rsidR="00771627">
        <w:t xml:space="preserve"> accessibility of training,</w:t>
      </w:r>
      <w:r>
        <w:t xml:space="preserve"> a lack of consistency </w:t>
      </w:r>
      <w:r w:rsidR="32632611">
        <w:t>in training requirements</w:t>
      </w:r>
      <w:r w:rsidR="2C288C84">
        <w:t xml:space="preserve"> and</w:t>
      </w:r>
      <w:r w:rsidR="32632611">
        <w:t xml:space="preserve"> workplace support</w:t>
      </w:r>
      <w:r w:rsidR="21DB4705">
        <w:t>s</w:t>
      </w:r>
      <w:r w:rsidR="714453CE">
        <w:t>.</w:t>
      </w:r>
      <w:hyperlink w:anchor="_ENREF_345" w:tooltip="Roses in the Ocean, 2022 #35" w:history="1">
        <w:r w:rsidR="002D6F18">
          <w:fldChar w:fldCharType="begin"/>
        </w:r>
        <w:r w:rsidR="002D6F18">
          <w:instrText xml:space="preserve"> ADDIN EN.CITE &lt;EndNote&gt;&lt;Cite&gt;&lt;Author&gt;Roses in the Ocean&lt;/Author&gt;&lt;Year&gt;2022&lt;/Year&gt;&lt;RecNum&gt;35&lt;/RecNum&gt;&lt;DisplayText&gt;&lt;style face="superscript"&gt;345&lt;/style&gt;&lt;/DisplayText&gt;&lt;record&gt;&lt;rec-number&gt;35&lt;/rec-number&gt;&lt;foreign-keys&gt;&lt;key app="EN" db-id="rsettzd2isasdweewww55s9lffasxav0d0ft" timestamp="1700699466" guid="354fd50f-b4e7-4dd6-b1d8-ff52a89c45ea"&gt;35&lt;/key&gt;&lt;/foreign-keys&gt;&lt;ref-type name="Web Page"&gt;12&lt;/ref-type&gt;&lt;contributors&gt;&lt;authors&gt;&lt;author&gt;Roses in the Ocean,&lt;/author&gt;&lt;/authors&gt;&lt;/contributors&gt;&lt;titles&gt;&lt;title&gt;Expanding the Suicide Prevention Peer Workforce: An Urgent and Rapid Solution to Australia’s Suicide Challenge&lt;/title&gt;&lt;/titles&gt;&lt;dates&gt;&lt;year&gt;2022&lt;/year&gt;&lt;/dates&gt;&lt;pub-location&gt;Brisbane, Queensland&lt;/pub-location&gt;&lt;publisher&gt;Roses in the Ocean&lt;/publisher&gt;&lt;work-type&gt;Internet&lt;/work-type&gt;&lt;urls&gt;&lt;related-urls&gt;&lt;url&gt;https://rosesintheocean.com.au/wp-content/uploads/2023/01/230329-Peer-Worker-Paper.pdf&lt;/url&gt;&lt;/related-urls&gt;&lt;/urls&gt;&lt;custom1&gt;2023&lt;/custom1&gt;&lt;custom2&gt;November 06&lt;/custom2&gt;&lt;/record&gt;&lt;/Cite&gt;&lt;/EndNote&gt;</w:instrText>
        </w:r>
        <w:r w:rsidR="002D6F18">
          <w:fldChar w:fldCharType="separate"/>
        </w:r>
        <w:r w:rsidR="002D6F18" w:rsidRPr="00C559B5">
          <w:rPr>
            <w:noProof/>
            <w:vertAlign w:val="superscript"/>
          </w:rPr>
          <w:t>345</w:t>
        </w:r>
        <w:r w:rsidR="002D6F18">
          <w:fldChar w:fldCharType="end"/>
        </w:r>
      </w:hyperlink>
      <w:r w:rsidR="00F73643">
        <w:t xml:space="preserve">  </w:t>
      </w:r>
      <w:r w:rsidR="00153C8D">
        <w:t xml:space="preserve"> </w:t>
      </w:r>
      <w:r w:rsidR="183B0238">
        <w:t xml:space="preserve"> </w:t>
      </w:r>
    </w:p>
    <w:p w14:paraId="49D920D2" w14:textId="4DC9B813" w:rsidR="00E431D7" w:rsidRDefault="2DF3D8AB" w:rsidP="19F1CAF5">
      <w:r>
        <w:t xml:space="preserve">To continue to </w:t>
      </w:r>
      <w:r w:rsidR="002364AE">
        <w:t>expand</w:t>
      </w:r>
      <w:r>
        <w:t xml:space="preserve"> the suicide prevention peer workforce </w:t>
      </w:r>
      <w:r w:rsidR="002364AE">
        <w:t xml:space="preserve">and integrate it </w:t>
      </w:r>
      <w:r>
        <w:t xml:space="preserve">into services </w:t>
      </w:r>
      <w:r w:rsidR="67E1931F">
        <w:t>in a way that supports quality service delivery</w:t>
      </w:r>
      <w:r w:rsidR="34D70643">
        <w:t xml:space="preserve"> and </w:t>
      </w:r>
      <w:r w:rsidR="00AA231B">
        <w:t xml:space="preserve">workforce </w:t>
      </w:r>
      <w:r w:rsidR="34D70643">
        <w:t>retention</w:t>
      </w:r>
      <w:r w:rsidR="67E1931F">
        <w:t>,</w:t>
      </w:r>
      <w:r w:rsidR="2F910921">
        <w:t xml:space="preserve"> </w:t>
      </w:r>
      <w:r w:rsidR="6C156CB2">
        <w:t>a nationally consistent approach to</w:t>
      </w:r>
      <w:r w:rsidR="00771627">
        <w:t xml:space="preserve"> attracting,</w:t>
      </w:r>
      <w:r w:rsidR="6C156CB2">
        <w:t xml:space="preserve"> training</w:t>
      </w:r>
      <w:r w:rsidR="00771627">
        <w:t xml:space="preserve"> and retaining</w:t>
      </w:r>
      <w:r w:rsidR="6C156CB2">
        <w:t xml:space="preserve"> </w:t>
      </w:r>
      <w:r w:rsidR="0E87C193">
        <w:t>peer workers</w:t>
      </w:r>
      <w:r w:rsidR="2DFD7727">
        <w:t xml:space="preserve"> is required</w:t>
      </w:r>
      <w:r w:rsidR="6C156CB2">
        <w:t xml:space="preserve">. </w:t>
      </w:r>
      <w:r w:rsidR="2F91EA19">
        <w:t xml:space="preserve">Such an approach would need to </w:t>
      </w:r>
      <w:r w:rsidR="2797DCD6">
        <w:t xml:space="preserve">articulate </w:t>
      </w:r>
      <w:r w:rsidR="6B1985ED">
        <w:t>training requirements</w:t>
      </w:r>
      <w:r w:rsidR="12695F2A">
        <w:t xml:space="preserve"> and </w:t>
      </w:r>
      <w:r w:rsidR="7B1CCEEB">
        <w:t>include</w:t>
      </w:r>
      <w:r w:rsidR="6B1985ED">
        <w:t xml:space="preserve"> </w:t>
      </w:r>
      <w:r w:rsidR="076FA458">
        <w:t xml:space="preserve">mechanisms to improve </w:t>
      </w:r>
      <w:r w:rsidR="6B1985ED">
        <w:t>accessibility of training</w:t>
      </w:r>
      <w:r w:rsidR="00153C8D">
        <w:t>.</w:t>
      </w:r>
      <w:r w:rsidR="756D980D">
        <w:t xml:space="preserve"> </w:t>
      </w:r>
      <w:r w:rsidR="00153C8D">
        <w:t>Attracting a diverse peer workforce, representative of the populations disproportionately impacted by suicide, also needs to be considered in growing this workforce (action ce4.2b).</w:t>
      </w:r>
    </w:p>
    <w:p w14:paraId="3513BAF3" w14:textId="439D50E9" w:rsidR="00682A5B" w:rsidRPr="00B768A1" w:rsidRDefault="00651B47" w:rsidP="00634A83">
      <w:r>
        <w:t>Currently t</w:t>
      </w:r>
      <w:r w:rsidR="564DBC07" w:rsidRPr="008A0ACA">
        <w:t>raining opportunities are limited and expensive</w:t>
      </w:r>
      <w:r w:rsidR="3605BDAC" w:rsidRPr="00B768A1">
        <w:t xml:space="preserve">, especially </w:t>
      </w:r>
      <w:r w:rsidR="564DBC07">
        <w:t>for</w:t>
      </w:r>
      <w:r w:rsidR="564DBC07" w:rsidRPr="00B768A1">
        <w:t xml:space="preserve"> </w:t>
      </w:r>
      <w:r w:rsidR="31B02D71">
        <w:t>those</w:t>
      </w:r>
      <w:r w:rsidR="3605BDAC" w:rsidRPr="00B768A1">
        <w:t xml:space="preserve"> </w:t>
      </w:r>
      <w:r w:rsidR="564DBC07">
        <w:t>who</w:t>
      </w:r>
      <w:r w:rsidR="3605BDAC" w:rsidRPr="00B768A1">
        <w:t xml:space="preserve"> may themselves be experiencing ongoing impact</w:t>
      </w:r>
      <w:r w:rsidR="6845CBA8" w:rsidRPr="00B768A1">
        <w:t>s</w:t>
      </w:r>
      <w:r w:rsidR="3605BDAC" w:rsidRPr="00B768A1">
        <w:t xml:space="preserve"> from the social determinants of suicide. </w:t>
      </w:r>
      <w:r w:rsidR="729E07E2">
        <w:t>Even with affordable training</w:t>
      </w:r>
      <w:r w:rsidR="3605BDAC" w:rsidRPr="00B768A1">
        <w:t xml:space="preserve">, </w:t>
      </w:r>
      <w:r w:rsidR="049DBA57">
        <w:t>the</w:t>
      </w:r>
      <w:r w:rsidR="3605BDAC" w:rsidRPr="00B768A1">
        <w:t xml:space="preserve"> need to take leave from paid work to complete the training</w:t>
      </w:r>
      <w:r w:rsidR="31E9A337" w:rsidRPr="00B768A1">
        <w:t xml:space="preserve"> and participate in </w:t>
      </w:r>
      <w:r w:rsidR="3605BDAC" w:rsidRPr="00B768A1">
        <w:t>unpaid placements</w:t>
      </w:r>
      <w:r w:rsidR="049DBA57">
        <w:t xml:space="preserve"> can </w:t>
      </w:r>
      <w:r w:rsidR="6D0C8855">
        <w:t xml:space="preserve">be a further </w:t>
      </w:r>
      <w:r w:rsidR="762745E6">
        <w:t>obstacle</w:t>
      </w:r>
      <w:r w:rsidR="564DBC07">
        <w:t>.</w:t>
      </w:r>
      <w:r w:rsidR="3605BDAC" w:rsidRPr="00B768A1">
        <w:t xml:space="preserve"> </w:t>
      </w:r>
      <w:r w:rsidR="7B0257DF">
        <w:t>T</w:t>
      </w:r>
      <w:r w:rsidR="3605BDAC" w:rsidRPr="00B768A1">
        <w:t xml:space="preserve">here is an opportunity to reduce the financial burden for peer workers to </w:t>
      </w:r>
      <w:r w:rsidR="31E9A337" w:rsidRPr="00B768A1">
        <w:t>en</w:t>
      </w:r>
      <w:r w:rsidR="3605BDAC" w:rsidRPr="00B768A1">
        <w:t xml:space="preserve">sure this workforce </w:t>
      </w:r>
      <w:r w:rsidR="4B597BDF" w:rsidRPr="00B768A1">
        <w:t>can</w:t>
      </w:r>
      <w:r w:rsidR="3605BDAC" w:rsidRPr="00B768A1">
        <w:t xml:space="preserve"> grow</w:t>
      </w:r>
      <w:r w:rsidR="39DEF82C">
        <w:t xml:space="preserve"> </w:t>
      </w:r>
      <w:r w:rsidR="39DEF82C" w:rsidRPr="00B768A1">
        <w:t>(</w:t>
      </w:r>
      <w:r w:rsidR="39DEF82C">
        <w:t>action ce</w:t>
      </w:r>
      <w:r w:rsidR="39DEF82C" w:rsidRPr="00B768A1">
        <w:t>4.</w:t>
      </w:r>
      <w:r w:rsidR="564DBC07">
        <w:t>2</w:t>
      </w:r>
      <w:r>
        <w:t>b</w:t>
      </w:r>
      <w:r w:rsidR="39DEF82C" w:rsidRPr="00B768A1">
        <w:t>).</w:t>
      </w:r>
    </w:p>
    <w:p w14:paraId="6351FB55" w14:textId="418F2CBA" w:rsidR="00682A5B" w:rsidRDefault="00771627" w:rsidP="19F1CAF5">
      <w:r>
        <w:t>To retain suicide prevention peer workers</w:t>
      </w:r>
      <w:r w:rsidR="00153C8D">
        <w:t>,</w:t>
      </w:r>
      <w:r>
        <w:t xml:space="preserve"> employing organisations </w:t>
      </w:r>
      <w:r w:rsidR="00682A5B">
        <w:t xml:space="preserve">need to develop cultures, processes and structures that </w:t>
      </w:r>
      <w:r w:rsidR="66B32AD5">
        <w:t>support</w:t>
      </w:r>
      <w:r w:rsidR="6A4F3191">
        <w:t xml:space="preserve"> the professional needs</w:t>
      </w:r>
      <w:r w:rsidR="66B32AD5">
        <w:t xml:space="preserve"> and </w:t>
      </w:r>
      <w:r w:rsidR="00682A5B">
        <w:t>value</w:t>
      </w:r>
      <w:r w:rsidR="4C8E8B5A">
        <w:t xml:space="preserve"> the role and expertise of</w:t>
      </w:r>
      <w:r w:rsidR="00682A5B">
        <w:t xml:space="preserve"> </w:t>
      </w:r>
      <w:r w:rsidR="1565E28A">
        <w:t>this workforce</w:t>
      </w:r>
      <w:r w:rsidR="4BC9AC3F">
        <w:t>.</w:t>
      </w:r>
      <w:r w:rsidR="5A51A598">
        <w:t xml:space="preserve"> National guidance that outlines the scope of practice and professional needs of </w:t>
      </w:r>
      <w:r w:rsidR="56DC5CAB">
        <w:t>suicide prevention peer workers</w:t>
      </w:r>
      <w:r w:rsidR="5A51A598">
        <w:t xml:space="preserve">, for example, access to supervision, co-reflection and continuing professional development would assist workplaces in </w:t>
      </w:r>
      <w:r w:rsidR="43BA5606">
        <w:t>providing this support consistently (action ce4.2b).</w:t>
      </w:r>
    </w:p>
    <w:p w14:paraId="772E0F96" w14:textId="77777777" w:rsidR="006A49ED" w:rsidRDefault="7ADCAD80" w:rsidP="00634A83">
      <w:r>
        <w:t>There is also a need to continue to build the evidence of effectiveness of the suicide prevention peer workforce through evaluation of suicide prevention activities (as discussed in critical enabler 3).</w:t>
      </w:r>
      <w:r w:rsidR="00DD524C">
        <w:t xml:space="preserve"> </w:t>
      </w:r>
    </w:p>
    <w:p w14:paraId="01232C59" w14:textId="4786A496" w:rsidR="0053070D" w:rsidRPr="00926204" w:rsidRDefault="0053070D" w:rsidP="00634A83">
      <w:pPr>
        <w:rPr>
          <w:b/>
          <w:bCs/>
        </w:rPr>
      </w:pPr>
      <w:r>
        <w:t xml:space="preserve">The recommended action to </w:t>
      </w:r>
      <w:r w:rsidR="00105187">
        <w:t xml:space="preserve">build the capacity </w:t>
      </w:r>
      <w:r w:rsidR="006A49ED">
        <w:t xml:space="preserve">and capability </w:t>
      </w:r>
      <w:r w:rsidR="00105187">
        <w:t xml:space="preserve">of the peer workforce </w:t>
      </w:r>
      <w:r>
        <w:t>is described in</w:t>
      </w:r>
      <w:r w:rsidR="00F04C6C">
        <w:t xml:space="preserve"> </w:t>
      </w:r>
      <w:r w:rsidR="00F04C6C">
        <w:fldChar w:fldCharType="begin"/>
      </w:r>
      <w:r w:rsidR="00F04C6C">
        <w:instrText xml:space="preserve"> REF _Ref162258143 \h </w:instrText>
      </w:r>
      <w:r w:rsidR="00F04C6C">
        <w:fldChar w:fldCharType="separate"/>
      </w:r>
      <w:r w:rsidR="009F12B4">
        <w:t xml:space="preserve">Table </w:t>
      </w:r>
      <w:r w:rsidR="009F12B4">
        <w:rPr>
          <w:noProof/>
        </w:rPr>
        <w:t>43</w:t>
      </w:r>
      <w:r w:rsidR="00F04C6C">
        <w:fldChar w:fldCharType="end"/>
      </w:r>
      <w:r>
        <w:t>.</w:t>
      </w:r>
    </w:p>
    <w:p w14:paraId="1A5BCE81" w14:textId="7F46ECCD" w:rsidR="0053070D" w:rsidRPr="00B768A1" w:rsidRDefault="0053070D" w:rsidP="00745B34">
      <w:pPr>
        <w:pStyle w:val="Caption"/>
      </w:pPr>
      <w:bookmarkStart w:id="185" w:name="_Ref162258143"/>
      <w:r>
        <w:t xml:space="preserve">Table </w:t>
      </w:r>
      <w:r>
        <w:fldChar w:fldCharType="begin"/>
      </w:r>
      <w:r>
        <w:instrText>SEQ Table \* ARABIC</w:instrText>
      </w:r>
      <w:r>
        <w:fldChar w:fldCharType="separate"/>
      </w:r>
      <w:r w:rsidR="009F12B4">
        <w:rPr>
          <w:noProof/>
        </w:rPr>
        <w:t>43</w:t>
      </w:r>
      <w:r>
        <w:fldChar w:fldCharType="end"/>
      </w:r>
      <w:bookmarkEnd w:id="185"/>
      <w:r>
        <w:t xml:space="preserve">: Recommended action for critical enabler </w:t>
      </w:r>
      <w:r w:rsidR="00BD501F">
        <w:t xml:space="preserve">4.2: </w:t>
      </w:r>
      <w:r>
        <w:t xml:space="preserve">Build </w:t>
      </w:r>
      <w:r w:rsidR="00105187">
        <w:t xml:space="preserve">capacity </w:t>
      </w:r>
      <w:r w:rsidR="00B57BE8">
        <w:t xml:space="preserve">and capability </w:t>
      </w:r>
      <w:r>
        <w:t>of key workforces</w:t>
      </w:r>
      <w:r w:rsidR="00BD501F">
        <w:t xml:space="preserve"> (suicide prevention peer workforce)</w:t>
      </w:r>
    </w:p>
    <w:tbl>
      <w:tblPr>
        <w:tblStyle w:val="TableGrid"/>
        <w:tblW w:w="9213" w:type="dxa"/>
        <w:tblLook w:val="0420" w:firstRow="1" w:lastRow="0" w:firstColumn="0" w:lastColumn="0" w:noHBand="0" w:noVBand="1"/>
        <w:tblCaption w:val="Recommended actions for critical enabler 4.2: Build capability of key workforces (suicide prevention peer workforce)"/>
        <w:tblDescription w:val="Describes action ce4.2b"/>
      </w:tblPr>
      <w:tblGrid>
        <w:gridCol w:w="1270"/>
        <w:gridCol w:w="7943"/>
      </w:tblGrid>
      <w:tr w:rsidR="00BD501F" w:rsidRPr="00B768A1" w14:paraId="478F15C9" w14:textId="77777777" w:rsidTr="55FFBE13">
        <w:trPr>
          <w:cnfStyle w:val="100000000000" w:firstRow="1" w:lastRow="0" w:firstColumn="0" w:lastColumn="0" w:oddVBand="0" w:evenVBand="0" w:oddHBand="0" w:evenHBand="0" w:firstRowFirstColumn="0" w:firstRowLastColumn="0" w:lastRowFirstColumn="0" w:lastRowLastColumn="0"/>
          <w:cantSplit/>
          <w:trHeight w:val="300"/>
          <w:tblHeader/>
        </w:trPr>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80AD" w:themeFill="accent4"/>
          </w:tcPr>
          <w:p w14:paraId="31C46E0C" w14:textId="2FD489A4" w:rsidR="00BD501F" w:rsidRPr="006769A5" w:rsidRDefault="00BD501F" w:rsidP="004F5B0E">
            <w:pPr>
              <w:pStyle w:val="NMHCTableHeaderRow"/>
              <w:rPr>
                <w:u w:val="single"/>
              </w:rPr>
            </w:pPr>
            <w:r>
              <w:t>Action</w:t>
            </w:r>
          </w:p>
        </w:tc>
        <w:tc>
          <w:tcPr>
            <w:tcW w:w="7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80AD" w:themeFill="accent4"/>
            <w:tcMar>
              <w:top w:w="28" w:type="dxa"/>
              <w:bottom w:w="28" w:type="dxa"/>
            </w:tcMar>
          </w:tcPr>
          <w:p w14:paraId="57BEA364" w14:textId="1B5B239E" w:rsidR="00BD501F" w:rsidRPr="00B768A1" w:rsidRDefault="00463C6E" w:rsidP="004F5B0E">
            <w:pPr>
              <w:pStyle w:val="NMHCTableHeaderRow"/>
            </w:pPr>
            <w:r>
              <w:t>Description</w:t>
            </w:r>
          </w:p>
        </w:tc>
      </w:tr>
      <w:tr w:rsidR="00682A5B" w:rsidRPr="00B768A1" w14:paraId="0C380EA2" w14:textId="77777777" w:rsidTr="55FFBE13">
        <w:trPr>
          <w:trHeight w:val="300"/>
        </w:trPr>
        <w:tc>
          <w:tcPr>
            <w:tcW w:w="1270" w:type="dxa"/>
            <w:tcBorders>
              <w:top w:val="single" w:sz="4" w:space="0" w:color="FFFFFF" w:themeColor="background1"/>
            </w:tcBorders>
          </w:tcPr>
          <w:p w14:paraId="1CC91E2B" w14:textId="6DA9983E" w:rsidR="00682A5B" w:rsidRPr="00F833FC" w:rsidRDefault="00752C00" w:rsidP="00634A83">
            <w:r w:rsidRPr="00F833FC">
              <w:rPr>
                <w:rFonts w:cstheme="minorBidi"/>
              </w:rPr>
              <w:t>ce</w:t>
            </w:r>
            <w:r w:rsidR="00682A5B" w:rsidRPr="00F833FC">
              <w:t>4</w:t>
            </w:r>
            <w:r w:rsidR="00682A5B" w:rsidRPr="00F833FC">
              <w:rPr>
                <w:rFonts w:cstheme="minorBidi"/>
              </w:rPr>
              <w:t>.</w:t>
            </w:r>
            <w:r w:rsidR="00682A5B" w:rsidRPr="00F833FC">
              <w:t>2b</w:t>
            </w:r>
          </w:p>
        </w:tc>
        <w:tc>
          <w:tcPr>
            <w:tcW w:w="7943" w:type="dxa"/>
            <w:tcBorders>
              <w:top w:val="single" w:sz="4" w:space="0" w:color="FFFFFF" w:themeColor="background1"/>
            </w:tcBorders>
            <w:tcMar>
              <w:top w:w="28" w:type="dxa"/>
              <w:bottom w:w="28" w:type="dxa"/>
            </w:tcMar>
          </w:tcPr>
          <w:p w14:paraId="6A9729F7" w14:textId="4835BDDE" w:rsidR="00682A5B" w:rsidRPr="00F833FC" w:rsidRDefault="00771627" w:rsidP="00634A83">
            <w:r>
              <w:t>Establish a nationally consistent approach to attract, train and retain t</w:t>
            </w:r>
            <w:r w:rsidR="302FD03B">
              <w:t xml:space="preserve">he </w:t>
            </w:r>
            <w:r w:rsidR="00682A5B" w:rsidRPr="00F833FC">
              <w:t>suicide prevention peer workforce:</w:t>
            </w:r>
          </w:p>
          <w:p w14:paraId="7D01FBEA" w14:textId="7658E3C0" w:rsidR="00771627" w:rsidRPr="00381701" w:rsidRDefault="00771627" w:rsidP="00634A83">
            <w:pPr>
              <w:pStyle w:val="ListParagraph"/>
              <w:numPr>
                <w:ilvl w:val="0"/>
                <w:numId w:val="36"/>
              </w:numPr>
              <w:rPr>
                <w:color w:val="auto"/>
              </w:rPr>
            </w:pPr>
            <w:r>
              <w:t xml:space="preserve">attract a diverse </w:t>
            </w:r>
            <w:r w:rsidR="3130A0E2">
              <w:t xml:space="preserve">suicide prevention peer workforce </w:t>
            </w:r>
            <w:r>
              <w:t xml:space="preserve">through recruitment approaches and mechanisms to assist with accessibility of training including financial assistance </w:t>
            </w:r>
          </w:p>
          <w:p w14:paraId="4431DA79" w14:textId="03BD3756" w:rsidR="00682A5B" w:rsidRPr="00F833FC" w:rsidRDefault="00771627" w:rsidP="00634A83">
            <w:pPr>
              <w:pStyle w:val="ListParagraph"/>
              <w:numPr>
                <w:ilvl w:val="0"/>
                <w:numId w:val="36"/>
              </w:numPr>
              <w:rPr>
                <w:color w:val="auto"/>
              </w:rPr>
            </w:pPr>
            <w:r>
              <w:t xml:space="preserve">ensure training is high-quality and </w:t>
            </w:r>
            <w:r w:rsidR="00682A5B" w:rsidRPr="00F833FC">
              <w:t xml:space="preserve">provides foundational </w:t>
            </w:r>
            <w:r w:rsidR="75BA092F">
              <w:t xml:space="preserve">knowledge </w:t>
            </w:r>
            <w:r w:rsidR="00682A5B" w:rsidRPr="00F833FC">
              <w:t xml:space="preserve">in peer work </w:t>
            </w:r>
            <w:r w:rsidR="6C584B34" w:rsidRPr="00F833FC">
              <w:t xml:space="preserve">and </w:t>
            </w:r>
            <w:r w:rsidR="00682A5B" w:rsidRPr="00F833FC">
              <w:t xml:space="preserve">suicide prevention </w:t>
            </w:r>
          </w:p>
          <w:p w14:paraId="47972375" w14:textId="01ADF938" w:rsidR="00682A5B" w:rsidRPr="00F833FC" w:rsidRDefault="00771627" w:rsidP="00634A83">
            <w:pPr>
              <w:pStyle w:val="ListParagraph"/>
              <w:numPr>
                <w:ilvl w:val="0"/>
                <w:numId w:val="36"/>
              </w:numPr>
            </w:pPr>
            <w:r>
              <w:t>d</w:t>
            </w:r>
            <w:r w:rsidR="3DD12523">
              <w:t xml:space="preserve">evelop </w:t>
            </w:r>
            <w:r w:rsidR="00682A5B">
              <w:t xml:space="preserve">guidance </w:t>
            </w:r>
            <w:r w:rsidR="400466D1">
              <w:t xml:space="preserve">to </w:t>
            </w:r>
            <w:r w:rsidR="00682A5B">
              <w:t>support</w:t>
            </w:r>
            <w:r w:rsidR="0BD91305">
              <w:t xml:space="preserve"> </w:t>
            </w:r>
            <w:r w:rsidR="00682A5B">
              <w:t xml:space="preserve">employing organisations provide </w:t>
            </w:r>
            <w:r w:rsidR="546DF229">
              <w:t xml:space="preserve">the suicide prevention peer workforce with a </w:t>
            </w:r>
            <w:r w:rsidR="6D14FC81">
              <w:t xml:space="preserve">workplace </w:t>
            </w:r>
            <w:r w:rsidR="546DF229">
              <w:t xml:space="preserve">that </w:t>
            </w:r>
            <w:r w:rsidR="7D26C6F1">
              <w:t xml:space="preserve">values </w:t>
            </w:r>
            <w:r w:rsidR="00682A5B">
              <w:t>and meets the professional needs</w:t>
            </w:r>
            <w:r w:rsidR="00C37625">
              <w:t xml:space="preserve"> of this workforce</w:t>
            </w:r>
            <w:r w:rsidR="6105E70D">
              <w:t>.</w:t>
            </w:r>
            <w:r w:rsidR="00682A5B">
              <w:t xml:space="preserve"> </w:t>
            </w:r>
          </w:p>
        </w:tc>
      </w:tr>
    </w:tbl>
    <w:p w14:paraId="26A1BBC1" w14:textId="77777777" w:rsidR="00BB395F" w:rsidRDefault="00BB395F">
      <w:pPr>
        <w:spacing w:after="160"/>
        <w:rPr>
          <w:b/>
        </w:rPr>
      </w:pPr>
      <w:r>
        <w:br w:type="page"/>
      </w:r>
    </w:p>
    <w:p w14:paraId="5DB040E5" w14:textId="60C5FDAD" w:rsidR="00074FBD" w:rsidRPr="008E5391" w:rsidRDefault="378E79E0" w:rsidP="00E1682B">
      <w:pPr>
        <w:pStyle w:val="BT-Livedexperience-Pink-Heading"/>
        <w:ind w:firstLine="465"/>
      </w:pPr>
      <w:r>
        <w:rPr>
          <w:noProof/>
        </w:rPr>
        <w:drawing>
          <wp:anchor distT="0" distB="0" distL="114300" distR="114300" simplePos="0" relativeHeight="251658251" behindDoc="0" locked="0" layoutInCell="1" allowOverlap="1" wp14:anchorId="267A1415" wp14:editId="6FE03317">
            <wp:simplePos x="0" y="0"/>
            <wp:positionH relativeFrom="column">
              <wp:posOffset>77470</wp:posOffset>
            </wp:positionH>
            <wp:positionV relativeFrom="paragraph">
              <wp:posOffset>72390</wp:posOffset>
            </wp:positionV>
            <wp:extent cx="318864" cy="318864"/>
            <wp:effectExtent l="0" t="0" r="5080" b="5080"/>
            <wp:wrapNone/>
            <wp:docPr id="38075805" name="Graphic 38075805" descr="Start of quotation from Lived Experience Partnership Group memb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8075805"/>
                    <pic:cNvPicPr/>
                  </pic:nvPicPr>
                  <pic:blipFill>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rot="16200000">
                      <a:off x="0" y="0"/>
                      <a:ext cx="318864" cy="318864"/>
                    </a:xfrm>
                    <a:prstGeom prst="rect">
                      <a:avLst/>
                    </a:prstGeom>
                  </pic:spPr>
                </pic:pic>
              </a:graphicData>
            </a:graphic>
          </wp:anchor>
        </w:drawing>
      </w:r>
      <w:r w:rsidR="08E2048E" w:rsidRPr="04A3B251">
        <w:t>Reflections from people with lived experience</w:t>
      </w:r>
    </w:p>
    <w:p w14:paraId="4DB66CE7" w14:textId="6D1AAB14" w:rsidR="00074FBD" w:rsidRPr="00B768A1" w:rsidRDefault="005531B1" w:rsidP="00634A83">
      <w:pPr>
        <w:pStyle w:val="BT-Livedexperience-Pink"/>
      </w:pPr>
      <w:r>
        <w:t>“</w:t>
      </w:r>
      <w:r w:rsidR="00074FBD">
        <w:t xml:space="preserve">Being able to effectively use my </w:t>
      </w:r>
      <w:r w:rsidR="00074FBD" w:rsidRPr="00F833FC">
        <w:rPr>
          <w:rStyle w:val="Strong"/>
          <w:b w:val="0"/>
          <w:bCs w:val="0"/>
        </w:rPr>
        <w:t>lived experience</w:t>
      </w:r>
      <w:r w:rsidR="00074FBD" w:rsidRPr="45E58E07">
        <w:rPr>
          <w:color w:val="97508A"/>
        </w:rPr>
        <w:t xml:space="preserve"> </w:t>
      </w:r>
      <w:r w:rsidR="00074FBD">
        <w:t>in practice and</w:t>
      </w:r>
      <w:r w:rsidR="00074FBD" w:rsidRPr="00F833FC">
        <w:rPr>
          <w:rStyle w:val="Strong"/>
          <w:b w:val="0"/>
          <w:bCs w:val="0"/>
        </w:rPr>
        <w:t xml:space="preserve"> share purposefully</w:t>
      </w:r>
      <w:r w:rsidR="00A37070">
        <w:t>,</w:t>
      </w:r>
      <w:r w:rsidR="00074FBD" w:rsidRPr="45E58E07">
        <w:rPr>
          <w:color w:val="97508A"/>
        </w:rPr>
        <w:t xml:space="preserve"> </w:t>
      </w:r>
      <w:r w:rsidR="00074FBD">
        <w:t>along with the traditional training I’ve had</w:t>
      </w:r>
      <w:r w:rsidR="00A37070">
        <w:t xml:space="preserve">, </w:t>
      </w:r>
      <w:r w:rsidR="00074FBD">
        <w:t xml:space="preserve">has meant I’ve seen a lot of success in suicide prevention. People </w:t>
      </w:r>
      <w:r w:rsidR="00074FBD" w:rsidRPr="00F833FC">
        <w:rPr>
          <w:rStyle w:val="Strong"/>
          <w:b w:val="0"/>
          <w:bCs w:val="0"/>
        </w:rPr>
        <w:t>feel</w:t>
      </w:r>
      <w:r w:rsidR="00074FBD">
        <w:t xml:space="preserve"> more </w:t>
      </w:r>
      <w:r w:rsidR="00074FBD" w:rsidRPr="00F833FC">
        <w:rPr>
          <w:rStyle w:val="Strong"/>
          <w:b w:val="0"/>
          <w:bCs w:val="0"/>
        </w:rPr>
        <w:t>comfortable talking</w:t>
      </w:r>
      <w:r w:rsidR="00074FBD" w:rsidRPr="45E58E07">
        <w:rPr>
          <w:color w:val="97508A"/>
        </w:rPr>
        <w:t xml:space="preserve"> </w:t>
      </w:r>
      <w:r w:rsidR="00074FBD">
        <w:t xml:space="preserve">and being </w:t>
      </w:r>
      <w:r w:rsidR="00074FBD" w:rsidRPr="00F833FC">
        <w:rPr>
          <w:rStyle w:val="Strong"/>
          <w:b w:val="0"/>
          <w:bCs w:val="0"/>
        </w:rPr>
        <w:t>honest</w:t>
      </w:r>
      <w:r w:rsidR="00074FBD">
        <w:t xml:space="preserve"> with </w:t>
      </w:r>
      <w:r w:rsidR="00A37070" w:rsidRPr="00F833FC">
        <w:rPr>
          <w:rStyle w:val="Strong"/>
          <w:b w:val="0"/>
          <w:bCs w:val="0"/>
        </w:rPr>
        <w:t>p</w:t>
      </w:r>
      <w:r w:rsidR="00074FBD" w:rsidRPr="00F833FC">
        <w:rPr>
          <w:rStyle w:val="Strong"/>
          <w:b w:val="0"/>
          <w:bCs w:val="0"/>
        </w:rPr>
        <w:t xml:space="preserve">eer </w:t>
      </w:r>
      <w:r w:rsidR="00A37070" w:rsidRPr="00F833FC">
        <w:rPr>
          <w:rStyle w:val="Strong"/>
          <w:b w:val="0"/>
          <w:bCs w:val="0"/>
        </w:rPr>
        <w:t>w</w:t>
      </w:r>
      <w:r w:rsidR="00074FBD" w:rsidRPr="00F833FC">
        <w:rPr>
          <w:rStyle w:val="Strong"/>
          <w:b w:val="0"/>
          <w:bCs w:val="0"/>
        </w:rPr>
        <w:t>orkers</w:t>
      </w:r>
      <w:r w:rsidR="00074FBD" w:rsidRPr="45E58E07">
        <w:rPr>
          <w:color w:val="97508A"/>
        </w:rPr>
        <w:t xml:space="preserve"> </w:t>
      </w:r>
      <w:r w:rsidR="00074FBD">
        <w:t xml:space="preserve">because we have the </w:t>
      </w:r>
      <w:r w:rsidR="00074FBD" w:rsidRPr="00F833FC">
        <w:rPr>
          <w:rStyle w:val="Strong"/>
          <w:b w:val="0"/>
          <w:bCs w:val="0"/>
        </w:rPr>
        <w:t>identified lived experience</w:t>
      </w:r>
      <w:r w:rsidR="00074FBD">
        <w:t>.</w:t>
      </w:r>
      <w:r>
        <w:t>”</w:t>
      </w:r>
    </w:p>
    <w:p w14:paraId="0A006B88" w14:textId="332202F8" w:rsidR="00074FBD" w:rsidRPr="00B768A1" w:rsidRDefault="00074FBD" w:rsidP="007839BC">
      <w:pPr>
        <w:pStyle w:val="BT-Livedexperience-Pink"/>
        <w:jc w:val="right"/>
        <w:rPr>
          <w:b/>
          <w:bCs/>
        </w:rPr>
      </w:pPr>
      <w:r w:rsidRPr="00B768A1">
        <w:rPr>
          <w:rStyle w:val="Strong"/>
        </w:rPr>
        <w:t>Chris Trupp</w:t>
      </w:r>
      <w:r w:rsidRPr="003715A2">
        <w:rPr>
          <w:rStyle w:val="Strong"/>
          <w:b w:val="0"/>
          <w:bCs w:val="0"/>
        </w:rPr>
        <w:t>, Lived Experience Partnership Group member</w:t>
      </w:r>
    </w:p>
    <w:p w14:paraId="0098ABDB" w14:textId="530CB0F8" w:rsidR="00682A5B" w:rsidRPr="00B768A1" w:rsidRDefault="14F2A134" w:rsidP="00634A83">
      <w:pPr>
        <w:pStyle w:val="Heading3"/>
      </w:pPr>
      <w:r w:rsidRPr="5B74CE65">
        <w:t>ce</w:t>
      </w:r>
      <w:r w:rsidR="00682A5B" w:rsidRPr="5B74CE65">
        <w:t>4.3 Develop national guidelines for suicide prevention</w:t>
      </w:r>
    </w:p>
    <w:p w14:paraId="7C05ABC0" w14:textId="2A2065FB" w:rsidR="00682A5B" w:rsidRDefault="3605BDAC" w:rsidP="00634A83">
      <w:r w:rsidRPr="00B768A1">
        <w:t>Australia</w:t>
      </w:r>
      <w:r w:rsidR="7777A3C5" w:rsidRPr="00B768A1">
        <w:t xml:space="preserve"> has</w:t>
      </w:r>
      <w:r w:rsidRPr="00B768A1">
        <w:t xml:space="preserve"> guidelines for the assessment, management and prevention of ‘self-harm’ (suicide). These are principally designed to govern clinical practice and health service delivery. Numerous guidelines exist across jurisdictions,</w:t>
      </w:r>
      <w:hyperlink w:anchor="_ENREF_346" w:tooltip="Health, 2010 #45" w:history="1">
        <w:r w:rsidR="002D6F18" w:rsidRPr="009B7C30">
          <w:rPr>
            <w:vertAlign w:val="superscript"/>
          </w:rPr>
          <w:fldChar w:fldCharType="begin"/>
        </w:r>
        <w:r w:rsidR="002D6F18">
          <w:rPr>
            <w:vertAlign w:val="superscript"/>
          </w:rPr>
          <w:instrText xml:space="preserve"> ADDIN EN.CITE &lt;EndNote&gt;&lt;Cite&gt;&lt;Author&gt;Health&lt;/Author&gt;&lt;Year&gt;2010&lt;/Year&gt;&lt;RecNum&gt;45&lt;/RecNum&gt;&lt;DisplayText&gt;&lt;style face="superscript"&gt;346&lt;/style&gt;&lt;/DisplayText&gt;&lt;record&gt;&lt;rec-number&gt;45&lt;/rec-number&gt;&lt;foreign-keys&gt;&lt;key app="EN" db-id="rsettzd2isasdweewww55s9lffasxav0d0ft" timestamp="1700699466" guid="ef539b93-6e86-436f-bf40-e57215178fd2"&gt;45&lt;/key&gt;&lt;/foreign-keys&gt;&lt;ref-type name="Web Page"&gt;12&lt;/ref-type&gt;&lt;contributors&gt;&lt;authors&gt;&lt;author&gt;Victorian Department of Health&lt;/author&gt;&lt;/authors&gt;&lt;/contributors&gt;&lt;titles&gt;&lt;title&gt;Working with the Suicidal Person: Clinical Practice Guidelines for Emergency Departments and Mental Health Services&lt;/title&gt;&lt;/titles&gt;&lt;dates&gt;&lt;year&gt;2010&lt;/year&gt;&lt;/dates&gt;&lt;pub-location&gt;Melbourne, Victoria&lt;/pub-location&gt;&lt;publisher&gt;Victoria State Government&lt;/publisher&gt;&lt;work-type&gt;Internet&lt;/work-type&gt;&lt;urls&gt;&lt;related-urls&gt;&lt;url&gt;https://www.health.vic.gov.au/publications/suicide-working-with-the-suicidal-person-clinical-practice-guidelines-for-emergency&lt;/url&gt;&lt;/related-urls&gt;&lt;/urls&gt;&lt;custom1&gt;2023&lt;/custom1&gt;&lt;custom2&gt;November 06&lt;/custom2&gt;&lt;/record&gt;&lt;/Cite&gt;&lt;/EndNote&gt;</w:instrText>
        </w:r>
        <w:r w:rsidR="002D6F18" w:rsidRPr="009B7C30">
          <w:rPr>
            <w:vertAlign w:val="superscript"/>
          </w:rPr>
          <w:fldChar w:fldCharType="separate"/>
        </w:r>
        <w:r w:rsidR="002D6F18">
          <w:rPr>
            <w:noProof/>
            <w:vertAlign w:val="superscript"/>
          </w:rPr>
          <w:t>346</w:t>
        </w:r>
        <w:r w:rsidR="002D6F18" w:rsidRPr="009B7C30">
          <w:rPr>
            <w:vertAlign w:val="superscript"/>
          </w:rPr>
          <w:fldChar w:fldCharType="end"/>
        </w:r>
      </w:hyperlink>
      <w:r w:rsidR="00F73643" w:rsidRPr="009B7C30">
        <w:rPr>
          <w:vertAlign w:val="superscript"/>
        </w:rPr>
        <w:t>,</w:t>
      </w:r>
      <w:hyperlink w:anchor="_ENREF_347" w:tooltip="Health, 2021 #46" w:history="1">
        <w:r w:rsidR="002D6F18" w:rsidRPr="009B7C30">
          <w:rPr>
            <w:vertAlign w:val="superscript"/>
          </w:rPr>
          <w:fldChar w:fldCharType="begin"/>
        </w:r>
        <w:r w:rsidR="002D6F18">
          <w:rPr>
            <w:vertAlign w:val="superscript"/>
          </w:rPr>
          <w:instrText xml:space="preserve"> ADDIN EN.CITE &lt;EndNote&gt;&lt;Cite&gt;&lt;Author&gt;Health&lt;/Author&gt;&lt;Year&gt;2021&lt;/Year&gt;&lt;RecNum&gt;46&lt;/RecNum&gt;&lt;DisplayText&gt;&lt;style face="superscript"&gt;347&lt;/style&gt;&lt;/DisplayText&gt;&lt;record&gt;&lt;rec-number&gt;46&lt;/rec-number&gt;&lt;foreign-keys&gt;&lt;key app="EN" db-id="rsettzd2isasdweewww55s9lffasxav0d0ft" timestamp="1700699466" guid="f967e66e-5972-4b44-a547-b3a945b8b22d"&gt;46&lt;/key&gt;&lt;/foreign-keys&gt;&lt;ref-type name="Web Page"&gt;12&lt;/ref-type&gt;&lt;contributors&gt;&lt;authors&gt;&lt;author&gt;Queensland Health&lt;/author&gt;&lt;/authors&gt;&lt;/contributors&gt;&lt;titles&gt;&lt;title&gt;Suicide Prevention Practice: Queensland Health Guideline, QH-GDL-967:2021&lt;/title&gt;&lt;/titles&gt;&lt;dates&gt;&lt;year&gt;2021&lt;/year&gt;&lt;/dates&gt;&lt;pub-location&gt;Brisbane, Queensland&lt;/pub-location&gt;&lt;publisher&gt;Clinical Excellence Queensland, Mental Health Alcohol and Other Drugs Branch, Queensland Government&lt;/publisher&gt;&lt;work-type&gt;Internet&lt;/work-type&gt;&lt;urls&gt;&lt;related-urls&gt;&lt;url&gt;https://www.health.qld.gov.au/__data/assets/pdf_file/0027/1125864/qh-gdl-967.pdf&lt;/url&gt;&lt;/related-urls&gt;&lt;/urls&gt;&lt;custom1&gt;2023&lt;/custom1&gt;&lt;custom2&gt;November 06&lt;/custom2&gt;&lt;/record&gt;&lt;/Cite&gt;&lt;/EndNote&gt;</w:instrText>
        </w:r>
        <w:r w:rsidR="002D6F18" w:rsidRPr="009B7C30">
          <w:rPr>
            <w:vertAlign w:val="superscript"/>
          </w:rPr>
          <w:fldChar w:fldCharType="separate"/>
        </w:r>
        <w:r w:rsidR="002D6F18">
          <w:rPr>
            <w:noProof/>
            <w:vertAlign w:val="superscript"/>
          </w:rPr>
          <w:t>347</w:t>
        </w:r>
        <w:r w:rsidR="002D6F18" w:rsidRPr="009B7C30">
          <w:rPr>
            <w:vertAlign w:val="superscript"/>
          </w:rPr>
          <w:fldChar w:fldCharType="end"/>
        </w:r>
      </w:hyperlink>
      <w:r w:rsidR="00F73643" w:rsidRPr="009B7C30">
        <w:rPr>
          <w:vertAlign w:val="superscript"/>
        </w:rPr>
        <w:t>,</w:t>
      </w:r>
      <w:hyperlink w:anchor="_ENREF_348" w:tooltip="Innovation, 2022 #110" w:history="1">
        <w:r w:rsidR="002D6F18" w:rsidRPr="009B7C30">
          <w:rPr>
            <w:vertAlign w:val="superscript"/>
          </w:rPr>
          <w:fldChar w:fldCharType="begin"/>
        </w:r>
        <w:r w:rsidR="002D6F18">
          <w:rPr>
            <w:vertAlign w:val="superscript"/>
          </w:rPr>
          <w:instrText xml:space="preserve"> ADDIN EN.CITE &lt;EndNote&gt;&lt;Cite&gt;&lt;Author&gt;Innovation&lt;/Author&gt;&lt;Year&gt;2022&lt;/Year&gt;&lt;RecNum&gt;110&lt;/RecNum&gt;&lt;DisplayText&gt;&lt;style face="superscript"&gt;348&lt;/style&gt;&lt;/DisplayText&gt;&lt;record&gt;&lt;rec-number&gt;110&lt;/rec-number&gt;&lt;foreign-keys&gt;&lt;key app="EN" db-id="rsettzd2isasdweewww55s9lffasxav0d0ft" timestamp="1700699467" guid="f446e1c8-670f-4d0a-a455-f521eeca2574"&gt;110&lt;/key&gt;&lt;/foreign-keys&gt;&lt;ref-type name="Web Page"&gt;12&lt;/ref-type&gt;&lt;contributors&gt;&lt;authors&gt;&lt;author&gt;Agency for Clinical Innovation&lt;/author&gt;&lt;/authors&gt;&lt;/contributors&gt;&lt;titles&gt;&lt;title&gt;Suicide Care Pathways: Evidence Checks&lt;/title&gt;&lt;/titles&gt;&lt;dates&gt;&lt;year&gt;2022&lt;/year&gt;&lt;/dates&gt;&lt;publisher&gt;NSW Government&lt;/publisher&gt;&lt;work-type&gt;Internet&lt;/work-type&gt;&lt;urls&gt;&lt;related-urls&gt;&lt;url&gt;https://aci.health.nsw.gov.au/networks/mental-health/suicide-care-pathway#evidence&lt;/url&gt;&lt;/related-urls&gt;&lt;/urls&gt;&lt;custom1&gt;2023&lt;/custom1&gt;&lt;custom2&gt;November 06&lt;/custom2&gt;&lt;/record&gt;&lt;/Cite&gt;&lt;/EndNote&gt;</w:instrText>
        </w:r>
        <w:r w:rsidR="002D6F18" w:rsidRPr="009B7C30">
          <w:rPr>
            <w:vertAlign w:val="superscript"/>
          </w:rPr>
          <w:fldChar w:fldCharType="separate"/>
        </w:r>
        <w:r w:rsidR="002D6F18">
          <w:rPr>
            <w:noProof/>
            <w:vertAlign w:val="superscript"/>
          </w:rPr>
          <w:t>348</w:t>
        </w:r>
        <w:r w:rsidR="002D6F18" w:rsidRPr="009B7C30">
          <w:rPr>
            <w:vertAlign w:val="superscript"/>
          </w:rPr>
          <w:fldChar w:fldCharType="end"/>
        </w:r>
      </w:hyperlink>
      <w:r w:rsidR="009B7C30">
        <w:t xml:space="preserve"> </w:t>
      </w:r>
      <w:r w:rsidRPr="00B768A1">
        <w:t>for specific disciplines,</w:t>
      </w:r>
      <w:hyperlink w:anchor="_ENREF_349" w:tooltip="G, 2016 #311" w:history="1">
        <w:r w:rsidR="002D6F18">
          <w:fldChar w:fldCharType="begin"/>
        </w:r>
        <w:r w:rsidR="002D6F18">
          <w:instrText xml:space="preserve"> ADDIN EN.CITE &lt;EndNote&gt;&lt;Cite&gt;&lt;Author&gt;G&lt;/Author&gt;&lt;Year&gt;2016&lt;/Year&gt;&lt;RecNum&gt;311&lt;/RecNum&gt;&lt;DisplayText&gt;&lt;style face="superscript"&gt;349&lt;/style&gt;&lt;/DisplayText&gt;&lt;record&gt;&lt;rec-number&gt;311&lt;/rec-number&gt;&lt;foreign-keys&gt;&lt;key app="EN" db-id="rsettzd2isasdweewww55s9lffasxav0d0ft" timestamp="1700699471" guid="630a6b16-6e11-499a-8052-f5f706d5140a"&gt;311&lt;/key&gt;&lt;/foreign-keys&gt;&lt;ref-type name="Journal Article"&gt;17&lt;/ref-type&gt;&lt;contributors&gt;&lt;authors&gt;&lt;author&gt;Carter G&lt;/author&gt;&lt;author&gt;Page A&lt;/author&gt;&lt;author&gt;Large M&lt;/author&gt;&lt;author&gt;Hetrick S&lt;/author&gt;&lt;author&gt;Milner AJ&lt;/author&gt;&lt;author&gt;Bendit N&lt;/author&gt;&lt;author&gt;Walton C&lt;/author&gt;&lt;author&gt;Draper B&lt;/author&gt;&lt;author&gt;Hazell P&lt;/author&gt;&lt;author&gt;Fortune S&lt;/author&gt;&lt;author&gt;Burns J&lt;/author&gt;&lt;author&gt;Patton G&lt;/author&gt;&lt;author&gt;Lawrence M&lt;/author&gt;&lt;author&gt;Dadd L&lt;/author&gt;&lt;author&gt;Robinson J&lt;/author&gt;&lt;author&gt;Christensen H&lt;/author&gt;&lt;/authors&gt;&lt;/contributors&gt;&lt;titles&gt;&lt;title&gt;Royal Australian and New Zealand College of Psychiatrists Clinical Practice Guideline for the Management of Deliberate Self-Harm&lt;/title&gt;&lt;secondary-title&gt;Australian &amp;amp; New Zealand Journal of Psychiatry&lt;/secondary-title&gt;&lt;/titles&gt;&lt;periodical&gt;&lt;full-title&gt;Australian &amp;amp; New Zealand Journal of Psychiatry&lt;/full-title&gt;&lt;/periodical&gt;&lt;dates&gt;&lt;year&gt;2016&lt;/year&gt;&lt;/dates&gt;&lt;urls&gt;&lt;/urls&gt;&lt;electronic-resource-num&gt;DOI: 10.1177/0004867416661039&lt;/electronic-resource-num&gt;&lt;/record&gt;&lt;/Cite&gt;&lt;/EndNote&gt;</w:instrText>
        </w:r>
        <w:r w:rsidR="002D6F18">
          <w:fldChar w:fldCharType="separate"/>
        </w:r>
        <w:r w:rsidR="002D6F18" w:rsidRPr="00C559B5">
          <w:rPr>
            <w:noProof/>
            <w:vertAlign w:val="superscript"/>
          </w:rPr>
          <w:t>349</w:t>
        </w:r>
        <w:r w:rsidR="002D6F18">
          <w:fldChar w:fldCharType="end"/>
        </w:r>
      </w:hyperlink>
      <w:r w:rsidR="009B7C30">
        <w:t xml:space="preserve"> </w:t>
      </w:r>
      <w:r w:rsidRPr="00B768A1">
        <w:t>for health services,</w:t>
      </w:r>
      <w:hyperlink w:anchor="_ENREF_350" w:tooltip="Care, 2023 #44" w:history="1">
        <w:r w:rsidR="002D6F18">
          <w:fldChar w:fldCharType="begin"/>
        </w:r>
        <w:r w:rsidR="002D6F18">
          <w:instrText xml:space="preserve"> ADDIN EN.CITE &lt;EndNote&gt;&lt;Cite&gt;&lt;Author&gt;Care&lt;/Author&gt;&lt;Year&gt;2023&lt;/Year&gt;&lt;RecNum&gt;44&lt;/RecNum&gt;&lt;DisplayText&gt;&lt;style face="superscript"&gt;350&lt;/style&gt;&lt;/DisplayText&gt;&lt;record&gt;&lt;rec-number&gt;44&lt;/rec-number&gt;&lt;foreign-keys&gt;&lt;key app="EN" db-id="rsettzd2isasdweewww55s9lffasxav0d0ft" timestamp="1700699466" guid="96703ce7-b654-4b24-902e-323dabd5747e"&gt;44&lt;/key&gt;&lt;/foreign-keys&gt;&lt;ref-type name="Web Page"&gt;12&lt;/ref-type&gt;&lt;contributors&gt;&lt;authors&gt;&lt;author&gt;Australian Commission on Safety and Quality in Health Care&lt;/author&gt;&lt;/authors&gt;&lt;/contributors&gt;&lt;titles&gt;&lt;title&gt;National Safety and Quality Health Service (NSQHS) Standards: Action 5.31 Predicting, Preventing and Managing Self-Harm and Suicide&lt;/title&gt;&lt;/titles&gt;&lt;dates&gt;&lt;year&gt;2023&lt;/year&gt;&lt;/dates&gt;&lt;publisher&gt;ACSQHC&lt;/publisher&gt;&lt;work-type&gt;Internet&lt;/work-type&gt;&lt;urls&gt;&lt;related-urls&gt;&lt;url&gt;https://www.safetyandquality.gov.au/standards/nsqhs-standards/comprehensive-care-standard/minimising-patient-harm/action-531&lt;/url&gt;&lt;/related-urls&gt;&lt;/urls&gt;&lt;custom1&gt;2023&lt;/custom1&gt;&lt;custom2&gt;November 06&lt;/custom2&gt;&lt;/record&gt;&lt;/Cite&gt;&lt;/EndNote&gt;</w:instrText>
        </w:r>
        <w:r w:rsidR="002D6F18">
          <w:fldChar w:fldCharType="separate"/>
        </w:r>
        <w:r w:rsidR="002D6F18" w:rsidRPr="00C559B5">
          <w:rPr>
            <w:noProof/>
            <w:vertAlign w:val="superscript"/>
          </w:rPr>
          <w:t>350</w:t>
        </w:r>
        <w:r w:rsidR="002D6F18">
          <w:fldChar w:fldCharType="end"/>
        </w:r>
      </w:hyperlink>
      <w:r w:rsidR="009B7C30">
        <w:t xml:space="preserve"> </w:t>
      </w:r>
      <w:r w:rsidRPr="00B768A1">
        <w:t xml:space="preserve">and for </w:t>
      </w:r>
      <w:r w:rsidR="7777A3C5" w:rsidRPr="00B768A1">
        <w:t xml:space="preserve">particular </w:t>
      </w:r>
      <w:r w:rsidRPr="00B768A1">
        <w:t>groups</w:t>
      </w:r>
      <w:r w:rsidR="2CC2DEB5" w:rsidRPr="00B768A1">
        <w:t>,</w:t>
      </w:r>
      <w:r w:rsidRPr="00B768A1">
        <w:t xml:space="preserve"> such as Aboriginal and Torres Strait Islander people</w:t>
      </w:r>
      <w:r w:rsidR="4E46AE71" w:rsidRPr="00B768A1">
        <w:t>s</w:t>
      </w:r>
      <w:hyperlink w:anchor="_ENREF_351" w:tooltip="B, 2019 #48" w:history="1">
        <w:r w:rsidR="002D6F18">
          <w:fldChar w:fldCharType="begin"/>
        </w:r>
        <w:r w:rsidR="002D6F18">
          <w:instrText xml:space="preserve"> ADDIN EN.CITE &lt;EndNote&gt;&lt;Cite&gt;&lt;Author&gt;B&lt;/Author&gt;&lt;Year&gt;2019&lt;/Year&gt;&lt;RecNum&gt;48&lt;/RecNum&gt;&lt;DisplayText&gt;&lt;style face="superscript"&gt;351&lt;/style&gt;&lt;/DisplayText&gt;&lt;record&gt;&lt;rec-number&gt;48&lt;/rec-number&gt;&lt;foreign-keys&gt;&lt;key app="EN" db-id="rsettzd2isasdweewww55s9lffasxav0d0ft" timestamp="1700699466" guid="8c489e1b-c6eb-4e12-a26e-88b9cd45b30f"&gt;48&lt;/key&gt;&lt;/foreign-keys&gt;&lt;ref-type name="Web Page"&gt;12&lt;/ref-type&gt;&lt;contributors&gt;&lt;authors&gt;&lt;author&gt;Leckning B&lt;/author&gt;&lt;author&gt;Ringbauer A&lt;/author&gt;&lt;author&gt;Robinson G&lt;/author&gt;&lt;author&gt;Carey TA&lt;/author&gt;&lt;author&gt;Hirvonen T&lt;/author&gt;&lt;author&gt;Armstrong G&lt;/author&gt;&lt;/authors&gt;&lt;/contributors&gt;&lt;titles&gt;&lt;title&gt;Guidelines for Best Practice Psychosocial Assessment of Aboriginal and Torres Strait Islander People Presenting to Hospital with Self-Harm and Suicidal Thoughts&lt;/title&gt;&lt;/titles&gt;&lt;dates&gt;&lt;year&gt;2019&lt;/year&gt;&lt;/dates&gt;&lt;pub-location&gt;Darwin, Northern Territory&lt;/pub-location&gt;&lt;publisher&gt;Menzies School of Health Research&lt;/publisher&gt;&lt;work-type&gt;Internet&lt;/work-type&gt;&lt;urls&gt;&lt;related-urls&gt;&lt;url&gt;https://www.menzies.edu.au/icms_docs/310034_The_BestPrAxIS_study.pdf&lt;/url&gt;&lt;/related-urls&gt;&lt;/urls&gt;&lt;custom1&gt;2023&lt;/custom1&gt;&lt;custom2&gt;November 06&lt;/custom2&gt;&lt;/record&gt;&lt;/Cite&gt;&lt;/EndNote&gt;</w:instrText>
        </w:r>
        <w:r w:rsidR="002D6F18">
          <w:fldChar w:fldCharType="separate"/>
        </w:r>
        <w:r w:rsidR="002D6F18" w:rsidRPr="00C559B5">
          <w:rPr>
            <w:noProof/>
            <w:vertAlign w:val="superscript"/>
          </w:rPr>
          <w:t>351</w:t>
        </w:r>
        <w:r w:rsidR="002D6F18">
          <w:fldChar w:fldCharType="end"/>
        </w:r>
      </w:hyperlink>
      <w:r w:rsidR="009B7C30">
        <w:t xml:space="preserve"> </w:t>
      </w:r>
      <w:r w:rsidRPr="00B768A1">
        <w:t>and LGBTIQ+ young people.</w:t>
      </w:r>
      <w:hyperlink w:anchor="_ENREF_352" w:tooltip="P, 2022 #49" w:history="1">
        <w:r w:rsidR="002D6F18">
          <w:fldChar w:fldCharType="begin"/>
        </w:r>
        <w:r w:rsidR="002D6F18">
          <w:instrText xml:space="preserve"> ADDIN EN.CITE &lt;EndNote&gt;&lt;Cite&gt;&lt;Author&gt;P&lt;/Author&gt;&lt;Year&gt;2022&lt;/Year&gt;&lt;RecNum&gt;49&lt;/RecNum&gt;&lt;DisplayText&gt;&lt;style face="superscript"&gt;352&lt;/style&gt;&lt;/DisplayText&gt;&lt;record&gt;&lt;rec-number&gt;49&lt;/rec-number&gt;&lt;foreign-keys&gt;&lt;key app="EN" db-id="rsettzd2isasdweewww55s9lffasxav0d0ft" timestamp="1700699466" guid="8dd251b5-423f-4f29-90ae-09a708fe8183"&gt;49&lt;/key&gt;&lt;/foreign-keys&gt;&lt;ref-type name="Web Page"&gt;12&lt;/ref-type&gt;&lt;contributors&gt;&lt;authors&gt;&lt;author&gt;Strauss P&lt;/author&gt;&lt;author&gt;Hill NTM&lt;/author&gt;&lt;author&gt;Marion L&lt;/author&gt;&lt;author&gt;Gilbey D&lt;/author&gt;&lt;author&gt;Waters Z&lt;/author&gt;&lt;author&gt;Moore JK&lt;/author&gt;&lt;author&gt;Costanza M&lt;/author&gt;&lt;author&gt;Lamblin M&lt;/author&gt;&lt;author&gt;Robinson J&lt;/author&gt;&lt;author&gt;Lin A&lt;/author&gt;&lt;author&gt;Perry Y&lt;/author&gt;&lt;/authors&gt;&lt;/contributors&gt;&lt;titles&gt;&lt;title&gt;Suicide Prevention in LGBTQA+ Young People: Best Practice Guidelines for Clinical and Community Service Providers&lt;/title&gt;&lt;/titles&gt;&lt;dates&gt;&lt;year&gt;2022&lt;/year&gt;&lt;/dates&gt;&lt;publisher&gt;Telethon Kids Institute&lt;/publisher&gt;&lt;work-type&gt;Internet&lt;/work-type&gt;&lt;urls&gt;&lt;related-urls&gt;&lt;url&gt;https://www.telethonkids.org.au/globalassets/media/documents/projects/lgbtqa-guidelines/lgbtqa-suicide-prevention-guidelines.pdf&lt;/url&gt;&lt;/related-urls&gt;&lt;/urls&gt;&lt;custom1&gt;2023&lt;/custom1&gt;&lt;custom2&gt;October 30&lt;/custom2&gt;&lt;/record&gt;&lt;/Cite&gt;&lt;/EndNote&gt;</w:instrText>
        </w:r>
        <w:r w:rsidR="002D6F18">
          <w:fldChar w:fldCharType="separate"/>
        </w:r>
        <w:r w:rsidR="002D6F18" w:rsidRPr="00C559B5">
          <w:rPr>
            <w:noProof/>
            <w:vertAlign w:val="superscript"/>
          </w:rPr>
          <w:t>352</w:t>
        </w:r>
        <w:r w:rsidR="002D6F18">
          <w:fldChar w:fldCharType="end"/>
        </w:r>
      </w:hyperlink>
      <w:r w:rsidR="009B7C30">
        <w:t xml:space="preserve"> </w:t>
      </w:r>
      <w:r w:rsidRPr="00B768A1">
        <w:t xml:space="preserve">National guidelines for suicide prevention based on the approach outlined in this Strategy would provide a strong foundation for the </w:t>
      </w:r>
      <w:r w:rsidR="2CC2DEB5" w:rsidRPr="00B768A1">
        <w:t>n</w:t>
      </w:r>
      <w:r w:rsidRPr="0004056B">
        <w:t xml:space="preserve">ational </w:t>
      </w:r>
      <w:r w:rsidR="2CC2DEB5" w:rsidRPr="00B768A1">
        <w:t>s</w:t>
      </w:r>
      <w:r w:rsidRPr="0004056B">
        <w:t xml:space="preserve">uicide </w:t>
      </w:r>
      <w:r w:rsidR="2CC2DEB5" w:rsidRPr="00B768A1">
        <w:t>p</w:t>
      </w:r>
      <w:r w:rsidRPr="0004056B">
        <w:t xml:space="preserve">revention </w:t>
      </w:r>
      <w:r w:rsidR="2CC2DEB5" w:rsidRPr="00B768A1">
        <w:t>w</w:t>
      </w:r>
      <w:r w:rsidRPr="0004056B">
        <w:t xml:space="preserve">orkforce </w:t>
      </w:r>
      <w:r w:rsidR="2CC2DEB5" w:rsidRPr="00B768A1">
        <w:t>s</w:t>
      </w:r>
      <w:r w:rsidRPr="0004056B">
        <w:t>trategy</w:t>
      </w:r>
      <w:r w:rsidRPr="00B768A1">
        <w:t>. The</w:t>
      </w:r>
      <w:r w:rsidR="7E678E48">
        <w:t>se guidelines</w:t>
      </w:r>
      <w:r w:rsidRPr="00B768A1">
        <w:t xml:space="preserve"> should be relevant to </w:t>
      </w:r>
      <w:r w:rsidR="0418B99A" w:rsidRPr="00B768A1">
        <w:t xml:space="preserve">a </w:t>
      </w:r>
      <w:r w:rsidRPr="00B768A1">
        <w:t>workforce</w:t>
      </w:r>
      <w:r w:rsidR="0418B99A" w:rsidRPr="00B768A1">
        <w:t xml:space="preserve"> that operates across sectors </w:t>
      </w:r>
      <w:r w:rsidRPr="00B768A1">
        <w:t>and focus on ensuring quality of services for suicide prevention</w:t>
      </w:r>
      <w:r w:rsidR="60676F8C" w:rsidRPr="00B768A1">
        <w:t xml:space="preserve"> (</w:t>
      </w:r>
      <w:r w:rsidR="515D01F7">
        <w:t>action ce</w:t>
      </w:r>
      <w:r w:rsidR="60676F8C" w:rsidRPr="00B768A1">
        <w:t>4.3a)</w:t>
      </w:r>
      <w:r w:rsidRPr="00B768A1">
        <w:t>.</w:t>
      </w:r>
    </w:p>
    <w:p w14:paraId="54791267" w14:textId="742E61A2" w:rsidR="00672390" w:rsidRPr="00926204" w:rsidRDefault="00672390" w:rsidP="00634A83">
      <w:pPr>
        <w:rPr>
          <w:b/>
          <w:bCs/>
        </w:rPr>
      </w:pPr>
      <w:r>
        <w:t>The recommended action is described in</w:t>
      </w:r>
      <w:r w:rsidR="00F04C6C">
        <w:t xml:space="preserve"> </w:t>
      </w:r>
      <w:r w:rsidR="00F04C6C">
        <w:fldChar w:fldCharType="begin"/>
      </w:r>
      <w:r w:rsidR="00F04C6C">
        <w:instrText xml:space="preserve"> REF _Ref162258495 \h </w:instrText>
      </w:r>
      <w:r w:rsidR="00F04C6C">
        <w:fldChar w:fldCharType="separate"/>
      </w:r>
      <w:r w:rsidR="009F12B4">
        <w:t xml:space="preserve">Table </w:t>
      </w:r>
      <w:r w:rsidR="009F12B4">
        <w:rPr>
          <w:noProof/>
        </w:rPr>
        <w:t>44</w:t>
      </w:r>
      <w:r w:rsidR="00F04C6C">
        <w:fldChar w:fldCharType="end"/>
      </w:r>
      <w:r>
        <w:t>.</w:t>
      </w:r>
    </w:p>
    <w:p w14:paraId="0F780882" w14:textId="6A4E2FE1" w:rsidR="00672390" w:rsidRPr="00B768A1" w:rsidRDefault="00672390" w:rsidP="00745B34">
      <w:pPr>
        <w:pStyle w:val="Caption"/>
      </w:pPr>
      <w:bookmarkStart w:id="186" w:name="_Ref162258495"/>
      <w:r>
        <w:t xml:space="preserve">Table </w:t>
      </w:r>
      <w:r>
        <w:fldChar w:fldCharType="begin"/>
      </w:r>
      <w:r>
        <w:instrText>SEQ Table \* ARABIC</w:instrText>
      </w:r>
      <w:r>
        <w:fldChar w:fldCharType="separate"/>
      </w:r>
      <w:r w:rsidR="009F12B4">
        <w:rPr>
          <w:noProof/>
        </w:rPr>
        <w:t>44</w:t>
      </w:r>
      <w:r>
        <w:fldChar w:fldCharType="end"/>
      </w:r>
      <w:bookmarkEnd w:id="186"/>
      <w:r>
        <w:t>: Recommended action for critical enabler 4.3</w:t>
      </w:r>
      <w:r w:rsidR="00311B51">
        <w:t>: Develop national guidelines for suicide prevention</w:t>
      </w:r>
    </w:p>
    <w:tbl>
      <w:tblPr>
        <w:tblStyle w:val="TableGrid"/>
        <w:tblW w:w="9213" w:type="dxa"/>
        <w:tblLook w:val="0420" w:firstRow="1" w:lastRow="0" w:firstColumn="0" w:lastColumn="0" w:noHBand="0" w:noVBand="1"/>
        <w:tblCaption w:val="Recommended action for critical enabler 4.3: Develop national guidelines for suicide prevention"/>
        <w:tblDescription w:val="Describes action ce4.3a"/>
      </w:tblPr>
      <w:tblGrid>
        <w:gridCol w:w="1270"/>
        <w:gridCol w:w="7943"/>
      </w:tblGrid>
      <w:tr w:rsidR="00311B51" w:rsidRPr="00B768A1" w14:paraId="72F36B36" w14:textId="77777777" w:rsidTr="45E58E07">
        <w:trPr>
          <w:cnfStyle w:val="100000000000" w:firstRow="1" w:lastRow="0" w:firstColumn="0" w:lastColumn="0" w:oddVBand="0" w:evenVBand="0" w:oddHBand="0" w:evenHBand="0" w:firstRowFirstColumn="0" w:firstRowLastColumn="0" w:lastRowFirstColumn="0" w:lastRowLastColumn="0"/>
          <w:cantSplit/>
          <w:trHeight w:val="300"/>
          <w:tblHeader/>
        </w:trPr>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80AD" w:themeFill="accent4"/>
            <w:tcMar>
              <w:top w:w="28" w:type="dxa"/>
              <w:bottom w:w="28" w:type="dxa"/>
            </w:tcMar>
          </w:tcPr>
          <w:p w14:paraId="31571C1E" w14:textId="56393937" w:rsidR="00311B51" w:rsidRPr="00B768A1" w:rsidRDefault="00311B51" w:rsidP="004F5B0E">
            <w:pPr>
              <w:pStyle w:val="NMHCTableHeaderRow"/>
            </w:pPr>
            <w:r>
              <w:t>Action</w:t>
            </w:r>
          </w:p>
        </w:tc>
        <w:tc>
          <w:tcPr>
            <w:tcW w:w="79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80AD" w:themeFill="accent4"/>
            <w:tcMar>
              <w:top w:w="28" w:type="dxa"/>
              <w:bottom w:w="28" w:type="dxa"/>
            </w:tcMar>
          </w:tcPr>
          <w:p w14:paraId="75DE79CC" w14:textId="31FB6772" w:rsidR="00311B51" w:rsidRPr="00B768A1" w:rsidRDefault="00463C6E" w:rsidP="004F5B0E">
            <w:pPr>
              <w:pStyle w:val="NMHCTableHeaderRow"/>
            </w:pPr>
            <w:r>
              <w:t>Description</w:t>
            </w:r>
          </w:p>
        </w:tc>
      </w:tr>
      <w:tr w:rsidR="00682A5B" w:rsidRPr="00B768A1" w14:paraId="3C3AB458" w14:textId="77777777" w:rsidTr="45E58E07">
        <w:trPr>
          <w:trHeight w:val="300"/>
        </w:trPr>
        <w:tc>
          <w:tcPr>
            <w:tcW w:w="1270" w:type="dxa"/>
            <w:tcBorders>
              <w:top w:val="single" w:sz="4" w:space="0" w:color="FFFFFF" w:themeColor="background1"/>
            </w:tcBorders>
          </w:tcPr>
          <w:p w14:paraId="1F4D489E" w14:textId="7952B8D8" w:rsidR="00682A5B" w:rsidRPr="00F833FC" w:rsidRDefault="00752C00" w:rsidP="00634A83">
            <w:r w:rsidRPr="00F833FC">
              <w:t>ce</w:t>
            </w:r>
            <w:r w:rsidR="00682A5B" w:rsidRPr="00F833FC">
              <w:t>4.3</w:t>
            </w:r>
            <w:r w:rsidR="35CC54E2" w:rsidRPr="00F833FC">
              <w:t>a</w:t>
            </w:r>
          </w:p>
        </w:tc>
        <w:tc>
          <w:tcPr>
            <w:tcW w:w="7943" w:type="dxa"/>
            <w:tcBorders>
              <w:top w:val="single" w:sz="4" w:space="0" w:color="FFFFFF" w:themeColor="background1"/>
            </w:tcBorders>
            <w:tcMar>
              <w:top w:w="28" w:type="dxa"/>
              <w:bottom w:w="28" w:type="dxa"/>
            </w:tcMar>
          </w:tcPr>
          <w:p w14:paraId="72E7A891" w14:textId="6C585D38" w:rsidR="00682A5B" w:rsidRPr="00F833FC" w:rsidRDefault="00682A5B" w:rsidP="00634A83">
            <w:r w:rsidRPr="00F833FC">
              <w:t xml:space="preserve">Develop national evidence-based guidelines based on the suicide prevention model described in this Strategy to guide best practice and serve as a foundation for consistent capability building for workforces </w:t>
            </w:r>
            <w:r w:rsidR="098BCF0E" w:rsidRPr="00F833FC">
              <w:t xml:space="preserve">that </w:t>
            </w:r>
            <w:r w:rsidRPr="00F833FC">
              <w:t>provide care and support to people who experience suicidal thoughts or behaviours.</w:t>
            </w:r>
          </w:p>
        </w:tc>
      </w:tr>
    </w:tbl>
    <w:p w14:paraId="5B4B72DA" w14:textId="01FBF1C1" w:rsidR="00217C0D" w:rsidRPr="00B768A1" w:rsidRDefault="00D333CC" w:rsidP="00634A83">
      <w:r>
        <w:br w:type="page"/>
      </w:r>
    </w:p>
    <w:p w14:paraId="090E5859" w14:textId="4F5936BE" w:rsidR="00217C0D" w:rsidRPr="00B768A1" w:rsidRDefault="03E98A48" w:rsidP="00E1682B">
      <w:pPr>
        <w:pStyle w:val="Heading1"/>
      </w:pPr>
      <w:bookmarkStart w:id="187" w:name="_Toc164868161"/>
      <w:bookmarkStart w:id="188" w:name="_Toc2105679213"/>
      <w:bookmarkStart w:id="189" w:name="_Toc305425313"/>
      <w:bookmarkStart w:id="190" w:name="_Toc171459042"/>
      <w:r w:rsidRPr="45E4012B">
        <w:t>Conclusion</w:t>
      </w:r>
      <w:bookmarkEnd w:id="187"/>
      <w:bookmarkEnd w:id="188"/>
      <w:bookmarkEnd w:id="189"/>
      <w:bookmarkEnd w:id="190"/>
    </w:p>
    <w:p w14:paraId="4CFC14A1" w14:textId="28EDF489" w:rsidR="00217C0D" w:rsidRPr="00B768A1" w:rsidRDefault="03E98A48" w:rsidP="00634A83">
      <w:pPr>
        <w:pStyle w:val="BodyText"/>
      </w:pPr>
      <w:r w:rsidRPr="4623DBCA">
        <w:t>The Strategy recognises the responsibility of governments, agencies, services, communities, and all members of the community to work together to prevent suicide. Drawing on the latest evidence and insights about what works, it provides guidance for all levels of government about how to progress a coordinated and comprehensive approach to suicide prevention which extends to improving baseline wellbeing of communities and minimising exposure to harm.</w:t>
      </w:r>
    </w:p>
    <w:p w14:paraId="7094CD92" w14:textId="6E47FD08" w:rsidR="00217C0D" w:rsidRPr="00B768A1" w:rsidRDefault="03E98A48" w:rsidP="00634A83">
      <w:pPr>
        <w:pStyle w:val="BodyText"/>
      </w:pPr>
      <w:r w:rsidRPr="45E4012B">
        <w:t xml:space="preserve">The Strategy also provides practical direction for services and those delivering them to promote reflection and progress toward high-quality compassionate supports that address the full range of challenges underlying a person’s distress. </w:t>
      </w:r>
    </w:p>
    <w:p w14:paraId="784CA0EF" w14:textId="431041CC" w:rsidR="00217C0D" w:rsidRPr="00B768A1" w:rsidRDefault="03E98A48" w:rsidP="00634A83">
      <w:pPr>
        <w:pStyle w:val="BodyText"/>
      </w:pPr>
      <w:r w:rsidRPr="45E4012B">
        <w:t>Finally, the Strategy provides impetus for individual reflection about what is required of the whole community in order to reduce suicidal distress and deaths, from senior levels of policy through to efforts to reduce stigma, foster connections, and respond with compassion when someone is in emotional pain.</w:t>
      </w:r>
    </w:p>
    <w:p w14:paraId="1898C7E0" w14:textId="77162837" w:rsidR="00E36A1C" w:rsidRPr="00247E24" w:rsidRDefault="00E36A1C" w:rsidP="00634A83">
      <w:pPr>
        <w:pStyle w:val="BodyText"/>
      </w:pPr>
      <w:r w:rsidRPr="4ABE26AB">
        <w:t>The changes described throughout the Strategy are substantial, but they are necessary to act on the clear imperative to realise a significant reduction in suicidal distress and suicide deaths.</w:t>
      </w:r>
      <w:r w:rsidR="00DF35C7" w:rsidRPr="4ABE26AB">
        <w:t xml:space="preserve"> </w:t>
      </w:r>
    </w:p>
    <w:p w14:paraId="0BE64967" w14:textId="03D56F38" w:rsidR="00DF35C7" w:rsidRPr="00247E24" w:rsidRDefault="00DF35C7" w:rsidP="00634A83">
      <w:pPr>
        <w:pStyle w:val="BodyText"/>
      </w:pPr>
      <w:r w:rsidRPr="00247E24">
        <w:t>Implementing this Strategy will require considerable long-term effort, sustained collaboration and mutual accountability across governments, and the humility to revise approaches in line with outcomes and new evidence.</w:t>
      </w:r>
    </w:p>
    <w:p w14:paraId="0E976780" w14:textId="37E27587" w:rsidR="00217C0D" w:rsidRPr="00247E24" w:rsidRDefault="00DF35C7" w:rsidP="00634A83">
      <w:pPr>
        <w:pStyle w:val="BodyText"/>
      </w:pPr>
      <w:r w:rsidRPr="00247E24">
        <w:t>At its heart, this Strategy asks governments, agencies, services, communities, and all members of the community to recognise their role in suicide prevention and work together to achieve change. There is no more essential task.</w:t>
      </w:r>
      <w:r w:rsidR="00F84182" w:rsidRPr="00247E24">
        <w:t xml:space="preserve"> </w:t>
      </w:r>
    </w:p>
    <w:p w14:paraId="59FF7C15" w14:textId="144ED936" w:rsidR="00C82085" w:rsidRDefault="00C82085">
      <w:pPr>
        <w:spacing w:after="160"/>
        <w:rPr>
          <w:rFonts w:eastAsiaTheme="majorEastAsia" w:cstheme="majorBidi"/>
          <w:b/>
          <w:color w:val="000000"/>
          <w:spacing w:val="-2"/>
          <w:sz w:val="40"/>
          <w:szCs w:val="40"/>
          <w14:textFill>
            <w14:solidFill>
              <w14:srgbClr w14:val="000000">
                <w14:lumMod w14:val="75000"/>
              </w14:srgbClr>
            </w14:solidFill>
          </w14:textFill>
        </w:rPr>
      </w:pPr>
      <w:bookmarkStart w:id="191" w:name="_Toc932739723"/>
      <w:bookmarkStart w:id="192" w:name="_Toc142403330"/>
      <w:bookmarkStart w:id="193" w:name="_Ref142403702"/>
      <w:bookmarkStart w:id="194" w:name="_Ref142403720"/>
      <w:bookmarkStart w:id="195" w:name="_Toc142407504"/>
      <w:bookmarkStart w:id="196" w:name="_Toc151717672"/>
      <w:bookmarkStart w:id="197" w:name="_Toc152082316"/>
      <w:bookmarkStart w:id="198" w:name="_Ref152166632"/>
      <w:bookmarkStart w:id="199" w:name="_Toc164868162"/>
    </w:p>
    <w:p w14:paraId="23CBF52E" w14:textId="71E64979" w:rsidR="00806F11" w:rsidRPr="00B768A1" w:rsidRDefault="007642AD" w:rsidP="00546BCC">
      <w:pPr>
        <w:pStyle w:val="Heading1"/>
      </w:pPr>
      <w:bookmarkStart w:id="200" w:name="_Toc1745985641"/>
      <w:bookmarkStart w:id="201" w:name="_Toc171459043"/>
      <w:bookmarkEnd w:id="191"/>
      <w:bookmarkEnd w:id="192"/>
      <w:bookmarkEnd w:id="193"/>
      <w:bookmarkEnd w:id="194"/>
      <w:bookmarkEnd w:id="195"/>
      <w:bookmarkEnd w:id="196"/>
      <w:bookmarkEnd w:id="197"/>
      <w:bookmarkEnd w:id="198"/>
      <w:bookmarkEnd w:id="199"/>
      <w:r>
        <w:t>Appendix A: Glossary</w:t>
      </w:r>
      <w:bookmarkEnd w:id="200"/>
      <w:bookmarkEnd w:id="201"/>
    </w:p>
    <w:p w14:paraId="54E60B2D" w14:textId="77777777" w:rsidR="00806F11" w:rsidRPr="00634A83" w:rsidRDefault="00806F11" w:rsidP="00806F11">
      <w:pPr>
        <w:pStyle w:val="Heading31"/>
      </w:pPr>
      <w:r w:rsidRPr="00634A83">
        <w:t>Key terms</w:t>
      </w:r>
    </w:p>
    <w:p w14:paraId="1847A0A1" w14:textId="77777777" w:rsidR="00806F11" w:rsidRPr="00B768A1" w:rsidRDefault="00806F11" w:rsidP="00806F11">
      <w:pPr>
        <w:pStyle w:val="ListBullet"/>
      </w:pPr>
      <w:r w:rsidRPr="5B74CE65">
        <w:rPr>
          <w:b/>
          <w:bCs/>
        </w:rPr>
        <w:t>Suicide</w:t>
      </w:r>
      <w:r>
        <w:t xml:space="preserve"> is ‘an action that a person takes to deliberately end their own life and results in death.’</w:t>
      </w:r>
    </w:p>
    <w:p w14:paraId="0EEA0DD1" w14:textId="77777777" w:rsidR="00806F11" w:rsidRDefault="00806F11" w:rsidP="00806F11">
      <w:pPr>
        <w:pStyle w:val="ListBullet"/>
      </w:pPr>
      <w:r>
        <w:t xml:space="preserve">A </w:t>
      </w:r>
      <w:r w:rsidRPr="5B74CE65">
        <w:rPr>
          <w:b/>
          <w:bCs/>
        </w:rPr>
        <w:t>suicide attempt</w:t>
      </w:r>
      <w:r>
        <w:t xml:space="preserve"> is ‘an act in which a person harms themselves with the intention of ending their life and survives.’</w:t>
      </w:r>
    </w:p>
    <w:p w14:paraId="4420CFC9" w14:textId="77777777" w:rsidR="00806F11" w:rsidRPr="00B768A1" w:rsidRDefault="00806F11" w:rsidP="00806F11">
      <w:pPr>
        <w:pStyle w:val="ListBullet"/>
        <w:rPr>
          <w:b/>
          <w:bCs/>
        </w:rPr>
      </w:pPr>
      <w:r w:rsidRPr="5B74CE65">
        <w:rPr>
          <w:b/>
          <w:bCs/>
        </w:rPr>
        <w:t>Suicidal thoughts and</w:t>
      </w:r>
      <w:r>
        <w:t xml:space="preserve"> </w:t>
      </w:r>
      <w:r w:rsidRPr="5B74CE65">
        <w:rPr>
          <w:b/>
          <w:bCs/>
        </w:rPr>
        <w:t xml:space="preserve">behaviours </w:t>
      </w:r>
      <w:r>
        <w:t>describe the range of experiences that a person who is suicidal may be having. This range spans from having thoughts of suicide to attempting suicide. Suicidal thoughts and behaviours describe a person’s experience rather than risk.</w:t>
      </w:r>
    </w:p>
    <w:p w14:paraId="39D02916" w14:textId="77777777" w:rsidR="00806F11" w:rsidRPr="00B768A1" w:rsidRDefault="00806F11" w:rsidP="00806F11">
      <w:pPr>
        <w:pStyle w:val="ListBullet"/>
      </w:pPr>
      <w:r w:rsidRPr="5B74CE65">
        <w:rPr>
          <w:b/>
          <w:bCs/>
        </w:rPr>
        <w:t>Suicidal distress</w:t>
      </w:r>
      <w:r>
        <w:t xml:space="preserve"> describes the experience of unbearable emotional and psychological pain, which can be associated with thoughts or plans to end one’s life as a means of escaping that unbearable pain. This experience is also referred to as </w:t>
      </w:r>
      <w:r w:rsidRPr="5B74CE65">
        <w:rPr>
          <w:b/>
          <w:bCs/>
        </w:rPr>
        <w:t>suicidal crisis</w:t>
      </w:r>
      <w:r>
        <w:t xml:space="preserve"> particularly when this emotional and psychological pain intensifies for a period, and the person considers themselves at imminent risk of taking action to end their life.</w:t>
      </w:r>
    </w:p>
    <w:p w14:paraId="01C50D62" w14:textId="184251EB" w:rsidR="00806F11" w:rsidRPr="00B768A1" w:rsidRDefault="6D0E8333" w:rsidP="00806F11">
      <w:pPr>
        <w:pStyle w:val="ListBullet"/>
      </w:pPr>
      <w:r w:rsidRPr="004E7973">
        <w:rPr>
          <w:b/>
          <w:bCs/>
        </w:rPr>
        <w:t>Stress</w:t>
      </w:r>
      <w:r w:rsidRPr="00564154">
        <w:t xml:space="preserve"> can be defined as a state of worry or mental tension caused by a difficult situation. Stress is a natural human response that prompts us to address challenges and threats in our lives. Everyone experiences stress to some degree.</w:t>
      </w:r>
      <w:hyperlink w:anchor="_ENREF_353" w:tooltip="Organization, 2023 #1112" w:history="1">
        <w:r w:rsidR="002D6F18">
          <w:fldChar w:fldCharType="begin"/>
        </w:r>
        <w:r w:rsidR="002D6F18">
          <w:instrText xml:space="preserve"> ADDIN EN.CITE &lt;EndNote&gt;&lt;Cite&gt;&lt;Author&gt;Organization&lt;/Author&gt;&lt;Year&gt;2023&lt;/Year&gt;&lt;RecNum&gt;1112&lt;/RecNum&gt;&lt;DisplayText&gt;&lt;style face="superscript"&gt;353&lt;/style&gt;&lt;/DisplayText&gt;&lt;record&gt;&lt;rec-number&gt;1112&lt;/rec-number&gt;&lt;foreign-keys&gt;&lt;key app="EN" db-id="rsettzd2isasdweewww55s9lffasxav0d0ft" timestamp="1720504710" guid="d78229d8-e92b-43f6-b70b-e18fac1068a7"&gt;1112&lt;/key&gt;&lt;/foreign-keys&gt;&lt;ref-type name="Web Page"&gt;12&lt;/ref-type&gt;&lt;contributors&gt;&lt;authors&gt;&lt;author&gt;World Health Organization&lt;/author&gt;&lt;/authors&gt;&lt;/contributors&gt;&lt;titles&gt;&lt;title&gt;Newsroom: stress Q&amp;amp;A&lt;/title&gt;&lt;/titles&gt;&lt;dates&gt;&lt;year&gt;2023&lt;/year&gt;&lt;/dates&gt;&lt;publisher&gt;World Health Organization&lt;/publisher&gt;&lt;work-type&gt;Internet&lt;/work-type&gt;&lt;urls&gt;&lt;related-urls&gt;&lt;url&gt;https://www.who.int/news-room/questions-and-answers/item/stress&lt;/url&gt;&lt;/related-urls&gt;&lt;/urls&gt;&lt;custom1&gt;2024&lt;/custom1&gt;&lt;custom2&gt;March 13&lt;/custom2&gt;&lt;/record&gt;&lt;/Cite&gt;&lt;/EndNote&gt;</w:instrText>
        </w:r>
        <w:r w:rsidR="002D6F18">
          <w:fldChar w:fldCharType="separate"/>
        </w:r>
        <w:r w:rsidR="002D6F18" w:rsidRPr="00C559B5">
          <w:rPr>
            <w:noProof/>
            <w:vertAlign w:val="superscript"/>
          </w:rPr>
          <w:t>353</w:t>
        </w:r>
        <w:r w:rsidR="002D6F18">
          <w:fldChar w:fldCharType="end"/>
        </w:r>
      </w:hyperlink>
      <w:r w:rsidR="009B7C30">
        <w:t xml:space="preserve"> </w:t>
      </w:r>
    </w:p>
    <w:p w14:paraId="7F9F1AA6" w14:textId="267C73F5" w:rsidR="00806F11" w:rsidRPr="00432A52" w:rsidRDefault="6D0E8333" w:rsidP="00806F11">
      <w:pPr>
        <w:pStyle w:val="ListBullet"/>
      </w:pPr>
      <w:r w:rsidRPr="004E7973">
        <w:rPr>
          <w:b/>
          <w:bCs/>
        </w:rPr>
        <w:t>Distress</w:t>
      </w:r>
      <w:r w:rsidRPr="00B768A1">
        <w:t xml:space="preserve"> is broadly defined as</w:t>
      </w:r>
      <w:r w:rsidRPr="009433A2">
        <w:t xml:space="preserve"> a state of emotional suffering characteri</w:t>
      </w:r>
      <w:r w:rsidRPr="00B768A1">
        <w:t>s</w:t>
      </w:r>
      <w:r w:rsidRPr="009433A2">
        <w:t>ed by symptoms of depression (</w:t>
      </w:r>
      <w:r>
        <w:t>for example</w:t>
      </w:r>
      <w:r w:rsidRPr="00C935CE">
        <w:t>, loss of interest; unhappiness; desperateness) and anxiety (</w:t>
      </w:r>
      <w:r>
        <w:t>for example</w:t>
      </w:r>
      <w:r w:rsidRPr="55FFBE13">
        <w:rPr>
          <w:rFonts w:eastAsiaTheme="minorEastAsia" w:cs="Roboto-Light"/>
          <w:color w:val="000000"/>
          <w:lang w:eastAsia="en-US"/>
        </w:rPr>
        <w:t xml:space="preserve">, restlessness; </w:t>
      </w:r>
      <w:r w:rsidRPr="55FFBE13">
        <w:rPr>
          <w:rFonts w:eastAsiaTheme="minorEastAsia"/>
        </w:rPr>
        <w:t>feeling</w:t>
      </w:r>
      <w:r w:rsidRPr="55FFBE13">
        <w:rPr>
          <w:rFonts w:eastAsiaTheme="minorEastAsia" w:cs="Roboto-Light"/>
          <w:color w:val="000000"/>
          <w:lang w:eastAsia="en-US"/>
        </w:rPr>
        <w:t xml:space="preserve"> tense).</w:t>
      </w:r>
      <w:r w:rsidRPr="00B768A1">
        <w:t xml:space="preserve"> </w:t>
      </w:r>
      <w:r>
        <w:t>Distress</w:t>
      </w:r>
      <w:r w:rsidRPr="00B768A1">
        <w:t xml:space="preserve"> </w:t>
      </w:r>
      <w:r w:rsidRPr="55FFBE13">
        <w:rPr>
          <w:rFonts w:eastAsiaTheme="minorEastAsia" w:cs="Roboto-Light"/>
          <w:color w:val="000000"/>
          <w:lang w:eastAsia="en-US"/>
        </w:rPr>
        <w:t xml:space="preserve">is considered a transient (not long-lasting) </w:t>
      </w:r>
      <w:r w:rsidRPr="00B768A1">
        <w:t>state in response to</w:t>
      </w:r>
      <w:r w:rsidRPr="55FFBE13">
        <w:rPr>
          <w:rFonts w:eastAsiaTheme="minorEastAsia" w:cs="Roboto-Light"/>
          <w:color w:val="000000"/>
          <w:lang w:eastAsia="en-US"/>
        </w:rPr>
        <w:t xml:space="preserve"> specific stressors</w:t>
      </w:r>
      <w:r>
        <w:t xml:space="preserve"> and it </w:t>
      </w:r>
      <w:r w:rsidRPr="55FFBE13">
        <w:rPr>
          <w:rFonts w:eastAsiaTheme="minorEastAsia" w:cs="Roboto-Light"/>
          <w:color w:val="000000"/>
          <w:lang w:eastAsia="en-US"/>
        </w:rPr>
        <w:t>typically diminishes/vanishes when either the individual adapts to the stressor or the stressor is removed.</w:t>
      </w:r>
      <w:hyperlink w:anchor="_ENREF_354" w:tooltip="S, 2004 #1071" w:history="1">
        <w:r w:rsidR="002D6F18" w:rsidRPr="005441AD">
          <w:rPr>
            <w:rFonts w:eastAsiaTheme="minorEastAsia" w:cs="Roboto-Light"/>
            <w:color w:val="000000"/>
            <w:vertAlign w:val="superscript"/>
            <w:lang w:eastAsia="en-US"/>
          </w:rPr>
          <w:fldChar w:fldCharType="begin"/>
        </w:r>
        <w:r w:rsidR="002D6F18">
          <w:rPr>
            <w:rFonts w:eastAsiaTheme="minorEastAsia" w:cs="Roboto-Light"/>
            <w:color w:val="000000"/>
            <w:vertAlign w:val="superscript"/>
            <w:lang w:eastAsia="en-US"/>
          </w:rPr>
          <w:instrText xml:space="preserve"> ADDIN EN.CITE &lt;EndNote&gt;&lt;Cite&gt;&lt;Author&gt;S&lt;/Author&gt;&lt;Year&gt;2004&lt;/Year&gt;&lt;RecNum&gt;1071&lt;/RecNum&gt;&lt;DisplayText&gt;&lt;style face="superscript"&gt;354&lt;/style&gt;&lt;/DisplayText&gt;&lt;record&gt;&lt;rec-number&gt;1071&lt;/rec-number&gt;&lt;foreign-keys&gt;&lt;key app="EN" db-id="rsettzd2isasdweewww55s9lffasxav0d0ft" timestamp="1720491369" guid="819ecdf8-8b7b-4f2e-bcec-c1be2e568457"&gt;1071&lt;/key&gt;&lt;/foreign-keys&gt;&lt;ref-type name="Journal Article"&gt;17&lt;/ref-type&gt;&lt;contributors&gt;&lt;authors&gt;&lt;author&gt;Ridner S&lt;/author&gt;&lt;/authors&gt;&lt;/contributors&gt;&lt;titles&gt;&lt;title&gt;Psychological Distress: Concept Analysis&lt;/title&gt;&lt;secondary-title&gt;Journal of advanced nursing&lt;/secondary-title&gt;&lt;/titles&gt;&lt;periodical&gt;&lt;full-title&gt;Journal of advanced nursing&lt;/full-title&gt;&lt;/periodical&gt;&lt;pages&gt;536-45&lt;/pages&gt;&lt;volume&gt;45&lt;/volume&gt;&lt;dates&gt;&lt;year&gt;2004&lt;/year&gt;&lt;pub-dates&gt;&lt;date&gt;04/01&lt;/date&gt;&lt;/pub-dates&gt;&lt;/dates&gt;&lt;urls&gt;&lt;/urls&gt;&lt;electronic-resource-num&gt;10.1046/j.1365-2648.2003.02938.x&lt;/electronic-resource-num&gt;&lt;/record&gt;&lt;/Cite&gt;&lt;/EndNote&gt;</w:instrText>
        </w:r>
        <w:r w:rsidR="002D6F18" w:rsidRPr="005441AD">
          <w:rPr>
            <w:rFonts w:eastAsiaTheme="minorEastAsia" w:cs="Roboto-Light"/>
            <w:color w:val="000000"/>
            <w:vertAlign w:val="superscript"/>
            <w:lang w:eastAsia="en-US"/>
          </w:rPr>
          <w:fldChar w:fldCharType="separate"/>
        </w:r>
        <w:r w:rsidR="002D6F18">
          <w:rPr>
            <w:rFonts w:eastAsiaTheme="minorEastAsia" w:cs="Roboto-Light"/>
            <w:noProof/>
            <w:color w:val="000000"/>
            <w:vertAlign w:val="superscript"/>
            <w:lang w:eastAsia="en-US"/>
          </w:rPr>
          <w:t>354</w:t>
        </w:r>
        <w:r w:rsidR="002D6F18" w:rsidRPr="005441AD">
          <w:rPr>
            <w:rFonts w:eastAsiaTheme="minorEastAsia" w:cs="Roboto-Light"/>
            <w:color w:val="000000"/>
            <w:vertAlign w:val="superscript"/>
            <w:lang w:eastAsia="en-US"/>
          </w:rPr>
          <w:fldChar w:fldCharType="end"/>
        </w:r>
      </w:hyperlink>
      <w:r w:rsidR="009B7C30" w:rsidRPr="005441AD">
        <w:rPr>
          <w:rFonts w:eastAsiaTheme="minorEastAsia" w:cs="Roboto-Light"/>
          <w:color w:val="000000"/>
          <w:vertAlign w:val="superscript"/>
          <w:lang w:eastAsia="en-US"/>
        </w:rPr>
        <w:t>,</w:t>
      </w:r>
      <w:hyperlink w:anchor="_ENREF_355" w:tooltip="A, 2021 #1072" w:history="1">
        <w:r w:rsidR="002D6F18" w:rsidRPr="005441AD">
          <w:rPr>
            <w:rFonts w:eastAsiaTheme="minorEastAsia" w:cs="Roboto-Light"/>
            <w:color w:val="000000"/>
            <w:vertAlign w:val="superscript"/>
            <w:lang w:eastAsia="en-US"/>
          </w:rPr>
          <w:fldChar w:fldCharType="begin"/>
        </w:r>
        <w:r w:rsidR="002D6F18">
          <w:rPr>
            <w:rFonts w:eastAsiaTheme="minorEastAsia" w:cs="Roboto-Light"/>
            <w:color w:val="000000"/>
            <w:vertAlign w:val="superscript"/>
            <w:lang w:eastAsia="en-US"/>
          </w:rPr>
          <w:instrText xml:space="preserve"> ADDIN EN.CITE &lt;EndNote&gt;&lt;Cite&gt;&lt;Author&gt;A&lt;/Author&gt;&lt;Year&gt;2021&lt;/Year&gt;&lt;RecNum&gt;1072&lt;/RecNum&gt;&lt;DisplayText&gt;&lt;style face="superscript"&gt;355&lt;/style&gt;&lt;/DisplayText&gt;&lt;record&gt;&lt;rec-number&gt;1072&lt;/rec-number&gt;&lt;foreign-keys&gt;&lt;key app="EN" db-id="rsettzd2isasdweewww55s9lffasxav0d0ft" timestamp="1720491370" guid="7e9e55d0-8315-495a-ab3b-98bb8e8a68c4"&gt;1072&lt;/key&gt;&lt;/foreign-keys&gt;&lt;ref-type name="Journal Article"&gt;17&lt;/ref-type&gt;&lt;contributors&gt;&lt;authors&gt;&lt;author&gt;Belay A&lt;/author&gt;&lt;author&gt;Guangul M&lt;/author&gt;&lt;author&gt;Niguse W&lt;/author&gt;&lt;author&gt;Mesafint G&lt;/author&gt;&lt;/authors&gt;&lt;/contributors&gt;&lt;titles&gt;&lt;title&gt;Prevalence and Associated Factors of Psychological Distress among Nurses in Public Hospitals, Southwest, Ethiopia: A cross-sectional Study&lt;/title&gt;&lt;secondary-title&gt;Ethiopian journal of health sciences&lt;/secondary-title&gt;&lt;/titles&gt;&lt;periodical&gt;&lt;full-title&gt;Ethiopian journal of health sciences&lt;/full-title&gt;&lt;/periodical&gt;&lt;pages&gt;1247-1256&lt;/pages&gt;&lt;volume&gt;31&lt;/volume&gt;&lt;dates&gt;&lt;year&gt;2021&lt;/year&gt;&lt;pub-dates&gt;&lt;date&gt;11/01&lt;/date&gt;&lt;/pub-dates&gt;&lt;/dates&gt;&lt;urls&gt;&lt;/urls&gt;&lt;electronic-resource-num&gt;10.4314/ejhs.v31i6.21&lt;/electronic-resource-num&gt;&lt;/record&gt;&lt;/Cite&gt;&lt;/EndNote&gt;</w:instrText>
        </w:r>
        <w:r w:rsidR="002D6F18" w:rsidRPr="005441AD">
          <w:rPr>
            <w:rFonts w:eastAsiaTheme="minorEastAsia" w:cs="Roboto-Light"/>
            <w:color w:val="000000"/>
            <w:vertAlign w:val="superscript"/>
            <w:lang w:eastAsia="en-US"/>
          </w:rPr>
          <w:fldChar w:fldCharType="separate"/>
        </w:r>
        <w:r w:rsidR="002D6F18">
          <w:rPr>
            <w:rFonts w:eastAsiaTheme="minorEastAsia" w:cs="Roboto-Light"/>
            <w:noProof/>
            <w:color w:val="000000"/>
            <w:vertAlign w:val="superscript"/>
            <w:lang w:eastAsia="en-US"/>
          </w:rPr>
          <w:t>355</w:t>
        </w:r>
        <w:r w:rsidR="002D6F18" w:rsidRPr="005441AD">
          <w:rPr>
            <w:rFonts w:eastAsiaTheme="minorEastAsia" w:cs="Roboto-Light"/>
            <w:color w:val="000000"/>
            <w:vertAlign w:val="superscript"/>
            <w:lang w:eastAsia="en-US"/>
          </w:rPr>
          <w:fldChar w:fldCharType="end"/>
        </w:r>
      </w:hyperlink>
      <w:r w:rsidR="005441AD" w:rsidRPr="005441AD">
        <w:rPr>
          <w:rFonts w:eastAsiaTheme="minorEastAsia" w:cs="Roboto-Light"/>
          <w:color w:val="000000"/>
          <w:vertAlign w:val="superscript"/>
          <w:lang w:eastAsia="en-US"/>
        </w:rPr>
        <w:t>,</w:t>
      </w:r>
      <w:hyperlink w:anchor="_ENREF_356" w:tooltip="A, 2007 #1139" w:history="1">
        <w:r w:rsidR="002D6F18" w:rsidRPr="005441AD">
          <w:rPr>
            <w:rFonts w:eastAsiaTheme="minorEastAsia" w:cs="Roboto-Light"/>
            <w:color w:val="000000"/>
            <w:vertAlign w:val="superscript"/>
            <w:lang w:eastAsia="en-US"/>
          </w:rPr>
          <w:fldChar w:fldCharType="begin"/>
        </w:r>
        <w:r w:rsidR="002D6F18">
          <w:rPr>
            <w:rFonts w:eastAsiaTheme="minorEastAsia" w:cs="Roboto-Light"/>
            <w:color w:val="000000"/>
            <w:vertAlign w:val="superscript"/>
            <w:lang w:eastAsia="en-US"/>
          </w:rPr>
          <w:instrText xml:space="preserve"> ADDIN EN.CITE &lt;EndNote&gt;&lt;Cite&gt;&lt;Author&gt;A&lt;/Author&gt;&lt;Year&gt;2007&lt;/Year&gt;&lt;RecNum&gt;1139&lt;/RecNum&gt;&lt;DisplayText&gt;&lt;style face="superscript"&gt;356&lt;/style&gt;&lt;/DisplayText&gt;&lt;record&gt;&lt;rec-number&gt;1139&lt;/rec-number&gt;&lt;foreign-keys&gt;&lt;key app="EN" db-id="rsettzd2isasdweewww55s9lffasxav0d0ft" timestamp="1720527414" guid="79ee9757-1124-4731-97be-72b51ac31b87"&gt;1139&lt;/key&gt;&lt;/foreign-keys&gt;&lt;ref-type name="Journal Article"&gt;17&lt;/ref-type&gt;&lt;contributors&gt;&lt;authors&gt;&lt;author&gt;Horwitz A&lt;/author&gt;&lt;/authors&gt;&lt;/contributors&gt;&lt;titles&gt;&lt;title&gt;Distinguishing distress from disorder as psychological outcomes of stressful social arrangments&lt;/title&gt;&lt;secondary-title&gt;Health (London, England : 1997)&lt;/secondary-title&gt;&lt;/titles&gt;&lt;periodical&gt;&lt;full-title&gt;Health (London, England : 1997)&lt;/full-title&gt;&lt;/periodical&gt;&lt;pages&gt;273-89&lt;/pages&gt;&lt;volume&gt;11&lt;/volume&gt;&lt;dates&gt;&lt;year&gt;2007&lt;/year&gt;&lt;pub-dates&gt;&lt;date&gt;08/01&lt;/date&gt;&lt;/pub-dates&gt;&lt;/dates&gt;&lt;urls&gt;&lt;/urls&gt;&lt;electronic-resource-num&gt;10.1177/1363459307077541&lt;/electronic-resource-num&gt;&lt;/record&gt;&lt;/Cite&gt;&lt;/EndNote&gt;</w:instrText>
        </w:r>
        <w:r w:rsidR="002D6F18" w:rsidRPr="005441AD">
          <w:rPr>
            <w:rFonts w:eastAsiaTheme="minorEastAsia" w:cs="Roboto-Light"/>
            <w:color w:val="000000"/>
            <w:vertAlign w:val="superscript"/>
            <w:lang w:eastAsia="en-US"/>
          </w:rPr>
          <w:fldChar w:fldCharType="separate"/>
        </w:r>
        <w:r w:rsidR="002D6F18">
          <w:rPr>
            <w:rFonts w:eastAsiaTheme="minorEastAsia" w:cs="Roboto-Light"/>
            <w:noProof/>
            <w:color w:val="000000"/>
            <w:vertAlign w:val="superscript"/>
            <w:lang w:eastAsia="en-US"/>
          </w:rPr>
          <w:t>356</w:t>
        </w:r>
        <w:r w:rsidR="002D6F18" w:rsidRPr="005441AD">
          <w:rPr>
            <w:rFonts w:eastAsiaTheme="minorEastAsia" w:cs="Roboto-Light"/>
            <w:color w:val="000000"/>
            <w:vertAlign w:val="superscript"/>
            <w:lang w:eastAsia="en-US"/>
          </w:rPr>
          <w:fldChar w:fldCharType="end"/>
        </w:r>
      </w:hyperlink>
      <w:r w:rsidR="005441AD">
        <w:rPr>
          <w:rFonts w:eastAsiaTheme="minorEastAsia" w:cs="Roboto-Light"/>
          <w:color w:val="000000"/>
          <w:lang w:eastAsia="en-US"/>
        </w:rPr>
        <w:t xml:space="preserve"> C</w:t>
      </w:r>
      <w:r>
        <w:t>hallenging life circumstances, including psychosocial risk factors, can lead to feelings of stress, which can escalate to distress, which—without support—can escalate into suicidal distress.</w:t>
      </w:r>
    </w:p>
    <w:p w14:paraId="15CE5F66" w14:textId="111FB72C" w:rsidR="00806F11" w:rsidRPr="00B768A1" w:rsidRDefault="6D0E8333" w:rsidP="00806F11">
      <w:pPr>
        <w:pStyle w:val="ListBullet"/>
      </w:pPr>
      <w:r w:rsidRPr="00E233A6">
        <w:rPr>
          <w:b/>
          <w:bCs/>
        </w:rPr>
        <w:t>Self-harm</w:t>
      </w:r>
      <w:r w:rsidRPr="00B768A1">
        <w:t xml:space="preserve"> is an act in which a person harms themselves with a motive that may or may not involve the intention to end their life.</w:t>
      </w:r>
      <w:hyperlink w:anchor="_ENREF_357" w:tooltip="K, 2019 #124" w:history="1">
        <w:r w:rsidR="002D6F18">
          <w:fldChar w:fldCharType="begin"/>
        </w:r>
        <w:r w:rsidR="002D6F18">
          <w:instrText xml:space="preserve"> ADDIN EN.CITE &lt;EndNote&gt;&lt;Cite&gt;&lt;Author&gt;K&lt;/Author&gt;&lt;Year&gt;2019&lt;/Year&gt;&lt;RecNum&gt;124&lt;/RecNum&gt;&lt;DisplayText&gt;&lt;style face="superscript"&gt;357&lt;/style&gt;&lt;/DisplayText&gt;&lt;record&gt;&lt;rec-number&gt;124&lt;/rec-number&gt;&lt;foreign-keys&gt;&lt;key app="EN" db-id="rsettzd2isasdweewww55s9lffasxav0d0ft" timestamp="1700699468" guid="7c1ff597-8711-47cb-aca1-1a770b58582c"&gt;124&lt;/key&gt;&lt;/foreign-keys&gt;&lt;ref-type name="Journal Article"&gt;17&lt;/ref-type&gt;&lt;contributors&gt;&lt;authors&gt;&lt;author&gt;Witt K&lt;/author&gt;&lt;author&gt;Milner A&lt;/author&gt;&lt;author&gt;Spittal MJ&lt;/author&gt;&lt;author&gt;Hetrick S&lt;/author&gt;&lt;author&gt;Robinson J&lt;/author&gt;&lt;author&gt;Pirkis J&lt;/author&gt;&lt;author&gt;Carter G&lt;/author&gt;&lt;/authors&gt;&lt;/contributors&gt;&lt;titles&gt;&lt;title&gt;Population Attributable Risk of Factors Associated with the Repetition of Self-Harm Behaviour in Young People Presenting to Clinical Services: A Systematic Review and Meta-Analysis&lt;/title&gt;&lt;secondary-title&gt;European Child &amp;amp; Adolescent Psychiatry&lt;/secondary-title&gt;&lt;/titles&gt;&lt;periodical&gt;&lt;full-title&gt;European Child &amp;amp; Adolescent Psychiatry&lt;/full-title&gt;&lt;/periodical&gt;&lt;dates&gt;&lt;year&gt;2019&lt;/year&gt;&lt;/dates&gt;&lt;urls&gt;&lt;/urls&gt;&lt;electronic-resource-num&gt;DOI: 10.1007/s00787-018-1111-6&lt;/electronic-resource-num&gt;&lt;/record&gt;&lt;/Cite&gt;&lt;/EndNote&gt;</w:instrText>
        </w:r>
        <w:r w:rsidR="002D6F18">
          <w:fldChar w:fldCharType="separate"/>
        </w:r>
        <w:r w:rsidR="002D6F18" w:rsidRPr="00C559B5">
          <w:rPr>
            <w:noProof/>
            <w:vertAlign w:val="superscript"/>
          </w:rPr>
          <w:t>357</w:t>
        </w:r>
        <w:r w:rsidR="002D6F18">
          <w:fldChar w:fldCharType="end"/>
        </w:r>
      </w:hyperlink>
      <w:r w:rsidR="005441AD">
        <w:t xml:space="preserve"> </w:t>
      </w:r>
      <w:r w:rsidRPr="00B768A1">
        <w:t xml:space="preserve">It is broader than, but includes, suicide attempts, due to intent—some people may self-harm with suicidal intent or for other reasons. Motives behind self-harm may be </w:t>
      </w:r>
      <w:r>
        <w:t xml:space="preserve">difficult </w:t>
      </w:r>
      <w:r w:rsidRPr="00B768A1">
        <w:t>to identify</w:t>
      </w:r>
      <w:r>
        <w:t>.</w:t>
      </w:r>
    </w:p>
    <w:p w14:paraId="292E97A9" w14:textId="1F469394" w:rsidR="00806F11" w:rsidRPr="003C5A8A" w:rsidRDefault="6D0E8333" w:rsidP="00806F11">
      <w:pPr>
        <w:pStyle w:val="ListBullet"/>
        <w:rPr>
          <w:vertAlign w:val="superscript"/>
        </w:rPr>
      </w:pPr>
      <w:r w:rsidRPr="00247E24">
        <w:rPr>
          <w:b/>
          <w:bCs/>
        </w:rPr>
        <w:t>Lived and living experience of suicide</w:t>
      </w:r>
      <w:r>
        <w:t xml:space="preserve"> refers to people who have experienced suicidal thoughts, survived a suicide attempt, cared for someone through a suicidal crisis, or been bereaved by suicide. </w:t>
      </w:r>
      <w:r w:rsidR="00806F11">
        <w:br/>
      </w:r>
      <w:r>
        <w:t>For Aboriginal and Torres Strait Islander people, lived experience recognises the effects of ongoing negative historical impacts and or specific events on First Nation peoples social and emotional wellbeing. It encompasses the cultural, spiritual, physical, emotional and mental wellbeing of the individual, family or community.</w:t>
      </w:r>
      <w:hyperlink w:anchor="_ENREF_358" w:tooltip="Centre,  #1113" w:history="1">
        <w:r w:rsidR="002D6F18">
          <w:fldChar w:fldCharType="begin"/>
        </w:r>
        <w:r w:rsidR="002D6F18">
          <w:instrText xml:space="preserve"> ADDIN EN.CITE &lt;EndNote&gt;&lt;Cite&gt;&lt;Author&gt;Centre&lt;/Author&gt;&lt;RecNum&gt;1113&lt;/RecNum&gt;&lt;DisplayText&gt;&lt;style face="superscript"&gt;358&lt;/style&gt;&lt;/DisplayText&gt;&lt;record&gt;&lt;rec-number&gt;1113&lt;/rec-number&gt;&lt;foreign-keys&gt;&lt;key app="EN" db-id="rsettzd2isasdweewww55s9lffasxav0d0ft" timestamp="1720504793" guid="91eb44a6-579b-4856-9ca1-5550b480e1bb"&gt;1113&lt;/key&gt;&lt;/foreign-keys&gt;&lt;ref-type name="Web Page"&gt;12&lt;/ref-type&gt;&lt;contributors&gt;&lt;authors&gt;&lt;author&gt;Aboriginal and Torres Strait Islander Lived Experience Centre&lt;/author&gt;&lt;/authors&gt;&lt;/contributors&gt;&lt;titles&gt;&lt;title&gt;Definition of Aboriginal and Torres Strait Islander Lived Experience&lt;/title&gt;&lt;/titles&gt;&lt;dates&gt;&lt;/dates&gt;&lt;pub-location&gt;Sydney&lt;/pub-location&gt;&lt;publisher&gt;Black Dog Institute&lt;/publisher&gt;&lt;work-type&gt;Internet&lt;/work-type&gt;&lt;urls&gt;&lt;related-urls&gt;&lt;url&gt;https://www.blackdoginstitute.org.au/education-services/aboriginal-and-torres-strait-islander-network/&lt;/url&gt;&lt;/related-urls&gt;&lt;/urls&gt;&lt;custom1&gt;2024&lt;/custom1&gt;&lt;custom2&gt;March 28&lt;/custom2&gt;&lt;/record&gt;&lt;/Cite&gt;&lt;/EndNote&gt;</w:instrText>
        </w:r>
        <w:r w:rsidR="002D6F18">
          <w:fldChar w:fldCharType="separate"/>
        </w:r>
        <w:r w:rsidR="002D6F18" w:rsidRPr="00C559B5">
          <w:rPr>
            <w:noProof/>
            <w:vertAlign w:val="superscript"/>
          </w:rPr>
          <w:t>358</w:t>
        </w:r>
        <w:r w:rsidR="002D6F18">
          <w:fldChar w:fldCharType="end"/>
        </w:r>
      </w:hyperlink>
      <w:r w:rsidR="005441AD">
        <w:t xml:space="preserve"> </w:t>
      </w:r>
    </w:p>
    <w:p w14:paraId="7B7CEC6F" w14:textId="77777777" w:rsidR="00806F11" w:rsidRPr="00F833FC" w:rsidRDefault="00806F11" w:rsidP="00806F11">
      <w:pPr>
        <w:pStyle w:val="Heading31"/>
      </w:pPr>
      <w:r w:rsidRPr="00F833FC">
        <w:t>Other terms</w:t>
      </w:r>
    </w:p>
    <w:p w14:paraId="02874774" w14:textId="77777777" w:rsidR="00806F11" w:rsidRPr="00B768A1" w:rsidRDefault="00806F11" w:rsidP="00806F11">
      <w:r w:rsidRPr="00B768A1">
        <w:t>The Strategy uses different terminology at different times to reflect the specific research being cited.</w:t>
      </w:r>
    </w:p>
    <w:p w14:paraId="1ACCDAA0" w14:textId="75E7343B" w:rsidR="00806F11" w:rsidRPr="00B768A1" w:rsidRDefault="6D0E8333" w:rsidP="00806F11">
      <w:pPr>
        <w:pStyle w:val="ListBullet"/>
      </w:pPr>
      <w:r w:rsidRPr="756626F3">
        <w:rPr>
          <w:b/>
          <w:bCs/>
        </w:rPr>
        <w:t>Male/Female</w:t>
      </w:r>
      <w:r w:rsidRPr="00B768A1">
        <w:t xml:space="preserve"> refers to a person</w:t>
      </w:r>
      <w:r>
        <w:t>’</w:t>
      </w:r>
      <w:r w:rsidRPr="00B768A1">
        <w:t>s sex. T</w:t>
      </w:r>
      <w:r w:rsidRPr="00EF54F2">
        <w:t>he concept of sex is based on the physical or biological aspects of a person</w:t>
      </w:r>
      <w:r>
        <w:t>’</w:t>
      </w:r>
      <w:r w:rsidRPr="00EF54F2">
        <w:t>s body</w:t>
      </w:r>
      <w:r>
        <w:t>.</w:t>
      </w:r>
      <w:r w:rsidRPr="756626F3">
        <w:t xml:space="preserve"> T</w:t>
      </w:r>
      <w:r w:rsidRPr="00F04BA6">
        <w:rPr>
          <w:lang w:eastAsia="en-US"/>
        </w:rPr>
        <w:t xml:space="preserve">he concept of gender </w:t>
      </w:r>
      <w:r w:rsidRPr="756626F3">
        <w:t xml:space="preserve">identity </w:t>
      </w:r>
      <w:r w:rsidRPr="00E20BD1">
        <w:t>relates to the way a person feels, presents and is recognised within the general communit</w:t>
      </w:r>
      <w:r w:rsidRPr="00B768A1">
        <w:t>y. The Strategy generally uses terminology relating to gender</w:t>
      </w:r>
      <w:r w:rsidRPr="756626F3">
        <w:t xml:space="preserve"> (for example, man, woman, trans gender); </w:t>
      </w:r>
      <w:r w:rsidRPr="00B768A1">
        <w:t>however</w:t>
      </w:r>
      <w:r w:rsidRPr="756626F3">
        <w:t>,</w:t>
      </w:r>
      <w:r w:rsidRPr="00B768A1">
        <w:t xml:space="preserve"> this may vary when needing to be consistent with cited research. For example, to accurately reflect ABS Causes of Death statistics, the Strategy uses the sex-based language of male/female.</w:t>
      </w:r>
      <w:hyperlink w:anchor="_ENREF_359" w:tooltip="Statistics, 2020 #1140" w:history="1">
        <w:r w:rsidR="002D6F18">
          <w:fldChar w:fldCharType="begin"/>
        </w:r>
        <w:r w:rsidR="002D6F18">
          <w:instrText xml:space="preserve"> ADDIN EN.CITE &lt;EndNote&gt;&lt;Cite&gt;&lt;Author&gt;Statistics&lt;/Author&gt;&lt;Year&gt;2020&lt;/Year&gt;&lt;RecNum&gt;1140&lt;/RecNum&gt;&lt;DisplayText&gt;&lt;style face="superscript"&gt;359&lt;/style&gt;&lt;/DisplayText&gt;&lt;record&gt;&lt;rec-number&gt;1140&lt;/rec-number&gt;&lt;foreign-keys&gt;&lt;key app="EN" db-id="rsettzd2isasdweewww55s9lffasxav0d0ft" timestamp="1720527755" guid="8edf404c-888e-4de2-a5af-b18b4071b411"&gt;1140&lt;/key&gt;&lt;/foreign-keys&gt;&lt;ref-type name="Web Page"&gt;12&lt;/ref-type&gt;&lt;contributors&gt;&lt;authors&gt;&lt;author&gt;Australian Bureau of Statistics&lt;/author&gt;&lt;/authors&gt;&lt;/contributors&gt;&lt;titles&gt;&lt;title&gt;Standard for sex, gender, variations of sex characteristics and sexual orientation variables&lt;/title&gt;&lt;/titles&gt;&lt;dates&gt;&lt;year&gt;2020&lt;/year&gt;&lt;/dates&gt;&lt;publisher&gt;ABS, Australian Government&lt;/publisher&gt;&lt;work-type&gt;Internet&lt;/work-type&gt;&lt;urls&gt;&lt;related-urls&gt;&lt;url&gt;https://www.abs.gov.au/statistics/standards/standard-sex-gender-variations-sex-characteristics-and-sexual-orientation-variables/latest-release&lt;/url&gt;&lt;/related-urls&gt;&lt;/urls&gt;&lt;custom1&gt;2024&lt;/custom1&gt;&lt;custom2&gt;March 06&lt;/custom2&gt;&lt;/record&gt;&lt;/Cite&gt;&lt;/EndNote&gt;</w:instrText>
        </w:r>
        <w:r w:rsidR="002D6F18">
          <w:fldChar w:fldCharType="separate"/>
        </w:r>
        <w:r w:rsidR="002D6F18" w:rsidRPr="00C559B5">
          <w:rPr>
            <w:noProof/>
            <w:vertAlign w:val="superscript"/>
          </w:rPr>
          <w:t>359</w:t>
        </w:r>
        <w:r w:rsidR="002D6F18">
          <w:fldChar w:fldCharType="end"/>
        </w:r>
      </w:hyperlink>
      <w:r w:rsidR="005441AD">
        <w:t xml:space="preserve"> </w:t>
      </w:r>
    </w:p>
    <w:p w14:paraId="3FEBE96B" w14:textId="3774D388" w:rsidR="00806F11" w:rsidRPr="00E20BD1" w:rsidRDefault="6D0E8333" w:rsidP="00806F11">
      <w:pPr>
        <w:pStyle w:val="ListBullet"/>
      </w:pPr>
      <w:r w:rsidRPr="0050325D">
        <w:rPr>
          <w:b/>
          <w:bCs/>
        </w:rPr>
        <w:t xml:space="preserve">Trans </w:t>
      </w:r>
      <w:r>
        <w:rPr>
          <w:b/>
          <w:bCs/>
        </w:rPr>
        <w:t xml:space="preserve">gender </w:t>
      </w:r>
      <w:r w:rsidRPr="00F04BA6">
        <w:t xml:space="preserve">and </w:t>
      </w:r>
      <w:r w:rsidRPr="0050325D">
        <w:rPr>
          <w:b/>
          <w:bCs/>
        </w:rPr>
        <w:t>gender diverse</w:t>
      </w:r>
      <w:r w:rsidRPr="0050325D">
        <w:t xml:space="preserve"> are terms used to describe people whose gender differs from the one assigned to them at birth.</w:t>
      </w:r>
      <w:hyperlink w:anchor="_ENREF_359" w:tooltip="Statistics, 2020 #1140" w:history="1">
        <w:r w:rsidR="002D6F18">
          <w:fldChar w:fldCharType="begin"/>
        </w:r>
        <w:r w:rsidR="002D6F18">
          <w:instrText xml:space="preserve"> ADDIN EN.CITE &lt;EndNote&gt;&lt;Cite&gt;&lt;Author&gt;Statistics&lt;/Author&gt;&lt;Year&gt;2020&lt;/Year&gt;&lt;RecNum&gt;1140&lt;/RecNum&gt;&lt;DisplayText&gt;&lt;style face="superscript"&gt;359&lt;/style&gt;&lt;/DisplayText&gt;&lt;record&gt;&lt;rec-number&gt;1140&lt;/rec-number&gt;&lt;foreign-keys&gt;&lt;key app="EN" db-id="rsettzd2isasdweewww55s9lffasxav0d0ft" timestamp="1720527755" guid="8edf404c-888e-4de2-a5af-b18b4071b411"&gt;1140&lt;/key&gt;&lt;/foreign-keys&gt;&lt;ref-type name="Web Page"&gt;12&lt;/ref-type&gt;&lt;contributors&gt;&lt;authors&gt;&lt;author&gt;Australian Bureau of Statistics&lt;/author&gt;&lt;/authors&gt;&lt;/contributors&gt;&lt;titles&gt;&lt;title&gt;Standard for sex, gender, variations of sex characteristics and sexual orientation variables&lt;/title&gt;&lt;/titles&gt;&lt;dates&gt;&lt;year&gt;2020&lt;/year&gt;&lt;/dates&gt;&lt;publisher&gt;ABS, Australian Government&lt;/publisher&gt;&lt;work-type&gt;Internet&lt;/work-type&gt;&lt;urls&gt;&lt;related-urls&gt;&lt;url&gt;https://www.abs.gov.au/statistics/standards/standard-sex-gender-variations-sex-characteristics-and-sexual-orientation-variables/latest-release&lt;/url&gt;&lt;/related-urls&gt;&lt;/urls&gt;&lt;custom1&gt;2024&lt;/custom1&gt;&lt;custom2&gt;March 06&lt;/custom2&gt;&lt;/record&gt;&lt;/Cite&gt;&lt;/EndNote&gt;</w:instrText>
        </w:r>
        <w:r w:rsidR="002D6F18">
          <w:fldChar w:fldCharType="separate"/>
        </w:r>
        <w:r w:rsidR="002D6F18" w:rsidRPr="00C559B5">
          <w:rPr>
            <w:noProof/>
            <w:vertAlign w:val="superscript"/>
          </w:rPr>
          <w:t>359</w:t>
        </w:r>
        <w:r w:rsidR="002D6F18">
          <w:fldChar w:fldCharType="end"/>
        </w:r>
      </w:hyperlink>
      <w:r w:rsidR="005441AD">
        <w:t xml:space="preserve"> </w:t>
      </w:r>
      <w:r w:rsidRPr="00E20BD1">
        <w:t xml:space="preserve">There are </w:t>
      </w:r>
      <w:r>
        <w:t>many</w:t>
      </w:r>
      <w:r w:rsidRPr="00E20BD1">
        <w:t xml:space="preserve"> different experiences </w:t>
      </w:r>
      <w:r>
        <w:t xml:space="preserve">within </w:t>
      </w:r>
      <w:r w:rsidRPr="00E20BD1">
        <w:t>gender</w:t>
      </w:r>
      <w:r>
        <w:t xml:space="preserve"> diversity, for example</w:t>
      </w:r>
      <w:r w:rsidRPr="00B768A1">
        <w:t>:</w:t>
      </w:r>
    </w:p>
    <w:p w14:paraId="58668EAD" w14:textId="77777777" w:rsidR="00806F11" w:rsidRPr="00EF54F2" w:rsidRDefault="00806F11" w:rsidP="00806F11">
      <w:pPr>
        <w:pStyle w:val="ListBullet2"/>
      </w:pPr>
      <w:r>
        <w:t>n</w:t>
      </w:r>
      <w:r w:rsidRPr="00E20BD1">
        <w:t>on-</w:t>
      </w:r>
      <w:r>
        <w:t>b</w:t>
      </w:r>
      <w:r w:rsidRPr="00E20BD1">
        <w:t>inary</w:t>
      </w:r>
      <w:r>
        <w:t>—</w:t>
      </w:r>
      <w:r w:rsidRPr="00E20BD1">
        <w:t>someone who does not identify as exclusively a man or a woman</w:t>
      </w:r>
      <w:r>
        <w:t>;</w:t>
      </w:r>
      <w:r w:rsidRPr="00E20BD1">
        <w:t xml:space="preserve"> </w:t>
      </w:r>
      <w:r>
        <w:t>s</w:t>
      </w:r>
      <w:r w:rsidRPr="00E20BD1">
        <w:t>omeone who is non-binary might feel like a mix of genders or like they have no gender at all</w:t>
      </w:r>
    </w:p>
    <w:p w14:paraId="717C76C2" w14:textId="77777777" w:rsidR="00806F11" w:rsidRDefault="00806F11" w:rsidP="00806F11">
      <w:pPr>
        <w:pStyle w:val="ListBullet2"/>
      </w:pPr>
      <w:r>
        <w:t>s</w:t>
      </w:r>
      <w:r w:rsidRPr="00EF54F2">
        <w:t>istergirl</w:t>
      </w:r>
      <w:r w:rsidRPr="00EF54F2">
        <w:rPr>
          <w:rFonts w:hint="eastAsia"/>
        </w:rPr>
        <w:t> </w:t>
      </w:r>
      <w:r w:rsidRPr="00EF54F2">
        <w:t>and</w:t>
      </w:r>
      <w:r w:rsidRPr="00EF54F2">
        <w:rPr>
          <w:rFonts w:hint="eastAsia"/>
        </w:rPr>
        <w:t> </w:t>
      </w:r>
      <w:r>
        <w:t>b</w:t>
      </w:r>
      <w:r w:rsidRPr="00EF54F2">
        <w:t>rotherboy</w:t>
      </w:r>
      <w:r>
        <w:t>—</w:t>
      </w:r>
      <w:r w:rsidRPr="00EF54F2">
        <w:t>Aboriginal and Torres Strait Islander descri</w:t>
      </w:r>
      <w:r>
        <w:t>ptions of</w:t>
      </w:r>
      <w:r w:rsidRPr="00EF54F2">
        <w:t xml:space="preserve"> gender diverse people </w:t>
      </w:r>
      <w:r>
        <w:t xml:space="preserve">who </w:t>
      </w:r>
      <w:r w:rsidRPr="00EF54F2">
        <w:t>have a female or male spirit and take on respective roles within the community</w:t>
      </w:r>
    </w:p>
    <w:p w14:paraId="4EE4F09A" w14:textId="69477179" w:rsidR="00806F11" w:rsidRPr="004D7A63" w:rsidRDefault="6D0E8333" w:rsidP="00806F11">
      <w:pPr>
        <w:pStyle w:val="ListBullet2"/>
      </w:pPr>
      <w:r w:rsidRPr="004D7A63">
        <w:t>genderfluid —someone whose experience of gender changes and is fluid; for example, someone who is genderfluid may feel more like a man or a woman on certain days and like neither a man nor a woman on others.</w:t>
      </w:r>
      <w:hyperlink w:anchor="_ENREF_360" w:tooltip="IDAHOBIT, 2022 #1114" w:history="1">
        <w:r w:rsidR="002D6F18">
          <w:fldChar w:fldCharType="begin"/>
        </w:r>
        <w:r w:rsidR="002D6F18">
          <w:instrText xml:space="preserve"> ADDIN EN.CITE &lt;EndNote&gt;&lt;Cite&gt;&lt;Author&gt;IDAHOBIT&lt;/Author&gt;&lt;Year&gt;2022&lt;/Year&gt;&lt;RecNum&gt;1114&lt;/RecNum&gt;&lt;DisplayText&gt;&lt;style face="superscript"&gt;360&lt;/style&gt;&lt;/DisplayText&gt;&lt;record&gt;&lt;rec-number&gt;1114&lt;/rec-number&gt;&lt;foreign-keys&gt;&lt;key app="EN" db-id="rsettzd2isasdweewww55s9lffasxav0d0ft" timestamp="1720504942" guid="a7a920ee-f701-4509-bc41-0f7cd41ba08b"&gt;1114&lt;/key&gt;&lt;/foreign-keys&gt;&lt;ref-type name="Web Page"&gt;12&lt;/ref-type&gt;&lt;contributors&gt;&lt;authors&gt;&lt;author&gt;IDAHOBIT&lt;/author&gt;&lt;/authors&gt;&lt;/contributors&gt;&lt;titles&gt;&lt;title&gt;Trans and gender diverse identities&lt;/title&gt;&lt;/titles&gt;&lt;dates&gt;&lt;year&gt;2022&lt;/year&gt;&lt;/dates&gt;&lt;pub-location&gt;Minus18 Foundation Ltd&lt;/pub-location&gt;&lt;work-type&gt;Internet&lt;/work-type&gt;&lt;urls&gt;&lt;related-urls&gt;&lt;url&gt;https://www.idahobit.org.au/identity-and-stats/understanding-trans-identities&lt;/url&gt;&lt;/related-urls&gt;&lt;/urls&gt;&lt;custom1&gt;2024&lt;/custom1&gt;&lt;custom2&gt;March 07&lt;/custom2&gt;&lt;/record&gt;&lt;/Cite&gt;&lt;/EndNote&gt;</w:instrText>
        </w:r>
        <w:r w:rsidR="002D6F18">
          <w:fldChar w:fldCharType="separate"/>
        </w:r>
        <w:r w:rsidR="002D6F18" w:rsidRPr="00C559B5">
          <w:rPr>
            <w:noProof/>
            <w:vertAlign w:val="superscript"/>
          </w:rPr>
          <w:t>360</w:t>
        </w:r>
        <w:r w:rsidR="002D6F18">
          <w:fldChar w:fldCharType="end"/>
        </w:r>
      </w:hyperlink>
      <w:r w:rsidR="00874101">
        <w:t xml:space="preserve"> </w:t>
      </w:r>
    </w:p>
    <w:p w14:paraId="3FEF352A" w14:textId="61053AB3" w:rsidR="00806F11" w:rsidRPr="00B768A1" w:rsidRDefault="6D0E8333" w:rsidP="00806F11">
      <w:pPr>
        <w:pStyle w:val="ListBullet"/>
      </w:pPr>
      <w:r w:rsidRPr="5B74CE65">
        <w:rPr>
          <w:b/>
          <w:bCs/>
        </w:rPr>
        <w:t>Mental health and behavioural disorders</w:t>
      </w:r>
      <w:r w:rsidRPr="00096327">
        <w:t> </w:t>
      </w:r>
      <w:r w:rsidRPr="00B768A1">
        <w:t>are c</w:t>
      </w:r>
      <w:r w:rsidRPr="00AA0273">
        <w:t>haracterised by a clinically significant disturbance in an individual’s cognition, emotional regulation or behaviour</w:t>
      </w:r>
      <w:r w:rsidRPr="00B768A1">
        <w:t>.</w:t>
      </w:r>
      <w:r w:rsidRPr="00AA0273">
        <w:t xml:space="preserve"> The term covers a range of disorders including </w:t>
      </w:r>
      <w:r w:rsidRPr="00B768A1">
        <w:t xml:space="preserve">(but not limited to) </w:t>
      </w:r>
      <w:r w:rsidRPr="00AA0273">
        <w:t>anxiety, affective and substance use disorders.</w:t>
      </w:r>
      <w:hyperlink w:anchor="_ENREF_2" w:tooltip="Statistics, 2023 #481" w:history="1">
        <w:r w:rsidR="002D6F18">
          <w:fldChar w:fldCharType="begin"/>
        </w:r>
        <w:r w:rsidR="002D6F18">
          <w:instrText xml:space="preserve"> ADDIN EN.CITE &lt;EndNote&gt;&lt;Cite&gt;&lt;Author&gt;Statistics&lt;/Author&gt;&lt;Year&gt;2023&lt;/Year&gt;&lt;RecNum&gt;481&lt;/RecNum&gt;&lt;DisplayText&gt;&lt;style face="superscript"&gt;2&lt;/style&gt;&lt;/DisplayText&gt;&lt;record&gt;&lt;rec-number&gt;481&lt;/rec-number&gt;&lt;foreign-keys&gt;&lt;key app="EN" db-id="rsettzd2isasdweewww55s9lffasxav0d0ft" timestamp="1700699474" guid="3ab42a82-f072-4dca-92fd-dc952307213a"&gt;481&lt;/key&gt;&lt;/foreign-keys&gt;&lt;ref-type name="Web Page"&gt;12&lt;/ref-type&gt;&lt;contributors&gt;&lt;authors&gt;&lt;author&gt;Australian Bureau of Statistics&lt;/author&gt;&lt;/authors&gt;&lt;/contributors&gt;&lt;titles&gt;&lt;title&gt;Causes of Death, Australia, 2022&lt;/title&gt;&lt;/titles&gt;&lt;dates&gt;&lt;year&gt;2023&lt;/year&gt;&lt;/dates&gt;&lt;publisher&gt;ABS, Australian Government&lt;/publisher&gt;&lt;work-type&gt;Internet&lt;/work-type&gt;&lt;urls&gt;&lt;related-urls&gt;&lt;url&gt;https://www.abs.gov.au/statistics/health/causes-death/causes-death-australia/2022&lt;/url&gt;&lt;/related-urls&gt;&lt;/urls&gt;&lt;custom1&gt;2023&lt;/custom1&gt;&lt;custom2&gt;October 02&lt;/custom2&gt;&lt;/record&gt;&lt;/Cite&gt;&lt;/EndNote&gt;</w:instrText>
        </w:r>
        <w:r w:rsidR="002D6F18">
          <w:fldChar w:fldCharType="separate"/>
        </w:r>
        <w:r w:rsidR="002D6F18" w:rsidRPr="00E25362">
          <w:rPr>
            <w:noProof/>
            <w:vertAlign w:val="superscript"/>
          </w:rPr>
          <w:t>2</w:t>
        </w:r>
        <w:r w:rsidR="002D6F18">
          <w:fldChar w:fldCharType="end"/>
        </w:r>
      </w:hyperlink>
      <w:r w:rsidR="00874101">
        <w:t xml:space="preserve"> </w:t>
      </w:r>
    </w:p>
    <w:p w14:paraId="56D75157" w14:textId="3AE51F60" w:rsidR="00806F11" w:rsidRPr="001F26B1" w:rsidRDefault="6D0E8333" w:rsidP="00806F11">
      <w:pPr>
        <w:pStyle w:val="ListBullet"/>
        <w:rPr>
          <w:rFonts w:ascii="Arial" w:hAnsi="Arial" w:cs="Arial"/>
        </w:rPr>
      </w:pPr>
      <w:r w:rsidRPr="00B768A1">
        <w:rPr>
          <w:b/>
          <w:bCs/>
        </w:rPr>
        <w:t>P</w:t>
      </w:r>
      <w:r w:rsidRPr="00D67579">
        <w:rPr>
          <w:b/>
          <w:bCs/>
        </w:rPr>
        <w:t xml:space="preserve">sychosocial risk factors </w:t>
      </w:r>
      <w:r w:rsidRPr="00BA6354">
        <w:t>are one categorisation of risk factors related to suicide deaths captured by the Australian Bureau of Statistic</w:t>
      </w:r>
      <w:r w:rsidRPr="00B768A1">
        <w:t>s</w:t>
      </w:r>
      <w:r>
        <w:t>. The category</w:t>
      </w:r>
      <w:r w:rsidRPr="00432A52">
        <w:rPr>
          <w:rFonts w:cs="Roboto-Light"/>
        </w:rPr>
        <w:t xml:space="preserve"> includes the International Classification of Diseases (ICD-10)</w:t>
      </w:r>
      <w:hyperlink w:anchor="_ENREF_361" w:tooltip="Organization, 1993 #1115" w:history="1">
        <w:r w:rsidR="002D6F18">
          <w:rPr>
            <w:rFonts w:cs="Roboto-Light"/>
          </w:rPr>
          <w:fldChar w:fldCharType="begin"/>
        </w:r>
        <w:r w:rsidR="002D6F18">
          <w:rPr>
            <w:rFonts w:cs="Roboto-Light"/>
          </w:rPr>
          <w:instrText xml:space="preserve"> ADDIN EN.CITE &lt;EndNote&gt;&lt;Cite&gt;&lt;Author&gt;Organization&lt;/Author&gt;&lt;Year&gt;1993&lt;/Year&gt;&lt;RecNum&gt;1115&lt;/RecNum&gt;&lt;DisplayText&gt;&lt;style face="superscript"&gt;361&lt;/style&gt;&lt;/DisplayText&gt;&lt;record&gt;&lt;rec-number&gt;1115&lt;/rec-number&gt;&lt;foreign-keys&gt;&lt;key app="EN" db-id="rsettzd2isasdweewww55s9lffasxav0d0ft" timestamp="1720505022" guid="cf7e57a0-d12c-4b92-a73f-538353aaf86d"&gt;1115&lt;/key&gt;&lt;/foreign-keys&gt;&lt;ref-type name="Web Page"&gt;12&lt;/ref-type&gt;&lt;contributors&gt;&lt;authors&gt;&lt;author&gt;World Health Organization&lt;/author&gt;&lt;/authors&gt;&lt;/contributors&gt;&lt;titles&gt;&lt;title&gt;The ICD-10 classification of mental and behavioural disorders: diagnostic criteria for research&lt;/title&gt;&lt;/titles&gt;&lt;dates&gt;&lt;year&gt;1993&lt;/year&gt;&lt;/dates&gt;&lt;pub-location&gt;Geneva&lt;/pub-location&gt;&lt;publisher&gt;World Health Organization&lt;/publisher&gt;&lt;work-type&gt;Internet&lt;/work-type&gt;&lt;urls&gt;&lt;related-urls&gt;&lt;url&gt;https://icd.who.int/browse10/2019/en&lt;/url&gt;&lt;/related-urls&gt;&lt;/urls&gt;&lt;custom1&gt;2024&lt;/custom1&gt;&lt;custom2&gt;March 17&lt;/custom2&gt;&lt;/record&gt;&lt;/Cite&gt;&lt;/EndNote&gt;</w:instrText>
        </w:r>
        <w:r w:rsidR="002D6F18">
          <w:rPr>
            <w:rFonts w:cs="Roboto-Light"/>
          </w:rPr>
          <w:fldChar w:fldCharType="separate"/>
        </w:r>
        <w:r w:rsidR="002D6F18" w:rsidRPr="00C559B5">
          <w:rPr>
            <w:rFonts w:cs="Roboto-Light"/>
            <w:noProof/>
            <w:vertAlign w:val="superscript"/>
          </w:rPr>
          <w:t>361</w:t>
        </w:r>
        <w:r w:rsidR="002D6F18">
          <w:rPr>
            <w:rFonts w:cs="Roboto-Light"/>
          </w:rPr>
          <w:fldChar w:fldCharType="end"/>
        </w:r>
      </w:hyperlink>
      <w:r w:rsidR="00874101">
        <w:rPr>
          <w:rFonts w:cs="Roboto-Light"/>
        </w:rPr>
        <w:t xml:space="preserve"> </w:t>
      </w:r>
      <w:r w:rsidRPr="00432A52">
        <w:rPr>
          <w:rFonts w:cs="Roboto-Light"/>
        </w:rPr>
        <w:t>codes Z00</w:t>
      </w:r>
      <w:r>
        <w:t>–</w:t>
      </w:r>
      <w:r w:rsidRPr="00432A52">
        <w:rPr>
          <w:rFonts w:cs="Roboto-Light"/>
        </w:rPr>
        <w:t>Z99</w:t>
      </w:r>
      <w:r w:rsidRPr="00B768A1">
        <w:t>,</w:t>
      </w:r>
      <w:r w:rsidRPr="00432A52">
        <w:rPr>
          <w:rFonts w:cs="Roboto-Light"/>
        </w:rPr>
        <w:t xml:space="preserve"> which capture broad health, social and identity factors such as family history, sexual orientation, child abuse and neglect and social exclusion.</w:t>
      </w:r>
      <w:hyperlink w:anchor="_ENREF_2" w:tooltip="Statistics, 2023 #481" w:history="1">
        <w:r w:rsidR="002D6F18">
          <w:rPr>
            <w:rFonts w:cs="Roboto-Light"/>
          </w:rPr>
          <w:fldChar w:fldCharType="begin"/>
        </w:r>
        <w:r w:rsidR="002D6F18">
          <w:rPr>
            <w:rFonts w:cs="Roboto-Light"/>
          </w:rPr>
          <w:instrText xml:space="preserve"> ADDIN EN.CITE &lt;EndNote&gt;&lt;Cite&gt;&lt;Author&gt;Statistics&lt;/Author&gt;&lt;Year&gt;2023&lt;/Year&gt;&lt;RecNum&gt;481&lt;/RecNum&gt;&lt;DisplayText&gt;&lt;style face="superscript"&gt;2&lt;/style&gt;&lt;/DisplayText&gt;&lt;record&gt;&lt;rec-number&gt;481&lt;/rec-number&gt;&lt;foreign-keys&gt;&lt;key app="EN" db-id="rsettzd2isasdweewww55s9lffasxav0d0ft" timestamp="1700699474" guid="3ab42a82-f072-4dca-92fd-dc952307213a"&gt;481&lt;/key&gt;&lt;/foreign-keys&gt;&lt;ref-type name="Web Page"&gt;12&lt;/ref-type&gt;&lt;contributors&gt;&lt;authors&gt;&lt;author&gt;Australian Bureau of Statistics&lt;/author&gt;&lt;/authors&gt;&lt;/contributors&gt;&lt;titles&gt;&lt;title&gt;Causes of Death, Australia, 2022&lt;/title&gt;&lt;/titles&gt;&lt;dates&gt;&lt;year&gt;2023&lt;/year&gt;&lt;/dates&gt;&lt;publisher&gt;ABS, Australian Government&lt;/publisher&gt;&lt;work-type&gt;Internet&lt;/work-type&gt;&lt;urls&gt;&lt;related-urls&gt;&lt;url&gt;https://www.abs.gov.au/statistics/health/causes-death/causes-death-australia/2022&lt;/url&gt;&lt;/related-urls&gt;&lt;/urls&gt;&lt;custom1&gt;2023&lt;/custom1&gt;&lt;custom2&gt;October 02&lt;/custom2&gt;&lt;/record&gt;&lt;/Cite&gt;&lt;/EndNote&gt;</w:instrText>
        </w:r>
        <w:r w:rsidR="002D6F18">
          <w:rPr>
            <w:rFonts w:cs="Roboto-Light"/>
          </w:rPr>
          <w:fldChar w:fldCharType="separate"/>
        </w:r>
        <w:r w:rsidR="002D6F18" w:rsidRPr="00E25362">
          <w:rPr>
            <w:rFonts w:cs="Roboto-Light"/>
            <w:noProof/>
            <w:vertAlign w:val="superscript"/>
          </w:rPr>
          <w:t>2</w:t>
        </w:r>
        <w:r w:rsidR="002D6F18">
          <w:rPr>
            <w:rFonts w:cs="Roboto-Light"/>
          </w:rPr>
          <w:fldChar w:fldCharType="end"/>
        </w:r>
      </w:hyperlink>
      <w:r w:rsidR="00874101">
        <w:rPr>
          <w:rFonts w:cs="Roboto-Light"/>
        </w:rPr>
        <w:t xml:space="preserve"> </w:t>
      </w:r>
    </w:p>
    <w:p w14:paraId="1D586294" w14:textId="77777777" w:rsidR="00806F11" w:rsidRPr="00B768A1" w:rsidRDefault="00806F11" w:rsidP="00806F11">
      <w:pPr>
        <w:pStyle w:val="ListBullet"/>
        <w:rPr>
          <w:rFonts w:ascii="Century Gothic" w:eastAsia="Century Gothic" w:hAnsi="Century Gothic"/>
          <w:b/>
          <w:bCs/>
        </w:rPr>
      </w:pPr>
      <w:r w:rsidRPr="5B74CE65">
        <w:rPr>
          <w:b/>
          <w:bCs/>
        </w:rPr>
        <w:t xml:space="preserve">Families, carers and kin </w:t>
      </w:r>
      <w:r w:rsidRPr="5B74CE65">
        <w:t xml:space="preserve">is used to refer to anyone who provides active support (paid or unpaid) to people who experience suicidal thoughts and behaviours. This includes biological family, chosen family and broader kin networks as well as designated carers as defined by the </w:t>
      </w:r>
      <w:r w:rsidRPr="5B74CE65">
        <w:rPr>
          <w:i/>
          <w:iCs/>
        </w:rPr>
        <w:t>Carer Recognition Act 2010</w:t>
      </w:r>
      <w:r w:rsidRPr="5B74CE65">
        <w:t xml:space="preserve"> (Cth).</w:t>
      </w:r>
    </w:p>
    <w:p w14:paraId="62CA97CA" w14:textId="0CB1E98C" w:rsidR="00806F11" w:rsidRPr="00B768A1" w:rsidRDefault="6D0E8333" w:rsidP="00806F11">
      <w:pPr>
        <w:pStyle w:val="ListBullet"/>
      </w:pPr>
      <w:r w:rsidRPr="001F26B1">
        <w:rPr>
          <w:b/>
          <w:bCs/>
        </w:rPr>
        <w:t>Suicide prevention peer workforc</w:t>
      </w:r>
      <w:r w:rsidRPr="756626F3">
        <w:rPr>
          <w:b/>
          <w:bCs/>
        </w:rPr>
        <w:t>e</w:t>
      </w:r>
      <w:r w:rsidRPr="00B768A1">
        <w:t xml:space="preserve"> refers to people trained in peer work with a lived or living experience of suicide working in service settings to support people through purposeful sharing of lived experience and principles of reciprocity and equality.</w:t>
      </w:r>
      <w:hyperlink w:anchor="_ENREF_344" w:tooltip="L, 2021 #6" w:history="1">
        <w:r w:rsidR="002D6F18">
          <w:fldChar w:fldCharType="begin"/>
        </w:r>
        <w:r w:rsidR="002D6F18">
          <w:instrText xml:space="preserve"> ADDIN EN.CITE &lt;EndNote&gt;&lt;Cite&gt;&lt;Author&gt;L&lt;/Author&gt;&lt;Year&gt;2021&lt;/Year&gt;&lt;RecNum&gt;6&lt;/RecNum&gt;&lt;DisplayText&gt;&lt;style face="superscript"&gt;344&lt;/style&gt;&lt;/DisplayText&gt;&lt;record&gt;&lt;rec-number&gt;6&lt;/rec-number&gt;&lt;foreign-keys&gt;&lt;key app="EN" db-id="rsettzd2isasdweewww55s9lffasxav0d0ft" timestamp="1700699466" guid="644a7eaa-26ab-4ca0-ad9b-794e72cff9c4"&gt;6&lt;/key&gt;&lt;/foreign-keys&gt;&lt;ref-type name="Web Page"&gt;12&lt;/ref-type&gt;&lt;contributors&gt;&lt;authors&gt;&lt;author&gt;Byrne L&lt;/author&gt;&lt;author&gt;Wang L&lt;/author&gt;&lt;author&gt;Roennfeldt H&lt;/author&gt;&lt;author&gt;Chapman M&lt;/author&gt;&lt;author&gt;Darwin L&lt;/author&gt;&lt;author&gt;Castles C&lt;/author&gt;&lt;author&gt;Craze L&lt;/author&gt;&lt;author&gt;Saunders M&lt;/author&gt;&lt;/authors&gt;&lt;/contributors&gt;&lt;titles&gt;&lt;title&gt;National Lived Experience Workforce Guidelines&lt;/title&gt;&lt;/titles&gt;&lt;dates&gt;&lt;year&gt;2021&lt;/year&gt;&lt;/dates&gt;&lt;publisher&gt;National Mental Health Commission&lt;/publisher&gt;&lt;work-type&gt;Internet&lt;/work-type&gt;&lt;urls&gt;&lt;related-urls&gt;&lt;url&gt;https://www.mentalhealthcommission.gov.au/getmedia/a33cce2a-e7fa-4f90-964d-85dbf1514b6b/NMHC_Lived-Experience-Workforce-Development-Guidelines&lt;/url&gt;&lt;/related-urls&gt;&lt;/urls&gt;&lt;custom1&gt;2023&lt;/custom1&gt;&lt;custom2&gt;November 06&lt;/custom2&gt;&lt;/record&gt;&lt;/Cite&gt;&lt;/EndNote&gt;</w:instrText>
        </w:r>
        <w:r w:rsidR="002D6F18">
          <w:fldChar w:fldCharType="separate"/>
        </w:r>
        <w:r w:rsidR="002D6F18" w:rsidRPr="00C559B5">
          <w:rPr>
            <w:noProof/>
            <w:vertAlign w:val="superscript"/>
          </w:rPr>
          <w:t>344</w:t>
        </w:r>
        <w:r w:rsidR="002D6F18">
          <w:fldChar w:fldCharType="end"/>
        </w:r>
      </w:hyperlink>
      <w:r w:rsidR="00874101">
        <w:t xml:space="preserve"> </w:t>
      </w:r>
    </w:p>
    <w:p w14:paraId="112DF9ED" w14:textId="77777777" w:rsidR="00806F11" w:rsidRPr="00B768A1" w:rsidRDefault="00806F11" w:rsidP="00806F11">
      <w:pPr>
        <w:pStyle w:val="ListBullet"/>
      </w:pPr>
      <w:r w:rsidRPr="5B74CE65">
        <w:rPr>
          <w:rFonts w:eastAsiaTheme="minorEastAsia" w:cs="Century Gothic"/>
          <w:b/>
          <w:bCs/>
        </w:rPr>
        <w:t>Whole-of-governments</w:t>
      </w:r>
      <w:r w:rsidRPr="5B74CE65">
        <w:rPr>
          <w:rFonts w:eastAsiaTheme="minorEastAsia" w:cs="Century Gothic"/>
        </w:rPr>
        <w:t xml:space="preserve"> is used to refer to work occurring between </w:t>
      </w:r>
      <w:r>
        <w:t>all levels of government—the Australian Government, state and territory governments, and local government—and across ministerial portfolios, government departments and agencies at each level.</w:t>
      </w:r>
    </w:p>
    <w:p w14:paraId="2BD9AEE6" w14:textId="77777777" w:rsidR="00806F11" w:rsidRDefault="00806F11" w:rsidP="00806F11">
      <w:pPr>
        <w:pStyle w:val="Heading31"/>
      </w:pPr>
      <w:r>
        <w:t>The importance of language</w:t>
      </w:r>
    </w:p>
    <w:p w14:paraId="59177110" w14:textId="77777777" w:rsidR="00806F11" w:rsidRPr="00B768A1" w:rsidRDefault="00806F11" w:rsidP="00806F11">
      <w:r>
        <w:t>The way we speak about suicide and self-harm has a major influence on how the community understands and responds to people who are experiencing suicidal thoughts and behaviours. It also impacts on the existence and degree of stigma and shame around suicide.</w:t>
      </w:r>
    </w:p>
    <w:p w14:paraId="735965E6" w14:textId="371289D8" w:rsidR="00806F11" w:rsidRPr="00B768A1" w:rsidRDefault="6D0E8333" w:rsidP="00806F11">
      <w:r w:rsidRPr="00B768A1">
        <w:t xml:space="preserve">‘Died by suicide’ is preferred over terms such as ‘completed suicide’ or ‘successful suicide’ that imply a fatal outcome was desirable. Similarly, ‘suicide attempt’ and ‘non-fatal attempt’ are preferred to terms such as ‘failed suicide’. The term ‘committed suicide’ is not used because the word ‘committed’ is often associated with crime or sin, neither of which are helpful associations. </w:t>
      </w:r>
      <w:r>
        <w:t>It is also</w:t>
      </w:r>
      <w:r w:rsidRPr="00B768A1">
        <w:t xml:space="preserve"> important to avoid terms such as ‘suicide epidemic’ or ‘suicide crisis’ as their use risks sensationalising suicide.</w:t>
      </w:r>
      <w:hyperlink w:anchor="_ENREF_1" w:tooltip="Everymind, 2020 #970" w:history="1">
        <w:r w:rsidR="002D6F18">
          <w:fldChar w:fldCharType="begin"/>
        </w:r>
        <w:r w:rsidR="002D6F18">
          <w:instrText xml:space="preserve"> ADDIN EN.CITE &lt;EndNote&gt;&lt;Cite&gt;&lt;Author&gt;Everymind&lt;/Author&gt;&lt;Year&gt;2020&lt;/Year&gt;&lt;RecNum&gt;970&lt;/RecNum&gt;&lt;DisplayText&gt;&lt;style face="superscript"&gt;1&lt;/style&gt;&lt;/DisplayText&gt;&lt;record&gt;&lt;rec-number&gt;970&lt;/rec-number&gt;&lt;foreign-keys&gt;&lt;key app="EN" db-id="rsettzd2isasdweewww55s9lffasxav0d0ft" timestamp="1720064941" guid="6a81ca21-8cdc-4901-adad-2ef6498a8576"&gt;970&lt;/key&gt;&lt;/foreign-keys&gt;&lt;ref-type name="Book"&gt;6&lt;/ref-type&gt;&lt;contributors&gt;&lt;authors&gt;&lt;author&gt;Everymind&lt;/author&gt;&lt;/authors&gt;&lt;/contributors&gt;&lt;titles&gt;&lt;title&gt;Reporting suicide and mental ill health: A Mindframe resource for media professionals&lt;/title&gt;&lt;/titles&gt;&lt;dates&gt;&lt;year&gt;2020&lt;/year&gt;&lt;/dates&gt;&lt;pub-location&gt;Newcastle, Australia &lt;/pub-location&gt;&lt;isbn&gt;978-0-6489212-1-9&lt;/isbn&gt;&lt;urls&gt;&lt;/urls&gt;&lt;/record&gt;&lt;/Cite&gt;&lt;/EndNote&gt;</w:instrText>
        </w:r>
        <w:r w:rsidR="002D6F18">
          <w:fldChar w:fldCharType="separate"/>
        </w:r>
        <w:r w:rsidR="002D6F18" w:rsidRPr="00E25362">
          <w:rPr>
            <w:noProof/>
            <w:vertAlign w:val="superscript"/>
          </w:rPr>
          <w:t>1</w:t>
        </w:r>
        <w:r w:rsidR="002D6F18">
          <w:fldChar w:fldCharType="end"/>
        </w:r>
      </w:hyperlink>
      <w:r w:rsidR="00874101">
        <w:t xml:space="preserve"> </w:t>
      </w:r>
    </w:p>
    <w:p w14:paraId="31269452" w14:textId="715489A5" w:rsidR="007642AD" w:rsidRPr="007642AD" w:rsidRDefault="007642AD" w:rsidP="007642AD">
      <w:pPr>
        <w:pStyle w:val="Heading1"/>
      </w:pPr>
      <w:bookmarkStart w:id="202" w:name="_Toc675037091"/>
      <w:bookmarkStart w:id="203" w:name="_Toc171459044"/>
      <w:r w:rsidRPr="00B768A1">
        <w:t xml:space="preserve">Appendix </w:t>
      </w:r>
      <w:r>
        <w:t>B</w:t>
      </w:r>
      <w:r w:rsidRPr="00B768A1">
        <w:t xml:space="preserve">: </w:t>
      </w:r>
      <w:r>
        <w:t>Development of the Strategy</w:t>
      </w:r>
      <w:bookmarkEnd w:id="202"/>
      <w:bookmarkEnd w:id="203"/>
    </w:p>
    <w:p w14:paraId="709FD6D5" w14:textId="08F5FB16" w:rsidR="000B25AB" w:rsidRDefault="00A25F7F" w:rsidP="000B25AB">
      <w:pPr>
        <w:rPr>
          <w:noProof/>
        </w:rPr>
      </w:pPr>
      <w:r>
        <w:fldChar w:fldCharType="begin"/>
      </w:r>
      <w:r>
        <w:instrText xml:space="preserve"> REF _Ref166597944 \h </w:instrText>
      </w:r>
      <w:r>
        <w:fldChar w:fldCharType="separate"/>
      </w:r>
      <w:r w:rsidR="009F12B4">
        <w:t xml:space="preserve">Figure </w:t>
      </w:r>
      <w:r w:rsidR="009F12B4">
        <w:rPr>
          <w:noProof/>
        </w:rPr>
        <w:t>5</w:t>
      </w:r>
      <w:r>
        <w:fldChar w:fldCharType="end"/>
      </w:r>
      <w:r w:rsidR="004AF239">
        <w:t xml:space="preserve"> </w:t>
      </w:r>
      <w:r w:rsidR="7C5D5681">
        <w:t>summarises the activities and participants involved in the information-gathering, development and consultation stages of the Strategy.</w:t>
      </w:r>
      <w:r w:rsidR="7C5D5681" w:rsidRPr="24AB9016">
        <w:rPr>
          <w:noProof/>
        </w:rPr>
        <w:t xml:space="preserve"> </w:t>
      </w:r>
    </w:p>
    <w:p w14:paraId="3F01A4DC" w14:textId="77777777" w:rsidR="000B25AB" w:rsidRPr="00B768A1" w:rsidRDefault="000B25AB" w:rsidP="000B25AB">
      <w:r>
        <w:rPr>
          <w:noProof/>
        </w:rPr>
        <w:drawing>
          <wp:inline distT="0" distB="0" distL="0" distR="0" wp14:anchorId="0CCB31C6" wp14:editId="6A412343">
            <wp:extent cx="5760085" cy="2827678"/>
            <wp:effectExtent l="0" t="0" r="0" b="0"/>
            <wp:docPr id="7" name="Picture 7" descr="Development of the National Suicide Prevention Strategy involved an information-gathering stage, followed by development and then consultation.&#10;The information-gathering stage involved a review of relevant reports, strategies, frameworks and plans including the Productivity Commission Mental Health Inquiry).&#10;It also involved evidence briefs including 11 papers reviewing the evidence base, a paper describing public health approach to suicide prevention and an environmental scan of current suicide prevention activities in Australia. &#10;A scoping paper was released for public consultation and used to define and get input on the scope and objectives for the Strategy.&#10;The development phase of the Strategy involved NSPO advisory groups: Lived Experience Partnership Group, Advisory Board, Scientific Advisor and Jurisdictional Collaborative Forum.&#10;The development phase also involved Project working groups. Governance and Social ​Determinants: expertise in public health, prevention and ​social policy​. Service System: expertise in service design, delivery ​and evaluation.&#10;The consultation phase involved consultation with people with lived experience of suicide, state and territory governments and the public. 19 workshops were held with over 400 people with lived and living experience of suicide and diverse identity markers. &#10;Detailed discussion were held with government suicide prevention leads for each state and territory government. An invitation for feedback was extended to the public during the public consul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5760085" cy="2827678"/>
                    </a:xfrm>
                    <a:prstGeom prst="rect">
                      <a:avLst/>
                    </a:prstGeom>
                  </pic:spPr>
                </pic:pic>
              </a:graphicData>
            </a:graphic>
          </wp:inline>
        </w:drawing>
      </w:r>
    </w:p>
    <w:p w14:paraId="3D1E72F3" w14:textId="18FE4BD5" w:rsidR="000B25AB" w:rsidRPr="00B768A1" w:rsidRDefault="000B25AB" w:rsidP="000B25AB">
      <w:pPr>
        <w:pStyle w:val="Caption"/>
        <w:spacing w:before="0" w:after="240"/>
      </w:pPr>
      <w:bookmarkStart w:id="204" w:name="_Ref166597944"/>
      <w:r>
        <w:t xml:space="preserve">Figure </w:t>
      </w:r>
      <w:r>
        <w:fldChar w:fldCharType="begin"/>
      </w:r>
      <w:r>
        <w:instrText>SEQ Figure \* ARABIC</w:instrText>
      </w:r>
      <w:r>
        <w:fldChar w:fldCharType="separate"/>
      </w:r>
      <w:r w:rsidR="009F12B4">
        <w:rPr>
          <w:noProof/>
        </w:rPr>
        <w:t>5</w:t>
      </w:r>
      <w:r>
        <w:fldChar w:fldCharType="end"/>
      </w:r>
      <w:bookmarkEnd w:id="204"/>
      <w:r>
        <w:t>: Development of the National Suicide Prevention Strategy</w:t>
      </w:r>
    </w:p>
    <w:p w14:paraId="5F7856CB" w14:textId="3D04DCD7" w:rsidR="006711DD" w:rsidRDefault="2C5A99CD" w:rsidP="000B25AB">
      <w:r w:rsidRPr="00B768A1">
        <w:t xml:space="preserve">This Strategy </w:t>
      </w:r>
      <w:r w:rsidR="41F6B8DB">
        <w:t>draws on 32 existing agreements, plans, strategies, reports, submissions and inquiries, including</w:t>
      </w:r>
      <w:r w:rsidR="41F6B8DB" w:rsidRPr="006711DD">
        <w:t xml:space="preserve"> </w:t>
      </w:r>
      <w:r w:rsidR="41F6B8DB" w:rsidRPr="00B768A1">
        <w:t xml:space="preserve">the </w:t>
      </w:r>
      <w:r w:rsidR="41F6B8DB" w:rsidRPr="00637A0D">
        <w:rPr>
          <w:rStyle w:val="Emphasis"/>
        </w:rPr>
        <w:t>Productivity Commission, Mental Health, Inquiry Report</w:t>
      </w:r>
      <w:hyperlink w:anchor="_ENREF_10" w:tooltip="Commission, 2020 #16" w:history="1">
        <w:r w:rsidR="002D6F18">
          <w:rPr>
            <w:rStyle w:val="Emphasis"/>
          </w:rPr>
          <w:fldChar w:fldCharType="begin"/>
        </w:r>
        <w:r w:rsidR="002D6F18">
          <w:rPr>
            <w:rStyle w:val="Emphasis"/>
          </w:rPr>
          <w:instrText xml:space="preserve"> ADDIN EN.CITE &lt;EndNote&gt;&lt;Cite&gt;&lt;Author&gt;Commission&lt;/Author&gt;&lt;Year&gt;2020&lt;/Year&gt;&lt;RecNum&gt;16&lt;/RecNum&gt;&lt;DisplayText&gt;&lt;style face="superscript"&gt;10&lt;/style&gt;&lt;/DisplayText&gt;&lt;record&gt;&lt;rec-number&gt;16&lt;/rec-number&gt;&lt;foreign-keys&gt;&lt;key app="EN" db-id="rsettzd2isasdweewww55s9lffasxav0d0ft" timestamp="1700699466" guid="211cab95-640a-4261-a3ce-923e676f72bf"&gt;16&lt;/key&gt;&lt;/foreign-keys&gt;&lt;ref-type name="Web Page"&gt;12&lt;/ref-type&gt;&lt;contributors&gt;&lt;authors&gt;&lt;author&gt;Productivity Commission&lt;/author&gt;&lt;/authors&gt;&lt;/contributors&gt;&lt;titles&gt;&lt;title&gt;Mental Health, Report No. 95&lt;/title&gt;&lt;/titles&gt;&lt;dates&gt;&lt;year&gt;2020&lt;/year&gt;&lt;/dates&gt;&lt;pub-location&gt;Canberra&lt;/pub-location&gt;&lt;publisher&gt;PC, Australian Government&lt;/publisher&gt;&lt;isbn&gt;978-1-74037-699-0 &lt;/isbn&gt;&lt;work-type&gt;Internet&lt;/work-type&gt;&lt;urls&gt;&lt;related-urls&gt;&lt;url&gt;https://www.pc.gov.au/inquiries/completed/mental-health/report&lt;/url&gt;&lt;/related-urls&gt;&lt;/urls&gt;&lt;custom1&gt;2023&lt;/custom1&gt;&lt;custom2&gt;October 03&lt;/custom2&gt;&lt;/record&gt;&lt;/Cite&gt;&lt;/EndNote&gt;</w:instrText>
        </w:r>
        <w:r w:rsidR="002D6F18">
          <w:rPr>
            <w:rStyle w:val="Emphasis"/>
          </w:rPr>
          <w:fldChar w:fldCharType="separate"/>
        </w:r>
        <w:r w:rsidR="002D6F18" w:rsidRPr="0082082D">
          <w:rPr>
            <w:rStyle w:val="Emphasis"/>
            <w:noProof/>
            <w:vertAlign w:val="superscript"/>
          </w:rPr>
          <w:t>10</w:t>
        </w:r>
        <w:r w:rsidR="002D6F18">
          <w:rPr>
            <w:rStyle w:val="Emphasis"/>
          </w:rPr>
          <w:fldChar w:fldCharType="end"/>
        </w:r>
      </w:hyperlink>
      <w:r w:rsidR="41F6B8DB" w:rsidRPr="55FFBE13">
        <w:rPr>
          <w:rStyle w:val="Emphasis"/>
          <w:i w:val="0"/>
          <w:iCs w:val="0"/>
        </w:rPr>
        <w:t xml:space="preserve">, </w:t>
      </w:r>
      <w:r w:rsidR="41F6B8DB" w:rsidRPr="55FFBE13">
        <w:rPr>
          <w:i/>
          <w:iCs/>
        </w:rPr>
        <w:t>Royal Commission into Victoria’s Mental Health System, Final Report</w:t>
      </w:r>
      <w:hyperlink w:anchor="_ENREF_231" w:tooltip="Government, 2021 #324" w:history="1">
        <w:r w:rsidR="002D6F18">
          <w:rPr>
            <w:i/>
            <w:iCs/>
          </w:rPr>
          <w:fldChar w:fldCharType="begin"/>
        </w:r>
        <w:r w:rsidR="002D6F18">
          <w:rPr>
            <w:i/>
            <w:iCs/>
          </w:rPr>
          <w:instrText xml:space="preserve"> ADDIN EN.CITE &lt;EndNote&gt;&lt;Cite&gt;&lt;Author&gt;Government&lt;/Author&gt;&lt;Year&gt;2021&lt;/Year&gt;&lt;RecNum&gt;324&lt;/RecNum&gt;&lt;DisplayText&gt;&lt;style face="superscript"&gt;231&lt;/style&gt;&lt;/DisplayText&gt;&lt;record&gt;&lt;rec-number&gt;324&lt;/rec-number&gt;&lt;foreign-keys&gt;&lt;key app="EN" db-id="rsettzd2isasdweewww55s9lffasxav0d0ft" timestamp="1700699471" guid="830e6ea0-2e03-478a-a227-d6d8803168d3"&gt;324&lt;/key&gt;&lt;/foreign-keys&gt;&lt;ref-type name="Web Page"&gt;12&lt;/ref-type&gt;&lt;contributors&gt;&lt;authors&gt;&lt;author&gt;Victoria State Government&lt;/author&gt;&lt;/authors&gt;&lt;/contributors&gt;&lt;titles&gt;&lt;title&gt;Royal Commission into Victoria&amp;apos;s Mental Health System&lt;/title&gt;&lt;/titles&gt;&lt;dates&gt;&lt;year&gt;2021&lt;/year&gt;&lt;/dates&gt;&lt;publisher&gt;Victoria State Government&lt;/publisher&gt;&lt;work-type&gt;Internet&lt;/work-type&gt;&lt;urls&gt;&lt;related-urls&gt;&lt;url&gt;https://finalreport.rcvmhs.vic.gov.au/&lt;/url&gt;&lt;/related-urls&gt;&lt;/urls&gt;&lt;custom1&gt;2023&lt;/custom1&gt;&lt;custom2&gt;October 04&lt;/custom2&gt;&lt;/record&gt;&lt;/Cite&gt;&lt;/EndNote&gt;</w:instrText>
        </w:r>
        <w:r w:rsidR="002D6F18">
          <w:rPr>
            <w:i/>
            <w:iCs/>
          </w:rPr>
          <w:fldChar w:fldCharType="separate"/>
        </w:r>
        <w:r w:rsidR="002D6F18" w:rsidRPr="00C559B5">
          <w:rPr>
            <w:i/>
            <w:iCs/>
            <w:noProof/>
            <w:vertAlign w:val="superscript"/>
          </w:rPr>
          <w:t>231</w:t>
        </w:r>
        <w:r w:rsidR="002D6F18">
          <w:rPr>
            <w:i/>
            <w:iCs/>
          </w:rPr>
          <w:fldChar w:fldCharType="end"/>
        </w:r>
      </w:hyperlink>
      <w:r w:rsidR="00874101">
        <w:rPr>
          <w:i/>
          <w:iCs/>
        </w:rPr>
        <w:t xml:space="preserve"> </w:t>
      </w:r>
      <w:r w:rsidR="41F6B8DB">
        <w:t xml:space="preserve">and </w:t>
      </w:r>
      <w:r w:rsidR="41F6B8DB" w:rsidRPr="00B768A1">
        <w:t xml:space="preserve">the </w:t>
      </w:r>
      <w:r w:rsidR="41F6B8DB" w:rsidRPr="55FFBE13">
        <w:rPr>
          <w:i/>
          <w:iCs/>
        </w:rPr>
        <w:t>National Suicide Prevention</w:t>
      </w:r>
      <w:r w:rsidR="41F6B8DB" w:rsidRPr="00B768A1">
        <w:t xml:space="preserve"> </w:t>
      </w:r>
      <w:r w:rsidR="41F6B8DB" w:rsidRPr="00195A13">
        <w:rPr>
          <w:rStyle w:val="Emphasis"/>
        </w:rPr>
        <w:t>Final Advice</w:t>
      </w:r>
      <w:r w:rsidR="41F6B8DB" w:rsidRPr="00B768A1">
        <w:t xml:space="preserve"> reports.</w:t>
      </w:r>
      <w:hyperlink w:anchor="_ENREF_31" w:tooltip="Adviser, 2020 #325" w:history="1">
        <w:r w:rsidR="002D6F18">
          <w:fldChar w:fldCharType="begin"/>
        </w:r>
        <w:r w:rsidR="002D6F18">
          <w:instrText xml:space="preserve"> ADDIN EN.CITE &lt;EndNote&gt;&lt;Cite&gt;&lt;Author&gt;Adviser&lt;/Author&gt;&lt;Year&gt;2020&lt;/Year&gt;&lt;RecNum&gt;325&lt;/RecNum&gt;&lt;DisplayText&gt;&lt;style face="superscript"&gt;31&lt;/style&gt;&lt;/DisplayText&gt;&lt;record&gt;&lt;rec-number&gt;325&lt;/rec-number&gt;&lt;foreign-keys&gt;&lt;key app="EN" db-id="rsettzd2isasdweewww55s9lffasxav0d0ft" timestamp="1700699471" guid="5eb43326-2484-4419-8064-90ba60b9ac49"&gt;325&lt;/key&gt;&lt;/foreign-keys&gt;&lt;ref-type name="Web Page"&gt;12&lt;/ref-type&gt;&lt;contributors&gt;&lt;authors&gt;&lt;author&gt;National Suicide Prevention Adviser&lt;/author&gt;&lt;/authors&gt;&lt;/contributors&gt;&lt;titles&gt;&lt;title&gt;National Suicide Prevention Adviser Final Advice&lt;/title&gt;&lt;/titles&gt;&lt;dates&gt;&lt;year&gt;2020&lt;/year&gt;&lt;/dates&gt;&lt;pub-location&gt;Canberra&lt;/pub-location&gt;&lt;publisher&gt;National Mental Health Commission&lt;/publisher&gt;&lt;urls&gt;&lt;related-urls&gt;&lt;url&gt;https://www.mentalhealthcommission.gov.au/national-suicide-prevention-office/national-suicide-prevention-adviser-final-advice&lt;/url&gt;&lt;/related-urls&gt;&lt;/urls&gt;&lt;custom1&gt;2023&lt;/custom1&gt;&lt;custom2&gt;October 04&lt;/custom2&gt;&lt;/record&gt;&lt;/Cite&gt;&lt;/EndNote&gt;</w:instrText>
        </w:r>
        <w:r w:rsidR="002D6F18">
          <w:fldChar w:fldCharType="separate"/>
        </w:r>
        <w:r w:rsidR="002D6F18" w:rsidRPr="0082082D">
          <w:rPr>
            <w:noProof/>
            <w:vertAlign w:val="superscript"/>
          </w:rPr>
          <w:t>31</w:t>
        </w:r>
        <w:r w:rsidR="002D6F18">
          <w:fldChar w:fldCharType="end"/>
        </w:r>
      </w:hyperlink>
      <w:r w:rsidR="00874101">
        <w:t xml:space="preserve"> </w:t>
      </w:r>
      <w:r w:rsidR="41F6B8DB">
        <w:t>In addition, the University of Melbourne was commissioned to produce a series of academic papers, literature reviews and evidence briefs to ensure that the actions are grounded in the latest available evidence</w:t>
      </w:r>
    </w:p>
    <w:p w14:paraId="370C8379" w14:textId="5563F852" w:rsidR="000B25AB" w:rsidRDefault="000B25AB" w:rsidP="000B25AB">
      <w:r>
        <w:t xml:space="preserve">Two working groups composed of people with lived and living experience of suicide, leading academics, and service providers contributed further input and advice, and a Jurisdiction Collaborative Forum was convened to ensure alignment with suicide prevention activity nationally. The work was overseen by the NSPO Lived Experience Partnership Group, composed of a diverse range of people with lived and living experience of suicide, and the NSPO Advisory Board, composed of representatives of peak bodies and service providers as well as national and international experts in suicide, economic and social policy. The membership of these groups is detailed in </w:t>
      </w:r>
      <w:r w:rsidR="00120111">
        <w:rPr>
          <w:b/>
          <w:bCs/>
        </w:rPr>
        <w:t>Tables 46-48.</w:t>
      </w:r>
    </w:p>
    <w:p w14:paraId="761C95DD" w14:textId="4EDDC483" w:rsidR="000B25AB" w:rsidRDefault="006B7733" w:rsidP="000B25AB">
      <w:r>
        <w:t>T</w:t>
      </w:r>
      <w:r w:rsidR="000B25AB">
        <w:t xml:space="preserve">he development of the Strategy has been informed and guided by the insights of people with lived and living experience of suicide and the people who support them. </w:t>
      </w:r>
      <w:r w:rsidR="00013355">
        <w:t>E</w:t>
      </w:r>
      <w:r w:rsidR="000B25AB">
        <w:t xml:space="preserve">xtensive consultation was undertaken, including through a workshop at the Roses in the Ocean Lived Experience Summit and 19 consultations with more than 400 people with lived and living experience of suicide from communities disproportionately impacted by suicide. </w:t>
      </w:r>
    </w:p>
    <w:p w14:paraId="41AE487B" w14:textId="33515EE3" w:rsidR="000B25AB" w:rsidRPr="00B768A1" w:rsidRDefault="2C5A99CD" w:rsidP="000B25AB">
      <w:r>
        <w:t xml:space="preserve">The </w:t>
      </w:r>
      <w:r w:rsidR="4CFBB0D2">
        <w:t xml:space="preserve">ensure alignment with </w:t>
      </w:r>
      <w:r w:rsidR="63481766">
        <w:t xml:space="preserve">directions provided by </w:t>
      </w:r>
      <w:r w:rsidR="7BC32B9D">
        <w:t xml:space="preserve">Aboriginal and Torres Straits Islander suicide prevention </w:t>
      </w:r>
      <w:r w:rsidR="63481766">
        <w:t>leadership,</w:t>
      </w:r>
      <w:r w:rsidR="1B70B3B8">
        <w:t xml:space="preserve"> the NSPO worked closely with </w:t>
      </w:r>
      <w:r w:rsidR="1B70B3B8" w:rsidRPr="55FFBE13">
        <w:rPr>
          <w:i/>
          <w:iCs/>
        </w:rPr>
        <w:t>Gayaa Dhuwi (Proud Spirit) Australia</w:t>
      </w:r>
      <w:r w:rsidR="1B70B3B8">
        <w:t xml:space="preserve">. </w:t>
      </w:r>
      <w:r w:rsidR="15235D47">
        <w:t>T</w:t>
      </w:r>
      <w:r w:rsidR="63481766">
        <w:t xml:space="preserve">he </w:t>
      </w:r>
      <w:r>
        <w:t>Strategy draws on</w:t>
      </w:r>
      <w:r w:rsidRPr="00B768A1">
        <w:t xml:space="preserve"> the final report of the Aboriginal and Torres Strait Islander Suicide Prevention Evaluation Project,</w:t>
      </w:r>
      <w:hyperlink w:anchor="_ENREF_32" w:tooltip="P, 2016 #9" w:history="1">
        <w:r w:rsidR="002D6F18">
          <w:fldChar w:fldCharType="begin"/>
        </w:r>
        <w:r w:rsidR="002D6F18">
          <w:instrText xml:space="preserve"> ADDIN EN.CITE &lt;EndNote&gt;&lt;Cite&gt;&lt;Author&gt;P&lt;/Author&gt;&lt;Year&gt;2016&lt;/Year&gt;&lt;RecNum&gt;9&lt;/RecNum&gt;&lt;DisplayText&gt;&lt;style face="superscript"&gt;32&lt;/style&gt;&lt;/DisplayText&gt;&lt;record&gt;&lt;rec-number&gt;9&lt;/rec-number&gt;&lt;foreign-keys&gt;&lt;key app="EN" db-id="rsettzd2isasdweewww55s9lffasxav0d0ft" timestamp="1700699466" guid="74215f68-7556-4577-a95b-2bdffdb048a3"&gt;9&lt;/key&gt;&lt;/foreign-keys&gt;&lt;ref-type name="Web Page"&gt;12&lt;/ref-type&gt;&lt;contributors&gt;&lt;authors&gt;&lt;author&gt;Dudgeon P&lt;/author&gt;&lt;author&gt;Milroy J&lt;/author&gt;&lt;author&gt;Calma T&lt;/author&gt;&lt;author&gt;Luxford Y&lt;/author&gt;&lt;author&gt;Ring I&lt;/author&gt;&lt;author&gt;Walker R&lt;/author&gt;&lt;author&gt;Cox A&lt;/author&gt;&lt;author&gt;Georgatos G&lt;/author&gt;&lt;author&gt;Holland C&lt;/author&gt;&lt;/authors&gt;&lt;/contributors&gt;&lt;titles&gt;&lt;title&gt;Solutions that Work: What the evidence and our people tell us. Aboriginal and Torres Strait Islander Suicide Prevention Evaluation Project Report&lt;/title&gt;&lt;/titles&gt;&lt;dates&gt;&lt;year&gt;2016&lt;/year&gt;&lt;/dates&gt;&lt;pub-location&gt;Crawley&lt;/pub-location&gt;&lt;publisher&gt;University of Western Australia&lt;/publisher&gt;&lt;urls&gt;&lt;related-urls&gt;&lt;url&gt;https://www.atsispep.sis.uwa.edu.au/__data/assets/pdf_file/0006/2947299/ATSISPEP-Report-Final-Web.pdf&lt;/url&gt;&lt;/related-urls&gt;&lt;/urls&gt;&lt;custom1&gt;2023&lt;/custom1&gt;&lt;custom2&gt;October 04&lt;/custom2&gt;&lt;/record&gt;&lt;/Cite&gt;&lt;/EndNote&gt;</w:instrText>
        </w:r>
        <w:r w:rsidR="002D6F18">
          <w:fldChar w:fldCharType="separate"/>
        </w:r>
        <w:r w:rsidR="002D6F18" w:rsidRPr="0082082D">
          <w:rPr>
            <w:noProof/>
            <w:vertAlign w:val="superscript"/>
          </w:rPr>
          <w:t>32</w:t>
        </w:r>
        <w:r w:rsidR="002D6F18">
          <w:fldChar w:fldCharType="end"/>
        </w:r>
      </w:hyperlink>
      <w:r w:rsidR="00874101">
        <w:t xml:space="preserve"> </w:t>
      </w:r>
      <w:r w:rsidR="4CFBB0D2">
        <w:t xml:space="preserve">and </w:t>
      </w:r>
      <w:r w:rsidRPr="00B768A1">
        <w:t xml:space="preserve">aligns with the </w:t>
      </w:r>
      <w:r w:rsidRPr="55FFBE13">
        <w:rPr>
          <w:i/>
          <w:iCs/>
        </w:rPr>
        <w:t>National Agreement on</w:t>
      </w:r>
      <w:r w:rsidRPr="00B768A1">
        <w:t xml:space="preserve"> </w:t>
      </w:r>
      <w:r w:rsidRPr="55FFBE13">
        <w:rPr>
          <w:i/>
          <w:iCs/>
        </w:rPr>
        <w:t>Closing the Gap</w:t>
      </w:r>
      <w:r w:rsidRPr="00F857EA">
        <w:t>,</w:t>
      </w:r>
      <w:hyperlink w:anchor="_ENREF_33" w:tooltip="Cabinet, 2020 #787" w:history="1">
        <w:r w:rsidR="002D6F18">
          <w:fldChar w:fldCharType="begin"/>
        </w:r>
        <w:r w:rsidR="002D6F18">
          <w:instrText xml:space="preserve"> ADDIN EN.CITE &lt;EndNote&gt;&lt;Cite&gt;&lt;Author&gt;Cabinet&lt;/Author&gt;&lt;Year&gt;2020&lt;/Year&gt;&lt;RecNum&gt;326&lt;/RecNum&gt;&lt;DisplayText&gt;&lt;style face="superscript"&gt;33&lt;/style&gt;&lt;/DisplayText&gt;&lt;record&gt;&lt;rec-number&gt;326&lt;/rec-number&gt;&lt;foreign-keys&gt;&lt;key app="EN" db-id="rsettzd2isasdweewww55s9lffasxav0d0ft" timestamp="1700699471" guid="a4238ffb-d198-47d8-82bc-b107f32af72a"&gt;326&lt;/key&gt;&lt;/foreign-keys&gt;&lt;ref-type name="Web Page"&gt;12&lt;/ref-type&gt;&lt;contributors&gt;&lt;authors&gt;&lt;author&gt;Department of the Prime Minister and Cabinet&lt;/author&gt;&lt;/authors&gt;&lt;/contributors&gt;&lt;titles&gt;&lt;title&gt;National Agreement on Closing the Gap&lt;/title&gt;&lt;/titles&gt;&lt;dates&gt;&lt;year&gt;2020&lt;/year&gt;&lt;/dates&gt;&lt;pub-location&gt;Canberra, Australian Capital Territory&lt;/pub-location&gt;&lt;publisher&gt;PM&amp;amp;C&lt;/publisher&gt;&lt;work-type&gt;Internet&lt;/work-type&gt;&lt;urls&gt;&lt;related-urls&gt;&lt;url&gt;https://www.closingthegap.gov.au/national-agreement&lt;/url&gt;&lt;/related-urls&gt;&lt;/urls&gt;&lt;custom1&gt;2023&lt;/custom1&gt;&lt;custom2&gt;October 04&lt;/custom2&gt;&lt;/record&gt;&lt;/Cite&gt;&lt;/EndNote&gt;</w:instrText>
        </w:r>
        <w:r w:rsidR="002D6F18">
          <w:fldChar w:fldCharType="separate"/>
        </w:r>
        <w:r w:rsidR="002D6F18" w:rsidRPr="0082082D">
          <w:rPr>
            <w:noProof/>
            <w:vertAlign w:val="superscript"/>
          </w:rPr>
          <w:t>33</w:t>
        </w:r>
        <w:r w:rsidR="002D6F18">
          <w:fldChar w:fldCharType="end"/>
        </w:r>
      </w:hyperlink>
      <w:r w:rsidR="00691BB7">
        <w:t xml:space="preserve"> </w:t>
      </w:r>
      <w:r w:rsidRPr="00B768A1">
        <w:t>which acknowledges the ongoing strength and resilience of Aboriginal and Torres Strait Islander peoples.</w:t>
      </w:r>
      <w:r w:rsidR="1B70B3B8">
        <w:t xml:space="preserve"> </w:t>
      </w:r>
    </w:p>
    <w:p w14:paraId="57FCD8F9" w14:textId="1CA841FC" w:rsidR="001F2B7D" w:rsidRPr="00B768A1" w:rsidRDefault="001F2B7D" w:rsidP="00745B34">
      <w:pPr>
        <w:pStyle w:val="Caption"/>
      </w:pPr>
      <w:r>
        <w:t xml:space="preserve">Table </w:t>
      </w:r>
      <w:r>
        <w:fldChar w:fldCharType="begin"/>
      </w:r>
      <w:r>
        <w:instrText>SEQ Table \* ARABIC</w:instrText>
      </w:r>
      <w:r>
        <w:fldChar w:fldCharType="separate"/>
      </w:r>
      <w:r w:rsidR="009F12B4">
        <w:rPr>
          <w:noProof/>
        </w:rPr>
        <w:t>45</w:t>
      </w:r>
      <w:r>
        <w:fldChar w:fldCharType="end"/>
      </w:r>
      <w:r>
        <w:t>:</w:t>
      </w:r>
      <w:r w:rsidRPr="00B768A1">
        <w:t xml:space="preserve"> Membership of the Lived Experience Partnership Group</w:t>
      </w:r>
    </w:p>
    <w:tbl>
      <w:tblPr>
        <w:tblStyle w:val="TableGrid"/>
        <w:tblW w:w="9209" w:type="dxa"/>
        <w:tblLayout w:type="fixed"/>
        <w:tblLook w:val="04A0" w:firstRow="1" w:lastRow="0" w:firstColumn="1" w:lastColumn="0" w:noHBand="0" w:noVBand="1"/>
      </w:tblPr>
      <w:tblGrid>
        <w:gridCol w:w="3256"/>
        <w:gridCol w:w="5953"/>
      </w:tblGrid>
      <w:tr w:rsidR="006851B3" w:rsidRPr="007839BC" w14:paraId="415BC851" w14:textId="77777777" w:rsidTr="008E7FD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1C698" w:themeFill="background2" w:themeFillShade="BF"/>
          </w:tcPr>
          <w:p w14:paraId="59F7AD68" w14:textId="77777777" w:rsidR="006851B3" w:rsidRPr="007839BC" w:rsidRDefault="006851B3" w:rsidP="007839BC">
            <w:pPr>
              <w:pStyle w:val="NMHCTableHeaderRow"/>
              <w:rPr>
                <w:b/>
                <w:bCs/>
                <w:sz w:val="20"/>
                <w:szCs w:val="20"/>
              </w:rPr>
            </w:pPr>
            <w:r w:rsidRPr="007839BC">
              <w:rPr>
                <w:b/>
                <w:bCs/>
                <w:sz w:val="20"/>
                <w:szCs w:val="20"/>
              </w:rPr>
              <w:t>Name</w:t>
            </w:r>
          </w:p>
        </w:tc>
        <w:tc>
          <w:tcPr>
            <w:tcW w:w="5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1C698" w:themeFill="background2" w:themeFillShade="BF"/>
          </w:tcPr>
          <w:p w14:paraId="0DC45E21" w14:textId="77777777" w:rsidR="006851B3" w:rsidRPr="007839BC" w:rsidRDefault="006851B3" w:rsidP="007839BC">
            <w:pPr>
              <w:pStyle w:val="NMHCTableHeaderRow"/>
              <w:cnfStyle w:val="100000000000" w:firstRow="1" w:lastRow="0" w:firstColumn="0" w:lastColumn="0" w:oddVBand="0" w:evenVBand="0" w:oddHBand="0" w:evenHBand="0" w:firstRowFirstColumn="0" w:firstRowLastColumn="0" w:lastRowFirstColumn="0" w:lastRowLastColumn="0"/>
              <w:rPr>
                <w:sz w:val="20"/>
                <w:szCs w:val="20"/>
              </w:rPr>
            </w:pPr>
            <w:r w:rsidRPr="007839BC">
              <w:rPr>
                <w:sz w:val="20"/>
                <w:szCs w:val="20"/>
              </w:rPr>
              <w:t>State or Territory of residence</w:t>
            </w:r>
          </w:p>
        </w:tc>
      </w:tr>
      <w:tr w:rsidR="006851B3" w:rsidRPr="007839BC" w14:paraId="107D047D" w14:textId="77777777" w:rsidTr="008E7FDC">
        <w:trPr>
          <w:trHeight w:val="300"/>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FFFFFF" w:themeColor="background1"/>
            </w:tcBorders>
          </w:tcPr>
          <w:p w14:paraId="7920AB55" w14:textId="77777777" w:rsidR="006851B3" w:rsidRPr="008E7FDC" w:rsidRDefault="006851B3" w:rsidP="007839BC">
            <w:pPr>
              <w:spacing w:after="60"/>
              <w:rPr>
                <w:b w:val="0"/>
                <w:bCs/>
                <w:sz w:val="20"/>
                <w:szCs w:val="20"/>
              </w:rPr>
            </w:pPr>
            <w:r w:rsidRPr="008E7FDC">
              <w:rPr>
                <w:b w:val="0"/>
                <w:bCs/>
                <w:sz w:val="20"/>
                <w:szCs w:val="20"/>
              </w:rPr>
              <w:t>Ben Farinazzo</w:t>
            </w:r>
          </w:p>
        </w:tc>
        <w:tc>
          <w:tcPr>
            <w:tcW w:w="5953" w:type="dxa"/>
            <w:tcBorders>
              <w:top w:val="single" w:sz="4" w:space="0" w:color="FFFFFF" w:themeColor="background1"/>
            </w:tcBorders>
          </w:tcPr>
          <w:p w14:paraId="7559C8E6" w14:textId="77777777" w:rsidR="006851B3" w:rsidRPr="007839BC" w:rsidRDefault="006851B3" w:rsidP="007839BC">
            <w:pPr>
              <w:spacing w:after="60"/>
              <w:cnfStyle w:val="000000000000" w:firstRow="0" w:lastRow="0" w:firstColumn="0" w:lastColumn="0" w:oddVBand="0" w:evenVBand="0" w:oddHBand="0" w:evenHBand="0" w:firstRowFirstColumn="0" w:firstRowLastColumn="0" w:lastRowFirstColumn="0" w:lastRowLastColumn="0"/>
              <w:rPr>
                <w:sz w:val="20"/>
                <w:szCs w:val="20"/>
              </w:rPr>
            </w:pPr>
            <w:r w:rsidRPr="007839BC">
              <w:rPr>
                <w:sz w:val="20"/>
                <w:szCs w:val="20"/>
              </w:rPr>
              <w:t>Australian Capital Territory</w:t>
            </w:r>
          </w:p>
        </w:tc>
      </w:tr>
      <w:tr w:rsidR="006851B3" w:rsidRPr="007839BC" w14:paraId="6C18CA78" w14:textId="77777777" w:rsidTr="008E7FDC">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2721D64D" w14:textId="77777777" w:rsidR="006851B3" w:rsidRPr="008E7FDC" w:rsidRDefault="006851B3" w:rsidP="007839BC">
            <w:pPr>
              <w:spacing w:after="60"/>
              <w:rPr>
                <w:b w:val="0"/>
                <w:bCs/>
                <w:sz w:val="20"/>
                <w:szCs w:val="20"/>
              </w:rPr>
            </w:pPr>
            <w:r w:rsidRPr="008E7FDC">
              <w:rPr>
                <w:b w:val="0"/>
                <w:bCs/>
                <w:sz w:val="20"/>
                <w:szCs w:val="20"/>
              </w:rPr>
              <w:t>Amy Bertakis</w:t>
            </w:r>
          </w:p>
        </w:tc>
        <w:tc>
          <w:tcPr>
            <w:tcW w:w="5953" w:type="dxa"/>
          </w:tcPr>
          <w:p w14:paraId="582705DD" w14:textId="77777777" w:rsidR="006851B3" w:rsidRPr="007839BC" w:rsidRDefault="006851B3" w:rsidP="007839BC">
            <w:pPr>
              <w:spacing w:after="60"/>
              <w:cnfStyle w:val="000000000000" w:firstRow="0" w:lastRow="0" w:firstColumn="0" w:lastColumn="0" w:oddVBand="0" w:evenVBand="0" w:oddHBand="0" w:evenHBand="0" w:firstRowFirstColumn="0" w:firstRowLastColumn="0" w:lastRowFirstColumn="0" w:lastRowLastColumn="0"/>
              <w:rPr>
                <w:sz w:val="20"/>
                <w:szCs w:val="20"/>
              </w:rPr>
            </w:pPr>
            <w:r w:rsidRPr="007839BC">
              <w:rPr>
                <w:sz w:val="20"/>
                <w:szCs w:val="20"/>
              </w:rPr>
              <w:t>New South Wales</w:t>
            </w:r>
          </w:p>
        </w:tc>
      </w:tr>
      <w:tr w:rsidR="006851B3" w:rsidRPr="007839BC" w14:paraId="5087CCE0" w14:textId="77777777" w:rsidTr="008E7FDC">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0E1C5FF9" w14:textId="77777777" w:rsidR="006851B3" w:rsidRPr="008E7FDC" w:rsidRDefault="006851B3" w:rsidP="007839BC">
            <w:pPr>
              <w:spacing w:after="60"/>
              <w:rPr>
                <w:b w:val="0"/>
                <w:bCs/>
                <w:sz w:val="20"/>
                <w:szCs w:val="20"/>
              </w:rPr>
            </w:pPr>
            <w:r w:rsidRPr="008E7FDC">
              <w:rPr>
                <w:b w:val="0"/>
                <w:bCs/>
                <w:sz w:val="20"/>
                <w:szCs w:val="20"/>
              </w:rPr>
              <w:t>Benjamin Brien</w:t>
            </w:r>
          </w:p>
        </w:tc>
        <w:tc>
          <w:tcPr>
            <w:tcW w:w="5953" w:type="dxa"/>
          </w:tcPr>
          <w:p w14:paraId="719A8907" w14:textId="77777777" w:rsidR="006851B3" w:rsidRPr="007839BC" w:rsidRDefault="006851B3" w:rsidP="007839BC">
            <w:pPr>
              <w:spacing w:after="60"/>
              <w:cnfStyle w:val="000000000000" w:firstRow="0" w:lastRow="0" w:firstColumn="0" w:lastColumn="0" w:oddVBand="0" w:evenVBand="0" w:oddHBand="0" w:evenHBand="0" w:firstRowFirstColumn="0" w:firstRowLastColumn="0" w:lastRowFirstColumn="0" w:lastRowLastColumn="0"/>
              <w:rPr>
                <w:sz w:val="20"/>
                <w:szCs w:val="20"/>
              </w:rPr>
            </w:pPr>
            <w:r w:rsidRPr="007839BC">
              <w:rPr>
                <w:sz w:val="20"/>
                <w:szCs w:val="20"/>
              </w:rPr>
              <w:t>New South Wales</w:t>
            </w:r>
          </w:p>
        </w:tc>
      </w:tr>
      <w:tr w:rsidR="006851B3" w:rsidRPr="007839BC" w14:paraId="5F4B02EE" w14:textId="77777777" w:rsidTr="008E7FDC">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04CB869E" w14:textId="77777777" w:rsidR="006851B3" w:rsidRPr="008E7FDC" w:rsidRDefault="006851B3" w:rsidP="007839BC">
            <w:pPr>
              <w:spacing w:after="60"/>
              <w:rPr>
                <w:b w:val="0"/>
                <w:bCs/>
                <w:sz w:val="20"/>
                <w:szCs w:val="20"/>
              </w:rPr>
            </w:pPr>
            <w:r w:rsidRPr="008E7FDC">
              <w:rPr>
                <w:b w:val="0"/>
                <w:bCs/>
                <w:sz w:val="20"/>
                <w:szCs w:val="20"/>
              </w:rPr>
              <w:t>Jo Riley</w:t>
            </w:r>
          </w:p>
        </w:tc>
        <w:tc>
          <w:tcPr>
            <w:tcW w:w="5953" w:type="dxa"/>
          </w:tcPr>
          <w:p w14:paraId="0EF81BB1" w14:textId="77777777" w:rsidR="006851B3" w:rsidRPr="007839BC" w:rsidRDefault="006851B3" w:rsidP="007839BC">
            <w:pPr>
              <w:spacing w:after="60"/>
              <w:cnfStyle w:val="000000000000" w:firstRow="0" w:lastRow="0" w:firstColumn="0" w:lastColumn="0" w:oddVBand="0" w:evenVBand="0" w:oddHBand="0" w:evenHBand="0" w:firstRowFirstColumn="0" w:firstRowLastColumn="0" w:lastRowFirstColumn="0" w:lastRowLastColumn="0"/>
              <w:rPr>
                <w:sz w:val="20"/>
                <w:szCs w:val="20"/>
              </w:rPr>
            </w:pPr>
            <w:r w:rsidRPr="007839BC">
              <w:rPr>
                <w:sz w:val="20"/>
                <w:szCs w:val="20"/>
              </w:rPr>
              <w:t>New South Wales</w:t>
            </w:r>
          </w:p>
        </w:tc>
      </w:tr>
      <w:tr w:rsidR="006851B3" w:rsidRPr="007839BC" w14:paraId="60446FAB" w14:textId="77777777" w:rsidTr="008E7FDC">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5BBC560D" w14:textId="77777777" w:rsidR="006851B3" w:rsidRPr="008E7FDC" w:rsidRDefault="006851B3" w:rsidP="007839BC">
            <w:pPr>
              <w:spacing w:after="60"/>
              <w:rPr>
                <w:b w:val="0"/>
                <w:bCs/>
                <w:sz w:val="20"/>
                <w:szCs w:val="20"/>
              </w:rPr>
            </w:pPr>
            <w:r w:rsidRPr="008E7FDC">
              <w:rPr>
                <w:b w:val="0"/>
                <w:bCs/>
                <w:sz w:val="20"/>
                <w:szCs w:val="20"/>
              </w:rPr>
              <w:t>Ken Barnard</w:t>
            </w:r>
          </w:p>
        </w:tc>
        <w:tc>
          <w:tcPr>
            <w:tcW w:w="5953" w:type="dxa"/>
          </w:tcPr>
          <w:p w14:paraId="633E18A5" w14:textId="77777777" w:rsidR="006851B3" w:rsidRPr="007839BC" w:rsidRDefault="006851B3" w:rsidP="007839BC">
            <w:pPr>
              <w:spacing w:after="60"/>
              <w:cnfStyle w:val="000000000000" w:firstRow="0" w:lastRow="0" w:firstColumn="0" w:lastColumn="0" w:oddVBand="0" w:evenVBand="0" w:oddHBand="0" w:evenHBand="0" w:firstRowFirstColumn="0" w:firstRowLastColumn="0" w:lastRowFirstColumn="0" w:lastRowLastColumn="0"/>
              <w:rPr>
                <w:sz w:val="20"/>
                <w:szCs w:val="20"/>
              </w:rPr>
            </w:pPr>
            <w:r w:rsidRPr="007839BC">
              <w:rPr>
                <w:sz w:val="20"/>
                <w:szCs w:val="20"/>
              </w:rPr>
              <w:t>New South Wales</w:t>
            </w:r>
          </w:p>
        </w:tc>
      </w:tr>
      <w:tr w:rsidR="006851B3" w:rsidRPr="007839BC" w14:paraId="145907A2" w14:textId="77777777" w:rsidTr="008E7FDC">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3C7CEB62" w14:textId="77777777" w:rsidR="006851B3" w:rsidRPr="008E7FDC" w:rsidRDefault="006851B3" w:rsidP="007839BC">
            <w:pPr>
              <w:spacing w:after="60"/>
              <w:rPr>
                <w:b w:val="0"/>
                <w:bCs/>
                <w:sz w:val="20"/>
                <w:szCs w:val="20"/>
              </w:rPr>
            </w:pPr>
            <w:r w:rsidRPr="008E7FDC">
              <w:rPr>
                <w:b w:val="0"/>
                <w:bCs/>
                <w:sz w:val="20"/>
                <w:szCs w:val="20"/>
              </w:rPr>
              <w:t>Charles Nasir</w:t>
            </w:r>
          </w:p>
        </w:tc>
        <w:tc>
          <w:tcPr>
            <w:tcW w:w="5953" w:type="dxa"/>
          </w:tcPr>
          <w:p w14:paraId="1F5ED689" w14:textId="77777777" w:rsidR="006851B3" w:rsidRPr="007839BC" w:rsidRDefault="006851B3" w:rsidP="007839BC">
            <w:pPr>
              <w:spacing w:after="60"/>
              <w:cnfStyle w:val="000000000000" w:firstRow="0" w:lastRow="0" w:firstColumn="0" w:lastColumn="0" w:oddVBand="0" w:evenVBand="0" w:oddHBand="0" w:evenHBand="0" w:firstRowFirstColumn="0" w:firstRowLastColumn="0" w:lastRowFirstColumn="0" w:lastRowLastColumn="0"/>
              <w:rPr>
                <w:sz w:val="20"/>
                <w:szCs w:val="20"/>
              </w:rPr>
            </w:pPr>
            <w:r w:rsidRPr="007839BC">
              <w:rPr>
                <w:sz w:val="20"/>
                <w:szCs w:val="20"/>
              </w:rPr>
              <w:t>Northern Territory</w:t>
            </w:r>
          </w:p>
        </w:tc>
      </w:tr>
      <w:tr w:rsidR="006851B3" w:rsidRPr="007839BC" w14:paraId="1ACC78C4" w14:textId="77777777" w:rsidTr="008E7FDC">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36869EBB" w14:textId="77777777" w:rsidR="006851B3" w:rsidRPr="008E7FDC" w:rsidRDefault="006851B3" w:rsidP="007839BC">
            <w:pPr>
              <w:spacing w:after="60"/>
              <w:rPr>
                <w:b w:val="0"/>
                <w:bCs/>
                <w:sz w:val="20"/>
                <w:szCs w:val="20"/>
              </w:rPr>
            </w:pPr>
            <w:r w:rsidRPr="008E7FDC">
              <w:rPr>
                <w:b w:val="0"/>
                <w:bCs/>
                <w:sz w:val="20"/>
                <w:szCs w:val="20"/>
              </w:rPr>
              <w:t>Chris Trupp</w:t>
            </w:r>
          </w:p>
        </w:tc>
        <w:tc>
          <w:tcPr>
            <w:tcW w:w="5953" w:type="dxa"/>
          </w:tcPr>
          <w:p w14:paraId="65842D58" w14:textId="77777777" w:rsidR="006851B3" w:rsidRPr="007839BC" w:rsidRDefault="006851B3" w:rsidP="007839BC">
            <w:pPr>
              <w:spacing w:after="60"/>
              <w:cnfStyle w:val="000000000000" w:firstRow="0" w:lastRow="0" w:firstColumn="0" w:lastColumn="0" w:oddVBand="0" w:evenVBand="0" w:oddHBand="0" w:evenHBand="0" w:firstRowFirstColumn="0" w:firstRowLastColumn="0" w:lastRowFirstColumn="0" w:lastRowLastColumn="0"/>
              <w:rPr>
                <w:sz w:val="20"/>
                <w:szCs w:val="20"/>
              </w:rPr>
            </w:pPr>
            <w:r w:rsidRPr="007839BC">
              <w:rPr>
                <w:sz w:val="20"/>
                <w:szCs w:val="20"/>
              </w:rPr>
              <w:t>Queensland</w:t>
            </w:r>
          </w:p>
        </w:tc>
      </w:tr>
      <w:tr w:rsidR="006851B3" w:rsidRPr="007839BC" w14:paraId="7451AD0D" w14:textId="77777777" w:rsidTr="008E7FDC">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3141AAFB" w14:textId="77777777" w:rsidR="006851B3" w:rsidRPr="008E7FDC" w:rsidRDefault="006851B3" w:rsidP="007839BC">
            <w:pPr>
              <w:spacing w:after="60"/>
              <w:rPr>
                <w:b w:val="0"/>
                <w:bCs/>
                <w:sz w:val="20"/>
                <w:szCs w:val="20"/>
              </w:rPr>
            </w:pPr>
            <w:r w:rsidRPr="008E7FDC">
              <w:rPr>
                <w:b w:val="0"/>
                <w:bCs/>
                <w:sz w:val="20"/>
                <w:szCs w:val="20"/>
              </w:rPr>
              <w:t>Jordan Frith</w:t>
            </w:r>
          </w:p>
        </w:tc>
        <w:tc>
          <w:tcPr>
            <w:tcW w:w="5953" w:type="dxa"/>
          </w:tcPr>
          <w:p w14:paraId="3F49265E" w14:textId="77777777" w:rsidR="006851B3" w:rsidRPr="007839BC" w:rsidRDefault="006851B3" w:rsidP="007839BC">
            <w:pPr>
              <w:spacing w:after="60"/>
              <w:cnfStyle w:val="000000000000" w:firstRow="0" w:lastRow="0" w:firstColumn="0" w:lastColumn="0" w:oddVBand="0" w:evenVBand="0" w:oddHBand="0" w:evenHBand="0" w:firstRowFirstColumn="0" w:firstRowLastColumn="0" w:lastRowFirstColumn="0" w:lastRowLastColumn="0"/>
              <w:rPr>
                <w:sz w:val="20"/>
                <w:szCs w:val="20"/>
              </w:rPr>
            </w:pPr>
            <w:r w:rsidRPr="007839BC">
              <w:rPr>
                <w:sz w:val="20"/>
                <w:szCs w:val="20"/>
              </w:rPr>
              <w:t>Queensland</w:t>
            </w:r>
          </w:p>
        </w:tc>
      </w:tr>
      <w:tr w:rsidR="006851B3" w:rsidRPr="007839BC" w14:paraId="025BCBCC" w14:textId="77777777" w:rsidTr="008E7FDC">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7C68C1CE" w14:textId="77777777" w:rsidR="006851B3" w:rsidRPr="008E7FDC" w:rsidRDefault="006851B3" w:rsidP="007839BC">
            <w:pPr>
              <w:spacing w:after="60"/>
              <w:rPr>
                <w:b w:val="0"/>
                <w:bCs/>
                <w:sz w:val="20"/>
                <w:szCs w:val="20"/>
              </w:rPr>
            </w:pPr>
            <w:r w:rsidRPr="008E7FDC">
              <w:rPr>
                <w:b w:val="0"/>
                <w:bCs/>
                <w:sz w:val="20"/>
                <w:szCs w:val="20"/>
              </w:rPr>
              <w:t>Luke Woods</w:t>
            </w:r>
          </w:p>
        </w:tc>
        <w:tc>
          <w:tcPr>
            <w:tcW w:w="5953" w:type="dxa"/>
          </w:tcPr>
          <w:p w14:paraId="59E0063A" w14:textId="77777777" w:rsidR="006851B3" w:rsidRPr="007839BC" w:rsidRDefault="006851B3" w:rsidP="007839BC">
            <w:pPr>
              <w:spacing w:after="60"/>
              <w:cnfStyle w:val="000000000000" w:firstRow="0" w:lastRow="0" w:firstColumn="0" w:lastColumn="0" w:oddVBand="0" w:evenVBand="0" w:oddHBand="0" w:evenHBand="0" w:firstRowFirstColumn="0" w:firstRowLastColumn="0" w:lastRowFirstColumn="0" w:lastRowLastColumn="0"/>
              <w:rPr>
                <w:sz w:val="20"/>
                <w:szCs w:val="20"/>
              </w:rPr>
            </w:pPr>
            <w:r w:rsidRPr="007839BC">
              <w:rPr>
                <w:sz w:val="20"/>
                <w:szCs w:val="20"/>
              </w:rPr>
              <w:t>Queensland</w:t>
            </w:r>
          </w:p>
        </w:tc>
      </w:tr>
      <w:tr w:rsidR="006851B3" w:rsidRPr="007839BC" w14:paraId="1D97EA41" w14:textId="77777777" w:rsidTr="008E7FDC">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16A5F3BB" w14:textId="77777777" w:rsidR="006851B3" w:rsidRPr="008E7FDC" w:rsidRDefault="006851B3" w:rsidP="007839BC">
            <w:pPr>
              <w:spacing w:after="60"/>
              <w:rPr>
                <w:b w:val="0"/>
                <w:bCs/>
                <w:sz w:val="20"/>
                <w:szCs w:val="20"/>
              </w:rPr>
            </w:pPr>
            <w:r w:rsidRPr="008E7FDC">
              <w:rPr>
                <w:b w:val="0"/>
                <w:bCs/>
                <w:sz w:val="20"/>
                <w:szCs w:val="20"/>
              </w:rPr>
              <w:t>Adila Alef</w:t>
            </w:r>
          </w:p>
        </w:tc>
        <w:tc>
          <w:tcPr>
            <w:tcW w:w="5953" w:type="dxa"/>
          </w:tcPr>
          <w:p w14:paraId="7783FD43" w14:textId="77777777" w:rsidR="006851B3" w:rsidRPr="007839BC" w:rsidRDefault="006851B3" w:rsidP="007839BC">
            <w:pPr>
              <w:spacing w:after="60"/>
              <w:cnfStyle w:val="000000000000" w:firstRow="0" w:lastRow="0" w:firstColumn="0" w:lastColumn="0" w:oddVBand="0" w:evenVBand="0" w:oddHBand="0" w:evenHBand="0" w:firstRowFirstColumn="0" w:firstRowLastColumn="0" w:lastRowFirstColumn="0" w:lastRowLastColumn="0"/>
              <w:rPr>
                <w:sz w:val="20"/>
                <w:szCs w:val="20"/>
              </w:rPr>
            </w:pPr>
            <w:r w:rsidRPr="007839BC">
              <w:rPr>
                <w:sz w:val="20"/>
                <w:szCs w:val="20"/>
              </w:rPr>
              <w:t>South Australia</w:t>
            </w:r>
          </w:p>
        </w:tc>
      </w:tr>
      <w:tr w:rsidR="006851B3" w:rsidRPr="007839BC" w14:paraId="354A2610" w14:textId="77777777" w:rsidTr="008E7FDC">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68027D47" w14:textId="77777777" w:rsidR="006851B3" w:rsidRPr="008E7FDC" w:rsidRDefault="006851B3" w:rsidP="007839BC">
            <w:pPr>
              <w:spacing w:after="60"/>
              <w:rPr>
                <w:b w:val="0"/>
                <w:bCs/>
                <w:sz w:val="20"/>
                <w:szCs w:val="20"/>
              </w:rPr>
            </w:pPr>
            <w:r w:rsidRPr="008E7FDC">
              <w:rPr>
                <w:b w:val="0"/>
                <w:bCs/>
                <w:sz w:val="20"/>
                <w:szCs w:val="20"/>
              </w:rPr>
              <w:t>Chaya Rainbird</w:t>
            </w:r>
          </w:p>
        </w:tc>
        <w:tc>
          <w:tcPr>
            <w:tcW w:w="5953" w:type="dxa"/>
          </w:tcPr>
          <w:p w14:paraId="428CF970" w14:textId="77777777" w:rsidR="006851B3" w:rsidRPr="007839BC" w:rsidRDefault="006851B3" w:rsidP="007839BC">
            <w:pPr>
              <w:spacing w:after="60"/>
              <w:cnfStyle w:val="000000000000" w:firstRow="0" w:lastRow="0" w:firstColumn="0" w:lastColumn="0" w:oddVBand="0" w:evenVBand="0" w:oddHBand="0" w:evenHBand="0" w:firstRowFirstColumn="0" w:firstRowLastColumn="0" w:lastRowFirstColumn="0" w:lastRowLastColumn="0"/>
              <w:rPr>
                <w:sz w:val="20"/>
                <w:szCs w:val="20"/>
              </w:rPr>
            </w:pPr>
            <w:r w:rsidRPr="007839BC">
              <w:rPr>
                <w:sz w:val="20"/>
                <w:szCs w:val="20"/>
              </w:rPr>
              <w:t>Tasmania</w:t>
            </w:r>
          </w:p>
        </w:tc>
      </w:tr>
      <w:tr w:rsidR="006851B3" w:rsidRPr="007839BC" w14:paraId="7B1AF0A5" w14:textId="77777777" w:rsidTr="008E7FDC">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78A30E9F" w14:textId="77777777" w:rsidR="006851B3" w:rsidRPr="008E7FDC" w:rsidRDefault="006851B3" w:rsidP="007839BC">
            <w:pPr>
              <w:spacing w:after="60"/>
              <w:rPr>
                <w:b w:val="0"/>
                <w:bCs/>
                <w:sz w:val="20"/>
                <w:szCs w:val="20"/>
              </w:rPr>
            </w:pPr>
            <w:r w:rsidRPr="008E7FDC">
              <w:rPr>
                <w:b w:val="0"/>
                <w:bCs/>
                <w:sz w:val="20"/>
                <w:szCs w:val="20"/>
              </w:rPr>
              <w:t>Imbi Pyman</w:t>
            </w:r>
          </w:p>
        </w:tc>
        <w:tc>
          <w:tcPr>
            <w:tcW w:w="5953" w:type="dxa"/>
          </w:tcPr>
          <w:p w14:paraId="2274EFA9" w14:textId="77777777" w:rsidR="006851B3" w:rsidRPr="007839BC" w:rsidRDefault="006851B3" w:rsidP="007839BC">
            <w:pPr>
              <w:spacing w:after="60"/>
              <w:cnfStyle w:val="000000000000" w:firstRow="0" w:lastRow="0" w:firstColumn="0" w:lastColumn="0" w:oddVBand="0" w:evenVBand="0" w:oddHBand="0" w:evenHBand="0" w:firstRowFirstColumn="0" w:firstRowLastColumn="0" w:lastRowFirstColumn="0" w:lastRowLastColumn="0"/>
              <w:rPr>
                <w:sz w:val="20"/>
                <w:szCs w:val="20"/>
              </w:rPr>
            </w:pPr>
            <w:r w:rsidRPr="007839BC">
              <w:rPr>
                <w:sz w:val="20"/>
                <w:szCs w:val="20"/>
              </w:rPr>
              <w:t>Victoria</w:t>
            </w:r>
          </w:p>
        </w:tc>
      </w:tr>
      <w:tr w:rsidR="006851B3" w:rsidRPr="007839BC" w14:paraId="295BB257" w14:textId="77777777" w:rsidTr="008E7FDC">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538EEA5E" w14:textId="77777777" w:rsidR="006851B3" w:rsidRPr="008E7FDC" w:rsidRDefault="006851B3" w:rsidP="007839BC">
            <w:pPr>
              <w:spacing w:after="60"/>
              <w:rPr>
                <w:b w:val="0"/>
                <w:bCs/>
                <w:sz w:val="20"/>
                <w:szCs w:val="20"/>
              </w:rPr>
            </w:pPr>
            <w:r w:rsidRPr="008E7FDC">
              <w:rPr>
                <w:b w:val="0"/>
                <w:bCs/>
                <w:sz w:val="20"/>
                <w:szCs w:val="20"/>
              </w:rPr>
              <w:t>Isha Garg</w:t>
            </w:r>
          </w:p>
        </w:tc>
        <w:tc>
          <w:tcPr>
            <w:tcW w:w="5953" w:type="dxa"/>
          </w:tcPr>
          <w:p w14:paraId="2CC1FEE0" w14:textId="77777777" w:rsidR="006851B3" w:rsidRPr="007839BC" w:rsidRDefault="006851B3" w:rsidP="007839BC">
            <w:pPr>
              <w:spacing w:after="60"/>
              <w:cnfStyle w:val="000000000000" w:firstRow="0" w:lastRow="0" w:firstColumn="0" w:lastColumn="0" w:oddVBand="0" w:evenVBand="0" w:oddHBand="0" w:evenHBand="0" w:firstRowFirstColumn="0" w:firstRowLastColumn="0" w:lastRowFirstColumn="0" w:lastRowLastColumn="0"/>
              <w:rPr>
                <w:sz w:val="20"/>
                <w:szCs w:val="20"/>
              </w:rPr>
            </w:pPr>
            <w:r w:rsidRPr="007839BC">
              <w:rPr>
                <w:sz w:val="20"/>
                <w:szCs w:val="20"/>
              </w:rPr>
              <w:t>Victoria</w:t>
            </w:r>
          </w:p>
        </w:tc>
      </w:tr>
      <w:tr w:rsidR="006851B3" w:rsidRPr="007839BC" w14:paraId="1D385CB8" w14:textId="77777777" w:rsidTr="008E7FDC">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3DD57AB6" w14:textId="77777777" w:rsidR="006851B3" w:rsidRPr="008E7FDC" w:rsidRDefault="006851B3" w:rsidP="007839BC">
            <w:pPr>
              <w:spacing w:after="60"/>
              <w:rPr>
                <w:b w:val="0"/>
                <w:bCs/>
                <w:sz w:val="20"/>
                <w:szCs w:val="20"/>
              </w:rPr>
            </w:pPr>
            <w:r w:rsidRPr="008E7FDC">
              <w:rPr>
                <w:b w:val="0"/>
                <w:bCs/>
                <w:sz w:val="20"/>
                <w:szCs w:val="20"/>
              </w:rPr>
              <w:t>Susan Edgar (Chair)</w:t>
            </w:r>
          </w:p>
        </w:tc>
        <w:tc>
          <w:tcPr>
            <w:tcW w:w="5953" w:type="dxa"/>
          </w:tcPr>
          <w:p w14:paraId="41D1806B" w14:textId="77777777" w:rsidR="006851B3" w:rsidRPr="007839BC" w:rsidRDefault="006851B3" w:rsidP="007839BC">
            <w:pPr>
              <w:spacing w:after="60"/>
              <w:cnfStyle w:val="000000000000" w:firstRow="0" w:lastRow="0" w:firstColumn="0" w:lastColumn="0" w:oddVBand="0" w:evenVBand="0" w:oddHBand="0" w:evenHBand="0" w:firstRowFirstColumn="0" w:firstRowLastColumn="0" w:lastRowFirstColumn="0" w:lastRowLastColumn="0"/>
              <w:rPr>
                <w:sz w:val="20"/>
                <w:szCs w:val="20"/>
              </w:rPr>
            </w:pPr>
            <w:r w:rsidRPr="007839BC">
              <w:rPr>
                <w:sz w:val="20"/>
                <w:szCs w:val="20"/>
              </w:rPr>
              <w:t>Western Australia</w:t>
            </w:r>
          </w:p>
        </w:tc>
      </w:tr>
    </w:tbl>
    <w:p w14:paraId="3B52B17F" w14:textId="22555A14" w:rsidR="00682A5B" w:rsidRPr="00B768A1" w:rsidRDefault="00F1394D" w:rsidP="00745B34">
      <w:pPr>
        <w:pStyle w:val="Caption"/>
      </w:pPr>
      <w:r>
        <w:t xml:space="preserve">Table </w:t>
      </w:r>
      <w:r w:rsidR="00F93B6D">
        <w:fldChar w:fldCharType="begin"/>
      </w:r>
      <w:r w:rsidR="00F93B6D">
        <w:instrText>SEQ Table \* ARABIC  \* MERGEFORMAT</w:instrText>
      </w:r>
      <w:r w:rsidR="00F93B6D">
        <w:fldChar w:fldCharType="separate"/>
      </w:r>
      <w:r w:rsidR="009F12B4">
        <w:rPr>
          <w:noProof/>
        </w:rPr>
        <w:t>46</w:t>
      </w:r>
      <w:r w:rsidR="00F93B6D">
        <w:rPr>
          <w:noProof/>
        </w:rPr>
        <w:fldChar w:fldCharType="end"/>
      </w:r>
      <w:r>
        <w:t xml:space="preserve">: </w:t>
      </w:r>
      <w:r w:rsidR="00682A5B" w:rsidRPr="00B768A1">
        <w:t>Membership of the National Suicide Prevention Office Advisory Board</w:t>
      </w:r>
    </w:p>
    <w:tbl>
      <w:tblPr>
        <w:tblStyle w:val="TableGrid"/>
        <w:tblW w:w="5000" w:type="pct"/>
        <w:tblLook w:val="04A0" w:firstRow="1" w:lastRow="0" w:firstColumn="1" w:lastColumn="0" w:noHBand="0" w:noVBand="1"/>
        <w:tblCaption w:val="Membership of the National Suicide Prevention Office Advisory Board"/>
        <w:tblDescription w:val="Lists the members by name"/>
      </w:tblPr>
      <w:tblGrid>
        <w:gridCol w:w="4530"/>
        <w:gridCol w:w="4531"/>
      </w:tblGrid>
      <w:tr w:rsidR="00B37A85" w:rsidRPr="007839BC" w14:paraId="474A37F0" w14:textId="0116F07F" w:rsidTr="00B37A8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1C698" w:themeFill="background2" w:themeFillShade="BF"/>
            <w:hideMark/>
          </w:tcPr>
          <w:p w14:paraId="6E702BC0" w14:textId="308FF382" w:rsidR="00B37A85" w:rsidRPr="007839BC" w:rsidRDefault="00B37A85" w:rsidP="007839BC">
            <w:pPr>
              <w:spacing w:after="60"/>
              <w:rPr>
                <w:sz w:val="20"/>
                <w:szCs w:val="20"/>
              </w:rPr>
            </w:pPr>
            <w:r w:rsidRPr="007839BC">
              <w:rPr>
                <w:sz w:val="20"/>
                <w:szCs w:val="20"/>
              </w:rPr>
              <w:t>Name     </w:t>
            </w:r>
          </w:p>
        </w:tc>
        <w:tc>
          <w:tcPr>
            <w:tcW w:w="250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1C698" w:themeFill="background2" w:themeFillShade="BF"/>
          </w:tcPr>
          <w:p w14:paraId="6814FBF2" w14:textId="77777777" w:rsidR="00B37A85" w:rsidRPr="007839BC" w:rsidRDefault="00B37A85" w:rsidP="007839BC">
            <w:pPr>
              <w:spacing w:after="60"/>
              <w:cnfStyle w:val="100000000000" w:firstRow="1" w:lastRow="0" w:firstColumn="0" w:lastColumn="0" w:oddVBand="0" w:evenVBand="0" w:oddHBand="0" w:evenHBand="0" w:firstRowFirstColumn="0" w:firstRowLastColumn="0" w:lastRowFirstColumn="0" w:lastRowLastColumn="0"/>
              <w:rPr>
                <w:sz w:val="20"/>
                <w:szCs w:val="20"/>
              </w:rPr>
            </w:pPr>
          </w:p>
        </w:tc>
      </w:tr>
      <w:tr w:rsidR="00B37A85" w:rsidRPr="007839BC" w14:paraId="3FC21DAD" w14:textId="15C39616" w:rsidTr="00B37A85">
        <w:trPr>
          <w:trHeight w:val="300"/>
        </w:trPr>
        <w:tc>
          <w:tcPr>
            <w:cnfStyle w:val="001000000000" w:firstRow="0" w:lastRow="0" w:firstColumn="1" w:lastColumn="0" w:oddVBand="0" w:evenVBand="0" w:oddHBand="0" w:evenHBand="0" w:firstRowFirstColumn="0" w:firstRowLastColumn="0" w:lastRowFirstColumn="0" w:lastRowLastColumn="0"/>
            <w:tcW w:w="2500" w:type="pct"/>
            <w:tcBorders>
              <w:top w:val="single" w:sz="4" w:space="0" w:color="FFFFFF" w:themeColor="background1"/>
            </w:tcBorders>
            <w:hideMark/>
          </w:tcPr>
          <w:p w14:paraId="0550DDA3" w14:textId="6D7477E9" w:rsidR="00B37A85" w:rsidRPr="007839BC" w:rsidRDefault="00B37A85" w:rsidP="00B37A85">
            <w:pPr>
              <w:spacing w:after="60"/>
              <w:rPr>
                <w:b w:val="0"/>
                <w:bCs/>
                <w:sz w:val="20"/>
                <w:szCs w:val="20"/>
              </w:rPr>
            </w:pPr>
            <w:r w:rsidRPr="007839BC">
              <w:rPr>
                <w:b w:val="0"/>
                <w:bCs/>
                <w:sz w:val="20"/>
                <w:szCs w:val="20"/>
              </w:rPr>
              <w:t>Dr Alan Woodward (Chair) </w:t>
            </w:r>
          </w:p>
        </w:tc>
        <w:tc>
          <w:tcPr>
            <w:tcW w:w="2500" w:type="pct"/>
            <w:tcBorders>
              <w:top w:val="single" w:sz="4" w:space="0" w:color="FFFFFF" w:themeColor="background1"/>
            </w:tcBorders>
          </w:tcPr>
          <w:p w14:paraId="0B618497" w14:textId="0AB709E9" w:rsidR="00B37A85" w:rsidRPr="007839BC" w:rsidRDefault="00B37A85" w:rsidP="00B37A85">
            <w:pPr>
              <w:spacing w:after="60"/>
              <w:cnfStyle w:val="000000000000" w:firstRow="0" w:lastRow="0" w:firstColumn="0" w:lastColumn="0" w:oddVBand="0" w:evenVBand="0" w:oddHBand="0" w:evenHBand="0" w:firstRowFirstColumn="0" w:firstRowLastColumn="0" w:lastRowFirstColumn="0" w:lastRowLastColumn="0"/>
              <w:rPr>
                <w:bCs/>
                <w:sz w:val="20"/>
                <w:szCs w:val="20"/>
              </w:rPr>
            </w:pPr>
            <w:r w:rsidRPr="007839BC">
              <w:rPr>
                <w:bCs/>
                <w:sz w:val="20"/>
                <w:szCs w:val="20"/>
              </w:rPr>
              <w:t>Kym Peake </w:t>
            </w:r>
          </w:p>
        </w:tc>
      </w:tr>
      <w:tr w:rsidR="00B37A85" w:rsidRPr="007839BC" w14:paraId="2481B924" w14:textId="7C543234" w:rsidTr="00B37A85">
        <w:trPr>
          <w:trHeight w:val="300"/>
        </w:trPr>
        <w:tc>
          <w:tcPr>
            <w:cnfStyle w:val="001000000000" w:firstRow="0" w:lastRow="0" w:firstColumn="1" w:lastColumn="0" w:oddVBand="0" w:evenVBand="0" w:oddHBand="0" w:evenHBand="0" w:firstRowFirstColumn="0" w:firstRowLastColumn="0" w:lastRowFirstColumn="0" w:lastRowLastColumn="0"/>
            <w:tcW w:w="2500" w:type="pct"/>
            <w:hideMark/>
          </w:tcPr>
          <w:p w14:paraId="5511A5D1" w14:textId="77777777" w:rsidR="00B37A85" w:rsidRPr="007839BC" w:rsidRDefault="00B37A85" w:rsidP="00B37A85">
            <w:pPr>
              <w:spacing w:after="60"/>
              <w:rPr>
                <w:b w:val="0"/>
                <w:bCs/>
                <w:sz w:val="20"/>
                <w:szCs w:val="20"/>
              </w:rPr>
            </w:pPr>
            <w:r w:rsidRPr="007839BC">
              <w:rPr>
                <w:b w:val="0"/>
                <w:bCs/>
                <w:sz w:val="20"/>
                <w:szCs w:val="20"/>
              </w:rPr>
              <w:t>Bronwen Edwards </w:t>
            </w:r>
          </w:p>
        </w:tc>
        <w:tc>
          <w:tcPr>
            <w:tcW w:w="2500" w:type="pct"/>
          </w:tcPr>
          <w:p w14:paraId="4516F1B9" w14:textId="2B03ECB6" w:rsidR="00B37A85" w:rsidRPr="007839BC" w:rsidRDefault="00B37A85" w:rsidP="00B37A85">
            <w:pPr>
              <w:spacing w:after="60"/>
              <w:cnfStyle w:val="000000000000" w:firstRow="0" w:lastRow="0" w:firstColumn="0" w:lastColumn="0" w:oddVBand="0" w:evenVBand="0" w:oddHBand="0" w:evenHBand="0" w:firstRowFirstColumn="0" w:firstRowLastColumn="0" w:lastRowFirstColumn="0" w:lastRowLastColumn="0"/>
              <w:rPr>
                <w:bCs/>
                <w:sz w:val="20"/>
                <w:szCs w:val="20"/>
              </w:rPr>
            </w:pPr>
            <w:r w:rsidRPr="007839BC">
              <w:rPr>
                <w:bCs/>
                <w:sz w:val="20"/>
                <w:szCs w:val="20"/>
              </w:rPr>
              <w:t>Nicolas Parkhill </w:t>
            </w:r>
          </w:p>
        </w:tc>
      </w:tr>
      <w:tr w:rsidR="00B37A85" w:rsidRPr="007839BC" w14:paraId="15FADB3A" w14:textId="0A057FBB" w:rsidTr="00B37A85">
        <w:trPr>
          <w:trHeight w:val="300"/>
        </w:trPr>
        <w:tc>
          <w:tcPr>
            <w:cnfStyle w:val="001000000000" w:firstRow="0" w:lastRow="0" w:firstColumn="1" w:lastColumn="0" w:oddVBand="0" w:evenVBand="0" w:oddHBand="0" w:evenHBand="0" w:firstRowFirstColumn="0" w:firstRowLastColumn="0" w:lastRowFirstColumn="0" w:lastRowLastColumn="0"/>
            <w:tcW w:w="2500" w:type="pct"/>
            <w:hideMark/>
          </w:tcPr>
          <w:p w14:paraId="1917E744" w14:textId="77777777" w:rsidR="00B37A85" w:rsidRPr="007839BC" w:rsidRDefault="00B37A85" w:rsidP="00B37A85">
            <w:pPr>
              <w:spacing w:after="60"/>
              <w:rPr>
                <w:b w:val="0"/>
                <w:bCs/>
                <w:sz w:val="20"/>
                <w:szCs w:val="20"/>
              </w:rPr>
            </w:pPr>
            <w:r w:rsidRPr="007839BC">
              <w:rPr>
                <w:b w:val="0"/>
                <w:bCs/>
                <w:sz w:val="20"/>
                <w:szCs w:val="20"/>
              </w:rPr>
              <w:t>Graeme Holdsworth </w:t>
            </w:r>
          </w:p>
        </w:tc>
        <w:tc>
          <w:tcPr>
            <w:tcW w:w="2500" w:type="pct"/>
          </w:tcPr>
          <w:p w14:paraId="1001D42C" w14:textId="509CDD61" w:rsidR="00B37A85" w:rsidRPr="007839BC" w:rsidRDefault="00B37A85" w:rsidP="00B37A85">
            <w:pPr>
              <w:spacing w:after="60"/>
              <w:cnfStyle w:val="000000000000" w:firstRow="0" w:lastRow="0" w:firstColumn="0" w:lastColumn="0" w:oddVBand="0" w:evenVBand="0" w:oddHBand="0" w:evenHBand="0" w:firstRowFirstColumn="0" w:firstRowLastColumn="0" w:lastRowFirstColumn="0" w:lastRowLastColumn="0"/>
              <w:rPr>
                <w:bCs/>
                <w:sz w:val="20"/>
                <w:szCs w:val="20"/>
              </w:rPr>
            </w:pPr>
            <w:r w:rsidRPr="007839BC">
              <w:rPr>
                <w:bCs/>
                <w:sz w:val="20"/>
                <w:szCs w:val="20"/>
              </w:rPr>
              <w:t>Prof Pat Dudgeon </w:t>
            </w:r>
          </w:p>
        </w:tc>
      </w:tr>
      <w:tr w:rsidR="00B37A85" w:rsidRPr="007839BC" w14:paraId="5DABAC34" w14:textId="46291B59" w:rsidTr="00B37A85">
        <w:trPr>
          <w:trHeight w:val="300"/>
        </w:trPr>
        <w:tc>
          <w:tcPr>
            <w:cnfStyle w:val="001000000000" w:firstRow="0" w:lastRow="0" w:firstColumn="1" w:lastColumn="0" w:oddVBand="0" w:evenVBand="0" w:oddHBand="0" w:evenHBand="0" w:firstRowFirstColumn="0" w:firstRowLastColumn="0" w:lastRowFirstColumn="0" w:lastRowLastColumn="0"/>
            <w:tcW w:w="2500" w:type="pct"/>
            <w:hideMark/>
          </w:tcPr>
          <w:p w14:paraId="6350BE0C" w14:textId="77777777" w:rsidR="00B37A85" w:rsidRPr="007839BC" w:rsidRDefault="00B37A85" w:rsidP="00B37A85">
            <w:pPr>
              <w:spacing w:after="60"/>
              <w:rPr>
                <w:b w:val="0"/>
                <w:bCs/>
                <w:sz w:val="20"/>
                <w:szCs w:val="20"/>
              </w:rPr>
            </w:pPr>
            <w:r w:rsidRPr="007839BC">
              <w:rPr>
                <w:b w:val="0"/>
                <w:bCs/>
                <w:sz w:val="20"/>
                <w:szCs w:val="20"/>
              </w:rPr>
              <w:t>Gwen Cherne </w:t>
            </w:r>
          </w:p>
        </w:tc>
        <w:tc>
          <w:tcPr>
            <w:tcW w:w="2500" w:type="pct"/>
          </w:tcPr>
          <w:p w14:paraId="320AF4D5" w14:textId="2CE5B538" w:rsidR="00B37A85" w:rsidRPr="007839BC" w:rsidRDefault="00B37A85" w:rsidP="00B37A85">
            <w:pPr>
              <w:spacing w:after="60"/>
              <w:cnfStyle w:val="000000000000" w:firstRow="0" w:lastRow="0" w:firstColumn="0" w:lastColumn="0" w:oddVBand="0" w:evenVBand="0" w:oddHBand="0" w:evenHBand="0" w:firstRowFirstColumn="0" w:firstRowLastColumn="0" w:lastRowFirstColumn="0" w:lastRowLastColumn="0"/>
              <w:rPr>
                <w:bCs/>
                <w:sz w:val="20"/>
                <w:szCs w:val="20"/>
              </w:rPr>
            </w:pPr>
            <w:r w:rsidRPr="007839BC">
              <w:rPr>
                <w:bCs/>
                <w:sz w:val="20"/>
                <w:szCs w:val="20"/>
              </w:rPr>
              <w:t>Pino Migliorino </w:t>
            </w:r>
          </w:p>
        </w:tc>
      </w:tr>
      <w:tr w:rsidR="00B37A85" w:rsidRPr="007839BC" w14:paraId="2ACB75D9" w14:textId="01DF5B7B" w:rsidTr="00B37A85">
        <w:trPr>
          <w:trHeight w:val="300"/>
        </w:trPr>
        <w:tc>
          <w:tcPr>
            <w:cnfStyle w:val="001000000000" w:firstRow="0" w:lastRow="0" w:firstColumn="1" w:lastColumn="0" w:oddVBand="0" w:evenVBand="0" w:oddHBand="0" w:evenHBand="0" w:firstRowFirstColumn="0" w:firstRowLastColumn="0" w:lastRowFirstColumn="0" w:lastRowLastColumn="0"/>
            <w:tcW w:w="2500" w:type="pct"/>
            <w:hideMark/>
          </w:tcPr>
          <w:p w14:paraId="1909A5C8" w14:textId="77777777" w:rsidR="00B37A85" w:rsidRPr="007839BC" w:rsidRDefault="00B37A85" w:rsidP="00B37A85">
            <w:pPr>
              <w:spacing w:after="60"/>
              <w:rPr>
                <w:b w:val="0"/>
                <w:bCs/>
                <w:sz w:val="20"/>
                <w:szCs w:val="20"/>
              </w:rPr>
            </w:pPr>
            <w:r w:rsidRPr="007839BC">
              <w:rPr>
                <w:b w:val="0"/>
                <w:bCs/>
                <w:sz w:val="20"/>
                <w:szCs w:val="20"/>
              </w:rPr>
              <w:t>Prof Henry Cutler </w:t>
            </w:r>
          </w:p>
        </w:tc>
        <w:tc>
          <w:tcPr>
            <w:tcW w:w="2500" w:type="pct"/>
          </w:tcPr>
          <w:p w14:paraId="70C53CB2" w14:textId="0365FD2A" w:rsidR="00B37A85" w:rsidRPr="007839BC" w:rsidRDefault="00B37A85" w:rsidP="00B37A85">
            <w:pPr>
              <w:spacing w:after="60"/>
              <w:cnfStyle w:val="000000000000" w:firstRow="0" w:lastRow="0" w:firstColumn="0" w:lastColumn="0" w:oddVBand="0" w:evenVBand="0" w:oddHBand="0" w:evenHBand="0" w:firstRowFirstColumn="0" w:firstRowLastColumn="0" w:lastRowFirstColumn="0" w:lastRowLastColumn="0"/>
              <w:rPr>
                <w:bCs/>
                <w:sz w:val="20"/>
                <w:szCs w:val="20"/>
              </w:rPr>
            </w:pPr>
            <w:r w:rsidRPr="007839BC">
              <w:rPr>
                <w:bCs/>
                <w:sz w:val="20"/>
                <w:szCs w:val="20"/>
              </w:rPr>
              <w:t>Prof Sharon Friel </w:t>
            </w:r>
          </w:p>
        </w:tc>
      </w:tr>
      <w:tr w:rsidR="00B37A85" w:rsidRPr="007839BC" w14:paraId="4BC7E073" w14:textId="0897D0CC" w:rsidTr="00B37A85">
        <w:trPr>
          <w:trHeight w:val="300"/>
        </w:trPr>
        <w:tc>
          <w:tcPr>
            <w:cnfStyle w:val="001000000000" w:firstRow="0" w:lastRow="0" w:firstColumn="1" w:lastColumn="0" w:oddVBand="0" w:evenVBand="0" w:oddHBand="0" w:evenHBand="0" w:firstRowFirstColumn="0" w:firstRowLastColumn="0" w:lastRowFirstColumn="0" w:lastRowLastColumn="0"/>
            <w:tcW w:w="2500" w:type="pct"/>
            <w:hideMark/>
          </w:tcPr>
          <w:p w14:paraId="2C88A988" w14:textId="4A744EBA" w:rsidR="00B37A85" w:rsidRPr="007839BC" w:rsidRDefault="00B37A85" w:rsidP="00B37A85">
            <w:pPr>
              <w:spacing w:after="60"/>
              <w:rPr>
                <w:b w:val="0"/>
                <w:bCs/>
                <w:sz w:val="20"/>
                <w:szCs w:val="20"/>
              </w:rPr>
            </w:pPr>
            <w:r w:rsidRPr="007839BC">
              <w:rPr>
                <w:b w:val="0"/>
                <w:bCs/>
                <w:sz w:val="20"/>
                <w:szCs w:val="20"/>
              </w:rPr>
              <w:t>Prof Karen Fisher </w:t>
            </w:r>
          </w:p>
        </w:tc>
        <w:tc>
          <w:tcPr>
            <w:tcW w:w="2500" w:type="pct"/>
          </w:tcPr>
          <w:p w14:paraId="4331E552" w14:textId="7AADE33C" w:rsidR="00B37A85" w:rsidRPr="007839BC" w:rsidRDefault="00B37A85" w:rsidP="00B37A85">
            <w:pPr>
              <w:spacing w:after="60"/>
              <w:cnfStyle w:val="000000000000" w:firstRow="0" w:lastRow="0" w:firstColumn="0" w:lastColumn="0" w:oddVBand="0" w:evenVBand="0" w:oddHBand="0" w:evenHBand="0" w:firstRowFirstColumn="0" w:firstRowLastColumn="0" w:lastRowFirstColumn="0" w:lastRowLastColumn="0"/>
              <w:rPr>
                <w:bCs/>
                <w:sz w:val="20"/>
                <w:szCs w:val="20"/>
              </w:rPr>
            </w:pPr>
            <w:r w:rsidRPr="007839BC">
              <w:rPr>
                <w:bCs/>
                <w:sz w:val="20"/>
                <w:szCs w:val="20"/>
              </w:rPr>
              <w:t>Prof Steve Allsop </w:t>
            </w:r>
          </w:p>
        </w:tc>
      </w:tr>
      <w:tr w:rsidR="00B37A85" w:rsidRPr="007839BC" w14:paraId="5FC14DF1" w14:textId="5C3F622F" w:rsidTr="00B37A85">
        <w:trPr>
          <w:trHeight w:val="300"/>
        </w:trPr>
        <w:tc>
          <w:tcPr>
            <w:cnfStyle w:val="001000000000" w:firstRow="0" w:lastRow="0" w:firstColumn="1" w:lastColumn="0" w:oddVBand="0" w:evenVBand="0" w:oddHBand="0" w:evenHBand="0" w:firstRowFirstColumn="0" w:firstRowLastColumn="0" w:lastRowFirstColumn="0" w:lastRowLastColumn="0"/>
            <w:tcW w:w="2500" w:type="pct"/>
            <w:hideMark/>
          </w:tcPr>
          <w:p w14:paraId="127FBA91" w14:textId="38BAF60B" w:rsidR="00B37A85" w:rsidRPr="007839BC" w:rsidRDefault="00B37A85" w:rsidP="00B37A85">
            <w:pPr>
              <w:spacing w:after="60"/>
              <w:rPr>
                <w:b w:val="0"/>
                <w:bCs/>
                <w:sz w:val="20"/>
                <w:szCs w:val="20"/>
              </w:rPr>
            </w:pPr>
            <w:r w:rsidRPr="007839BC">
              <w:rPr>
                <w:b w:val="0"/>
                <w:bCs/>
                <w:sz w:val="20"/>
                <w:szCs w:val="20"/>
              </w:rPr>
              <w:t>Prof Kathy Eagar </w:t>
            </w:r>
          </w:p>
        </w:tc>
        <w:tc>
          <w:tcPr>
            <w:tcW w:w="2500" w:type="pct"/>
          </w:tcPr>
          <w:p w14:paraId="06A69386" w14:textId="7BF370BA" w:rsidR="00B37A85" w:rsidRPr="007839BC" w:rsidRDefault="00B37A85" w:rsidP="00B37A85">
            <w:pPr>
              <w:spacing w:after="60"/>
              <w:cnfStyle w:val="000000000000" w:firstRow="0" w:lastRow="0" w:firstColumn="0" w:lastColumn="0" w:oddVBand="0" w:evenVBand="0" w:oddHBand="0" w:evenHBand="0" w:firstRowFirstColumn="0" w:firstRowLastColumn="0" w:lastRowFirstColumn="0" w:lastRowLastColumn="0"/>
              <w:rPr>
                <w:bCs/>
                <w:sz w:val="20"/>
                <w:szCs w:val="20"/>
              </w:rPr>
            </w:pPr>
            <w:r w:rsidRPr="007839BC">
              <w:rPr>
                <w:bCs/>
                <w:sz w:val="20"/>
                <w:szCs w:val="20"/>
              </w:rPr>
              <w:t>Dr Wendy Southern PSM </w:t>
            </w:r>
          </w:p>
        </w:tc>
      </w:tr>
      <w:tr w:rsidR="00B37A85" w:rsidRPr="007839BC" w14:paraId="0FFB64B8" w14:textId="286CADEF" w:rsidTr="00B37A85">
        <w:trPr>
          <w:trHeight w:val="300"/>
        </w:trPr>
        <w:tc>
          <w:tcPr>
            <w:cnfStyle w:val="001000000000" w:firstRow="0" w:lastRow="0" w:firstColumn="1" w:lastColumn="0" w:oddVBand="0" w:evenVBand="0" w:oddHBand="0" w:evenHBand="0" w:firstRowFirstColumn="0" w:firstRowLastColumn="0" w:lastRowFirstColumn="0" w:lastRowLastColumn="0"/>
            <w:tcW w:w="2500" w:type="pct"/>
          </w:tcPr>
          <w:p w14:paraId="384A7E55" w14:textId="0FC43205" w:rsidR="00B37A85" w:rsidRPr="007839BC" w:rsidRDefault="00B37A85" w:rsidP="00B37A85">
            <w:pPr>
              <w:spacing w:after="60"/>
              <w:rPr>
                <w:b w:val="0"/>
                <w:bCs/>
                <w:sz w:val="20"/>
                <w:szCs w:val="20"/>
              </w:rPr>
            </w:pPr>
            <w:r w:rsidRPr="007839BC">
              <w:rPr>
                <w:b w:val="0"/>
                <w:bCs/>
                <w:sz w:val="20"/>
                <w:szCs w:val="20"/>
              </w:rPr>
              <w:t>Chief Executive Officer, Suicide Prevention Australia: Nieves Murray</w:t>
            </w:r>
          </w:p>
        </w:tc>
        <w:tc>
          <w:tcPr>
            <w:tcW w:w="2500" w:type="pct"/>
          </w:tcPr>
          <w:p w14:paraId="6C596C35" w14:textId="5F328145" w:rsidR="00B37A85" w:rsidRPr="007839BC" w:rsidRDefault="0057464A" w:rsidP="00B37A85">
            <w:pPr>
              <w:spacing w:after="60"/>
              <w:cnfStyle w:val="000000000000" w:firstRow="0" w:lastRow="0" w:firstColumn="0" w:lastColumn="0" w:oddVBand="0" w:evenVBand="0" w:oddHBand="0" w:evenHBand="0" w:firstRowFirstColumn="0" w:firstRowLastColumn="0" w:lastRowFirstColumn="0" w:lastRowLastColumn="0"/>
              <w:rPr>
                <w:bCs/>
                <w:sz w:val="20"/>
                <w:szCs w:val="20"/>
              </w:rPr>
            </w:pPr>
            <w:r w:rsidRPr="007839BC">
              <w:rPr>
                <w:bCs/>
                <w:sz w:val="20"/>
                <w:szCs w:val="20"/>
              </w:rPr>
              <w:t>Chief Executive Officer, Gayaa Dhuwi (Proud Spirit) Australia: Sarah Szydzik</w:t>
            </w:r>
            <w:r w:rsidRPr="007839BC">
              <w:rPr>
                <w:rFonts w:eastAsia="Century Gothic"/>
                <w:bCs/>
                <w:sz w:val="20"/>
                <w:szCs w:val="20"/>
              </w:rPr>
              <w:t xml:space="preserve"> Oct-22–Feb-23, </w:t>
            </w:r>
            <w:r w:rsidRPr="007839BC">
              <w:rPr>
                <w:bCs/>
                <w:sz w:val="20"/>
                <w:szCs w:val="20"/>
              </w:rPr>
              <w:t>Tania Brown Mar-23–Jun-23, Rachel Fishlock Jul-23–present</w:t>
            </w:r>
          </w:p>
        </w:tc>
      </w:tr>
      <w:tr w:rsidR="00B37A85" w:rsidRPr="007839BC" w14:paraId="5089B1F0" w14:textId="6E254653" w:rsidTr="00B37A85">
        <w:trPr>
          <w:trHeight w:val="300"/>
        </w:trPr>
        <w:tc>
          <w:tcPr>
            <w:cnfStyle w:val="001000000000" w:firstRow="0" w:lastRow="0" w:firstColumn="1" w:lastColumn="0" w:oddVBand="0" w:evenVBand="0" w:oddHBand="0" w:evenHBand="0" w:firstRowFirstColumn="0" w:firstRowLastColumn="0" w:lastRowFirstColumn="0" w:lastRowLastColumn="0"/>
            <w:tcW w:w="2500" w:type="pct"/>
          </w:tcPr>
          <w:p w14:paraId="7DA492FE" w14:textId="434B5879" w:rsidR="00B37A85" w:rsidRPr="007839BC" w:rsidRDefault="00B37A85" w:rsidP="00B37A85">
            <w:pPr>
              <w:spacing w:after="60"/>
              <w:rPr>
                <w:b w:val="0"/>
                <w:bCs/>
                <w:sz w:val="20"/>
                <w:szCs w:val="20"/>
              </w:rPr>
            </w:pPr>
            <w:r w:rsidRPr="007839BC">
              <w:rPr>
                <w:b w:val="0"/>
                <w:bCs/>
                <w:sz w:val="20"/>
                <w:szCs w:val="20"/>
              </w:rPr>
              <w:t>Chief Executive Officer, National Mental Health Commission</w:t>
            </w:r>
          </w:p>
        </w:tc>
        <w:tc>
          <w:tcPr>
            <w:tcW w:w="2500" w:type="pct"/>
          </w:tcPr>
          <w:p w14:paraId="2707CBC6" w14:textId="29CE0214" w:rsidR="00B37A85" w:rsidRPr="007839BC" w:rsidRDefault="00B37A85" w:rsidP="00B37A85">
            <w:pPr>
              <w:spacing w:after="60"/>
              <w:cnfStyle w:val="000000000000" w:firstRow="0" w:lastRow="0" w:firstColumn="0" w:lastColumn="0" w:oddVBand="0" w:evenVBand="0" w:oddHBand="0" w:evenHBand="0" w:firstRowFirstColumn="0" w:firstRowLastColumn="0" w:lastRowFirstColumn="0" w:lastRowLastColumn="0"/>
              <w:rPr>
                <w:bCs/>
                <w:sz w:val="20"/>
                <w:szCs w:val="20"/>
              </w:rPr>
            </w:pPr>
          </w:p>
        </w:tc>
      </w:tr>
    </w:tbl>
    <w:p w14:paraId="75AFBF1C" w14:textId="77777777" w:rsidR="00106FA6" w:rsidRDefault="00106FA6">
      <w:pPr>
        <w:spacing w:after="160"/>
        <w:rPr>
          <w:b/>
          <w:iCs/>
          <w:sz w:val="20"/>
          <w:szCs w:val="20"/>
        </w:rPr>
      </w:pPr>
      <w:r>
        <w:br w:type="page"/>
      </w:r>
    </w:p>
    <w:p w14:paraId="6C6C90F3" w14:textId="346565D2" w:rsidR="00682A5B" w:rsidRPr="002418AD" w:rsidRDefault="00A43139" w:rsidP="00745B34">
      <w:pPr>
        <w:pStyle w:val="Caption"/>
      </w:pPr>
      <w:r w:rsidRPr="002418AD">
        <w:t>Table</w:t>
      </w:r>
      <w:r w:rsidR="00D44557">
        <w:t xml:space="preserve"> </w:t>
      </w:r>
      <w:r w:rsidR="00F93B6D">
        <w:fldChar w:fldCharType="begin"/>
      </w:r>
      <w:r w:rsidR="00F93B6D">
        <w:instrText>SEQ Table \* ARABIC  \* MERGEFORMAT</w:instrText>
      </w:r>
      <w:r w:rsidR="00F93B6D">
        <w:fldChar w:fldCharType="separate"/>
      </w:r>
      <w:r w:rsidR="009F12B4">
        <w:rPr>
          <w:noProof/>
        </w:rPr>
        <w:t>47</w:t>
      </w:r>
      <w:r w:rsidR="00F93B6D">
        <w:rPr>
          <w:noProof/>
        </w:rPr>
        <w:fldChar w:fldCharType="end"/>
      </w:r>
      <w:r w:rsidR="00682A5B" w:rsidRPr="002418AD">
        <w:t xml:space="preserve">: Membership of the </w:t>
      </w:r>
      <w:r w:rsidR="008F7F7F">
        <w:t xml:space="preserve">National Suicide Prevention Strategy </w:t>
      </w:r>
      <w:r w:rsidR="00682A5B" w:rsidRPr="002418AD">
        <w:t>Working Group</w:t>
      </w:r>
      <w:r w:rsidR="004F01A3">
        <w:t>s</w:t>
      </w:r>
    </w:p>
    <w:tbl>
      <w:tblPr>
        <w:tblStyle w:val="TableGrid"/>
        <w:tblW w:w="5000" w:type="pct"/>
        <w:tblLook w:val="04A0" w:firstRow="1" w:lastRow="0" w:firstColumn="1" w:lastColumn="0" w:noHBand="0" w:noVBand="1"/>
        <w:tblCaption w:val="Membership of the Governance and Social Determinants Working Group"/>
        <w:tblDescription w:val="Lists the members by name"/>
      </w:tblPr>
      <w:tblGrid>
        <w:gridCol w:w="4623"/>
        <w:gridCol w:w="4438"/>
      </w:tblGrid>
      <w:tr w:rsidR="001650DF" w:rsidRPr="0057464A" w14:paraId="07A9B5FA" w14:textId="27AFC9FB" w:rsidTr="008F7F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1C698" w:themeFill="background2" w:themeFillShade="BF"/>
          </w:tcPr>
          <w:p w14:paraId="1C01A354" w14:textId="4EAA08B6" w:rsidR="001650DF" w:rsidRPr="0057464A" w:rsidRDefault="004F01A3" w:rsidP="0057464A">
            <w:pPr>
              <w:spacing w:afterLines="60" w:after="144"/>
              <w:rPr>
                <w:sz w:val="20"/>
                <w:szCs w:val="20"/>
              </w:rPr>
            </w:pPr>
            <w:r w:rsidRPr="0057464A">
              <w:rPr>
                <w:sz w:val="20"/>
                <w:szCs w:val="20"/>
              </w:rPr>
              <w:t xml:space="preserve">Governance and Social Determinants </w:t>
            </w:r>
          </w:p>
        </w:tc>
        <w:tc>
          <w:tcPr>
            <w:tcW w:w="24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1C698" w:themeFill="background2" w:themeFillShade="BF"/>
          </w:tcPr>
          <w:p w14:paraId="1DE464A6" w14:textId="6C1D10CC" w:rsidR="001650DF" w:rsidRPr="0057464A" w:rsidRDefault="004F01A3" w:rsidP="0057464A">
            <w:pPr>
              <w:spacing w:afterLines="60" w:after="144"/>
              <w:cnfStyle w:val="100000000000" w:firstRow="1" w:lastRow="0" w:firstColumn="0" w:lastColumn="0" w:oddVBand="0" w:evenVBand="0" w:oddHBand="0" w:evenHBand="0" w:firstRowFirstColumn="0" w:firstRowLastColumn="0" w:lastRowFirstColumn="0" w:lastRowLastColumn="0"/>
              <w:rPr>
                <w:b/>
                <w:bCs/>
                <w:sz w:val="20"/>
                <w:szCs w:val="20"/>
              </w:rPr>
            </w:pPr>
            <w:r w:rsidRPr="0057464A">
              <w:rPr>
                <w:b/>
                <w:bCs/>
                <w:sz w:val="20"/>
                <w:szCs w:val="20"/>
              </w:rPr>
              <w:t xml:space="preserve">Service Systems </w:t>
            </w:r>
          </w:p>
        </w:tc>
      </w:tr>
      <w:tr w:rsidR="001650DF" w:rsidRPr="0057464A" w14:paraId="3454D986" w14:textId="68789874" w:rsidTr="00E1682B">
        <w:tc>
          <w:tcPr>
            <w:cnfStyle w:val="001000000000" w:firstRow="0" w:lastRow="0" w:firstColumn="1" w:lastColumn="0" w:oddVBand="0" w:evenVBand="0" w:oddHBand="0" w:evenHBand="0" w:firstRowFirstColumn="0" w:firstRowLastColumn="0" w:lastRowFirstColumn="0" w:lastRowLastColumn="0"/>
            <w:tcW w:w="25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B6FD22" w14:textId="415DC1D3" w:rsidR="001650DF" w:rsidRPr="0057464A" w:rsidRDefault="001650DF" w:rsidP="0057464A">
            <w:pPr>
              <w:spacing w:afterLines="60" w:after="144"/>
              <w:rPr>
                <w:b w:val="0"/>
                <w:bCs/>
                <w:sz w:val="20"/>
                <w:szCs w:val="20"/>
              </w:rPr>
            </w:pPr>
            <w:r w:rsidRPr="0057464A">
              <w:rPr>
                <w:b w:val="0"/>
                <w:bCs/>
                <w:sz w:val="20"/>
                <w:szCs w:val="20"/>
              </w:rPr>
              <w:t xml:space="preserve">Addie Wootten </w:t>
            </w:r>
          </w:p>
        </w:tc>
        <w:tc>
          <w:tcPr>
            <w:tcW w:w="24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EBDA" w:themeFill="text2"/>
          </w:tcPr>
          <w:p w14:paraId="757D7E77" w14:textId="0715AB32" w:rsidR="001650DF" w:rsidRPr="0057464A" w:rsidRDefault="001650DF" w:rsidP="0057464A">
            <w:pPr>
              <w:spacing w:afterLines="60" w:after="144"/>
              <w:cnfStyle w:val="000000000000" w:firstRow="0" w:lastRow="0" w:firstColumn="0" w:lastColumn="0" w:oddVBand="0" w:evenVBand="0" w:oddHBand="0" w:evenHBand="0" w:firstRowFirstColumn="0" w:firstRowLastColumn="0" w:lastRowFirstColumn="0" w:lastRowLastColumn="0"/>
              <w:rPr>
                <w:sz w:val="20"/>
                <w:szCs w:val="20"/>
              </w:rPr>
            </w:pPr>
            <w:r w:rsidRPr="0057464A">
              <w:rPr>
                <w:sz w:val="20"/>
                <w:szCs w:val="20"/>
              </w:rPr>
              <w:t>Dan Mobbs</w:t>
            </w:r>
          </w:p>
        </w:tc>
      </w:tr>
      <w:tr w:rsidR="001650DF" w:rsidRPr="0057464A" w14:paraId="6839CE18" w14:textId="4DDF33A1" w:rsidTr="00E1682B">
        <w:tc>
          <w:tcPr>
            <w:cnfStyle w:val="001000000000" w:firstRow="0" w:lastRow="0" w:firstColumn="1" w:lastColumn="0" w:oddVBand="0" w:evenVBand="0" w:oddHBand="0" w:evenHBand="0" w:firstRowFirstColumn="0" w:firstRowLastColumn="0" w:lastRowFirstColumn="0" w:lastRowLastColumn="0"/>
            <w:tcW w:w="25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29C458" w14:textId="3C0BFF92" w:rsidR="001650DF" w:rsidRPr="0057464A" w:rsidRDefault="001650DF" w:rsidP="0057464A">
            <w:pPr>
              <w:spacing w:afterLines="60" w:after="144"/>
              <w:rPr>
                <w:b w:val="0"/>
                <w:bCs/>
                <w:sz w:val="20"/>
                <w:szCs w:val="20"/>
              </w:rPr>
            </w:pPr>
            <w:r w:rsidRPr="0057464A">
              <w:rPr>
                <w:b w:val="0"/>
                <w:bCs/>
                <w:sz w:val="20"/>
                <w:szCs w:val="20"/>
              </w:rPr>
              <w:t xml:space="preserve">Anna Louise Kimpton </w:t>
            </w:r>
          </w:p>
        </w:tc>
        <w:tc>
          <w:tcPr>
            <w:tcW w:w="24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EBDA" w:themeFill="text2"/>
          </w:tcPr>
          <w:p w14:paraId="06CC9736" w14:textId="65556458" w:rsidR="001650DF" w:rsidRPr="0057464A" w:rsidRDefault="001650DF" w:rsidP="0057464A">
            <w:pPr>
              <w:spacing w:afterLines="60" w:after="144"/>
              <w:cnfStyle w:val="000000000000" w:firstRow="0" w:lastRow="0" w:firstColumn="0" w:lastColumn="0" w:oddVBand="0" w:evenVBand="0" w:oddHBand="0" w:evenHBand="0" w:firstRowFirstColumn="0" w:firstRowLastColumn="0" w:lastRowFirstColumn="0" w:lastRowLastColumn="0"/>
              <w:rPr>
                <w:sz w:val="20"/>
                <w:szCs w:val="20"/>
              </w:rPr>
            </w:pPr>
            <w:r w:rsidRPr="0057464A">
              <w:rPr>
                <w:sz w:val="20"/>
                <w:szCs w:val="20"/>
              </w:rPr>
              <w:t>Erin Halligan</w:t>
            </w:r>
          </w:p>
        </w:tc>
      </w:tr>
      <w:tr w:rsidR="001650DF" w:rsidRPr="0057464A" w14:paraId="7366831A" w14:textId="087CDD87" w:rsidTr="00E1682B">
        <w:tc>
          <w:tcPr>
            <w:cnfStyle w:val="001000000000" w:firstRow="0" w:lastRow="0" w:firstColumn="1" w:lastColumn="0" w:oddVBand="0" w:evenVBand="0" w:oddHBand="0" w:evenHBand="0" w:firstRowFirstColumn="0" w:firstRowLastColumn="0" w:lastRowFirstColumn="0" w:lastRowLastColumn="0"/>
            <w:tcW w:w="25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A4676F" w14:textId="0DA98C68" w:rsidR="001650DF" w:rsidRPr="0057464A" w:rsidRDefault="001650DF" w:rsidP="0057464A">
            <w:pPr>
              <w:spacing w:afterLines="60" w:after="144"/>
              <w:rPr>
                <w:b w:val="0"/>
                <w:bCs/>
                <w:sz w:val="20"/>
                <w:szCs w:val="20"/>
              </w:rPr>
            </w:pPr>
            <w:r w:rsidRPr="0057464A">
              <w:rPr>
                <w:b w:val="0"/>
                <w:bCs/>
                <w:sz w:val="20"/>
                <w:szCs w:val="20"/>
              </w:rPr>
              <w:t>Fiona Shand</w:t>
            </w:r>
          </w:p>
        </w:tc>
        <w:tc>
          <w:tcPr>
            <w:tcW w:w="24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EBDA" w:themeFill="text2"/>
          </w:tcPr>
          <w:p w14:paraId="394B37E5" w14:textId="17F7733D" w:rsidR="001650DF" w:rsidRPr="0057464A" w:rsidRDefault="001650DF" w:rsidP="0057464A">
            <w:pPr>
              <w:spacing w:afterLines="60" w:after="144"/>
              <w:cnfStyle w:val="000000000000" w:firstRow="0" w:lastRow="0" w:firstColumn="0" w:lastColumn="0" w:oddVBand="0" w:evenVBand="0" w:oddHBand="0" w:evenHBand="0" w:firstRowFirstColumn="0" w:firstRowLastColumn="0" w:lastRowFirstColumn="0" w:lastRowLastColumn="0"/>
              <w:rPr>
                <w:sz w:val="20"/>
                <w:szCs w:val="20"/>
              </w:rPr>
            </w:pPr>
            <w:r w:rsidRPr="0057464A">
              <w:rPr>
                <w:sz w:val="20"/>
                <w:szCs w:val="20"/>
              </w:rPr>
              <w:t xml:space="preserve">Hope Saba </w:t>
            </w:r>
          </w:p>
        </w:tc>
      </w:tr>
      <w:tr w:rsidR="001650DF" w:rsidRPr="0057464A" w14:paraId="5B81D2D8" w14:textId="4721CA36" w:rsidTr="00E1682B">
        <w:tc>
          <w:tcPr>
            <w:cnfStyle w:val="001000000000" w:firstRow="0" w:lastRow="0" w:firstColumn="1" w:lastColumn="0" w:oddVBand="0" w:evenVBand="0" w:oddHBand="0" w:evenHBand="0" w:firstRowFirstColumn="0" w:firstRowLastColumn="0" w:lastRowFirstColumn="0" w:lastRowLastColumn="0"/>
            <w:tcW w:w="25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EC071EF" w14:textId="5581D3E5" w:rsidR="001650DF" w:rsidRPr="0057464A" w:rsidRDefault="001650DF" w:rsidP="0057464A">
            <w:pPr>
              <w:spacing w:afterLines="60" w:after="144"/>
              <w:rPr>
                <w:b w:val="0"/>
                <w:bCs/>
                <w:sz w:val="20"/>
                <w:szCs w:val="20"/>
              </w:rPr>
            </w:pPr>
            <w:r w:rsidRPr="0057464A">
              <w:rPr>
                <w:b w:val="0"/>
                <w:bCs/>
                <w:sz w:val="20"/>
                <w:szCs w:val="20"/>
              </w:rPr>
              <w:t>Gillian Clark</w:t>
            </w:r>
          </w:p>
        </w:tc>
        <w:tc>
          <w:tcPr>
            <w:tcW w:w="24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EBDA" w:themeFill="text2"/>
          </w:tcPr>
          <w:p w14:paraId="76575A1F" w14:textId="0B0CBAE3" w:rsidR="001650DF" w:rsidRPr="0057464A" w:rsidRDefault="001650DF" w:rsidP="0057464A">
            <w:pPr>
              <w:spacing w:afterLines="60" w:after="144"/>
              <w:cnfStyle w:val="000000000000" w:firstRow="0" w:lastRow="0" w:firstColumn="0" w:lastColumn="0" w:oddVBand="0" w:evenVBand="0" w:oddHBand="0" w:evenHBand="0" w:firstRowFirstColumn="0" w:firstRowLastColumn="0" w:lastRowFirstColumn="0" w:lastRowLastColumn="0"/>
              <w:rPr>
                <w:sz w:val="20"/>
                <w:szCs w:val="20"/>
              </w:rPr>
            </w:pPr>
            <w:r w:rsidRPr="0057464A">
              <w:rPr>
                <w:sz w:val="20"/>
                <w:szCs w:val="20"/>
              </w:rPr>
              <w:t>Jay Pickard</w:t>
            </w:r>
          </w:p>
        </w:tc>
      </w:tr>
      <w:tr w:rsidR="001650DF" w:rsidRPr="0057464A" w14:paraId="1B5AB6D9" w14:textId="4A0F06CD" w:rsidTr="00E1682B">
        <w:tc>
          <w:tcPr>
            <w:cnfStyle w:val="001000000000" w:firstRow="0" w:lastRow="0" w:firstColumn="1" w:lastColumn="0" w:oddVBand="0" w:evenVBand="0" w:oddHBand="0" w:evenHBand="0" w:firstRowFirstColumn="0" w:firstRowLastColumn="0" w:lastRowFirstColumn="0" w:lastRowLastColumn="0"/>
            <w:tcW w:w="25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828E00" w14:textId="585C662A" w:rsidR="001650DF" w:rsidRPr="0057464A" w:rsidRDefault="001650DF" w:rsidP="0057464A">
            <w:pPr>
              <w:spacing w:afterLines="60" w:after="144"/>
              <w:rPr>
                <w:b w:val="0"/>
                <w:bCs/>
                <w:sz w:val="20"/>
                <w:szCs w:val="20"/>
              </w:rPr>
            </w:pPr>
            <w:r w:rsidRPr="0057464A">
              <w:rPr>
                <w:b w:val="0"/>
                <w:bCs/>
                <w:sz w:val="20"/>
                <w:szCs w:val="20"/>
              </w:rPr>
              <w:t xml:space="preserve">Joe Ball </w:t>
            </w:r>
          </w:p>
        </w:tc>
        <w:tc>
          <w:tcPr>
            <w:tcW w:w="24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EBDA" w:themeFill="text2"/>
          </w:tcPr>
          <w:p w14:paraId="3D84CDF3" w14:textId="026A5423" w:rsidR="001650DF" w:rsidRPr="0057464A" w:rsidRDefault="001650DF" w:rsidP="0057464A">
            <w:pPr>
              <w:spacing w:afterLines="60" w:after="144"/>
              <w:cnfStyle w:val="000000000000" w:firstRow="0" w:lastRow="0" w:firstColumn="0" w:lastColumn="0" w:oddVBand="0" w:evenVBand="0" w:oddHBand="0" w:evenHBand="0" w:firstRowFirstColumn="0" w:firstRowLastColumn="0" w:lastRowFirstColumn="0" w:lastRowLastColumn="0"/>
              <w:rPr>
                <w:sz w:val="20"/>
                <w:szCs w:val="20"/>
              </w:rPr>
            </w:pPr>
            <w:r w:rsidRPr="0057464A">
              <w:rPr>
                <w:sz w:val="20"/>
                <w:szCs w:val="20"/>
              </w:rPr>
              <w:t xml:space="preserve">Jo Robinson </w:t>
            </w:r>
          </w:p>
        </w:tc>
      </w:tr>
      <w:tr w:rsidR="001650DF" w:rsidRPr="0057464A" w14:paraId="32E3618D" w14:textId="5A348211" w:rsidTr="00E1682B">
        <w:tc>
          <w:tcPr>
            <w:cnfStyle w:val="001000000000" w:firstRow="0" w:lastRow="0" w:firstColumn="1" w:lastColumn="0" w:oddVBand="0" w:evenVBand="0" w:oddHBand="0" w:evenHBand="0" w:firstRowFirstColumn="0" w:firstRowLastColumn="0" w:lastRowFirstColumn="0" w:lastRowLastColumn="0"/>
            <w:tcW w:w="25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255EC7" w14:textId="08E64084" w:rsidR="001650DF" w:rsidRPr="0057464A" w:rsidRDefault="001650DF" w:rsidP="0057464A">
            <w:pPr>
              <w:spacing w:afterLines="60" w:after="144"/>
              <w:rPr>
                <w:b w:val="0"/>
                <w:bCs/>
                <w:sz w:val="20"/>
                <w:szCs w:val="20"/>
              </w:rPr>
            </w:pPr>
            <w:r w:rsidRPr="0057464A">
              <w:rPr>
                <w:b w:val="0"/>
                <w:bCs/>
                <w:sz w:val="20"/>
                <w:szCs w:val="20"/>
              </w:rPr>
              <w:t xml:space="preserve">Kathryn Mandla </w:t>
            </w:r>
          </w:p>
        </w:tc>
        <w:tc>
          <w:tcPr>
            <w:tcW w:w="24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EBDA" w:themeFill="text2"/>
          </w:tcPr>
          <w:p w14:paraId="2B6E9D2B" w14:textId="442A62A2" w:rsidR="001650DF" w:rsidRPr="0057464A" w:rsidRDefault="001650DF" w:rsidP="0057464A">
            <w:pPr>
              <w:spacing w:afterLines="60" w:after="144"/>
              <w:cnfStyle w:val="000000000000" w:firstRow="0" w:lastRow="0" w:firstColumn="0" w:lastColumn="0" w:oddVBand="0" w:evenVBand="0" w:oddHBand="0" w:evenHBand="0" w:firstRowFirstColumn="0" w:firstRowLastColumn="0" w:lastRowFirstColumn="0" w:lastRowLastColumn="0"/>
              <w:rPr>
                <w:sz w:val="20"/>
                <w:szCs w:val="20"/>
              </w:rPr>
            </w:pPr>
            <w:r w:rsidRPr="0057464A">
              <w:rPr>
                <w:sz w:val="20"/>
                <w:szCs w:val="20"/>
              </w:rPr>
              <w:t>Joyce Chia</w:t>
            </w:r>
          </w:p>
        </w:tc>
      </w:tr>
      <w:tr w:rsidR="001650DF" w:rsidRPr="0057464A" w14:paraId="1FDBCEE5" w14:textId="325193F9" w:rsidTr="00E1682B">
        <w:tc>
          <w:tcPr>
            <w:cnfStyle w:val="001000000000" w:firstRow="0" w:lastRow="0" w:firstColumn="1" w:lastColumn="0" w:oddVBand="0" w:evenVBand="0" w:oddHBand="0" w:evenHBand="0" w:firstRowFirstColumn="0" w:firstRowLastColumn="0" w:lastRowFirstColumn="0" w:lastRowLastColumn="0"/>
            <w:tcW w:w="25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222122" w14:textId="7B094337" w:rsidR="001650DF" w:rsidRPr="0057464A" w:rsidRDefault="001650DF" w:rsidP="0057464A">
            <w:pPr>
              <w:spacing w:afterLines="60" w:after="144"/>
              <w:rPr>
                <w:b w:val="0"/>
                <w:bCs/>
                <w:sz w:val="20"/>
                <w:szCs w:val="20"/>
              </w:rPr>
            </w:pPr>
            <w:r w:rsidRPr="0057464A">
              <w:rPr>
                <w:b w:val="0"/>
                <w:bCs/>
                <w:sz w:val="20"/>
                <w:szCs w:val="20"/>
              </w:rPr>
              <w:t>Melinda Benson</w:t>
            </w:r>
          </w:p>
        </w:tc>
        <w:tc>
          <w:tcPr>
            <w:tcW w:w="24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EBDA" w:themeFill="text2"/>
          </w:tcPr>
          <w:p w14:paraId="7EA695F0" w14:textId="2916C93B" w:rsidR="001650DF" w:rsidRPr="0057464A" w:rsidRDefault="001650DF" w:rsidP="0057464A">
            <w:pPr>
              <w:spacing w:afterLines="60" w:after="144"/>
              <w:cnfStyle w:val="000000000000" w:firstRow="0" w:lastRow="0" w:firstColumn="0" w:lastColumn="0" w:oddVBand="0" w:evenVBand="0" w:oddHBand="0" w:evenHBand="0" w:firstRowFirstColumn="0" w:firstRowLastColumn="0" w:lastRowFirstColumn="0" w:lastRowLastColumn="0"/>
              <w:rPr>
                <w:sz w:val="20"/>
                <w:szCs w:val="20"/>
              </w:rPr>
            </w:pPr>
            <w:r w:rsidRPr="0057464A">
              <w:rPr>
                <w:sz w:val="20"/>
                <w:szCs w:val="20"/>
              </w:rPr>
              <w:t xml:space="preserve">Kate Finch </w:t>
            </w:r>
          </w:p>
        </w:tc>
      </w:tr>
      <w:tr w:rsidR="001650DF" w:rsidRPr="0057464A" w14:paraId="36D9A272" w14:textId="0F10DEA9" w:rsidTr="00E1682B">
        <w:tc>
          <w:tcPr>
            <w:cnfStyle w:val="001000000000" w:firstRow="0" w:lastRow="0" w:firstColumn="1" w:lastColumn="0" w:oddVBand="0" w:evenVBand="0" w:oddHBand="0" w:evenHBand="0" w:firstRowFirstColumn="0" w:firstRowLastColumn="0" w:lastRowFirstColumn="0" w:lastRowLastColumn="0"/>
            <w:tcW w:w="25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9CF5DE" w14:textId="62933652" w:rsidR="001650DF" w:rsidRPr="0057464A" w:rsidRDefault="001650DF" w:rsidP="0057464A">
            <w:pPr>
              <w:spacing w:afterLines="60" w:after="144"/>
              <w:rPr>
                <w:b w:val="0"/>
                <w:bCs/>
                <w:sz w:val="20"/>
                <w:szCs w:val="20"/>
              </w:rPr>
            </w:pPr>
            <w:r w:rsidRPr="0057464A">
              <w:rPr>
                <w:b w:val="0"/>
                <w:bCs/>
                <w:sz w:val="20"/>
                <w:szCs w:val="20"/>
              </w:rPr>
              <w:t xml:space="preserve">Nicole Falkiner </w:t>
            </w:r>
          </w:p>
        </w:tc>
        <w:tc>
          <w:tcPr>
            <w:tcW w:w="24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EBDA" w:themeFill="text2"/>
          </w:tcPr>
          <w:p w14:paraId="153AAAA0" w14:textId="6A32A7E2" w:rsidR="001650DF" w:rsidRPr="0057464A" w:rsidRDefault="001650DF" w:rsidP="0057464A">
            <w:pPr>
              <w:spacing w:afterLines="60" w:after="144"/>
              <w:cnfStyle w:val="000000000000" w:firstRow="0" w:lastRow="0" w:firstColumn="0" w:lastColumn="0" w:oddVBand="0" w:evenVBand="0" w:oddHBand="0" w:evenHBand="0" w:firstRowFirstColumn="0" w:firstRowLastColumn="0" w:lastRowFirstColumn="0" w:lastRowLastColumn="0"/>
              <w:rPr>
                <w:sz w:val="20"/>
                <w:szCs w:val="20"/>
              </w:rPr>
            </w:pPr>
            <w:r w:rsidRPr="0057464A">
              <w:rPr>
                <w:sz w:val="20"/>
                <w:szCs w:val="20"/>
              </w:rPr>
              <w:t>Katrina Armstrong</w:t>
            </w:r>
          </w:p>
        </w:tc>
      </w:tr>
      <w:tr w:rsidR="001650DF" w:rsidRPr="0057464A" w14:paraId="0962D85B" w14:textId="243C6DE0" w:rsidTr="00E1682B">
        <w:tc>
          <w:tcPr>
            <w:cnfStyle w:val="001000000000" w:firstRow="0" w:lastRow="0" w:firstColumn="1" w:lastColumn="0" w:oddVBand="0" w:evenVBand="0" w:oddHBand="0" w:evenHBand="0" w:firstRowFirstColumn="0" w:firstRowLastColumn="0" w:lastRowFirstColumn="0" w:lastRowLastColumn="0"/>
            <w:tcW w:w="25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39D28B" w14:textId="39B8E471" w:rsidR="001650DF" w:rsidRPr="0057464A" w:rsidRDefault="001650DF" w:rsidP="0057464A">
            <w:pPr>
              <w:spacing w:afterLines="60" w:after="144"/>
              <w:rPr>
                <w:b w:val="0"/>
                <w:bCs/>
                <w:sz w:val="20"/>
                <w:szCs w:val="20"/>
              </w:rPr>
            </w:pPr>
            <w:r w:rsidRPr="0057464A">
              <w:rPr>
                <w:b w:val="0"/>
                <w:bCs/>
                <w:sz w:val="20"/>
                <w:szCs w:val="20"/>
              </w:rPr>
              <w:t>Peter Anderson</w:t>
            </w:r>
          </w:p>
        </w:tc>
        <w:tc>
          <w:tcPr>
            <w:tcW w:w="24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EBDA" w:themeFill="text2"/>
          </w:tcPr>
          <w:p w14:paraId="3D4FECB0" w14:textId="345F85EF" w:rsidR="001650DF" w:rsidRPr="0057464A" w:rsidRDefault="001650DF" w:rsidP="0057464A">
            <w:pPr>
              <w:spacing w:afterLines="60" w:after="144"/>
              <w:cnfStyle w:val="000000000000" w:firstRow="0" w:lastRow="0" w:firstColumn="0" w:lastColumn="0" w:oddVBand="0" w:evenVBand="0" w:oddHBand="0" w:evenHBand="0" w:firstRowFirstColumn="0" w:firstRowLastColumn="0" w:lastRowFirstColumn="0" w:lastRowLastColumn="0"/>
              <w:rPr>
                <w:sz w:val="20"/>
                <w:szCs w:val="20"/>
              </w:rPr>
            </w:pPr>
            <w:r w:rsidRPr="0057464A">
              <w:rPr>
                <w:sz w:val="20"/>
                <w:szCs w:val="20"/>
              </w:rPr>
              <w:t xml:space="preserve">Kerry Gleeson </w:t>
            </w:r>
          </w:p>
        </w:tc>
      </w:tr>
      <w:tr w:rsidR="001650DF" w:rsidRPr="0057464A" w14:paraId="00CF86E8" w14:textId="0DC2E902" w:rsidTr="00E1682B">
        <w:tc>
          <w:tcPr>
            <w:cnfStyle w:val="001000000000" w:firstRow="0" w:lastRow="0" w:firstColumn="1" w:lastColumn="0" w:oddVBand="0" w:evenVBand="0" w:oddHBand="0" w:evenHBand="0" w:firstRowFirstColumn="0" w:firstRowLastColumn="0" w:lastRowFirstColumn="0" w:lastRowLastColumn="0"/>
            <w:tcW w:w="25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12CB04" w14:textId="1B66A5A8" w:rsidR="001650DF" w:rsidRPr="0057464A" w:rsidRDefault="001650DF" w:rsidP="0057464A">
            <w:pPr>
              <w:spacing w:afterLines="60" w:after="144"/>
              <w:rPr>
                <w:b w:val="0"/>
                <w:bCs/>
                <w:sz w:val="20"/>
                <w:szCs w:val="20"/>
              </w:rPr>
            </w:pPr>
            <w:r w:rsidRPr="0057464A">
              <w:rPr>
                <w:b w:val="0"/>
                <w:bCs/>
                <w:sz w:val="20"/>
                <w:szCs w:val="20"/>
              </w:rPr>
              <w:t>Stephen Carbone</w:t>
            </w:r>
          </w:p>
        </w:tc>
        <w:tc>
          <w:tcPr>
            <w:tcW w:w="24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EBDA" w:themeFill="text2"/>
          </w:tcPr>
          <w:p w14:paraId="0971B6BE" w14:textId="4FA1ECD4" w:rsidR="001650DF" w:rsidRPr="0057464A" w:rsidRDefault="001650DF" w:rsidP="0057464A">
            <w:pPr>
              <w:spacing w:afterLines="60" w:after="144"/>
              <w:cnfStyle w:val="000000000000" w:firstRow="0" w:lastRow="0" w:firstColumn="0" w:lastColumn="0" w:oddVBand="0" w:evenVBand="0" w:oddHBand="0" w:evenHBand="0" w:firstRowFirstColumn="0" w:firstRowLastColumn="0" w:lastRowFirstColumn="0" w:lastRowLastColumn="0"/>
              <w:rPr>
                <w:sz w:val="20"/>
                <w:szCs w:val="20"/>
              </w:rPr>
            </w:pPr>
            <w:r w:rsidRPr="0057464A">
              <w:rPr>
                <w:sz w:val="20"/>
                <w:szCs w:val="20"/>
              </w:rPr>
              <w:t>Luke Lindsay</w:t>
            </w:r>
          </w:p>
        </w:tc>
      </w:tr>
      <w:tr w:rsidR="001650DF" w:rsidRPr="0057464A" w14:paraId="391E092D" w14:textId="2A846180" w:rsidTr="00E1682B">
        <w:tc>
          <w:tcPr>
            <w:cnfStyle w:val="001000000000" w:firstRow="0" w:lastRow="0" w:firstColumn="1" w:lastColumn="0" w:oddVBand="0" w:evenVBand="0" w:oddHBand="0" w:evenHBand="0" w:firstRowFirstColumn="0" w:firstRowLastColumn="0" w:lastRowFirstColumn="0" w:lastRowLastColumn="0"/>
            <w:tcW w:w="25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771DE4" w14:textId="322DFFB7" w:rsidR="001650DF" w:rsidRPr="0057464A" w:rsidRDefault="001650DF" w:rsidP="0057464A">
            <w:pPr>
              <w:spacing w:afterLines="60" w:after="144"/>
              <w:rPr>
                <w:b w:val="0"/>
                <w:bCs/>
                <w:sz w:val="20"/>
                <w:szCs w:val="20"/>
              </w:rPr>
            </w:pPr>
            <w:r w:rsidRPr="0057464A">
              <w:rPr>
                <w:b w:val="0"/>
                <w:bCs/>
                <w:sz w:val="20"/>
                <w:szCs w:val="20"/>
              </w:rPr>
              <w:t>Stephen Scott</w:t>
            </w:r>
          </w:p>
        </w:tc>
        <w:tc>
          <w:tcPr>
            <w:tcW w:w="24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EBDA" w:themeFill="text2"/>
          </w:tcPr>
          <w:p w14:paraId="339D24BF" w14:textId="1207540A" w:rsidR="001650DF" w:rsidRPr="0057464A" w:rsidRDefault="001650DF" w:rsidP="0057464A">
            <w:pPr>
              <w:spacing w:afterLines="60" w:after="144"/>
              <w:cnfStyle w:val="000000000000" w:firstRow="0" w:lastRow="0" w:firstColumn="0" w:lastColumn="0" w:oddVBand="0" w:evenVBand="0" w:oddHBand="0" w:evenHBand="0" w:firstRowFirstColumn="0" w:firstRowLastColumn="0" w:lastRowFirstColumn="0" w:lastRowLastColumn="0"/>
              <w:rPr>
                <w:sz w:val="20"/>
                <w:szCs w:val="20"/>
              </w:rPr>
            </w:pPr>
            <w:r w:rsidRPr="0057464A">
              <w:rPr>
                <w:sz w:val="20"/>
                <w:szCs w:val="20"/>
              </w:rPr>
              <w:t xml:space="preserve">Maria Cassaniti </w:t>
            </w:r>
          </w:p>
        </w:tc>
      </w:tr>
      <w:tr w:rsidR="001650DF" w:rsidRPr="0057464A" w14:paraId="2C6DD29C" w14:textId="56744618" w:rsidTr="00E1682B">
        <w:tc>
          <w:tcPr>
            <w:cnfStyle w:val="001000000000" w:firstRow="0" w:lastRow="0" w:firstColumn="1" w:lastColumn="0" w:oddVBand="0" w:evenVBand="0" w:oddHBand="0" w:evenHBand="0" w:firstRowFirstColumn="0" w:firstRowLastColumn="0" w:lastRowFirstColumn="0" w:lastRowLastColumn="0"/>
            <w:tcW w:w="25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52DF36" w14:textId="3D301A12" w:rsidR="001650DF" w:rsidRPr="0057464A" w:rsidRDefault="001650DF" w:rsidP="0057464A">
            <w:pPr>
              <w:spacing w:afterLines="60" w:after="144"/>
              <w:rPr>
                <w:b w:val="0"/>
                <w:bCs/>
                <w:sz w:val="20"/>
                <w:szCs w:val="20"/>
              </w:rPr>
            </w:pPr>
            <w:r w:rsidRPr="0057464A">
              <w:rPr>
                <w:b w:val="0"/>
                <w:bCs/>
                <w:sz w:val="20"/>
                <w:szCs w:val="20"/>
              </w:rPr>
              <w:t>Stephanie Trainor</w:t>
            </w:r>
          </w:p>
        </w:tc>
        <w:tc>
          <w:tcPr>
            <w:tcW w:w="24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EBDA" w:themeFill="text2"/>
          </w:tcPr>
          <w:p w14:paraId="45B1F636" w14:textId="3E2FC100" w:rsidR="001650DF" w:rsidRPr="0057464A" w:rsidRDefault="001650DF" w:rsidP="0057464A">
            <w:pPr>
              <w:spacing w:afterLines="60" w:after="144"/>
              <w:cnfStyle w:val="000000000000" w:firstRow="0" w:lastRow="0" w:firstColumn="0" w:lastColumn="0" w:oddVBand="0" w:evenVBand="0" w:oddHBand="0" w:evenHBand="0" w:firstRowFirstColumn="0" w:firstRowLastColumn="0" w:lastRowFirstColumn="0" w:lastRowLastColumn="0"/>
              <w:rPr>
                <w:sz w:val="20"/>
                <w:szCs w:val="20"/>
              </w:rPr>
            </w:pPr>
            <w:r w:rsidRPr="0057464A">
              <w:rPr>
                <w:sz w:val="20"/>
                <w:szCs w:val="20"/>
              </w:rPr>
              <w:t>Marion Byrne</w:t>
            </w:r>
          </w:p>
        </w:tc>
      </w:tr>
      <w:tr w:rsidR="001650DF" w:rsidRPr="0057464A" w14:paraId="3DEB08EB" w14:textId="2D19E0FE" w:rsidTr="00E1682B">
        <w:tc>
          <w:tcPr>
            <w:cnfStyle w:val="001000000000" w:firstRow="0" w:lastRow="0" w:firstColumn="1" w:lastColumn="0" w:oddVBand="0" w:evenVBand="0" w:oddHBand="0" w:evenHBand="0" w:firstRowFirstColumn="0" w:firstRowLastColumn="0" w:lastRowFirstColumn="0" w:lastRowLastColumn="0"/>
            <w:tcW w:w="25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C358304" w14:textId="5D746206" w:rsidR="001650DF" w:rsidRPr="0057464A" w:rsidRDefault="001650DF" w:rsidP="0057464A">
            <w:pPr>
              <w:spacing w:afterLines="60" w:after="144"/>
              <w:rPr>
                <w:b w:val="0"/>
                <w:bCs/>
                <w:sz w:val="20"/>
                <w:szCs w:val="20"/>
              </w:rPr>
            </w:pPr>
            <w:r w:rsidRPr="0057464A">
              <w:rPr>
                <w:b w:val="0"/>
                <w:bCs/>
                <w:sz w:val="20"/>
                <w:szCs w:val="20"/>
              </w:rPr>
              <w:t>Thomas Jessup</w:t>
            </w:r>
          </w:p>
        </w:tc>
        <w:tc>
          <w:tcPr>
            <w:tcW w:w="24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EBDA" w:themeFill="text2"/>
          </w:tcPr>
          <w:p w14:paraId="54D94E15" w14:textId="490BEDC6" w:rsidR="001650DF" w:rsidRPr="0057464A" w:rsidRDefault="001650DF" w:rsidP="0057464A">
            <w:pPr>
              <w:spacing w:afterLines="60" w:after="144"/>
              <w:cnfStyle w:val="000000000000" w:firstRow="0" w:lastRow="0" w:firstColumn="0" w:lastColumn="0" w:oddVBand="0" w:evenVBand="0" w:oddHBand="0" w:evenHBand="0" w:firstRowFirstColumn="0" w:firstRowLastColumn="0" w:lastRowFirstColumn="0" w:lastRowLastColumn="0"/>
              <w:rPr>
                <w:sz w:val="20"/>
                <w:szCs w:val="20"/>
              </w:rPr>
            </w:pPr>
            <w:r w:rsidRPr="0057464A">
              <w:rPr>
                <w:sz w:val="20"/>
                <w:szCs w:val="20"/>
              </w:rPr>
              <w:t>Mark Ellis</w:t>
            </w:r>
          </w:p>
        </w:tc>
      </w:tr>
      <w:tr w:rsidR="001650DF" w:rsidRPr="0057464A" w14:paraId="128B060C" w14:textId="6105F0E9" w:rsidTr="00E1682B">
        <w:tc>
          <w:tcPr>
            <w:cnfStyle w:val="001000000000" w:firstRow="0" w:lastRow="0" w:firstColumn="1" w:lastColumn="0" w:oddVBand="0" w:evenVBand="0" w:oddHBand="0" w:evenHBand="0" w:firstRowFirstColumn="0" w:firstRowLastColumn="0" w:lastRowFirstColumn="0" w:lastRowLastColumn="0"/>
            <w:tcW w:w="25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C1E62D" w14:textId="2A066A96" w:rsidR="001650DF" w:rsidRPr="0057464A" w:rsidRDefault="001650DF" w:rsidP="0057464A">
            <w:pPr>
              <w:spacing w:afterLines="60" w:after="144"/>
              <w:rPr>
                <w:b w:val="0"/>
                <w:bCs/>
                <w:sz w:val="20"/>
                <w:szCs w:val="20"/>
              </w:rPr>
            </w:pPr>
            <w:r w:rsidRPr="0057464A">
              <w:rPr>
                <w:b w:val="0"/>
                <w:bCs/>
                <w:sz w:val="20"/>
                <w:szCs w:val="20"/>
              </w:rPr>
              <w:t>Tim Keane</w:t>
            </w:r>
          </w:p>
        </w:tc>
        <w:tc>
          <w:tcPr>
            <w:tcW w:w="24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EBDA" w:themeFill="text2"/>
          </w:tcPr>
          <w:p w14:paraId="3BF811EE" w14:textId="69AD976C" w:rsidR="001650DF" w:rsidRPr="0057464A" w:rsidRDefault="001650DF" w:rsidP="0057464A">
            <w:pPr>
              <w:spacing w:afterLines="60" w:after="144"/>
              <w:cnfStyle w:val="000000000000" w:firstRow="0" w:lastRow="0" w:firstColumn="0" w:lastColumn="0" w:oddVBand="0" w:evenVBand="0" w:oddHBand="0" w:evenHBand="0" w:firstRowFirstColumn="0" w:firstRowLastColumn="0" w:lastRowFirstColumn="0" w:lastRowLastColumn="0"/>
              <w:rPr>
                <w:sz w:val="20"/>
                <w:szCs w:val="20"/>
              </w:rPr>
            </w:pPr>
            <w:r w:rsidRPr="0057464A">
              <w:rPr>
                <w:sz w:val="20"/>
                <w:szCs w:val="20"/>
              </w:rPr>
              <w:t>Mike Nolan</w:t>
            </w:r>
          </w:p>
        </w:tc>
      </w:tr>
      <w:tr w:rsidR="001650DF" w:rsidRPr="0057464A" w14:paraId="1330F1D7" w14:textId="1B6101B6" w:rsidTr="00E1682B">
        <w:tc>
          <w:tcPr>
            <w:cnfStyle w:val="001000000000" w:firstRow="0" w:lastRow="0" w:firstColumn="1" w:lastColumn="0" w:oddVBand="0" w:evenVBand="0" w:oddHBand="0" w:evenHBand="0" w:firstRowFirstColumn="0" w:firstRowLastColumn="0" w:lastRowFirstColumn="0" w:lastRowLastColumn="0"/>
            <w:tcW w:w="25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A73B626" w14:textId="3C91711D" w:rsidR="001650DF" w:rsidRPr="0057464A" w:rsidRDefault="001650DF" w:rsidP="0057464A">
            <w:pPr>
              <w:spacing w:afterLines="60" w:after="144"/>
              <w:rPr>
                <w:b w:val="0"/>
                <w:bCs/>
                <w:sz w:val="20"/>
                <w:szCs w:val="20"/>
              </w:rPr>
            </w:pPr>
            <w:r w:rsidRPr="0057464A">
              <w:rPr>
                <w:b w:val="0"/>
                <w:bCs/>
                <w:sz w:val="20"/>
                <w:szCs w:val="20"/>
              </w:rPr>
              <w:t>Zaccariah Cox</w:t>
            </w:r>
          </w:p>
        </w:tc>
        <w:tc>
          <w:tcPr>
            <w:tcW w:w="24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EBDA" w:themeFill="text2"/>
          </w:tcPr>
          <w:p w14:paraId="738B6BF2" w14:textId="439709EA" w:rsidR="001650DF" w:rsidRPr="0057464A" w:rsidRDefault="001650DF" w:rsidP="0057464A">
            <w:pPr>
              <w:spacing w:afterLines="60" w:after="144"/>
              <w:cnfStyle w:val="000000000000" w:firstRow="0" w:lastRow="0" w:firstColumn="0" w:lastColumn="0" w:oddVBand="0" w:evenVBand="0" w:oddHBand="0" w:evenHBand="0" w:firstRowFirstColumn="0" w:firstRowLastColumn="0" w:lastRowFirstColumn="0" w:lastRowLastColumn="0"/>
              <w:rPr>
                <w:sz w:val="20"/>
                <w:szCs w:val="20"/>
              </w:rPr>
            </w:pPr>
            <w:r w:rsidRPr="0057464A">
              <w:rPr>
                <w:sz w:val="20"/>
                <w:szCs w:val="20"/>
              </w:rPr>
              <w:t xml:space="preserve">Monica Barolits-McCabe </w:t>
            </w:r>
          </w:p>
        </w:tc>
      </w:tr>
      <w:tr w:rsidR="001650DF" w:rsidRPr="0057464A" w14:paraId="692F0A58" w14:textId="77777777" w:rsidTr="00E1682B">
        <w:tc>
          <w:tcPr>
            <w:cnfStyle w:val="001000000000" w:firstRow="0" w:lastRow="0" w:firstColumn="1" w:lastColumn="0" w:oddVBand="0" w:evenVBand="0" w:oddHBand="0" w:evenHBand="0" w:firstRowFirstColumn="0" w:firstRowLastColumn="0" w:lastRowFirstColumn="0" w:lastRowLastColumn="0"/>
            <w:tcW w:w="25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81BE5E" w14:textId="77777777" w:rsidR="001650DF" w:rsidRPr="0057464A" w:rsidRDefault="001650DF" w:rsidP="0057464A">
            <w:pPr>
              <w:spacing w:afterLines="60" w:after="144"/>
              <w:rPr>
                <w:sz w:val="20"/>
                <w:szCs w:val="20"/>
              </w:rPr>
            </w:pPr>
          </w:p>
        </w:tc>
        <w:tc>
          <w:tcPr>
            <w:tcW w:w="24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EBDA" w:themeFill="text2"/>
          </w:tcPr>
          <w:p w14:paraId="6B71008D" w14:textId="6C7F8A95" w:rsidR="001650DF" w:rsidRPr="0057464A" w:rsidRDefault="001650DF" w:rsidP="0057464A">
            <w:pPr>
              <w:spacing w:afterLines="60" w:after="144"/>
              <w:cnfStyle w:val="000000000000" w:firstRow="0" w:lastRow="0" w:firstColumn="0" w:lastColumn="0" w:oddVBand="0" w:evenVBand="0" w:oddHBand="0" w:evenHBand="0" w:firstRowFirstColumn="0" w:firstRowLastColumn="0" w:lastRowFirstColumn="0" w:lastRowLastColumn="0"/>
              <w:rPr>
                <w:sz w:val="20"/>
                <w:szCs w:val="20"/>
              </w:rPr>
            </w:pPr>
            <w:r w:rsidRPr="0057464A">
              <w:rPr>
                <w:sz w:val="20"/>
                <w:szCs w:val="20"/>
              </w:rPr>
              <w:t>Nicholas Proct</w:t>
            </w:r>
            <w:r w:rsidR="00D81101">
              <w:rPr>
                <w:sz w:val="20"/>
                <w:szCs w:val="20"/>
              </w:rPr>
              <w:t>e</w:t>
            </w:r>
            <w:r w:rsidRPr="0057464A">
              <w:rPr>
                <w:sz w:val="20"/>
                <w:szCs w:val="20"/>
              </w:rPr>
              <w:t>r</w:t>
            </w:r>
          </w:p>
        </w:tc>
      </w:tr>
      <w:tr w:rsidR="001650DF" w:rsidRPr="0057464A" w14:paraId="29A5EF3A" w14:textId="77777777" w:rsidTr="00E1682B">
        <w:tc>
          <w:tcPr>
            <w:cnfStyle w:val="001000000000" w:firstRow="0" w:lastRow="0" w:firstColumn="1" w:lastColumn="0" w:oddVBand="0" w:evenVBand="0" w:oddHBand="0" w:evenHBand="0" w:firstRowFirstColumn="0" w:firstRowLastColumn="0" w:lastRowFirstColumn="0" w:lastRowLastColumn="0"/>
            <w:tcW w:w="25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2AA63E" w14:textId="77777777" w:rsidR="001650DF" w:rsidRPr="0057464A" w:rsidRDefault="001650DF" w:rsidP="0057464A">
            <w:pPr>
              <w:spacing w:afterLines="60" w:after="144"/>
              <w:rPr>
                <w:sz w:val="20"/>
                <w:szCs w:val="20"/>
              </w:rPr>
            </w:pPr>
          </w:p>
        </w:tc>
        <w:tc>
          <w:tcPr>
            <w:tcW w:w="24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EBDA" w:themeFill="text2"/>
          </w:tcPr>
          <w:p w14:paraId="2B384B1A" w14:textId="5DD7422F" w:rsidR="001650DF" w:rsidRPr="0057464A" w:rsidRDefault="001650DF" w:rsidP="0057464A">
            <w:pPr>
              <w:spacing w:afterLines="60" w:after="144"/>
              <w:cnfStyle w:val="000000000000" w:firstRow="0" w:lastRow="0" w:firstColumn="0" w:lastColumn="0" w:oddVBand="0" w:evenVBand="0" w:oddHBand="0" w:evenHBand="0" w:firstRowFirstColumn="0" w:firstRowLastColumn="0" w:lastRowFirstColumn="0" w:lastRowLastColumn="0"/>
              <w:rPr>
                <w:sz w:val="20"/>
                <w:szCs w:val="20"/>
              </w:rPr>
            </w:pPr>
            <w:r w:rsidRPr="0057464A">
              <w:rPr>
                <w:sz w:val="20"/>
                <w:szCs w:val="20"/>
              </w:rPr>
              <w:t>Nikki Jamieson</w:t>
            </w:r>
          </w:p>
        </w:tc>
      </w:tr>
      <w:tr w:rsidR="001650DF" w:rsidRPr="0057464A" w14:paraId="40464E67" w14:textId="77777777" w:rsidTr="00E1682B">
        <w:tc>
          <w:tcPr>
            <w:cnfStyle w:val="001000000000" w:firstRow="0" w:lastRow="0" w:firstColumn="1" w:lastColumn="0" w:oddVBand="0" w:evenVBand="0" w:oddHBand="0" w:evenHBand="0" w:firstRowFirstColumn="0" w:firstRowLastColumn="0" w:lastRowFirstColumn="0" w:lastRowLastColumn="0"/>
            <w:tcW w:w="25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7F2E20" w14:textId="77777777" w:rsidR="001650DF" w:rsidRPr="0057464A" w:rsidRDefault="001650DF" w:rsidP="0057464A">
            <w:pPr>
              <w:spacing w:afterLines="60" w:after="144"/>
              <w:rPr>
                <w:sz w:val="20"/>
                <w:szCs w:val="20"/>
              </w:rPr>
            </w:pPr>
          </w:p>
        </w:tc>
        <w:tc>
          <w:tcPr>
            <w:tcW w:w="24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FEBDA" w:themeFill="text2"/>
          </w:tcPr>
          <w:p w14:paraId="59197264" w14:textId="643AAAB8" w:rsidR="001650DF" w:rsidRPr="0057464A" w:rsidRDefault="001650DF" w:rsidP="0057464A">
            <w:pPr>
              <w:spacing w:afterLines="60" w:after="144"/>
              <w:cnfStyle w:val="000000000000" w:firstRow="0" w:lastRow="0" w:firstColumn="0" w:lastColumn="0" w:oddVBand="0" w:evenVBand="0" w:oddHBand="0" w:evenHBand="0" w:firstRowFirstColumn="0" w:firstRowLastColumn="0" w:lastRowFirstColumn="0" w:lastRowLastColumn="0"/>
              <w:rPr>
                <w:sz w:val="20"/>
                <w:szCs w:val="20"/>
              </w:rPr>
            </w:pPr>
            <w:r w:rsidRPr="0057464A">
              <w:rPr>
                <w:sz w:val="20"/>
                <w:szCs w:val="20"/>
              </w:rPr>
              <w:t>Sam Cruickshank</w:t>
            </w:r>
          </w:p>
        </w:tc>
      </w:tr>
    </w:tbl>
    <w:p w14:paraId="1A2E28DF" w14:textId="77777777" w:rsidR="000706F3" w:rsidRDefault="000706F3" w:rsidP="00745B34">
      <w:pPr>
        <w:pStyle w:val="Caption"/>
      </w:pPr>
    </w:p>
    <w:p w14:paraId="0231C27A" w14:textId="77777777" w:rsidR="00682A5B" w:rsidRDefault="00132A09" w:rsidP="00745B34">
      <w:pPr>
        <w:pStyle w:val="Caption"/>
      </w:pPr>
      <w:r>
        <w:t xml:space="preserve"> </w:t>
      </w:r>
    </w:p>
    <w:p w14:paraId="6AE3E355" w14:textId="77777777" w:rsidR="009973C6" w:rsidRPr="009973C6" w:rsidRDefault="009973C6" w:rsidP="009973C6"/>
    <w:p w14:paraId="49F6C9AD" w14:textId="77777777" w:rsidR="009973C6" w:rsidRPr="009973C6" w:rsidRDefault="009973C6" w:rsidP="009973C6"/>
    <w:p w14:paraId="73A4E94F" w14:textId="77777777" w:rsidR="009973C6" w:rsidRPr="009973C6" w:rsidRDefault="009973C6" w:rsidP="009973C6"/>
    <w:p w14:paraId="03A1DF77" w14:textId="77777777" w:rsidR="009973C6" w:rsidRDefault="009973C6" w:rsidP="009973C6">
      <w:pPr>
        <w:rPr>
          <w:b/>
          <w:iCs/>
          <w:sz w:val="20"/>
          <w:szCs w:val="20"/>
        </w:rPr>
      </w:pPr>
    </w:p>
    <w:p w14:paraId="3775AF98" w14:textId="77777777" w:rsidR="009973C6" w:rsidRPr="009973C6" w:rsidRDefault="009973C6" w:rsidP="009973C6"/>
    <w:p w14:paraId="3ECDBD24" w14:textId="5B118B52" w:rsidR="009973C6" w:rsidRDefault="009973C6" w:rsidP="009973C6">
      <w:pPr>
        <w:tabs>
          <w:tab w:val="left" w:pos="7680"/>
        </w:tabs>
        <w:rPr>
          <w:b/>
          <w:iCs/>
          <w:sz w:val="20"/>
          <w:szCs w:val="20"/>
        </w:rPr>
      </w:pPr>
      <w:r>
        <w:rPr>
          <w:b/>
          <w:iCs/>
          <w:sz w:val="20"/>
          <w:szCs w:val="20"/>
        </w:rPr>
        <w:tab/>
      </w:r>
    </w:p>
    <w:p w14:paraId="2D009B89" w14:textId="75DDDA6D" w:rsidR="009973C6" w:rsidRPr="009973C6" w:rsidRDefault="009973C6" w:rsidP="009973C6">
      <w:pPr>
        <w:tabs>
          <w:tab w:val="left" w:pos="7680"/>
        </w:tabs>
        <w:sectPr w:rsidR="009973C6" w:rsidRPr="009973C6" w:rsidSect="00996915">
          <w:endnotePr>
            <w:numFmt w:val="decimal"/>
          </w:endnotePr>
          <w:type w:val="continuous"/>
          <w:pgSz w:w="11907" w:h="16839" w:code="9"/>
          <w:pgMar w:top="1418" w:right="1418" w:bottom="1418" w:left="1418" w:header="680" w:footer="85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pPr>
      <w:r>
        <w:tab/>
      </w:r>
    </w:p>
    <w:p w14:paraId="43B22609" w14:textId="77777777" w:rsidR="002D6F18" w:rsidRPr="002D6F18" w:rsidRDefault="00690AAC" w:rsidP="002D6F18">
      <w:pPr>
        <w:pStyle w:val="EndNoteBibliographyTitle"/>
      </w:pPr>
      <w:r>
        <w:rPr>
          <w:rFonts w:eastAsiaTheme="majorEastAsia" w:cstheme="majorBidi"/>
          <w:b/>
          <w:bCs/>
          <w:noProof w:val="0"/>
          <w:spacing w:val="-2"/>
          <w:sz w:val="40"/>
          <w:szCs w:val="28"/>
          <w:lang w:val="en-AU" w:eastAsia="en-AU"/>
          <w14:textFill>
            <w14:solidFill>
              <w14:srgbClr w14:val="000000">
                <w14:lumMod w14:val="75000"/>
              </w14:srgbClr>
            </w14:solidFill>
          </w14:textFill>
        </w:rPr>
        <w:fldChar w:fldCharType="begin"/>
      </w:r>
      <w:r>
        <w:instrText xml:space="preserve"> ADDIN EN.REFLIST </w:instrText>
      </w:r>
      <w:r>
        <w:rPr>
          <w:rFonts w:eastAsiaTheme="majorEastAsia" w:cstheme="majorBidi"/>
          <w:b/>
          <w:bCs/>
          <w:noProof w:val="0"/>
          <w:spacing w:val="-2"/>
          <w:sz w:val="40"/>
          <w:szCs w:val="28"/>
          <w:lang w:val="en-AU" w:eastAsia="en-AU"/>
          <w14:textFill>
            <w14:solidFill>
              <w14:srgbClr w14:val="000000">
                <w14:lumMod w14:val="75000"/>
              </w14:srgbClr>
            </w14:solidFill>
          </w14:textFill>
        </w:rPr>
        <w:fldChar w:fldCharType="separate"/>
      </w:r>
      <w:r w:rsidR="002D6F18" w:rsidRPr="002D6F18">
        <w:t>References</w:t>
      </w:r>
    </w:p>
    <w:p w14:paraId="0FCDD6F6" w14:textId="77777777" w:rsidR="002D6F18" w:rsidRPr="002D6F18" w:rsidRDefault="002D6F18" w:rsidP="002D6F18">
      <w:pPr>
        <w:pStyle w:val="EndNoteBibliographyTitle"/>
      </w:pPr>
    </w:p>
    <w:p w14:paraId="6D08DAEC" w14:textId="77777777" w:rsidR="002D6F18" w:rsidRPr="002D6F18" w:rsidRDefault="002D6F18" w:rsidP="002D6F18">
      <w:pPr>
        <w:pStyle w:val="EndNoteBibliography"/>
        <w:spacing w:after="0"/>
        <w:ind w:left="380" w:hanging="380"/>
      </w:pPr>
      <w:bookmarkStart w:id="205" w:name="_ENREF_1"/>
      <w:r w:rsidRPr="002D6F18">
        <w:t>1.</w:t>
      </w:r>
      <w:r w:rsidRPr="002D6F18">
        <w:tab/>
        <w:t>Everymind. Reporting suicide and mental ill health: A Mindframe resource for media professionals. Newcastle, Australia 2020.</w:t>
      </w:r>
      <w:bookmarkEnd w:id="205"/>
    </w:p>
    <w:p w14:paraId="46595759" w14:textId="36ECCAC2" w:rsidR="002D6F18" w:rsidRPr="002D6F18" w:rsidRDefault="002D6F18" w:rsidP="002D6F18">
      <w:pPr>
        <w:pStyle w:val="EndNoteBibliography"/>
        <w:spacing w:after="0"/>
        <w:ind w:left="380" w:hanging="380"/>
      </w:pPr>
      <w:bookmarkStart w:id="206" w:name="_ENREF_2"/>
      <w:r w:rsidRPr="002D6F18">
        <w:t>2.</w:t>
      </w:r>
      <w:r w:rsidRPr="002D6F18">
        <w:tab/>
        <w:t xml:space="preserve">Australian Bureau of Statistics. Causes of Death, Australia, 2022 [Internet]. ABS, Australian Government; 2023 [cited 2023 October 02]. Available from: </w:t>
      </w:r>
      <w:hyperlink r:id="rId65" w:history="1">
        <w:r w:rsidRPr="002D6F18">
          <w:rPr>
            <w:rStyle w:val="Hyperlink"/>
          </w:rPr>
          <w:t>https://www.abs.gov.au/statistics/health/causes-death/causes-death-australia/2022</w:t>
        </w:r>
      </w:hyperlink>
      <w:r w:rsidRPr="002D6F18">
        <w:t>.</w:t>
      </w:r>
      <w:bookmarkEnd w:id="206"/>
    </w:p>
    <w:p w14:paraId="5016C1D0" w14:textId="79A3DB62" w:rsidR="002D6F18" w:rsidRPr="002D6F18" w:rsidRDefault="002D6F18" w:rsidP="002D6F18">
      <w:pPr>
        <w:pStyle w:val="EndNoteBibliography"/>
        <w:spacing w:after="0"/>
        <w:ind w:left="380" w:hanging="380"/>
      </w:pPr>
      <w:bookmarkStart w:id="207" w:name="_ENREF_3"/>
      <w:r w:rsidRPr="002D6F18">
        <w:t>3.</w:t>
      </w:r>
      <w:r w:rsidRPr="002D6F18">
        <w:tab/>
        <w:t xml:space="preserve">Australian Institute of Health and Welfare. Behavioural Risk Factor Burden for Suicide and Self-Inflicted Injuries [Internet]. 2022 [cited 2023 September 25]. Available from: </w:t>
      </w:r>
      <w:hyperlink r:id="rId66" w:history="1">
        <w:r w:rsidRPr="002D6F18">
          <w:rPr>
            <w:rStyle w:val="Hyperlink"/>
          </w:rPr>
          <w:t>https://www.aihw.gov.au/suicide-self-harm-monitoring/data/behaviours-risk-factors/burden-of-disease-studies-suicide-self-inflicted</w:t>
        </w:r>
      </w:hyperlink>
      <w:r w:rsidRPr="002D6F18">
        <w:t>.</w:t>
      </w:r>
      <w:bookmarkEnd w:id="207"/>
    </w:p>
    <w:p w14:paraId="70DD6780" w14:textId="3AACD7C1" w:rsidR="002D6F18" w:rsidRPr="002D6F18" w:rsidRDefault="002D6F18" w:rsidP="002D6F18">
      <w:pPr>
        <w:pStyle w:val="EndNoteBibliography"/>
        <w:spacing w:after="0"/>
        <w:ind w:left="380" w:hanging="380"/>
      </w:pPr>
      <w:bookmarkStart w:id="208" w:name="_ENREF_4"/>
      <w:r w:rsidRPr="002D6F18">
        <w:t>4.</w:t>
      </w:r>
      <w:r w:rsidRPr="002D6F18">
        <w:tab/>
        <w:t xml:space="preserve">Australian Bureau of Statistics. National Study of Mental Health and Wellbeing 2020-22 [Internet]. ABS, Australian Government; 2023 [cited 2023 October 24]. Available from: </w:t>
      </w:r>
      <w:hyperlink r:id="rId67" w:history="1">
        <w:r w:rsidRPr="002D6F18">
          <w:rPr>
            <w:rStyle w:val="Hyperlink"/>
          </w:rPr>
          <w:t>https://www.abs.gov.au/statistics/health/mental-health/national-study-mental-health-and-wellbeing/2020-2022</w:t>
        </w:r>
      </w:hyperlink>
      <w:r w:rsidRPr="002D6F18">
        <w:t>.</w:t>
      </w:r>
      <w:bookmarkEnd w:id="208"/>
    </w:p>
    <w:p w14:paraId="066D71F9" w14:textId="77777777" w:rsidR="002D6F18" w:rsidRPr="002D6F18" w:rsidRDefault="002D6F18" w:rsidP="002D6F18">
      <w:pPr>
        <w:pStyle w:val="EndNoteBibliography"/>
        <w:spacing w:after="0"/>
        <w:ind w:left="380" w:hanging="380"/>
      </w:pPr>
      <w:bookmarkStart w:id="209" w:name="_ENREF_5"/>
      <w:r w:rsidRPr="002D6F18">
        <w:t>5.</w:t>
      </w:r>
      <w:r w:rsidRPr="002D6F18">
        <w:tab/>
        <w:t>Cerel J, Brown M, Maple M, Singleton J, van de Venne J, Moore M, et al. How Many People Are Exposed to Suicide? Not Six. Suicide and Life-Threatening Behavior. 2018. DOI: 10.1111/sltb.12450.</w:t>
      </w:r>
      <w:bookmarkEnd w:id="209"/>
    </w:p>
    <w:p w14:paraId="6EF69BD2" w14:textId="77777777" w:rsidR="002D6F18" w:rsidRPr="002D6F18" w:rsidRDefault="002D6F18" w:rsidP="002D6F18">
      <w:pPr>
        <w:pStyle w:val="EndNoteBibliography"/>
        <w:spacing w:after="0"/>
        <w:ind w:left="380" w:hanging="380"/>
      </w:pPr>
      <w:bookmarkStart w:id="210" w:name="_ENREF_6"/>
      <w:r w:rsidRPr="002D6F18">
        <w:t>6.</w:t>
      </w:r>
      <w:r w:rsidRPr="002D6F18">
        <w:tab/>
        <w:t>Grafiadeli R, Glaesmer H, Hofmann L, Schäfer T, Wagner B. Suicide risk after suicide bereavement: the role of loss-related characteristics, mental health, and hopelessness. Journal of Psychiatric Research. 2021;144:184-9. 10.1016/j.jpsychires.2021.09.056.</w:t>
      </w:r>
      <w:bookmarkEnd w:id="210"/>
    </w:p>
    <w:p w14:paraId="721E8919" w14:textId="77777777" w:rsidR="002D6F18" w:rsidRPr="002D6F18" w:rsidRDefault="002D6F18" w:rsidP="002D6F18">
      <w:pPr>
        <w:pStyle w:val="EndNoteBibliography"/>
        <w:spacing w:after="0"/>
        <w:ind w:left="380" w:hanging="380"/>
      </w:pPr>
      <w:bookmarkStart w:id="211" w:name="_ENREF_7"/>
      <w:r w:rsidRPr="002D6F18">
        <w:t>7.</w:t>
      </w:r>
      <w:r w:rsidRPr="002D6F18">
        <w:tab/>
        <w:t>Wilcox C, Kuramoto J, Lichtenstein P, Långström N, Brent DA, Runeson B. Psychiatric Morbidity, Violent Crime, and Suicide Among Children and Adolescents Exposed to Parental Death. Journal of the American Academy of Child &amp; Adolescent Psychiatry. 2010. DOI: 10.1016/j.jaac.2010.01.020.</w:t>
      </w:r>
      <w:bookmarkEnd w:id="211"/>
    </w:p>
    <w:p w14:paraId="4B74F038" w14:textId="77777777" w:rsidR="002D6F18" w:rsidRPr="002D6F18" w:rsidRDefault="002D6F18" w:rsidP="002D6F18">
      <w:pPr>
        <w:pStyle w:val="EndNoteBibliography"/>
        <w:spacing w:after="0"/>
        <w:ind w:left="380" w:hanging="380"/>
      </w:pPr>
      <w:bookmarkStart w:id="212" w:name="_ENREF_8"/>
      <w:r w:rsidRPr="002D6F18">
        <w:t>8.</w:t>
      </w:r>
      <w:r w:rsidRPr="002D6F18">
        <w:tab/>
        <w:t>Maple M, Wayland S, Sanford RL, Bhullar N. Predictors of Caregiver Burden Among Carers of Suicide Attempt Survivors. Crisis: The Journal of Crisis Intervention and Suicide Prevention. 2023. DOI: 10.1027/0227-5910/a000836.</w:t>
      </w:r>
      <w:bookmarkEnd w:id="212"/>
    </w:p>
    <w:p w14:paraId="4743AB86" w14:textId="67AE581D" w:rsidR="002D6F18" w:rsidRPr="002D6F18" w:rsidRDefault="002D6F18" w:rsidP="002D6F18">
      <w:pPr>
        <w:pStyle w:val="EndNoteBibliography"/>
        <w:spacing w:after="0"/>
        <w:ind w:left="380" w:hanging="380"/>
      </w:pPr>
      <w:bookmarkStart w:id="213" w:name="_ENREF_9"/>
      <w:r w:rsidRPr="002D6F18">
        <w:t>9.</w:t>
      </w:r>
      <w:r w:rsidRPr="002D6F18">
        <w:tab/>
        <w:t xml:space="preserve">LaMontagne AD, Martin AJ, Page KM, Papas A, Reavley N, Noblet AJ, et al. A Cluster RCT to Improve Workplace Mental Health in a Policing Context: Findings of a Mixed‐Methods Implementation Evaluation. American Journal of Industrial Medicine. 2021. </w:t>
      </w:r>
      <w:hyperlink r:id="rId68" w:history="1">
        <w:r w:rsidRPr="002D6F18">
          <w:rPr>
            <w:rStyle w:val="Hyperlink"/>
          </w:rPr>
          <w:t>https://doi.org/10.1002/ajim.23217</w:t>
        </w:r>
      </w:hyperlink>
      <w:r w:rsidRPr="002D6F18">
        <w:t>.</w:t>
      </w:r>
      <w:bookmarkEnd w:id="213"/>
    </w:p>
    <w:p w14:paraId="2E199201" w14:textId="6E643CEE" w:rsidR="002D6F18" w:rsidRPr="002D6F18" w:rsidRDefault="002D6F18" w:rsidP="002D6F18">
      <w:pPr>
        <w:pStyle w:val="EndNoteBibliography"/>
        <w:spacing w:after="0"/>
        <w:ind w:left="380" w:hanging="380"/>
      </w:pPr>
      <w:bookmarkStart w:id="214" w:name="_ENREF_10"/>
      <w:r w:rsidRPr="002D6F18">
        <w:t>10.</w:t>
      </w:r>
      <w:r w:rsidRPr="002D6F18">
        <w:tab/>
        <w:t xml:space="preserve">Productivity Commission. Mental Health, Report No. 95 [Internet]. Canberra: PC, Australian Government; 2020 [cited 2023 October 03]. Available from: </w:t>
      </w:r>
      <w:hyperlink r:id="rId69" w:history="1">
        <w:r w:rsidRPr="002D6F18">
          <w:rPr>
            <w:rStyle w:val="Hyperlink"/>
          </w:rPr>
          <w:t>https://www.pc.gov.au/inquiries/completed/mental-health/report</w:t>
        </w:r>
      </w:hyperlink>
      <w:r w:rsidRPr="002D6F18">
        <w:t>.</w:t>
      </w:r>
      <w:bookmarkEnd w:id="214"/>
    </w:p>
    <w:p w14:paraId="08C52399" w14:textId="36689D63" w:rsidR="002D6F18" w:rsidRPr="002D6F18" w:rsidRDefault="002D6F18" w:rsidP="002D6F18">
      <w:pPr>
        <w:pStyle w:val="EndNoteBibliography"/>
        <w:spacing w:after="0"/>
        <w:ind w:left="380" w:hanging="380"/>
      </w:pPr>
      <w:bookmarkStart w:id="215" w:name="_ENREF_11"/>
      <w:r w:rsidRPr="002D6F18">
        <w:t>11.</w:t>
      </w:r>
      <w:r w:rsidRPr="002D6F18">
        <w:tab/>
        <w:t xml:space="preserve">National Suicide Prevention Adviser. Compassion First: Designing our National Approach from the Lived Experience of Suicidal Behaviour [Internet]. Canberra: National Mental Health Commission; 2020 [cited 2023 October 04]. Available from: </w:t>
      </w:r>
      <w:hyperlink r:id="rId70" w:history="1">
        <w:r w:rsidRPr="002D6F18">
          <w:rPr>
            <w:rStyle w:val="Hyperlink"/>
          </w:rPr>
          <w:t>https://www.health.gov.au/resources/publications/national-suicide-prevention-adviser-compassion-first-designing-our-national-approach-from-the-lived-experience-of-suicidal-behaviour</w:t>
        </w:r>
      </w:hyperlink>
      <w:r w:rsidRPr="002D6F18">
        <w:t>.</w:t>
      </w:r>
      <w:bookmarkEnd w:id="215"/>
    </w:p>
    <w:p w14:paraId="336F8E2D" w14:textId="32C6E1D5" w:rsidR="002D6F18" w:rsidRPr="002D6F18" w:rsidRDefault="002D6F18" w:rsidP="002D6F18">
      <w:pPr>
        <w:pStyle w:val="EndNoteBibliography"/>
        <w:spacing w:after="0"/>
        <w:ind w:left="380" w:hanging="380"/>
      </w:pPr>
      <w:bookmarkStart w:id="216" w:name="_ENREF_12"/>
      <w:r w:rsidRPr="002D6F18">
        <w:t>12.</w:t>
      </w:r>
      <w:r w:rsidRPr="002D6F18">
        <w:tab/>
        <w:t xml:space="preserve">Department of the Prime Minister and Cabinet. National Strategic Framework for Aboriginal and Torres Strait Islander Peoples' Mental Health and Social and Emotional Wellbeing 2017-2023 [Internet]. Canberra: PM&amp;C; 2017 [cited 2023 October 04]. Available from: </w:t>
      </w:r>
      <w:hyperlink r:id="rId71" w:history="1">
        <w:r w:rsidRPr="002D6F18">
          <w:rPr>
            <w:rStyle w:val="Hyperlink"/>
          </w:rPr>
          <w:t>https://www.niaa.gov.au/resource-centre/indigenous-affairs/national-strategic-framework-mental-health-social-emotional-wellbeing-2017-23</w:t>
        </w:r>
      </w:hyperlink>
      <w:r w:rsidRPr="002D6F18">
        <w:t>.</w:t>
      </w:r>
      <w:bookmarkEnd w:id="216"/>
    </w:p>
    <w:p w14:paraId="6337A82A" w14:textId="77777777" w:rsidR="002D6F18" w:rsidRPr="002D6F18" w:rsidRDefault="002D6F18" w:rsidP="002D6F18">
      <w:pPr>
        <w:pStyle w:val="EndNoteBibliography"/>
        <w:spacing w:after="0"/>
        <w:ind w:left="380" w:hanging="380"/>
      </w:pPr>
      <w:bookmarkStart w:id="217" w:name="_ENREF_13"/>
      <w:r w:rsidRPr="002D6F18">
        <w:t>13.</w:t>
      </w:r>
      <w:r w:rsidRPr="002D6F18">
        <w:tab/>
        <w:t>Dwyer J, Dwyer J, Hiscock R, O'Callaghan C, Taylor K, Millar C, et al. COVID-19 as a context in suicide: early insights from Victoria, Australia. Aust N Z J Public Health. 2021;45(5):517-22. 10.1111/1753-6405.13132.</w:t>
      </w:r>
      <w:bookmarkEnd w:id="217"/>
    </w:p>
    <w:p w14:paraId="59D7E381" w14:textId="77777777" w:rsidR="002D6F18" w:rsidRPr="002D6F18" w:rsidRDefault="002D6F18" w:rsidP="002D6F18">
      <w:pPr>
        <w:pStyle w:val="EndNoteBibliography"/>
        <w:spacing w:after="0"/>
        <w:ind w:left="380" w:hanging="380"/>
      </w:pPr>
      <w:bookmarkStart w:id="218" w:name="_ENREF_14"/>
      <w:r w:rsidRPr="002D6F18">
        <w:t>14.</w:t>
      </w:r>
      <w:r w:rsidRPr="002D6F18">
        <w:tab/>
        <w:t>Mathieu S, Treloar A, Hawgood J, Ross V, Kolves K. The Role of Unemployment, Financial Hardship, and Economic Recession on Suicidal Behaviors and Interventions to Mitigate Their Impact: A Review. Frontiers in Public Health. 2022. 10.3389/fpubh.2022.907052.</w:t>
      </w:r>
      <w:bookmarkEnd w:id="218"/>
    </w:p>
    <w:p w14:paraId="57D1CB29" w14:textId="77777777" w:rsidR="002D6F18" w:rsidRPr="002D6F18" w:rsidRDefault="002D6F18" w:rsidP="002D6F18">
      <w:pPr>
        <w:pStyle w:val="EndNoteBibliography"/>
        <w:spacing w:after="0"/>
        <w:ind w:left="380" w:hanging="380"/>
      </w:pPr>
      <w:bookmarkStart w:id="219" w:name="_ENREF_15"/>
      <w:r w:rsidRPr="002D6F18">
        <w:t>15.</w:t>
      </w:r>
      <w:r w:rsidRPr="002D6F18">
        <w:tab/>
        <w:t>McIntyre RS, Lui LM, Rosenblat JD, Ho R, Gill H, Mansur RB, et al. Suicide reduction in Canada during the COVID-19 pandemic: lessons informing national prevention strategies for suicide reduction. J R Soc Med. 2021;114(10):473-9. 10.1177/01410768211043186.</w:t>
      </w:r>
      <w:bookmarkEnd w:id="219"/>
    </w:p>
    <w:p w14:paraId="5639AC35" w14:textId="36A701C7" w:rsidR="002D6F18" w:rsidRPr="002D6F18" w:rsidRDefault="002D6F18" w:rsidP="002D6F18">
      <w:pPr>
        <w:pStyle w:val="EndNoteBibliography"/>
        <w:spacing w:after="0"/>
        <w:ind w:left="380" w:hanging="380"/>
      </w:pPr>
      <w:bookmarkStart w:id="220" w:name="_ENREF_16"/>
      <w:r w:rsidRPr="002D6F18">
        <w:t>16.</w:t>
      </w:r>
      <w:r w:rsidRPr="002D6F18">
        <w:tab/>
        <w:t xml:space="preserve">Australian Institute of Health and Welfare. Intentional Self-Harm Hospitalisations by Age Groups [Internet]. AIHW, Australian Government; 2024 [cited 2024 August 29]. Available from: </w:t>
      </w:r>
      <w:hyperlink r:id="rId72" w:history="1">
        <w:r w:rsidRPr="002D6F18">
          <w:rPr>
            <w:rStyle w:val="Hyperlink"/>
          </w:rPr>
          <w:t>https://www.aihw.gov.au/suicide-self-harm-monitoring/data/intentional-self-harm-hospitalisations/intentional-self-harm-hospitalisations-by-age-sex</w:t>
        </w:r>
      </w:hyperlink>
      <w:r w:rsidRPr="002D6F18">
        <w:t>.</w:t>
      </w:r>
      <w:bookmarkEnd w:id="220"/>
    </w:p>
    <w:p w14:paraId="4FFEC7E1" w14:textId="2F8C7789" w:rsidR="002D6F18" w:rsidRPr="002D6F18" w:rsidRDefault="002D6F18" w:rsidP="002D6F18">
      <w:pPr>
        <w:pStyle w:val="EndNoteBibliography"/>
        <w:spacing w:after="0"/>
        <w:ind w:left="380" w:hanging="380"/>
      </w:pPr>
      <w:bookmarkStart w:id="221" w:name="_ENREF_17"/>
      <w:r w:rsidRPr="002D6F18">
        <w:t>17.</w:t>
      </w:r>
      <w:r w:rsidRPr="002D6F18">
        <w:tab/>
        <w:t xml:space="preserve">Australian Institute of Health and Welfare. Ambulance Attendances: Suicidal Ideation, and Suicidal and Self-Harm Behaviours: AIHW, Australian Government; 2023 [Available from: </w:t>
      </w:r>
      <w:hyperlink r:id="rId73" w:history="1">
        <w:r w:rsidRPr="002D6F18">
          <w:rPr>
            <w:rStyle w:val="Hyperlink"/>
          </w:rPr>
          <w:t>https://www.aihw.gov.au/suicide-self-harm-monitoring/data/ambulance-attendances/ambulance-attendances-for-suicidal-behaviours</w:t>
        </w:r>
      </w:hyperlink>
      <w:r w:rsidRPr="002D6F18">
        <w:t>.</w:t>
      </w:r>
      <w:bookmarkEnd w:id="221"/>
    </w:p>
    <w:p w14:paraId="61BEA41B" w14:textId="77856CA0" w:rsidR="002D6F18" w:rsidRPr="002D6F18" w:rsidRDefault="002D6F18" w:rsidP="002D6F18">
      <w:pPr>
        <w:pStyle w:val="EndNoteBibliography"/>
        <w:spacing w:after="0"/>
        <w:ind w:left="380" w:hanging="380"/>
      </w:pPr>
      <w:bookmarkStart w:id="222" w:name="_ENREF_18"/>
      <w:r w:rsidRPr="002D6F18">
        <w:t>18.</w:t>
      </w:r>
      <w:r w:rsidRPr="002D6F18">
        <w:tab/>
        <w:t xml:space="preserve">Australian Institute of Health and Welfare. LGBTIQ+ Australians: Suicidal Behaviours and Behaviours and Self-Harm [Internet]. AIHW, Australian Government; 2023 [cited 2023 October 04]. Available from: </w:t>
      </w:r>
      <w:hyperlink r:id="rId74" w:history="1">
        <w:r w:rsidRPr="002D6F18">
          <w:rPr>
            <w:rStyle w:val="Hyperlink"/>
          </w:rPr>
          <w:t>https://www.aihw.gov.au/suicide-self-harm-monitoring/data/populations-age-groups/suicidal-and-self-harming-thoughts-and-behaviours</w:t>
        </w:r>
      </w:hyperlink>
      <w:r w:rsidRPr="002D6F18">
        <w:t>.</w:t>
      </w:r>
      <w:bookmarkEnd w:id="222"/>
    </w:p>
    <w:p w14:paraId="6C12D732" w14:textId="77777777" w:rsidR="002D6F18" w:rsidRPr="002D6F18" w:rsidRDefault="002D6F18" w:rsidP="002D6F18">
      <w:pPr>
        <w:pStyle w:val="EndNoteBibliography"/>
        <w:spacing w:after="0"/>
        <w:ind w:left="380" w:hanging="380"/>
      </w:pPr>
      <w:bookmarkStart w:id="223" w:name="_ENREF_19"/>
      <w:r w:rsidRPr="002D6F18">
        <w:t>19.</w:t>
      </w:r>
      <w:r w:rsidRPr="002D6F18">
        <w:tab/>
        <w:t>Rosenwohl-Mak A, Tamar-Mattis S, Baratz A, Dalke K, Ittelson A, Zieselman K, et al. A national study on the physical and mental health of intersex adults in the U.S. . PLoS ONE. 2020. 10.1371/journal.pone.0240088.</w:t>
      </w:r>
      <w:bookmarkEnd w:id="223"/>
    </w:p>
    <w:p w14:paraId="5DE4756C" w14:textId="676F37F8" w:rsidR="002D6F18" w:rsidRPr="002D6F18" w:rsidRDefault="002D6F18" w:rsidP="002D6F18">
      <w:pPr>
        <w:pStyle w:val="EndNoteBibliography"/>
        <w:spacing w:after="0"/>
        <w:ind w:left="380" w:hanging="380"/>
      </w:pPr>
      <w:bookmarkStart w:id="224" w:name="_ENREF_20"/>
      <w:r w:rsidRPr="002D6F18">
        <w:t>20.</w:t>
      </w:r>
      <w:r w:rsidRPr="002D6F18">
        <w:tab/>
        <w:t xml:space="preserve">Australian Bureau of Statistics. Cultural Diversity of Australia [Internet ]. ABS, Australian Government; 2022 [cited 2024 February 22]. Available from: </w:t>
      </w:r>
      <w:hyperlink r:id="rId75" w:history="1">
        <w:r w:rsidRPr="002D6F18">
          <w:rPr>
            <w:rStyle w:val="Hyperlink"/>
          </w:rPr>
          <w:t>https://www.abs.gov.au/articles/cultural-diversity-australia</w:t>
        </w:r>
      </w:hyperlink>
      <w:r w:rsidRPr="002D6F18">
        <w:t>.</w:t>
      </w:r>
      <w:bookmarkEnd w:id="224"/>
    </w:p>
    <w:p w14:paraId="776AFF21" w14:textId="77777777" w:rsidR="002D6F18" w:rsidRPr="002D6F18" w:rsidRDefault="002D6F18" w:rsidP="002D6F18">
      <w:pPr>
        <w:pStyle w:val="EndNoteBibliography"/>
        <w:spacing w:after="0"/>
        <w:ind w:left="380" w:hanging="380"/>
      </w:pPr>
      <w:bookmarkStart w:id="225" w:name="_ENREF_21"/>
      <w:r w:rsidRPr="002D6F18">
        <w:t>21.</w:t>
      </w:r>
      <w:r w:rsidRPr="002D6F18">
        <w:tab/>
        <w:t>Maheen H, King T. Suicide in First-Generation Australian Migrants, 2006–2019: A Retrospective Mortality Study. The Lancet Regional Health–Western Pacific. 2023. DOI: 10.1016/j.lanwpc.2023.100845.</w:t>
      </w:r>
      <w:bookmarkEnd w:id="225"/>
    </w:p>
    <w:p w14:paraId="624EDDC8" w14:textId="51C05F5C" w:rsidR="002D6F18" w:rsidRPr="002D6F18" w:rsidRDefault="002D6F18" w:rsidP="002D6F18">
      <w:pPr>
        <w:pStyle w:val="EndNoteBibliography"/>
        <w:spacing w:after="0"/>
        <w:ind w:left="380" w:hanging="380"/>
      </w:pPr>
      <w:bookmarkStart w:id="226" w:name="_ENREF_22"/>
      <w:r w:rsidRPr="002D6F18">
        <w:t>22.</w:t>
      </w:r>
      <w:r w:rsidRPr="002D6F18">
        <w:tab/>
        <w:t xml:space="preserve">Australian Institute of Health and Welfare. Deaths by Suicide Among People Who Used Disability Services [Internet]. AIHW; 2023 [cited 2023 October 04]. Available from: </w:t>
      </w:r>
      <w:hyperlink r:id="rId76" w:history="1">
        <w:r w:rsidRPr="002D6F18">
          <w:rPr>
            <w:rStyle w:val="Hyperlink"/>
          </w:rPr>
          <w:t>https://www.aihw.gov.au/suicide-self-harm-monitoring/data/populations-age-groups/deaths-by-suicide-among-people-who-used-disability</w:t>
        </w:r>
      </w:hyperlink>
      <w:r w:rsidRPr="002D6F18">
        <w:t>.</w:t>
      </w:r>
      <w:bookmarkEnd w:id="226"/>
    </w:p>
    <w:p w14:paraId="7E90AC5F" w14:textId="3855B228" w:rsidR="002D6F18" w:rsidRPr="002D6F18" w:rsidRDefault="002D6F18" w:rsidP="002D6F18">
      <w:pPr>
        <w:pStyle w:val="EndNoteBibliography"/>
        <w:spacing w:after="0"/>
        <w:ind w:left="380" w:hanging="380"/>
      </w:pPr>
      <w:bookmarkStart w:id="227" w:name="_ENREF_23"/>
      <w:r w:rsidRPr="002D6F18">
        <w:t>23.</w:t>
      </w:r>
      <w:r w:rsidRPr="002D6F18">
        <w:tab/>
        <w:t xml:space="preserve">Australian Institute of Health and Welfare. Serving and ex-serving Australian Defence Force members who have served since 1985: suicide monitoring 1997 to 2021 [Internet]. Canberra: AIHW, Australian Government; 2023 [cited 2024 February 22]. Available from: </w:t>
      </w:r>
      <w:hyperlink r:id="rId77" w:history="1">
        <w:r w:rsidRPr="002D6F18">
          <w:rPr>
            <w:rStyle w:val="Hyperlink"/>
          </w:rPr>
          <w:t>https://www.aihw.gov.au/reports/veterans/serving-exserving-adf-suicide-monitoring-2023/</w:t>
        </w:r>
      </w:hyperlink>
      <w:r w:rsidRPr="002D6F18">
        <w:t>.</w:t>
      </w:r>
      <w:bookmarkEnd w:id="227"/>
    </w:p>
    <w:p w14:paraId="0A1F6729" w14:textId="77777777" w:rsidR="002D6F18" w:rsidRPr="002D6F18" w:rsidRDefault="002D6F18" w:rsidP="002D6F18">
      <w:pPr>
        <w:pStyle w:val="EndNoteBibliography"/>
        <w:spacing w:after="0"/>
        <w:ind w:left="380" w:hanging="380"/>
      </w:pPr>
      <w:bookmarkStart w:id="228" w:name="_ENREF_24"/>
      <w:r w:rsidRPr="002D6F18">
        <w:t>24.</w:t>
      </w:r>
      <w:r w:rsidRPr="002D6F18">
        <w:tab/>
        <w:t>Moitra M, Santomauro D, Degenhardt L, Collins PY, Whiteford H, Vos T, et al. Estimating the risk of suicide associated with mental disorders: a systematic review and meta-regression analysis. Journal of Psychiatric Research. 2021;137. doi:10.1016/j.jpsychires.2021.02.053.</w:t>
      </w:r>
      <w:bookmarkEnd w:id="228"/>
    </w:p>
    <w:p w14:paraId="359CD3F0" w14:textId="77777777" w:rsidR="002D6F18" w:rsidRPr="002D6F18" w:rsidRDefault="002D6F18" w:rsidP="002D6F18">
      <w:pPr>
        <w:pStyle w:val="EndNoteBibliography"/>
        <w:spacing w:after="0"/>
        <w:ind w:left="380" w:hanging="380"/>
      </w:pPr>
      <w:bookmarkStart w:id="229" w:name="_ENREF_25"/>
      <w:r w:rsidRPr="002D6F18">
        <w:t>25.</w:t>
      </w:r>
      <w:r w:rsidRPr="002D6F18">
        <w:tab/>
        <w:t>Brådvik L. Suicide risk and mental disorders. International Journal of Environmental Research and Public Health. 2018. doi:10.3390/ijerph15092028.</w:t>
      </w:r>
      <w:bookmarkEnd w:id="229"/>
    </w:p>
    <w:p w14:paraId="03D4BA0B" w14:textId="36A9FE45" w:rsidR="002D6F18" w:rsidRPr="002D6F18" w:rsidRDefault="002D6F18" w:rsidP="002D6F18">
      <w:pPr>
        <w:pStyle w:val="EndNoteBibliography"/>
        <w:spacing w:after="0"/>
        <w:ind w:left="380" w:hanging="380"/>
      </w:pPr>
      <w:bookmarkStart w:id="230" w:name="_ENREF_26"/>
      <w:r w:rsidRPr="002D6F18">
        <w:t>26.</w:t>
      </w:r>
      <w:r w:rsidRPr="002D6F18">
        <w:tab/>
        <w:t xml:space="preserve">O'Dwyer ST, Janssens A, Sansom A, Biddle L, Mars B, Slater T, et al. Suicidality in family caregivers of people with long-term illnesses and disabilities: A scoping review. Comprehensive Psychiatry. 2021;110:152261. </w:t>
      </w:r>
      <w:hyperlink r:id="rId78" w:history="1">
        <w:r w:rsidRPr="002D6F18">
          <w:rPr>
            <w:rStyle w:val="Hyperlink"/>
          </w:rPr>
          <w:t>https://doi.org/10.1016/j.comppsych.2021.152261</w:t>
        </w:r>
      </w:hyperlink>
      <w:r w:rsidRPr="002D6F18">
        <w:t>.</w:t>
      </w:r>
      <w:bookmarkEnd w:id="230"/>
    </w:p>
    <w:p w14:paraId="43334631" w14:textId="77777777" w:rsidR="002D6F18" w:rsidRPr="002D6F18" w:rsidRDefault="002D6F18" w:rsidP="002D6F18">
      <w:pPr>
        <w:pStyle w:val="EndNoteBibliography"/>
        <w:spacing w:after="0"/>
        <w:ind w:left="380" w:hanging="380"/>
      </w:pPr>
      <w:bookmarkStart w:id="231" w:name="_ENREF_27"/>
      <w:r w:rsidRPr="002D6F18">
        <w:t>27.</w:t>
      </w:r>
      <w:r w:rsidRPr="002D6F18">
        <w:tab/>
        <w:t>Pitman AL, Osborn DPJ, Rantell K, King MB. Bereavement by Suicide as a Risk Factor for Suicide Attempt: A Cross-Sectional National UK-Wide Study of 3432 Young Bereaved Adults. BMJ Open. 2016. DOI: 10.1136/bmjopen-2015-009948.</w:t>
      </w:r>
      <w:bookmarkEnd w:id="231"/>
    </w:p>
    <w:p w14:paraId="49DEFAAC" w14:textId="77777777" w:rsidR="002D6F18" w:rsidRPr="002D6F18" w:rsidRDefault="002D6F18" w:rsidP="002D6F18">
      <w:pPr>
        <w:pStyle w:val="EndNoteBibliography"/>
        <w:spacing w:after="0"/>
        <w:ind w:left="380" w:hanging="380"/>
      </w:pPr>
      <w:bookmarkStart w:id="232" w:name="_ENREF_28"/>
      <w:r w:rsidRPr="002D6F18">
        <w:t>28.</w:t>
      </w:r>
      <w:r w:rsidRPr="002D6F18">
        <w:tab/>
        <w:t>Turecki G, Brent DA, Gunnell D, O’Connor RC, Oquendo MA, Pirkis J, et al. Suicide and suicide risk. Nature Reviews Disease Primers. 2019;5(1):74. 10.1038/s41572-019-0121-0.</w:t>
      </w:r>
      <w:bookmarkEnd w:id="232"/>
    </w:p>
    <w:p w14:paraId="6C21F555" w14:textId="77777777" w:rsidR="002D6F18" w:rsidRPr="002D6F18" w:rsidRDefault="002D6F18" w:rsidP="002D6F18">
      <w:pPr>
        <w:pStyle w:val="EndNoteBibliography"/>
        <w:spacing w:after="0"/>
        <w:ind w:left="380" w:hanging="380"/>
      </w:pPr>
      <w:bookmarkStart w:id="233" w:name="_ENREF_29"/>
      <w:r w:rsidRPr="002D6F18">
        <w:t>29.</w:t>
      </w:r>
      <w:r w:rsidRPr="002D6F18">
        <w:tab/>
        <w:t>Federal Financial Relations. The National Mental Health and Suicide Prevention Agreement. Commonwealth of Australia; 2022.</w:t>
      </w:r>
      <w:bookmarkEnd w:id="233"/>
    </w:p>
    <w:p w14:paraId="09A9AEBC" w14:textId="6B08326B" w:rsidR="002D6F18" w:rsidRPr="002D6F18" w:rsidRDefault="002D6F18" w:rsidP="002D6F18">
      <w:pPr>
        <w:pStyle w:val="EndNoteBibliography"/>
        <w:spacing w:after="0"/>
        <w:ind w:left="380" w:hanging="380"/>
      </w:pPr>
      <w:bookmarkStart w:id="234" w:name="_ENREF_30"/>
      <w:r w:rsidRPr="002D6F18">
        <w:t>30.</w:t>
      </w:r>
      <w:r w:rsidRPr="002D6F18">
        <w:tab/>
        <w:t xml:space="preserve">Victoria State Government. Royal Commission into Victoria’s Mental Health System, Final Report, Summary and Recommendations, Part Paper No. 202, Session 2018-21 (Document 1 of 6) [Internet]. Melbourne, Victoria: Victoria State Government; 2021 [cited 2023 November 06]. Available from: </w:t>
      </w:r>
      <w:hyperlink r:id="rId79" w:history="1">
        <w:r w:rsidRPr="002D6F18">
          <w:rPr>
            <w:rStyle w:val="Hyperlink"/>
          </w:rPr>
          <w:t>https://finalreport.rcvmhs.vic.gov.au/wp-content/uploads/2021/02/RCVMHS_FinalReport_ExecSummary_Accessible.pdf</w:t>
        </w:r>
      </w:hyperlink>
      <w:r w:rsidRPr="002D6F18">
        <w:t>.</w:t>
      </w:r>
      <w:bookmarkEnd w:id="234"/>
    </w:p>
    <w:p w14:paraId="4FD886A4" w14:textId="674EE52F" w:rsidR="002D6F18" w:rsidRPr="002D6F18" w:rsidRDefault="002D6F18" w:rsidP="002D6F18">
      <w:pPr>
        <w:pStyle w:val="EndNoteBibliography"/>
        <w:spacing w:after="0"/>
        <w:ind w:left="380" w:hanging="380"/>
      </w:pPr>
      <w:bookmarkStart w:id="235" w:name="_ENREF_31"/>
      <w:r w:rsidRPr="002D6F18">
        <w:t>31.</w:t>
      </w:r>
      <w:r w:rsidRPr="002D6F18">
        <w:tab/>
        <w:t xml:space="preserve">National Suicide Prevention Adviser. National Suicide Prevention Adviser Final Advice Canberra: National Mental Health Commission; 2020 [cited 2023 October 04]. Available from: </w:t>
      </w:r>
      <w:hyperlink r:id="rId80" w:history="1">
        <w:r w:rsidRPr="002D6F18">
          <w:rPr>
            <w:rStyle w:val="Hyperlink"/>
          </w:rPr>
          <w:t>https://www.mentalhealthcommission.gov.au/national-suicide-prevention-office/national-suicide-prevention-adviser-final-advice</w:t>
        </w:r>
      </w:hyperlink>
      <w:r w:rsidRPr="002D6F18">
        <w:t>.</w:t>
      </w:r>
      <w:bookmarkEnd w:id="235"/>
    </w:p>
    <w:p w14:paraId="54A8B115" w14:textId="34FB4D11" w:rsidR="002D6F18" w:rsidRPr="002D6F18" w:rsidRDefault="002D6F18" w:rsidP="002D6F18">
      <w:pPr>
        <w:pStyle w:val="EndNoteBibliography"/>
        <w:spacing w:after="0"/>
        <w:ind w:left="380" w:hanging="380"/>
      </w:pPr>
      <w:bookmarkStart w:id="236" w:name="_ENREF_32"/>
      <w:r w:rsidRPr="002D6F18">
        <w:t>32.</w:t>
      </w:r>
      <w:r w:rsidRPr="002D6F18">
        <w:tab/>
        <w:t xml:space="preserve">Dudgeon P, Milroy J, Calma T, Luxford Y, Ring I, Walker R, et al. Solutions that Work: What the evidence and our people tell us. Aboriginal and Torres Strait Islander Suicide Prevention Evaluation Project Report Crawley: University of Western Australia; 2016 [cited 2023 October 04]. Available from: </w:t>
      </w:r>
      <w:hyperlink r:id="rId81" w:history="1">
        <w:r w:rsidRPr="002D6F18">
          <w:rPr>
            <w:rStyle w:val="Hyperlink"/>
          </w:rPr>
          <w:t>https://www.atsispep.sis.uwa.edu.au/__data/assets/pdf_file/0006/2947299/ATSISPEP-Report-Final-Web.pdf</w:t>
        </w:r>
      </w:hyperlink>
      <w:r w:rsidRPr="002D6F18">
        <w:t>.</w:t>
      </w:r>
      <w:bookmarkEnd w:id="236"/>
    </w:p>
    <w:p w14:paraId="1A6198FC" w14:textId="5C4C8D40" w:rsidR="002D6F18" w:rsidRPr="002D6F18" w:rsidRDefault="002D6F18" w:rsidP="002D6F18">
      <w:pPr>
        <w:pStyle w:val="EndNoteBibliography"/>
        <w:spacing w:after="0"/>
        <w:ind w:left="380" w:hanging="380"/>
      </w:pPr>
      <w:bookmarkStart w:id="237" w:name="_ENREF_33"/>
      <w:r w:rsidRPr="002D6F18">
        <w:t>33.</w:t>
      </w:r>
      <w:r w:rsidRPr="002D6F18">
        <w:tab/>
        <w:t xml:space="preserve">Department of the Prime Minister and Cabinet. National Agreement on Closing the Gap [Internet]. Canberra, Australian Capital Territory: PM&amp;C; 2020 [cited 2023 October 04]. Available from: </w:t>
      </w:r>
      <w:hyperlink r:id="rId82" w:history="1">
        <w:r w:rsidRPr="002D6F18">
          <w:rPr>
            <w:rStyle w:val="Hyperlink"/>
          </w:rPr>
          <w:t>https://www.closingthegap.gov.au/national-agreement</w:t>
        </w:r>
      </w:hyperlink>
      <w:r w:rsidRPr="002D6F18">
        <w:t>.</w:t>
      </w:r>
      <w:bookmarkEnd w:id="237"/>
    </w:p>
    <w:p w14:paraId="58072301" w14:textId="416644F6" w:rsidR="002D6F18" w:rsidRPr="002D6F18" w:rsidRDefault="002D6F18" w:rsidP="002D6F18">
      <w:pPr>
        <w:pStyle w:val="EndNoteBibliography"/>
        <w:spacing w:after="0"/>
        <w:ind w:left="380" w:hanging="380"/>
      </w:pPr>
      <w:bookmarkStart w:id="238" w:name="_ENREF_34"/>
      <w:r w:rsidRPr="002D6F18">
        <w:t>34.</w:t>
      </w:r>
      <w:r w:rsidRPr="002D6F18">
        <w:tab/>
        <w:t xml:space="preserve">Department of Social Services. Developing the National Housing and Homelessness Plan [Internet]. Department of Social Services; 2024 [cited 2024 March 6]. Available from: </w:t>
      </w:r>
      <w:hyperlink r:id="rId83" w:history="1">
        <w:r w:rsidRPr="002D6F18">
          <w:rPr>
            <w:rStyle w:val="Hyperlink"/>
          </w:rPr>
          <w:t>https://www.dss.gov.au/housing-support-programs-services-housing/developing-the-national-housing-and-homelessness-plan</w:t>
        </w:r>
      </w:hyperlink>
      <w:r w:rsidRPr="002D6F18">
        <w:t>.</w:t>
      </w:r>
      <w:bookmarkEnd w:id="238"/>
    </w:p>
    <w:p w14:paraId="45D4B7BF" w14:textId="05B927A0" w:rsidR="002D6F18" w:rsidRPr="002D6F18" w:rsidRDefault="002D6F18" w:rsidP="002D6F18">
      <w:pPr>
        <w:pStyle w:val="EndNoteBibliography"/>
        <w:spacing w:after="0"/>
        <w:ind w:left="380" w:hanging="380"/>
      </w:pPr>
      <w:bookmarkStart w:id="239" w:name="_ENREF_35"/>
      <w:r w:rsidRPr="002D6F18">
        <w:t>35.</w:t>
      </w:r>
      <w:r w:rsidRPr="002D6F18">
        <w:tab/>
        <w:t xml:space="preserve">Department of Social Services. National Plan to End Violence against Women and Children 2022–2032 Department of Social Services;  [cited 2024 March 6]. Available from: </w:t>
      </w:r>
      <w:hyperlink r:id="rId84" w:history="1">
        <w:r w:rsidRPr="002D6F18">
          <w:rPr>
            <w:rStyle w:val="Hyperlink"/>
          </w:rPr>
          <w:t>https://www.dss.gov.au/sites/default/files/documents/10_2023/national-plan-end-violence-against-women-and-children-2022-2032.pdf</w:t>
        </w:r>
      </w:hyperlink>
      <w:r w:rsidRPr="002D6F18">
        <w:t>.</w:t>
      </w:r>
      <w:bookmarkEnd w:id="239"/>
    </w:p>
    <w:p w14:paraId="078EDA04" w14:textId="77777777" w:rsidR="002D6F18" w:rsidRPr="002D6F18" w:rsidRDefault="002D6F18" w:rsidP="002D6F18">
      <w:pPr>
        <w:pStyle w:val="EndNoteBibliography"/>
        <w:spacing w:after="0"/>
        <w:ind w:left="380" w:hanging="380"/>
      </w:pPr>
      <w:bookmarkStart w:id="240" w:name="_ENREF_36"/>
      <w:r w:rsidRPr="002D6F18">
        <w:t>36.</w:t>
      </w:r>
      <w:r w:rsidRPr="002D6F18">
        <w:tab/>
        <w:t>Pirkis J, Robinson J, Gunnell D, Hawton K, Hetrick S, Niederkrotenthaler T, et al. Understanding Suicide and Self-Harm [Internet]. Melbourne2022 [cited 2023 October 23]. Available from: Link to be updated once available.</w:t>
      </w:r>
      <w:bookmarkEnd w:id="240"/>
    </w:p>
    <w:p w14:paraId="13EAAE12" w14:textId="77777777" w:rsidR="002D6F18" w:rsidRPr="002D6F18" w:rsidRDefault="002D6F18" w:rsidP="002D6F18">
      <w:pPr>
        <w:pStyle w:val="EndNoteBibliography"/>
        <w:spacing w:after="0"/>
        <w:ind w:left="380" w:hanging="380"/>
      </w:pPr>
      <w:bookmarkStart w:id="241" w:name="_ENREF_37"/>
      <w:r w:rsidRPr="002D6F18">
        <w:t>37.</w:t>
      </w:r>
      <w:r w:rsidRPr="002D6F18">
        <w:tab/>
        <w:t>Case A, Deaton A. Suicide, Age, and Well-Being: An Empirical Investigation. Chicago, United States of America: University of Chicago Press; 2015.</w:t>
      </w:r>
      <w:bookmarkEnd w:id="241"/>
    </w:p>
    <w:p w14:paraId="785C4A66" w14:textId="77777777" w:rsidR="002D6F18" w:rsidRPr="002D6F18" w:rsidRDefault="002D6F18" w:rsidP="002D6F18">
      <w:pPr>
        <w:pStyle w:val="EndNoteBibliography"/>
        <w:spacing w:after="0"/>
        <w:ind w:left="380" w:hanging="380"/>
      </w:pPr>
      <w:bookmarkStart w:id="242" w:name="_ENREF_38"/>
      <w:r w:rsidRPr="002D6F18">
        <w:t>38.</w:t>
      </w:r>
      <w:r w:rsidRPr="002D6F18">
        <w:tab/>
        <w:t>Helliwell JF. Well-Being and Social Capital: Does Suicide Pose a Puzzle? Social Indicators Research. 2007. DOI: 10.1007/s11205-006-0022-y.</w:t>
      </w:r>
      <w:bookmarkEnd w:id="242"/>
    </w:p>
    <w:p w14:paraId="00A190D9" w14:textId="77777777" w:rsidR="002D6F18" w:rsidRPr="002D6F18" w:rsidRDefault="002D6F18" w:rsidP="002D6F18">
      <w:pPr>
        <w:pStyle w:val="EndNoteBibliography"/>
        <w:spacing w:after="0"/>
        <w:ind w:left="380" w:hanging="380"/>
      </w:pPr>
      <w:bookmarkStart w:id="243" w:name="_ENREF_39"/>
      <w:r w:rsidRPr="002D6F18">
        <w:t>39.</w:t>
      </w:r>
      <w:r w:rsidRPr="002D6F18">
        <w:tab/>
        <w:t>Dev S, Kim D. State and County-Level Social Capital as Predictors of County-Level Suicide Rates in the United States: A Lagged Multilevel Study. Public Health Reports. 2021. 10.1177/0033354920976555.</w:t>
      </w:r>
      <w:bookmarkEnd w:id="243"/>
    </w:p>
    <w:p w14:paraId="6713C651" w14:textId="77777777" w:rsidR="002D6F18" w:rsidRPr="002D6F18" w:rsidRDefault="002D6F18" w:rsidP="002D6F18">
      <w:pPr>
        <w:pStyle w:val="EndNoteBibliography"/>
        <w:spacing w:after="0"/>
        <w:ind w:left="380" w:hanging="380"/>
      </w:pPr>
      <w:bookmarkStart w:id="244" w:name="_ENREF_40"/>
      <w:r w:rsidRPr="002D6F18">
        <w:t>40.</w:t>
      </w:r>
      <w:r w:rsidRPr="002D6F18">
        <w:tab/>
        <w:t>Kelly BD, Davoren M, Mhaoláin ÁN, Breen EG, Casey P. Social Capital and Suicide in 11 European Countries: An Ecological Analysis. Social Psychiatry and Psychiatric Epidemiology. 2009. DOI: 10.1007/s00127-009-0018-4.</w:t>
      </w:r>
      <w:bookmarkEnd w:id="244"/>
    </w:p>
    <w:p w14:paraId="0ADF0AC5" w14:textId="77777777" w:rsidR="002D6F18" w:rsidRPr="002D6F18" w:rsidRDefault="002D6F18" w:rsidP="002D6F18">
      <w:pPr>
        <w:pStyle w:val="EndNoteBibliography"/>
        <w:spacing w:after="0"/>
        <w:ind w:left="380" w:hanging="380"/>
      </w:pPr>
      <w:bookmarkStart w:id="245" w:name="_ENREF_41"/>
      <w:r w:rsidRPr="002D6F18">
        <w:t>41.</w:t>
      </w:r>
      <w:r w:rsidRPr="002D6F18">
        <w:tab/>
        <w:t>Kunst AE, van Hooijdonk C, Droomers M, Mackenbach JP. Community Social Capital and Suicide Mortality in the Netherlands: A Cross-Sectional Registry-Based Study. BMC Public Health. 2013. DOI: 10.1186/1471-2458-13-969.</w:t>
      </w:r>
      <w:bookmarkEnd w:id="245"/>
    </w:p>
    <w:p w14:paraId="2D057B4B" w14:textId="77777777" w:rsidR="002D6F18" w:rsidRPr="002D6F18" w:rsidRDefault="002D6F18" w:rsidP="002D6F18">
      <w:pPr>
        <w:pStyle w:val="EndNoteBibliography"/>
        <w:spacing w:after="0"/>
        <w:ind w:left="380" w:hanging="380"/>
      </w:pPr>
      <w:bookmarkStart w:id="246" w:name="_ENREF_42"/>
      <w:r w:rsidRPr="002D6F18">
        <w:t>42.</w:t>
      </w:r>
      <w:r w:rsidRPr="002D6F18">
        <w:tab/>
        <w:t>Lew B, Chistopolskaya K, Osman A, Huen JMY, Abu Talib M, Leung ANM. Meaning in Life as a Protective Factor Against Suicidal Tendencies in Chinese University Students. BMC Psychiatry. 2020. DOI: 10.1186/s12888-020-02485-4.</w:t>
      </w:r>
      <w:bookmarkEnd w:id="246"/>
    </w:p>
    <w:p w14:paraId="20855801" w14:textId="77777777" w:rsidR="002D6F18" w:rsidRPr="002D6F18" w:rsidRDefault="002D6F18" w:rsidP="002D6F18">
      <w:pPr>
        <w:pStyle w:val="EndNoteBibliography"/>
        <w:spacing w:after="0"/>
        <w:ind w:left="380" w:hanging="380"/>
      </w:pPr>
      <w:bookmarkStart w:id="247" w:name="_ENREF_43"/>
      <w:r w:rsidRPr="002D6F18">
        <w:t>43.</w:t>
      </w:r>
      <w:r w:rsidRPr="002D6F18">
        <w:tab/>
        <w:t>Šedivy NZ, Podlogar T, Kerr DCR, De Leo D. Community Social Support as a Protective Factor Against Suicide: A Gender-Specific Ecological Study of 75 Regions of 23 European Countries. Health &amp; Place. 2017. DOI: 10.1016/j.healthplace.2017.09.004.</w:t>
      </w:r>
      <w:bookmarkEnd w:id="247"/>
    </w:p>
    <w:p w14:paraId="291E99F1" w14:textId="77777777" w:rsidR="002D6F18" w:rsidRPr="002D6F18" w:rsidRDefault="002D6F18" w:rsidP="002D6F18">
      <w:pPr>
        <w:pStyle w:val="EndNoteBibliography"/>
        <w:spacing w:after="0"/>
        <w:ind w:left="380" w:hanging="380"/>
      </w:pPr>
      <w:bookmarkStart w:id="248" w:name="_ENREF_44"/>
      <w:r w:rsidRPr="002D6F18">
        <w:t>44.</w:t>
      </w:r>
      <w:r w:rsidRPr="002D6F18">
        <w:tab/>
        <w:t>Bureau JS, Mageau GA, Vallerand RJ, Rousseau FL, Otis J. Self‐Determination: A Buffer Against Suicide Ideation. Suicide and Life‐Threatening Behavior. 2012. DOI: 10.1111/j.1943-278X.2012.00097.x.</w:t>
      </w:r>
      <w:bookmarkEnd w:id="248"/>
    </w:p>
    <w:p w14:paraId="63AF2977" w14:textId="39A06F87" w:rsidR="002D6F18" w:rsidRPr="002D6F18" w:rsidRDefault="002D6F18" w:rsidP="002D6F18">
      <w:pPr>
        <w:pStyle w:val="EndNoteBibliography"/>
        <w:spacing w:after="0"/>
        <w:ind w:left="380" w:hanging="380"/>
      </w:pPr>
      <w:bookmarkStart w:id="249" w:name="_ENREF_45"/>
      <w:r w:rsidRPr="002D6F18">
        <w:t>45.</w:t>
      </w:r>
      <w:r w:rsidRPr="002D6F18">
        <w:tab/>
        <w:t xml:space="preserve">Gee G, Dudgeon P, Schultz C, Hart A, Kelly K. Aboriginal and Torres Strait Islander Social and Emotional Wellbeing Canberra: PMC, Australian Government; 2014 [cited 2023 October 05]. Available from: </w:t>
      </w:r>
      <w:hyperlink r:id="rId85" w:history="1">
        <w:r w:rsidRPr="002D6F18">
          <w:rPr>
            <w:rStyle w:val="Hyperlink"/>
          </w:rPr>
          <w:t>https://research.bond.edu.au/en/publications/aboriginal-and-torres-strait-islander-social-and-emotional-wellbe</w:t>
        </w:r>
      </w:hyperlink>
      <w:r w:rsidRPr="002D6F18">
        <w:t>.</w:t>
      </w:r>
      <w:bookmarkEnd w:id="249"/>
    </w:p>
    <w:p w14:paraId="5FAFAA6E" w14:textId="77777777" w:rsidR="002D6F18" w:rsidRPr="002D6F18" w:rsidRDefault="002D6F18" w:rsidP="002D6F18">
      <w:pPr>
        <w:pStyle w:val="EndNoteBibliography"/>
        <w:spacing w:after="0"/>
        <w:ind w:left="380" w:hanging="380"/>
      </w:pPr>
      <w:bookmarkStart w:id="250" w:name="_ENREF_46"/>
      <w:r w:rsidRPr="002D6F18">
        <w:t>46.</w:t>
      </w:r>
      <w:r w:rsidRPr="002D6F18">
        <w:tab/>
        <w:t>Department of the Prime Minister and Cabinet. Working Together: Aboriginal and Torres Strait Islander Mental Health and Wellbeing Principles and Practice. 2nd ed. Canberra: PMC, Australian Government;  2014. 588 p.</w:t>
      </w:r>
      <w:bookmarkEnd w:id="250"/>
    </w:p>
    <w:p w14:paraId="71EC500E" w14:textId="7F7E8083" w:rsidR="002D6F18" w:rsidRPr="002D6F18" w:rsidRDefault="002D6F18" w:rsidP="002D6F18">
      <w:pPr>
        <w:pStyle w:val="EndNoteBibliography"/>
        <w:spacing w:after="0"/>
        <w:ind w:left="380" w:hanging="380"/>
      </w:pPr>
      <w:bookmarkStart w:id="251" w:name="_ENREF_47"/>
      <w:r w:rsidRPr="002D6F18">
        <w:t>47.</w:t>
      </w:r>
      <w:r w:rsidRPr="002D6F18">
        <w:tab/>
        <w:t xml:space="preserve">Department of Health and Aged Care. National Aboriginal and Torres Strait Islander Health Plan 2021–2031 [Internet]. Canberra: DOHAC, Australian Government; 2021 [updated 27 June 2022;cited 2023 December 6]. Available from: </w:t>
      </w:r>
      <w:hyperlink r:id="rId86" w:history="1">
        <w:r w:rsidRPr="002D6F18">
          <w:rPr>
            <w:rStyle w:val="Hyperlink"/>
          </w:rPr>
          <w:t>https://www.health.gov.au/resources/publications/national-aboriginal-and-torres-strait-islander-health-plan-2021-2031</w:t>
        </w:r>
      </w:hyperlink>
      <w:r w:rsidRPr="002D6F18">
        <w:t>.</w:t>
      </w:r>
      <w:bookmarkEnd w:id="251"/>
    </w:p>
    <w:p w14:paraId="12A694F9" w14:textId="28D81538" w:rsidR="002D6F18" w:rsidRPr="002D6F18" w:rsidRDefault="002D6F18" w:rsidP="002D6F18">
      <w:pPr>
        <w:pStyle w:val="EndNoteBibliography"/>
        <w:spacing w:after="0"/>
        <w:ind w:left="380" w:hanging="380"/>
      </w:pPr>
      <w:bookmarkStart w:id="252" w:name="_ENREF_48"/>
      <w:r w:rsidRPr="002D6F18">
        <w:t>48.</w:t>
      </w:r>
      <w:r w:rsidRPr="002D6F18">
        <w:tab/>
        <w:t xml:space="preserve">Office of the High Commissioner United Nations Human Rights. International Covenant of Civil and Political Rights, Part III, Article 6 [Internet]. United Nations Human Rights, Office of the High Commissioner; 1966 [cited 2023 November 06]. Available from: </w:t>
      </w:r>
      <w:hyperlink r:id="rId87" w:history="1">
        <w:r w:rsidRPr="002D6F18">
          <w:rPr>
            <w:rStyle w:val="Hyperlink"/>
          </w:rPr>
          <w:t>https://www.ohchr.org/en/instruments-mechanisms/instruments/international-covenant-civil-and-political-rights#article-6</w:t>
        </w:r>
      </w:hyperlink>
      <w:r w:rsidRPr="002D6F18">
        <w:t>.</w:t>
      </w:r>
      <w:bookmarkEnd w:id="252"/>
    </w:p>
    <w:p w14:paraId="2404F8A7" w14:textId="264389FB" w:rsidR="002D6F18" w:rsidRPr="002D6F18" w:rsidRDefault="002D6F18" w:rsidP="002D6F18">
      <w:pPr>
        <w:pStyle w:val="EndNoteBibliography"/>
        <w:spacing w:after="0"/>
        <w:ind w:left="380" w:hanging="380"/>
      </w:pPr>
      <w:bookmarkStart w:id="253" w:name="_ENREF_49"/>
      <w:r w:rsidRPr="002D6F18">
        <w:t>49.</w:t>
      </w:r>
      <w:r w:rsidRPr="002D6F18">
        <w:tab/>
        <w:t xml:space="preserve">Australian Institute of Health and Welfare. The Health Impact of Suicide and Self-Inflicted Injuries in Australia, 2019 [Internet]. AIHW, Australian Government; 2021 [cited 2023 October 24]. Available from: </w:t>
      </w:r>
      <w:hyperlink r:id="rId88" w:history="1">
        <w:r w:rsidRPr="002D6F18">
          <w:rPr>
            <w:rStyle w:val="Hyperlink"/>
          </w:rPr>
          <w:t>https://www.aihw.gov.au/reports/burden-of-disease/health-impact-suicide-self-inflicted-injuries-2019/contents/about</w:t>
        </w:r>
      </w:hyperlink>
      <w:r w:rsidRPr="002D6F18">
        <w:t>.</w:t>
      </w:r>
      <w:bookmarkEnd w:id="253"/>
    </w:p>
    <w:p w14:paraId="2AB11BB7" w14:textId="3F881D44" w:rsidR="002D6F18" w:rsidRPr="002D6F18" w:rsidRDefault="002D6F18" w:rsidP="002D6F18">
      <w:pPr>
        <w:pStyle w:val="EndNoteBibliography"/>
        <w:spacing w:after="0"/>
        <w:ind w:left="380" w:hanging="380"/>
      </w:pPr>
      <w:bookmarkStart w:id="254" w:name="_ENREF_50"/>
      <w:r w:rsidRPr="002D6F18">
        <w:t>50.</w:t>
      </w:r>
      <w:r w:rsidRPr="002D6F18">
        <w:tab/>
        <w:t xml:space="preserve">Australian Institute of Health and Welfare. Regression Risk Models for Selected Census Variables [Internet]. AIHW, Australian Government; 2023 [cited 2023 October 30]. Available from: </w:t>
      </w:r>
      <w:hyperlink r:id="rId89" w:history="1">
        <w:r w:rsidRPr="002D6F18">
          <w:rPr>
            <w:rStyle w:val="Hyperlink"/>
          </w:rPr>
          <w:t>https://www.aihw.gov.au/suicide-self-harm-monitoring/data/behaviours-risk-factors/social-factors-suicide/regression-risk-models-selected-census-variables</w:t>
        </w:r>
      </w:hyperlink>
      <w:r w:rsidRPr="002D6F18">
        <w:t>.</w:t>
      </w:r>
      <w:bookmarkEnd w:id="254"/>
    </w:p>
    <w:p w14:paraId="6DA33BD2" w14:textId="55A568DD" w:rsidR="002D6F18" w:rsidRPr="002D6F18" w:rsidRDefault="002D6F18" w:rsidP="002D6F18">
      <w:pPr>
        <w:pStyle w:val="EndNoteBibliography"/>
        <w:spacing w:after="0"/>
        <w:ind w:left="380" w:hanging="380"/>
      </w:pPr>
      <w:bookmarkStart w:id="255" w:name="_ENREF_51"/>
      <w:r w:rsidRPr="002D6F18">
        <w:t>51.</w:t>
      </w:r>
      <w:r w:rsidRPr="002D6F18">
        <w:tab/>
        <w:t xml:space="preserve">Australian Institute of Health and Welfare. Social and Economic Factors Associated with Suicide in Australia: A Focus on Individual Income [Internet]. AIHW, Australian Government; 2023 [cited 2023 October 24]. Available from: </w:t>
      </w:r>
      <w:hyperlink r:id="rId90" w:history="1">
        <w:r w:rsidRPr="002D6F18">
          <w:rPr>
            <w:rStyle w:val="Hyperlink"/>
          </w:rPr>
          <w:t>https://www.aihw.gov.au/suicide-self-harm-monitoring/data/behaviours-risk-factors/social-factors-suicide/longitudinal-analysis-of-income-uncertainty</w:t>
        </w:r>
      </w:hyperlink>
      <w:r w:rsidRPr="002D6F18">
        <w:t>.</w:t>
      </w:r>
      <w:bookmarkEnd w:id="255"/>
    </w:p>
    <w:p w14:paraId="186F9CB7" w14:textId="77777777" w:rsidR="002D6F18" w:rsidRPr="002D6F18" w:rsidRDefault="002D6F18" w:rsidP="002D6F18">
      <w:pPr>
        <w:pStyle w:val="EndNoteBibliography"/>
        <w:spacing w:after="0"/>
        <w:ind w:left="380" w:hanging="380"/>
      </w:pPr>
      <w:bookmarkStart w:id="256" w:name="_ENREF_52"/>
      <w:r w:rsidRPr="002D6F18">
        <w:t>52.</w:t>
      </w:r>
      <w:r w:rsidRPr="002D6F18">
        <w:tab/>
        <w:t>Coimbra BM, Hoeboer CM, Yik J, Mello AF, Mello MF, Olff M. Meta-Analysis of the Effect of Racial Discrimination on Suicidality. SSM - Population Health. 2022. DOI: 10.1016/j.ssmph.2022.101283.</w:t>
      </w:r>
      <w:bookmarkEnd w:id="256"/>
    </w:p>
    <w:p w14:paraId="6A7961A7" w14:textId="77777777" w:rsidR="002D6F18" w:rsidRPr="002D6F18" w:rsidRDefault="002D6F18" w:rsidP="002D6F18">
      <w:pPr>
        <w:pStyle w:val="EndNoteBibliography"/>
        <w:spacing w:after="0"/>
        <w:ind w:left="380" w:hanging="380"/>
      </w:pPr>
      <w:bookmarkStart w:id="257" w:name="_ENREF_53"/>
      <w:r w:rsidRPr="002D6F18">
        <w:t>53.</w:t>
      </w:r>
      <w:r w:rsidRPr="002D6F18">
        <w:tab/>
        <w:t>Stickley A, Koyanagi A. Loneliness, Common Mental Disorders and Suicidal Behavior: Findings from a General Population Survey. Journal of Affective Disorders. 2016. DOI: 10.1016/j.jad.2016.02.054.</w:t>
      </w:r>
      <w:bookmarkEnd w:id="257"/>
    </w:p>
    <w:p w14:paraId="1CACBB34" w14:textId="77777777" w:rsidR="002D6F18" w:rsidRPr="002D6F18" w:rsidRDefault="002D6F18" w:rsidP="002D6F18">
      <w:pPr>
        <w:pStyle w:val="EndNoteBibliography"/>
        <w:spacing w:after="0"/>
        <w:ind w:left="380" w:hanging="380"/>
      </w:pPr>
      <w:bookmarkStart w:id="258" w:name="_ENREF_54"/>
      <w:r w:rsidRPr="002D6F18">
        <w:t>54.</w:t>
      </w:r>
      <w:r w:rsidRPr="002D6F18">
        <w:tab/>
        <w:t>Fernando DT, Clapperton A, Berecki-Gisolf J. Suicide Following Hospital Admission for Mental Health Conditions, Physical Illness, Injury and Intentional Self-Harm in Victoria, Australia. PLoS ONE. 2022. DOI: 10.1371/journal.pone.0271341.</w:t>
      </w:r>
      <w:bookmarkEnd w:id="258"/>
    </w:p>
    <w:p w14:paraId="27691AE6" w14:textId="6A142773" w:rsidR="002D6F18" w:rsidRPr="002D6F18" w:rsidRDefault="002D6F18" w:rsidP="002D6F18">
      <w:pPr>
        <w:pStyle w:val="EndNoteBibliography"/>
        <w:spacing w:after="0"/>
        <w:ind w:left="380" w:hanging="380"/>
      </w:pPr>
      <w:bookmarkStart w:id="259" w:name="_ENREF_55"/>
      <w:r w:rsidRPr="002D6F18">
        <w:t>55.</w:t>
      </w:r>
      <w:r w:rsidRPr="002D6F18">
        <w:tab/>
        <w:t xml:space="preserve">Lindahl V, Pearson JL, Colpe L. Prevalence of Suicidality During Pregnancy and the Postpartum. Archives of Women’s Mental Health. 2005. </w:t>
      </w:r>
      <w:hyperlink r:id="rId91" w:history="1">
        <w:r w:rsidRPr="002D6F18">
          <w:rPr>
            <w:rStyle w:val="Hyperlink"/>
          </w:rPr>
          <w:t>https://doi.org/10.1007/s00737-005-0080-1</w:t>
        </w:r>
      </w:hyperlink>
      <w:r w:rsidRPr="002D6F18">
        <w:t>.</w:t>
      </w:r>
      <w:bookmarkEnd w:id="259"/>
    </w:p>
    <w:p w14:paraId="06D3B922" w14:textId="2F289A4B" w:rsidR="002D6F18" w:rsidRPr="002D6F18" w:rsidRDefault="002D6F18" w:rsidP="002D6F18">
      <w:pPr>
        <w:pStyle w:val="EndNoteBibliography"/>
        <w:spacing w:after="0"/>
        <w:ind w:left="380" w:hanging="380"/>
      </w:pPr>
      <w:bookmarkStart w:id="260" w:name="_ENREF_56"/>
      <w:r w:rsidRPr="002D6F18">
        <w:t>56.</w:t>
      </w:r>
      <w:r w:rsidRPr="002D6F18">
        <w:tab/>
        <w:t xml:space="preserve">Australian Institute of Health and Welfare. Data Tables: 2021 National Mortality Database - Suicide (ICD-10 X60-X84, Y87.0) [Internet]. AIHW, Australian Government; 2023 [cited 2023 October 24]. Available from: </w:t>
      </w:r>
      <w:hyperlink r:id="rId92" w:history="1">
        <w:r w:rsidRPr="002D6F18">
          <w:rPr>
            <w:rStyle w:val="Hyperlink"/>
          </w:rPr>
          <w:t>https://www.aihw.gov.au/suicide-self-harm-monitoring/data/data-downloads</w:t>
        </w:r>
      </w:hyperlink>
      <w:r w:rsidRPr="002D6F18">
        <w:t>.</w:t>
      </w:r>
      <w:bookmarkEnd w:id="260"/>
    </w:p>
    <w:p w14:paraId="3798C91B" w14:textId="4AA8F7F1" w:rsidR="002D6F18" w:rsidRPr="002D6F18" w:rsidRDefault="002D6F18" w:rsidP="002D6F18">
      <w:pPr>
        <w:pStyle w:val="EndNoteBibliography"/>
        <w:spacing w:after="0"/>
        <w:ind w:left="380" w:hanging="380"/>
      </w:pPr>
      <w:bookmarkStart w:id="261" w:name="_ENREF_57"/>
      <w:r w:rsidRPr="002D6F18">
        <w:t>57.</w:t>
      </w:r>
      <w:r w:rsidRPr="002D6F18">
        <w:tab/>
        <w:t xml:space="preserve">The Scottish Government and the Convention of Scottish Local Authorities. Creating Hope Together: Scotland's Suicide Prevention Plan 2022-2025 [Internet]. Edinburgh, Scotland: The Scottish Government; 2022 [cited 2023 November 06]. Available from: </w:t>
      </w:r>
      <w:hyperlink r:id="rId93" w:history="1">
        <w:r w:rsidRPr="002D6F18">
          <w:rPr>
            <w:rStyle w:val="Hyperlink"/>
          </w:rPr>
          <w:t>https://www.gov.scot/publications/creating-hope-together-scotlands-suicide-prevention-action-plan-2022-2025/documents/</w:t>
        </w:r>
      </w:hyperlink>
      <w:r w:rsidRPr="002D6F18">
        <w:t>.</w:t>
      </w:r>
      <w:bookmarkEnd w:id="261"/>
    </w:p>
    <w:p w14:paraId="154E7C9C" w14:textId="523DB23E" w:rsidR="002D6F18" w:rsidRPr="002D6F18" w:rsidRDefault="002D6F18" w:rsidP="002D6F18">
      <w:pPr>
        <w:pStyle w:val="EndNoteBibliography"/>
        <w:spacing w:after="0"/>
        <w:ind w:left="380" w:hanging="380"/>
      </w:pPr>
      <w:bookmarkStart w:id="262" w:name="_ENREF_58"/>
      <w:r w:rsidRPr="002D6F18">
        <w:t>58.</w:t>
      </w:r>
      <w:r w:rsidRPr="002D6F18">
        <w:tab/>
        <w:t xml:space="preserve">Ministry of Health. Every life matters  - He Tapu te Oranga o ia Tangata: Suicide Prevention Strategy 2019–2029 and Suicide Prevention Action Plan 2019–2024 for Aotearoa New Zealand [Internet ]. New Zealand Government 2019 [cited 2024 February 8]. Available from: </w:t>
      </w:r>
      <w:hyperlink r:id="rId94" w:history="1">
        <w:r w:rsidRPr="002D6F18">
          <w:rPr>
            <w:rStyle w:val="Hyperlink"/>
          </w:rPr>
          <w:t>https://www.health.govt.nz/our-work/mental-health-and-addiction/suicide-prevention-new-zealand/suicide-prevention-strategy-and-action-plan</w:t>
        </w:r>
      </w:hyperlink>
      <w:r w:rsidRPr="002D6F18">
        <w:t>.</w:t>
      </w:r>
      <w:bookmarkEnd w:id="262"/>
    </w:p>
    <w:p w14:paraId="03222DA9" w14:textId="17099ACB" w:rsidR="002D6F18" w:rsidRPr="002D6F18" w:rsidRDefault="002D6F18" w:rsidP="002D6F18">
      <w:pPr>
        <w:pStyle w:val="EndNoteBibliography"/>
        <w:spacing w:after="0"/>
        <w:ind w:left="380" w:hanging="380"/>
      </w:pPr>
      <w:bookmarkStart w:id="263" w:name="_ENREF_59"/>
      <w:r w:rsidRPr="002D6F18">
        <w:t>59.</w:t>
      </w:r>
      <w:r w:rsidRPr="002D6F18">
        <w:tab/>
        <w:t xml:space="preserve">Productivity Commission. Closing the Gap targets and outcomes [Internet]. PC, Australian Government; 2024 [cited 2024 February 8]. Available from: </w:t>
      </w:r>
      <w:hyperlink r:id="rId95" w:history="1">
        <w:r w:rsidRPr="002D6F18">
          <w:rPr>
            <w:rStyle w:val="Hyperlink"/>
          </w:rPr>
          <w:t>https://www.closingthegap.gov.au/national-agreement/targets</w:t>
        </w:r>
      </w:hyperlink>
      <w:r w:rsidRPr="002D6F18">
        <w:t>.</w:t>
      </w:r>
      <w:bookmarkEnd w:id="263"/>
    </w:p>
    <w:p w14:paraId="4E22380B" w14:textId="77777777" w:rsidR="002D6F18" w:rsidRPr="002D6F18" w:rsidRDefault="002D6F18" w:rsidP="002D6F18">
      <w:pPr>
        <w:pStyle w:val="EndNoteBibliography"/>
        <w:spacing w:after="0"/>
        <w:ind w:left="380" w:hanging="380"/>
      </w:pPr>
      <w:bookmarkStart w:id="264" w:name="_ENREF_60"/>
      <w:r w:rsidRPr="002D6F18">
        <w:t>60.</w:t>
      </w:r>
      <w:r w:rsidRPr="002D6F18">
        <w:tab/>
        <w:t>Pirkis J, Gunnell D, Hawton K, Hetrick S, Niederkrotenthaler T, Sinyor M, et al. A Public Health, Whole-of-Government Approach to National Suicide Prevention Strategies. 2023. DOI: 10.1027/0227-5910/a000902.</w:t>
      </w:r>
      <w:bookmarkEnd w:id="264"/>
    </w:p>
    <w:p w14:paraId="2670F778" w14:textId="1120A64C" w:rsidR="002D6F18" w:rsidRPr="002D6F18" w:rsidRDefault="002D6F18" w:rsidP="002D6F18">
      <w:pPr>
        <w:pStyle w:val="EndNoteBibliography"/>
        <w:spacing w:after="0"/>
        <w:ind w:left="380" w:hanging="380"/>
      </w:pPr>
      <w:bookmarkStart w:id="265" w:name="_ENREF_61"/>
      <w:r w:rsidRPr="002D6F18">
        <w:t>61.</w:t>
      </w:r>
      <w:r w:rsidRPr="002D6F18">
        <w:tab/>
        <w:t xml:space="preserve">Rowley S. Housing Affordability, Housing Stress and Household Wellbeing in Australia Melbourne: Australian Housing and Urban Research Institute; 2012 [cited 2023 October 05]. Available from: </w:t>
      </w:r>
      <w:hyperlink r:id="rId96" w:history="1">
        <w:r w:rsidRPr="002D6F18">
          <w:rPr>
            <w:rStyle w:val="Hyperlink"/>
          </w:rPr>
          <w:t>https://apo.org.au/node/31055</w:t>
        </w:r>
      </w:hyperlink>
      <w:r w:rsidRPr="002D6F18">
        <w:t>.</w:t>
      </w:r>
      <w:bookmarkEnd w:id="265"/>
    </w:p>
    <w:p w14:paraId="0D00F9A7" w14:textId="77777777" w:rsidR="002D6F18" w:rsidRPr="002D6F18" w:rsidRDefault="002D6F18" w:rsidP="002D6F18">
      <w:pPr>
        <w:pStyle w:val="EndNoteBibliography"/>
        <w:spacing w:after="0"/>
        <w:ind w:left="380" w:hanging="380"/>
      </w:pPr>
      <w:bookmarkStart w:id="266" w:name="_ENREF_62"/>
      <w:r w:rsidRPr="002D6F18">
        <w:t>62.</w:t>
      </w:r>
      <w:r w:rsidRPr="002D6F18">
        <w:tab/>
        <w:t>Grummitt L, Baldwin JR, Lafoa’i J, Keyes KM, Barrett EL. Burden of Mental Disorders and Suicide Attributable to Childhood Maltreatment. JAMA Psychiatry. 2024. 10.1001/jamapsychiatry.2024.0804.</w:t>
      </w:r>
      <w:bookmarkEnd w:id="266"/>
    </w:p>
    <w:p w14:paraId="7138EA16" w14:textId="1E96972A" w:rsidR="002D6F18" w:rsidRPr="002D6F18" w:rsidRDefault="002D6F18" w:rsidP="002D6F18">
      <w:pPr>
        <w:pStyle w:val="EndNoteBibliography"/>
        <w:spacing w:after="0"/>
        <w:ind w:left="380" w:hanging="380"/>
      </w:pPr>
      <w:bookmarkStart w:id="267" w:name="_ENREF_63"/>
      <w:r w:rsidRPr="002D6F18">
        <w:t>63.</w:t>
      </w:r>
      <w:r w:rsidRPr="002D6F18">
        <w:tab/>
        <w:t xml:space="preserve">Haslam D, Mathews B, Pacella R, Scott JG, Finkelhor D, Higgins DJ, et al. Australian Child Maltreatment Study: The Prevalence and Impact of Child Maltreatment in Australia - Findings from the Australian Child Maltreatment Study - 2023 - Brief Report [Internet]. Queensland University of Technology; 2023 [cited 2023 October 26]. Available from: </w:t>
      </w:r>
      <w:hyperlink r:id="rId97" w:history="1">
        <w:r w:rsidRPr="002D6F18">
          <w:rPr>
            <w:rStyle w:val="Hyperlink"/>
          </w:rPr>
          <w:t>http://www.acms.au/wp-content/uploads/2023/04/3846.1_ACMS_A4Report_C1_Digital-Near-final.pdf</w:t>
        </w:r>
      </w:hyperlink>
      <w:r w:rsidRPr="002D6F18">
        <w:t>.</w:t>
      </w:r>
      <w:bookmarkEnd w:id="267"/>
    </w:p>
    <w:p w14:paraId="5E48429D" w14:textId="071B4183" w:rsidR="002D6F18" w:rsidRPr="002D6F18" w:rsidRDefault="002D6F18" w:rsidP="002D6F18">
      <w:pPr>
        <w:pStyle w:val="EndNoteBibliography"/>
        <w:spacing w:after="0"/>
        <w:ind w:left="380" w:hanging="380"/>
      </w:pPr>
      <w:bookmarkStart w:id="268" w:name="_ENREF_64"/>
      <w:r w:rsidRPr="002D6F18">
        <w:t>64.</w:t>
      </w:r>
      <w:r w:rsidRPr="002D6F18">
        <w:tab/>
        <w:t xml:space="preserve">Trew S, Russell D, Higgins D. Supportive Practices for Young People in Out-of-Home Care who are at Risk of Suicidality [Internet]. Australian Institute of Family Studies; 2023 [cited 2023 October 26]. Available from: </w:t>
      </w:r>
      <w:hyperlink r:id="rId98" w:history="1">
        <w:r w:rsidRPr="002D6F18">
          <w:rPr>
            <w:rStyle w:val="Hyperlink"/>
          </w:rPr>
          <w:t>https://aifs.gov.au/resources/short-articles/supportive-practices-young-people-out-home-care-who-are-risk-suicidality</w:t>
        </w:r>
      </w:hyperlink>
      <w:r w:rsidRPr="002D6F18">
        <w:t>.</w:t>
      </w:r>
      <w:bookmarkEnd w:id="268"/>
    </w:p>
    <w:p w14:paraId="5680D126" w14:textId="77777777" w:rsidR="002D6F18" w:rsidRPr="002D6F18" w:rsidRDefault="002D6F18" w:rsidP="002D6F18">
      <w:pPr>
        <w:pStyle w:val="EndNoteBibliography"/>
        <w:spacing w:after="0"/>
        <w:ind w:left="380" w:hanging="380"/>
      </w:pPr>
      <w:bookmarkStart w:id="269" w:name="_ENREF_65"/>
      <w:r w:rsidRPr="002D6F18">
        <w:t>65.</w:t>
      </w:r>
      <w:r w:rsidRPr="002D6F18">
        <w:tab/>
        <w:t>Evans R, White J, Turley R, Slater T, Morgan H, Strange H, et al. Comparison of Suicidal Ideation, Suicide Attempt and Suicide in Children and Young People in Care and Non-Care Populations: Systematic Review and Meta-Analysis of Prevalence. Children and Youth Services Review. 2017. DOI: 10.1016/j.childyouth.2017.09.020.</w:t>
      </w:r>
      <w:bookmarkEnd w:id="269"/>
    </w:p>
    <w:p w14:paraId="3A1AF21F" w14:textId="7CDC06ED" w:rsidR="002D6F18" w:rsidRPr="002D6F18" w:rsidRDefault="002D6F18" w:rsidP="002D6F18">
      <w:pPr>
        <w:pStyle w:val="EndNoteBibliography"/>
        <w:spacing w:after="0"/>
        <w:ind w:left="380" w:hanging="380"/>
      </w:pPr>
      <w:bookmarkStart w:id="270" w:name="_ENREF_66"/>
      <w:r w:rsidRPr="002D6F18">
        <w:t>66.</w:t>
      </w:r>
      <w:r w:rsidRPr="002D6F18">
        <w:tab/>
        <w:t xml:space="preserve">Australian Institute of Health and Welfare. Examination of Hospital Stays due to Family and Domestic Violence 2010-11 to 2018-19 [Internet]. AIHW; 2021 [cited 2023 October 30]. Available from: </w:t>
      </w:r>
      <w:hyperlink r:id="rId99" w:history="1">
        <w:r w:rsidRPr="002D6F18">
          <w:rPr>
            <w:rStyle w:val="Hyperlink"/>
          </w:rPr>
          <w:t>https://www.aihw.gov.au/getmedia/ce7f01c2-1979-4be5-b373-f65f1c9e4134/aihw-fdv-9.pdf.aspx</w:t>
        </w:r>
      </w:hyperlink>
      <w:r w:rsidRPr="002D6F18">
        <w:t>.</w:t>
      </w:r>
      <w:bookmarkEnd w:id="270"/>
    </w:p>
    <w:p w14:paraId="57ACDCAF" w14:textId="11DAEE85" w:rsidR="002D6F18" w:rsidRPr="002D6F18" w:rsidRDefault="002D6F18" w:rsidP="002D6F18">
      <w:pPr>
        <w:pStyle w:val="EndNoteBibliography"/>
        <w:spacing w:after="0"/>
        <w:ind w:left="380" w:hanging="380"/>
      </w:pPr>
      <w:bookmarkStart w:id="271" w:name="_ENREF_67"/>
      <w:r w:rsidRPr="002D6F18">
        <w:t>67.</w:t>
      </w:r>
      <w:r w:rsidRPr="002D6F18">
        <w:tab/>
        <w:t xml:space="preserve">Australian Bureau of Statistics. Personal Safety, Australia [Internet]. ABS; 2023 [cited 2023 October 24]. Available from: </w:t>
      </w:r>
      <w:hyperlink r:id="rId100" w:history="1">
        <w:r w:rsidRPr="002D6F18">
          <w:rPr>
            <w:rStyle w:val="Hyperlink"/>
          </w:rPr>
          <w:t>https://www.abs.gov.au/statistics/people/crime-and-justice/personal-safety-australia/latest-release</w:t>
        </w:r>
      </w:hyperlink>
      <w:r w:rsidRPr="002D6F18">
        <w:t>.</w:t>
      </w:r>
      <w:bookmarkEnd w:id="271"/>
    </w:p>
    <w:p w14:paraId="17236E04" w14:textId="17456747" w:rsidR="002D6F18" w:rsidRPr="002D6F18" w:rsidRDefault="002D6F18" w:rsidP="002D6F18">
      <w:pPr>
        <w:pStyle w:val="EndNoteBibliography"/>
        <w:spacing w:after="0"/>
        <w:ind w:left="380" w:hanging="380"/>
      </w:pPr>
      <w:bookmarkStart w:id="272" w:name="_ENREF_68"/>
      <w:r w:rsidRPr="002D6F18">
        <w:t>68.</w:t>
      </w:r>
      <w:r w:rsidRPr="002D6F18">
        <w:tab/>
        <w:t xml:space="preserve">Australian Bureau of Statistics. General Social Survey: Summary Results, Australia [Internet]. Commonwealth of Australia; 2021 [cited 2023 October 06]. Available from: </w:t>
      </w:r>
      <w:hyperlink r:id="rId101" w:history="1">
        <w:r w:rsidRPr="002D6F18">
          <w:rPr>
            <w:rStyle w:val="Hyperlink"/>
          </w:rPr>
          <w:t>https://www.abs.gov.au/statistics/people/people-and-communities/general-social-survey-summary-results-australia/latest-release</w:t>
        </w:r>
      </w:hyperlink>
      <w:r w:rsidRPr="002D6F18">
        <w:t>.</w:t>
      </w:r>
      <w:bookmarkEnd w:id="272"/>
    </w:p>
    <w:p w14:paraId="2498533A" w14:textId="77777777" w:rsidR="002D6F18" w:rsidRPr="002D6F18" w:rsidRDefault="002D6F18" w:rsidP="002D6F18">
      <w:pPr>
        <w:pStyle w:val="EndNoteBibliography"/>
        <w:spacing w:after="0"/>
        <w:ind w:left="380" w:hanging="380"/>
      </w:pPr>
      <w:bookmarkStart w:id="273" w:name="_ENREF_69"/>
      <w:r w:rsidRPr="002D6F18">
        <w:t>69.</w:t>
      </w:r>
      <w:r w:rsidRPr="002D6F18">
        <w:tab/>
        <w:t>Bretherton I, Thrower E, Zwickl S, Wong A, Chetcuti D, Grossmann M, et al. The Health and Well-Being of Transgender Australians: A National Community Survey. LGBT Health. 2020;8(1):42-9. 10.1089/lgbt.2020.0178.</w:t>
      </w:r>
      <w:bookmarkEnd w:id="273"/>
    </w:p>
    <w:p w14:paraId="17F4B632" w14:textId="77777777" w:rsidR="002D6F18" w:rsidRPr="002D6F18" w:rsidRDefault="002D6F18" w:rsidP="002D6F18">
      <w:pPr>
        <w:pStyle w:val="EndNoteBibliography"/>
        <w:spacing w:after="0"/>
        <w:ind w:left="380" w:hanging="380"/>
      </w:pPr>
      <w:bookmarkStart w:id="274" w:name="_ENREF_70"/>
      <w:r w:rsidRPr="002D6F18">
        <w:t>70.</w:t>
      </w:r>
      <w:r w:rsidRPr="002D6F18">
        <w:tab/>
        <w:t>Hertz MF, Donato I, Wright J. Bullying and Suicide: A Public Health Approach. Journal of Adolescent Health. 2013. DOI: 10.1016/j.jadohealth.2013.05.002.</w:t>
      </w:r>
      <w:bookmarkEnd w:id="274"/>
    </w:p>
    <w:p w14:paraId="39754DE3" w14:textId="3F2330C7" w:rsidR="002D6F18" w:rsidRPr="002D6F18" w:rsidRDefault="002D6F18" w:rsidP="002D6F18">
      <w:pPr>
        <w:pStyle w:val="EndNoteBibliography"/>
        <w:spacing w:after="0"/>
        <w:ind w:left="380" w:hanging="380"/>
      </w:pPr>
      <w:bookmarkStart w:id="275" w:name="_ENREF_71"/>
      <w:r w:rsidRPr="002D6F18">
        <w:t>71.</w:t>
      </w:r>
      <w:r w:rsidRPr="002D6F18">
        <w:tab/>
        <w:t xml:space="preserve">Klomek AB, Sourander A, Gould M. The Association of Suicide and Bullying in Childhood to Young Adulthood: A Review of Cross-Sectional and Longitudinal Research Findings. The Canadian Journal of Psychiatry. 2010. </w:t>
      </w:r>
      <w:hyperlink r:id="rId102" w:history="1">
        <w:r w:rsidRPr="002D6F18">
          <w:rPr>
            <w:rStyle w:val="Hyperlink"/>
          </w:rPr>
          <w:t>https://doi.org/10.1177/070674371005500503</w:t>
        </w:r>
      </w:hyperlink>
      <w:r w:rsidRPr="002D6F18">
        <w:t>.</w:t>
      </w:r>
      <w:bookmarkEnd w:id="275"/>
    </w:p>
    <w:p w14:paraId="4A939453" w14:textId="1E97D97D" w:rsidR="002D6F18" w:rsidRPr="002D6F18" w:rsidRDefault="002D6F18" w:rsidP="002D6F18">
      <w:pPr>
        <w:pStyle w:val="EndNoteBibliography"/>
        <w:spacing w:after="0"/>
        <w:ind w:left="380" w:hanging="380"/>
      </w:pPr>
      <w:bookmarkStart w:id="276" w:name="_ENREF_72"/>
      <w:r w:rsidRPr="002D6F18">
        <w:t>72.</w:t>
      </w:r>
      <w:r w:rsidRPr="002D6F18">
        <w:tab/>
        <w:t xml:space="preserve">Leach LS, Too LS, Batterham PJ, Kiely KM, Christensen H, Butterworth P. Workplace Bullying and Suicidal Ideation: Findings from an Australian Longitudinal Cohort Study of Mid-Aged Workers. International Journal of Environmental Research and Public Health. 2020. </w:t>
      </w:r>
      <w:hyperlink r:id="rId103" w:history="1">
        <w:r w:rsidRPr="002D6F18">
          <w:rPr>
            <w:rStyle w:val="Hyperlink"/>
          </w:rPr>
          <w:t>https://doi.org/10.3390/ijerph17041448</w:t>
        </w:r>
      </w:hyperlink>
      <w:r w:rsidRPr="002D6F18">
        <w:t>.</w:t>
      </w:r>
      <w:bookmarkEnd w:id="276"/>
    </w:p>
    <w:p w14:paraId="5CC62445" w14:textId="79894EE1" w:rsidR="002D6F18" w:rsidRPr="002D6F18" w:rsidRDefault="002D6F18" w:rsidP="002D6F18">
      <w:pPr>
        <w:pStyle w:val="EndNoteBibliography"/>
        <w:spacing w:after="0"/>
        <w:ind w:left="380" w:hanging="380"/>
      </w:pPr>
      <w:bookmarkStart w:id="277" w:name="_ENREF_73"/>
      <w:r w:rsidRPr="002D6F18">
        <w:t>73.</w:t>
      </w:r>
      <w:r w:rsidRPr="002D6F18">
        <w:tab/>
        <w:t xml:space="preserve">Comcare. WHS Laws Are Changing [Internet]. Comcare; 2023 [cited 2023 October 17]. Available from: </w:t>
      </w:r>
      <w:hyperlink r:id="rId104" w:history="1">
        <w:r w:rsidRPr="002D6F18">
          <w:rPr>
            <w:rStyle w:val="Hyperlink"/>
          </w:rPr>
          <w:t>https://www.comcare.gov.au/safe-healthy-work/prevent-harm/changes-to-whs-laws</w:t>
        </w:r>
      </w:hyperlink>
      <w:r w:rsidRPr="002D6F18">
        <w:t>.</w:t>
      </w:r>
      <w:bookmarkEnd w:id="277"/>
    </w:p>
    <w:p w14:paraId="32A802D3" w14:textId="77777777" w:rsidR="002D6F18" w:rsidRPr="002D6F18" w:rsidRDefault="002D6F18" w:rsidP="002D6F18">
      <w:pPr>
        <w:pStyle w:val="EndNoteBibliography"/>
        <w:spacing w:after="0"/>
        <w:ind w:left="380" w:hanging="380"/>
      </w:pPr>
      <w:bookmarkStart w:id="278" w:name="_ENREF_74"/>
      <w:r w:rsidRPr="002D6F18">
        <w:t>74.</w:t>
      </w:r>
      <w:r w:rsidRPr="002D6F18">
        <w:tab/>
        <w:t>Reifels L, Spittal MJ, Dückers MLA, Mills K, Pirkis J. Suicidality Risk and (Repeat) Disaster Exposure: Findings From a Nationally Representative Population Survey. Psychiatry: Interpersonal and Biological Processes. 2018. DOI: 10.1080/00332747.2017.1385049.</w:t>
      </w:r>
      <w:bookmarkEnd w:id="278"/>
    </w:p>
    <w:p w14:paraId="6283518C" w14:textId="71B7BB6A" w:rsidR="002D6F18" w:rsidRPr="002D6F18" w:rsidRDefault="002D6F18" w:rsidP="002D6F18">
      <w:pPr>
        <w:pStyle w:val="EndNoteBibliography"/>
        <w:spacing w:after="0"/>
        <w:ind w:left="380" w:hanging="380"/>
      </w:pPr>
      <w:bookmarkStart w:id="279" w:name="_ENREF_75"/>
      <w:r w:rsidRPr="002D6F18">
        <w:t>75.</w:t>
      </w:r>
      <w:r w:rsidRPr="002D6F18">
        <w:tab/>
        <w:t xml:space="preserve">National Mental Health Commission. Our stories: beyond the disaster [Internet]. Sydney2021 [cited 2024 February 8]. Available from: </w:t>
      </w:r>
      <w:hyperlink r:id="rId105" w:history="1">
        <w:r w:rsidRPr="002D6F18">
          <w:rPr>
            <w:rStyle w:val="Hyperlink"/>
          </w:rPr>
          <w:t>https://www.mentalhealthcommission.gov.au/projects/national-disaster-response/disaster-framework</w:t>
        </w:r>
      </w:hyperlink>
      <w:r w:rsidRPr="002D6F18">
        <w:t>.</w:t>
      </w:r>
      <w:bookmarkEnd w:id="279"/>
    </w:p>
    <w:p w14:paraId="37723A75" w14:textId="77777777" w:rsidR="002D6F18" w:rsidRPr="002D6F18" w:rsidRDefault="002D6F18" w:rsidP="002D6F18">
      <w:pPr>
        <w:pStyle w:val="EndNoteBibliography"/>
        <w:spacing w:after="0"/>
        <w:ind w:left="380" w:hanging="380"/>
      </w:pPr>
      <w:bookmarkStart w:id="280" w:name="_ENREF_76"/>
      <w:r w:rsidRPr="002D6F18">
        <w:t>76.</w:t>
      </w:r>
      <w:r w:rsidRPr="002D6F18">
        <w:tab/>
        <w:t>Jari Anttila, Solomon Hsiang. Destruction, Disinvestment, and Death: Economic and Human Losses Following Environmental Disaster. SSRN Electronic Journal. 2013. 10.2139/ssrn.2220501.</w:t>
      </w:r>
      <w:bookmarkEnd w:id="280"/>
    </w:p>
    <w:p w14:paraId="148CDE7C" w14:textId="77777777" w:rsidR="002D6F18" w:rsidRPr="002D6F18" w:rsidRDefault="002D6F18" w:rsidP="002D6F18">
      <w:pPr>
        <w:pStyle w:val="EndNoteBibliography"/>
        <w:spacing w:after="0"/>
        <w:ind w:left="380" w:hanging="380"/>
      </w:pPr>
      <w:bookmarkStart w:id="281" w:name="_ENREF_77"/>
      <w:r w:rsidRPr="002D6F18">
        <w:t>77.</w:t>
      </w:r>
      <w:r w:rsidRPr="002D6F18">
        <w:tab/>
        <w:t>G. Cissé, R. McLeman, H. Adams, P. Aldunce, K. Bowen, D. Campbell-Lendrum, et al. Climate Change 2022: Impacts, Adaptation and Vulnerability. Contribution of Working Group II to the Sixth Assessment Report of the Intergovernmental Panel on Climate Change. In: D.C. Roberts [H.-O. Pörtner, M. Tignor, E.S. Poloczanska, K. Mintenbeck, A. Alegría, M. Craig, S. Langsdorf, S. Löschke, V. Möller, A. Okem, B. Rama (eds.)]. editor. Cambridge, UK and New York, NY, USA: Cambridge University Press; 2022. p. 1041–170.</w:t>
      </w:r>
      <w:bookmarkEnd w:id="281"/>
    </w:p>
    <w:p w14:paraId="4A8C62AD" w14:textId="77777777" w:rsidR="002D6F18" w:rsidRPr="002D6F18" w:rsidRDefault="002D6F18" w:rsidP="002D6F18">
      <w:pPr>
        <w:pStyle w:val="EndNoteBibliography"/>
        <w:spacing w:after="0"/>
        <w:ind w:left="380" w:hanging="380"/>
      </w:pPr>
      <w:bookmarkStart w:id="282" w:name="_ENREF_78"/>
      <w:r w:rsidRPr="002D6F18">
        <w:t>78.</w:t>
      </w:r>
      <w:r w:rsidRPr="002D6F18">
        <w:tab/>
        <w:t>Edwards B, Gray M, Borja J. Measuring Natural Hazard-Related Disasters through Self-Reports. International Journal of Disaster Risk Science. 2021;12. 10.1007/s13753-021-00359-1.</w:t>
      </w:r>
      <w:bookmarkEnd w:id="282"/>
    </w:p>
    <w:p w14:paraId="2F0334FD" w14:textId="77777777" w:rsidR="002D6F18" w:rsidRPr="002D6F18" w:rsidRDefault="002D6F18" w:rsidP="002D6F18">
      <w:pPr>
        <w:pStyle w:val="EndNoteBibliography"/>
        <w:spacing w:after="0"/>
        <w:ind w:left="380" w:hanging="380"/>
      </w:pPr>
      <w:bookmarkStart w:id="283" w:name="_ENREF_79"/>
      <w:r w:rsidRPr="002D6F18">
        <w:t>79.</w:t>
      </w:r>
      <w:r w:rsidRPr="002D6F18">
        <w:tab/>
        <w:t>Wright M, Ansloos J, Sutherland S, Walker R, Bray A. Climate change, social and emotional wellbeing, and suicide prevention [Internet]. Australian Institute of Health and Welfare 2023 [cited 2024 February 8].</w:t>
      </w:r>
      <w:bookmarkEnd w:id="283"/>
    </w:p>
    <w:p w14:paraId="09D92331" w14:textId="36BC26AD" w:rsidR="002D6F18" w:rsidRPr="002D6F18" w:rsidRDefault="002D6F18" w:rsidP="002D6F18">
      <w:pPr>
        <w:pStyle w:val="EndNoteBibliography"/>
        <w:spacing w:after="0"/>
        <w:ind w:left="380" w:hanging="380"/>
      </w:pPr>
      <w:bookmarkStart w:id="284" w:name="_ENREF_80"/>
      <w:r w:rsidRPr="002D6F18">
        <w:t>80.</w:t>
      </w:r>
      <w:r w:rsidRPr="002D6F18">
        <w:tab/>
        <w:t xml:space="preserve">Department of Social Services. Australia’s Disability Strategy 2021–2031 Canberra: DSS, Australian Government; 2021 [updated 2022 February 3] [cited 2024 February 8]. Available from: </w:t>
      </w:r>
      <w:hyperlink r:id="rId106" w:history="1">
        <w:r w:rsidRPr="002D6F18">
          <w:rPr>
            <w:rStyle w:val="Hyperlink"/>
          </w:rPr>
          <w:t>https://www.disabilitygateway.gov.au/document/3106</w:t>
        </w:r>
      </w:hyperlink>
      <w:r w:rsidRPr="002D6F18">
        <w:t>.</w:t>
      </w:r>
      <w:bookmarkEnd w:id="284"/>
    </w:p>
    <w:p w14:paraId="10560765" w14:textId="0EA9ED0F" w:rsidR="002D6F18" w:rsidRPr="002D6F18" w:rsidRDefault="002D6F18" w:rsidP="002D6F18">
      <w:pPr>
        <w:pStyle w:val="EndNoteBibliography"/>
        <w:spacing w:after="0"/>
        <w:ind w:left="380" w:hanging="380"/>
      </w:pPr>
      <w:bookmarkStart w:id="285" w:name="_ENREF_81"/>
      <w:r w:rsidRPr="002D6F18">
        <w:t>81.</w:t>
      </w:r>
      <w:r w:rsidRPr="002D6F18">
        <w:tab/>
        <w:t xml:space="preserve">Australian Institute of Health and Welfare. Family, domestic and sexual violence: FDSV summary [Internet ]. AIHW, Australian Government; 2024 [updated 12 April 2024 cited 2024 May 1]. Available from: </w:t>
      </w:r>
      <w:hyperlink r:id="rId107" w:history="1">
        <w:r w:rsidRPr="002D6F18">
          <w:rPr>
            <w:rStyle w:val="Hyperlink"/>
          </w:rPr>
          <w:t>https://www.aihw.gov.au/reports/domestic-violence/family-domestic-and-sexual-violence</w:t>
        </w:r>
      </w:hyperlink>
      <w:r w:rsidRPr="002D6F18">
        <w:t>.</w:t>
      </w:r>
      <w:bookmarkEnd w:id="285"/>
    </w:p>
    <w:p w14:paraId="28901EEE" w14:textId="77777777" w:rsidR="002D6F18" w:rsidRPr="002D6F18" w:rsidRDefault="002D6F18" w:rsidP="002D6F18">
      <w:pPr>
        <w:pStyle w:val="EndNoteBibliography"/>
        <w:spacing w:after="0"/>
        <w:ind w:left="380" w:hanging="380"/>
      </w:pPr>
      <w:bookmarkStart w:id="286" w:name="_ENREF_82"/>
      <w:r w:rsidRPr="002D6F18">
        <w:t>82.</w:t>
      </w:r>
      <w:r w:rsidRPr="002D6F18">
        <w:tab/>
        <w:t>Purkey E, Patel R, Phillips S. Trauma-Informed Care: Better care for everyone. Canadian family physician Medecin de famille canadien. 2018;64:170-2.</w:t>
      </w:r>
      <w:bookmarkEnd w:id="286"/>
    </w:p>
    <w:p w14:paraId="14FAFD02" w14:textId="55874000" w:rsidR="002D6F18" w:rsidRPr="002D6F18" w:rsidRDefault="002D6F18" w:rsidP="002D6F18">
      <w:pPr>
        <w:pStyle w:val="EndNoteBibliography"/>
        <w:spacing w:after="0"/>
        <w:ind w:left="380" w:hanging="380"/>
      </w:pPr>
      <w:bookmarkStart w:id="287" w:name="_ENREF_83"/>
      <w:r w:rsidRPr="002D6F18">
        <w:t>83.</w:t>
      </w:r>
      <w:r w:rsidRPr="002D6F18">
        <w:tab/>
        <w:t xml:space="preserve">Department of Communities and Justice. Staying Home Leaving Violence [Internet]. DCJ; 2023 [cited 2023 October 30]. Available from: </w:t>
      </w:r>
      <w:hyperlink r:id="rId108" w:history="1">
        <w:r w:rsidRPr="002D6F18">
          <w:rPr>
            <w:rStyle w:val="Hyperlink"/>
          </w:rPr>
          <w:t>https://www.facs.nsw.gov.au/domestic-violence-1/services-and-support0/programs/staying-home-leaving-violence</w:t>
        </w:r>
      </w:hyperlink>
      <w:r w:rsidRPr="002D6F18">
        <w:t>.</w:t>
      </w:r>
      <w:bookmarkEnd w:id="287"/>
    </w:p>
    <w:p w14:paraId="49FFA02D" w14:textId="3C053664" w:rsidR="002D6F18" w:rsidRPr="002D6F18" w:rsidRDefault="002D6F18" w:rsidP="002D6F18">
      <w:pPr>
        <w:pStyle w:val="EndNoteBibliography"/>
        <w:spacing w:after="0"/>
        <w:ind w:left="380" w:hanging="380"/>
      </w:pPr>
      <w:bookmarkStart w:id="288" w:name="_ENREF_84"/>
      <w:r w:rsidRPr="002D6F18">
        <w:t>84.</w:t>
      </w:r>
      <w:r w:rsidRPr="002D6F18">
        <w:tab/>
        <w:t xml:space="preserve">National Office for Child Safety. National Strategy to Prevent and Respond to Child Sexual Abuse 2021-2030: NOCS, Australian Government; 2021 [Available from: </w:t>
      </w:r>
      <w:hyperlink r:id="rId109" w:history="1">
        <w:r w:rsidRPr="002D6F18">
          <w:rPr>
            <w:rStyle w:val="Hyperlink"/>
          </w:rPr>
          <w:t>https://www.childsafety.gov.au/resources/national-strategy-prevent-and-respond-child-sexual-abuse-2021-2030</w:t>
        </w:r>
      </w:hyperlink>
      <w:r w:rsidRPr="002D6F18">
        <w:t>.</w:t>
      </w:r>
      <w:bookmarkEnd w:id="288"/>
    </w:p>
    <w:p w14:paraId="7C3DAAC9" w14:textId="1B70C1A1" w:rsidR="002D6F18" w:rsidRPr="002D6F18" w:rsidRDefault="002D6F18" w:rsidP="002D6F18">
      <w:pPr>
        <w:pStyle w:val="EndNoteBibliography"/>
        <w:spacing w:after="0"/>
        <w:ind w:left="380" w:hanging="380"/>
      </w:pPr>
      <w:bookmarkStart w:id="289" w:name="_ENREF_85"/>
      <w:r w:rsidRPr="002D6F18">
        <w:t>85.</w:t>
      </w:r>
      <w:r w:rsidRPr="002D6F18">
        <w:tab/>
        <w:t xml:space="preserve">Department of Social Services. Safe and Supported: the National Framework for Protecting Australia’s Children 2021–2031: DSS, Australian Government; 2021 [cited 2024 March 6]. Available from: </w:t>
      </w:r>
      <w:hyperlink r:id="rId110" w:history="1">
        <w:r w:rsidRPr="002D6F18">
          <w:rPr>
            <w:rStyle w:val="Hyperlink"/>
          </w:rPr>
          <w:t>https://www.dss.gov.au/sites/default/files/documents/12_2021/dess5016-national-framework-protecting-childrenaccessible.pdf</w:t>
        </w:r>
      </w:hyperlink>
      <w:r w:rsidRPr="002D6F18">
        <w:t>.</w:t>
      </w:r>
      <w:bookmarkEnd w:id="289"/>
    </w:p>
    <w:p w14:paraId="5455DB6B" w14:textId="177EFC0D" w:rsidR="002D6F18" w:rsidRPr="002D6F18" w:rsidRDefault="002D6F18" w:rsidP="002D6F18">
      <w:pPr>
        <w:pStyle w:val="EndNoteBibliography"/>
        <w:spacing w:after="0"/>
        <w:ind w:left="380" w:hanging="380"/>
      </w:pPr>
      <w:bookmarkStart w:id="290" w:name="_ENREF_86"/>
      <w:r w:rsidRPr="002D6F18">
        <w:t>86.</w:t>
      </w:r>
      <w:r w:rsidRPr="002D6F18">
        <w:tab/>
        <w:t xml:space="preserve">Safe Work Australia. Australian Work Health and Safety (WHS) Strategy 2023–2033 [Internet]. Safe Work Australia; 2023 [cited 2024 March 6]. Available from: </w:t>
      </w:r>
      <w:hyperlink r:id="rId111" w:history="1">
        <w:r w:rsidRPr="002D6F18">
          <w:rPr>
            <w:rStyle w:val="Hyperlink"/>
          </w:rPr>
          <w:t>https://www.safeworkaustralia.gov.au/sites/default/files/2023-10/australian_whs_strategy_2023-33_october2023.pdf</w:t>
        </w:r>
      </w:hyperlink>
      <w:r w:rsidRPr="002D6F18">
        <w:t>.</w:t>
      </w:r>
      <w:bookmarkEnd w:id="290"/>
    </w:p>
    <w:p w14:paraId="38B4CA00" w14:textId="225C4B8B" w:rsidR="002D6F18" w:rsidRPr="002D6F18" w:rsidRDefault="002D6F18" w:rsidP="002D6F18">
      <w:pPr>
        <w:pStyle w:val="EndNoteBibliography"/>
        <w:spacing w:after="0"/>
        <w:ind w:left="380" w:hanging="380"/>
      </w:pPr>
      <w:bookmarkStart w:id="291" w:name="_ENREF_87"/>
      <w:r w:rsidRPr="002D6F18">
        <w:t>87.</w:t>
      </w:r>
      <w:r w:rsidRPr="002D6F18">
        <w:tab/>
        <w:t xml:space="preserve">National Mental Health Commission. National Disaster Mental Health and Wellbeing Framework: Supporting Australian's Mental Health Through Disaster [Internet]. 2023 [cited 2024 March 6]. Available from: </w:t>
      </w:r>
      <w:hyperlink r:id="rId112" w:history="1">
        <w:r w:rsidRPr="002D6F18">
          <w:rPr>
            <w:rStyle w:val="Hyperlink"/>
          </w:rPr>
          <w:t>https://nema.gov.au/sites/default/files/inline-files/28108%20NEMA%20National%20Disaster%20Mental%20Health%20and%20Wellbeing%20Framework%20FA%20v4.pdf</w:t>
        </w:r>
      </w:hyperlink>
      <w:r w:rsidRPr="002D6F18">
        <w:t>.</w:t>
      </w:r>
      <w:bookmarkEnd w:id="291"/>
    </w:p>
    <w:p w14:paraId="7C838AB8" w14:textId="78894FEA" w:rsidR="002D6F18" w:rsidRPr="002D6F18" w:rsidRDefault="002D6F18" w:rsidP="002D6F18">
      <w:pPr>
        <w:pStyle w:val="EndNoteBibliography"/>
        <w:spacing w:after="0"/>
        <w:ind w:left="380" w:hanging="380"/>
      </w:pPr>
      <w:bookmarkStart w:id="292" w:name="_ENREF_88"/>
      <w:r w:rsidRPr="002D6F18">
        <w:t>88.</w:t>
      </w:r>
      <w:r w:rsidRPr="002D6F18">
        <w:tab/>
        <w:t xml:space="preserve">Department of Social Services. Joint Australian, State and Territory Response to the Disability Royal Commission [Internet]. Canberra: Australian Government; 2024 [cited 2024 August 13]. Available from: </w:t>
      </w:r>
      <w:hyperlink r:id="rId113" w:history="1">
        <w:r w:rsidRPr="002D6F18">
          <w:rPr>
            <w:rStyle w:val="Hyperlink"/>
          </w:rPr>
          <w:t>https://www.dss.gov.au/disability-and-carers/australian-government-response-to-the-disability-royal-commission</w:t>
        </w:r>
      </w:hyperlink>
      <w:r w:rsidRPr="002D6F18">
        <w:t>.</w:t>
      </w:r>
      <w:bookmarkEnd w:id="292"/>
    </w:p>
    <w:p w14:paraId="07A716C4" w14:textId="777F17EF" w:rsidR="002D6F18" w:rsidRPr="002D6F18" w:rsidRDefault="002D6F18" w:rsidP="002D6F18">
      <w:pPr>
        <w:pStyle w:val="EndNoteBibliography"/>
        <w:spacing w:after="0"/>
        <w:ind w:left="380" w:hanging="380"/>
      </w:pPr>
      <w:bookmarkStart w:id="293" w:name="_ENREF_89"/>
      <w:r w:rsidRPr="002D6F18">
        <w:t>89.</w:t>
      </w:r>
      <w:r w:rsidRPr="002D6F18">
        <w:tab/>
        <w:t xml:space="preserve">Australian Government. Royal Commission into Violence, Abuse, Neglect and Exploitation of People with Disability: Final Report [Internet ]. Australian Government; 2023 [cited 2024 March 6]. Available from: </w:t>
      </w:r>
      <w:hyperlink r:id="rId114" w:history="1">
        <w:r w:rsidRPr="002D6F18">
          <w:rPr>
            <w:rStyle w:val="Hyperlink"/>
          </w:rPr>
          <w:t>https://disability.royalcommission.gov.au/publications/final-report</w:t>
        </w:r>
      </w:hyperlink>
      <w:r w:rsidRPr="002D6F18">
        <w:t>.</w:t>
      </w:r>
      <w:bookmarkEnd w:id="293"/>
    </w:p>
    <w:p w14:paraId="23E68EB2" w14:textId="7D39552A" w:rsidR="002D6F18" w:rsidRPr="002D6F18" w:rsidRDefault="002D6F18" w:rsidP="002D6F18">
      <w:pPr>
        <w:pStyle w:val="EndNoteBibliography"/>
        <w:spacing w:after="0"/>
        <w:ind w:left="380" w:hanging="380"/>
      </w:pPr>
      <w:bookmarkStart w:id="294" w:name="_ENREF_90"/>
      <w:r w:rsidRPr="002D6F18">
        <w:t>90.</w:t>
      </w:r>
      <w:r w:rsidRPr="002D6F18">
        <w:tab/>
        <w:t xml:space="preserve">Office of the High Commissioner United Nations Human Rights. International Covenant on Economic, Social and Cultural Rights [Internet]. 1966 [cited 2023 October 05]. Available from: </w:t>
      </w:r>
      <w:hyperlink r:id="rId115" w:history="1">
        <w:r w:rsidRPr="002D6F18">
          <w:rPr>
            <w:rStyle w:val="Hyperlink"/>
          </w:rPr>
          <w:t>https://www.ohchr.org/en/instruments-mechanisms/instruments/international-covenant-economic-social-and-cultural-rights</w:t>
        </w:r>
      </w:hyperlink>
      <w:r w:rsidRPr="002D6F18">
        <w:t>.</w:t>
      </w:r>
      <w:bookmarkEnd w:id="294"/>
    </w:p>
    <w:p w14:paraId="78A421E6" w14:textId="345B14AD" w:rsidR="002D6F18" w:rsidRPr="002D6F18" w:rsidRDefault="002D6F18" w:rsidP="002D6F18">
      <w:pPr>
        <w:pStyle w:val="EndNoteBibliography"/>
        <w:spacing w:after="0"/>
        <w:ind w:left="380" w:hanging="380"/>
      </w:pPr>
      <w:bookmarkStart w:id="295" w:name="_ENREF_91"/>
      <w:r w:rsidRPr="002D6F18">
        <w:t>91.</w:t>
      </w:r>
      <w:r w:rsidRPr="002D6F18">
        <w:tab/>
        <w:t xml:space="preserve">Vancampfort D, Hallgren M, Firth J, Rosenbaum S, Schuch FB, Mugisha J, et al. Physical Activity and Suicidal Ideation: A Systematic Review and Meta-Analysis. Journal of Affective Disorders. 2018. </w:t>
      </w:r>
      <w:hyperlink r:id="rId116" w:history="1">
        <w:r w:rsidRPr="002D6F18">
          <w:rPr>
            <w:rStyle w:val="Hyperlink"/>
          </w:rPr>
          <w:t>https://doi.org/10.1016/j.jad.2017.08.070</w:t>
        </w:r>
      </w:hyperlink>
      <w:r w:rsidRPr="002D6F18">
        <w:t>.</w:t>
      </w:r>
      <w:bookmarkEnd w:id="295"/>
    </w:p>
    <w:p w14:paraId="09617E44" w14:textId="77777777" w:rsidR="002D6F18" w:rsidRPr="002D6F18" w:rsidRDefault="002D6F18" w:rsidP="002D6F18">
      <w:pPr>
        <w:pStyle w:val="EndNoteBibliography"/>
        <w:spacing w:after="0"/>
        <w:ind w:left="380" w:hanging="380"/>
      </w:pPr>
      <w:bookmarkStart w:id="296" w:name="_ENREF_92"/>
      <w:r w:rsidRPr="002D6F18">
        <w:t>92.</w:t>
      </w:r>
      <w:r w:rsidRPr="002D6F18">
        <w:tab/>
        <w:t>Bernert RA, Joiner TE. Sleep Disturbances and Suicide Risk: A Review of the Literature. Neuropsychiatric Disease and Treatment. 2007. DOI: 10.2147/ndt.s1248.</w:t>
      </w:r>
      <w:bookmarkEnd w:id="296"/>
    </w:p>
    <w:p w14:paraId="2D42D30F" w14:textId="77777777" w:rsidR="002D6F18" w:rsidRPr="002D6F18" w:rsidRDefault="002D6F18" w:rsidP="002D6F18">
      <w:pPr>
        <w:pStyle w:val="EndNoteBibliography"/>
        <w:spacing w:after="0"/>
        <w:ind w:left="380" w:hanging="380"/>
      </w:pPr>
      <w:bookmarkStart w:id="297" w:name="_ENREF_93"/>
      <w:r w:rsidRPr="002D6F18">
        <w:t>93.</w:t>
      </w:r>
      <w:r w:rsidRPr="002D6F18">
        <w:tab/>
        <w:t>Chow CM. Sleep and Wellbeing, Now and in the Future. International Journal of Environmental Research and Public Health. 2020. DOI: 10.3390/ijerph17082883.</w:t>
      </w:r>
      <w:bookmarkEnd w:id="297"/>
    </w:p>
    <w:p w14:paraId="61AE6DBF" w14:textId="19E0070A" w:rsidR="002D6F18" w:rsidRPr="002D6F18" w:rsidRDefault="002D6F18" w:rsidP="002D6F18">
      <w:pPr>
        <w:pStyle w:val="EndNoteBibliography"/>
        <w:spacing w:after="0"/>
        <w:ind w:left="380" w:hanging="380"/>
      </w:pPr>
      <w:bookmarkStart w:id="298" w:name="_ENREF_94"/>
      <w:r w:rsidRPr="002D6F18">
        <w:t>94.</w:t>
      </w:r>
      <w:r w:rsidRPr="002D6F18">
        <w:tab/>
        <w:t xml:space="preserve">Australian Institute of Health and Welfare. Diet [Internet]. AIHW, Australian Government; 2023 [cited 2023 October 06]. Available from: </w:t>
      </w:r>
      <w:hyperlink r:id="rId117" w:history="1">
        <w:r w:rsidRPr="002D6F18">
          <w:rPr>
            <w:rStyle w:val="Hyperlink"/>
          </w:rPr>
          <w:t>https://www.aihw.gov.au/reports/food-nutrition/diet</w:t>
        </w:r>
      </w:hyperlink>
      <w:r w:rsidRPr="002D6F18">
        <w:t>.</w:t>
      </w:r>
      <w:bookmarkEnd w:id="298"/>
    </w:p>
    <w:p w14:paraId="666F5AC1" w14:textId="7A53A7DE" w:rsidR="002D6F18" w:rsidRPr="002D6F18" w:rsidRDefault="002D6F18" w:rsidP="002D6F18">
      <w:pPr>
        <w:pStyle w:val="EndNoteBibliography"/>
        <w:spacing w:after="0"/>
        <w:ind w:left="380" w:hanging="380"/>
      </w:pPr>
      <w:bookmarkStart w:id="299" w:name="_ENREF_95"/>
      <w:r w:rsidRPr="002D6F18">
        <w:t>95.</w:t>
      </w:r>
      <w:r w:rsidRPr="002D6F18">
        <w:tab/>
        <w:t xml:space="preserve">Australian Institute of Health and Welfare. Australia's Health 2024 [Internet]. AIHW, Australian Government; 2024 [updated 2 July 2024;cited 2024 July 8]. Available from: </w:t>
      </w:r>
      <w:hyperlink r:id="rId118" w:history="1">
        <w:r w:rsidRPr="002D6F18">
          <w:rPr>
            <w:rStyle w:val="Hyperlink"/>
          </w:rPr>
          <w:t>https://www.aihw.gov.au/reports-data/australias-health</w:t>
        </w:r>
      </w:hyperlink>
      <w:r w:rsidRPr="002D6F18">
        <w:t>.</w:t>
      </w:r>
      <w:bookmarkEnd w:id="299"/>
    </w:p>
    <w:p w14:paraId="7628158D" w14:textId="77777777" w:rsidR="002D6F18" w:rsidRPr="002D6F18" w:rsidRDefault="002D6F18" w:rsidP="002D6F18">
      <w:pPr>
        <w:pStyle w:val="EndNoteBibliography"/>
        <w:spacing w:after="0"/>
        <w:ind w:left="380" w:hanging="380"/>
      </w:pPr>
      <w:bookmarkStart w:id="300" w:name="_ENREF_96"/>
      <w:r w:rsidRPr="002D6F18">
        <w:t>96.</w:t>
      </w:r>
      <w:r w:rsidRPr="002D6F18">
        <w:tab/>
        <w:t>Penedo FJ, Dahn JR. Exercise and Well-Being: A Review of Mental and Physical Health Benefits Associated with Physical Activity. Current Opinion in Psychiatry. 2005. DOI: 10.1097/00001504-200503000-00013.</w:t>
      </w:r>
      <w:bookmarkEnd w:id="300"/>
    </w:p>
    <w:p w14:paraId="0977C2FD" w14:textId="77777777" w:rsidR="002D6F18" w:rsidRPr="002D6F18" w:rsidRDefault="002D6F18" w:rsidP="002D6F18">
      <w:pPr>
        <w:pStyle w:val="EndNoteBibliography"/>
        <w:spacing w:after="0"/>
        <w:ind w:left="380" w:hanging="380"/>
      </w:pPr>
      <w:bookmarkStart w:id="301" w:name="_ENREF_97"/>
      <w:r w:rsidRPr="002D6F18">
        <w:t>97.</w:t>
      </w:r>
      <w:r w:rsidRPr="002D6F18">
        <w:tab/>
        <w:t>Wilson OWA, Whatman C, Walters S, Keung S, Enari D, Rogers A, et al. The Value of Sport: Wellbeing Benefits of Sport Participation During Adolescence. International Journal of Environmental Research and Public Health. 2022. DOI: 10.3390/ijerph19148579.</w:t>
      </w:r>
      <w:bookmarkEnd w:id="301"/>
    </w:p>
    <w:p w14:paraId="24C60B06" w14:textId="750A5B04" w:rsidR="002D6F18" w:rsidRPr="002D6F18" w:rsidRDefault="002D6F18" w:rsidP="002D6F18">
      <w:pPr>
        <w:pStyle w:val="EndNoteBibliography"/>
        <w:spacing w:after="0"/>
        <w:ind w:left="380" w:hanging="380"/>
      </w:pPr>
      <w:bookmarkStart w:id="302" w:name="_ENREF_98"/>
      <w:r w:rsidRPr="002D6F18">
        <w:t>98.</w:t>
      </w:r>
      <w:r w:rsidRPr="002D6F18">
        <w:tab/>
        <w:t xml:space="preserve">Fisher A, Marel C, Morley K, Teesson M, Mills KL. The Role of Alcohol and Other Drugs in Suicidal Behaviour and Effective Interventions to Reduce Suicidal Thoughts and Behaviours [Internet]. University of Sydney; 2020 [cited 2023 October 30]. Available from: </w:t>
      </w:r>
      <w:hyperlink r:id="rId119" w:history="1">
        <w:r w:rsidRPr="002D6F18">
          <w:rPr>
            <w:rStyle w:val="Hyperlink"/>
          </w:rPr>
          <w:t>https://www.sydney.edu.au/content/dam/corporate/documents/matilda-centre/resources/reports/aod-and-suicidal-behaviour-.pdf</w:t>
        </w:r>
      </w:hyperlink>
      <w:r w:rsidRPr="002D6F18">
        <w:t>.</w:t>
      </w:r>
      <w:bookmarkEnd w:id="302"/>
    </w:p>
    <w:p w14:paraId="42DF635C" w14:textId="77777777" w:rsidR="002D6F18" w:rsidRPr="002D6F18" w:rsidRDefault="002D6F18" w:rsidP="002D6F18">
      <w:pPr>
        <w:pStyle w:val="EndNoteBibliography"/>
        <w:spacing w:after="0"/>
        <w:ind w:left="380" w:hanging="380"/>
      </w:pPr>
      <w:bookmarkStart w:id="303" w:name="_ENREF_99"/>
      <w:r w:rsidRPr="002D6F18">
        <w:t>99.</w:t>
      </w:r>
      <w:r w:rsidRPr="002D6F18">
        <w:tab/>
        <w:t>Poorolajal J, Darvishi N. Smoking and Suicide: A Meta-Analysis. PLoS ONE. 2016. DOI: 10.1371/journal.pone.0156348.</w:t>
      </w:r>
      <w:bookmarkEnd w:id="303"/>
    </w:p>
    <w:p w14:paraId="7BD76A64" w14:textId="189888CD" w:rsidR="002D6F18" w:rsidRPr="002D6F18" w:rsidRDefault="002D6F18" w:rsidP="002D6F18">
      <w:pPr>
        <w:pStyle w:val="EndNoteBibliography"/>
        <w:spacing w:after="0"/>
        <w:ind w:left="380" w:hanging="380"/>
      </w:pPr>
      <w:bookmarkStart w:id="304" w:name="_ENREF_100"/>
      <w:r w:rsidRPr="002D6F18">
        <w:t>100.</w:t>
      </w:r>
      <w:r w:rsidRPr="002D6F18">
        <w:tab/>
        <w:t xml:space="preserve">Department of Health. National Preventive Health Strategy 2021-2030 Canberra: DoH, Australian Government; 2021 [cited 2024 March 6]. Available from: </w:t>
      </w:r>
      <w:hyperlink r:id="rId120" w:history="1">
        <w:r w:rsidRPr="002D6F18">
          <w:rPr>
            <w:rStyle w:val="Hyperlink"/>
          </w:rPr>
          <w:t>https://www.health.gov.au/sites/default/files/documents/2021/12/national-preventive-health-strategy-2021-2030_1.pdf</w:t>
        </w:r>
      </w:hyperlink>
      <w:r w:rsidRPr="002D6F18">
        <w:t>.</w:t>
      </w:r>
      <w:bookmarkEnd w:id="304"/>
    </w:p>
    <w:p w14:paraId="3AF7A38F" w14:textId="267B6927" w:rsidR="002D6F18" w:rsidRPr="002D6F18" w:rsidRDefault="002D6F18" w:rsidP="002D6F18">
      <w:pPr>
        <w:pStyle w:val="EndNoteBibliography"/>
        <w:spacing w:after="0"/>
        <w:ind w:left="380" w:hanging="380"/>
      </w:pPr>
      <w:bookmarkStart w:id="305" w:name="_ENREF_101"/>
      <w:r w:rsidRPr="002D6F18">
        <w:t>101.</w:t>
      </w:r>
      <w:r w:rsidRPr="002D6F18">
        <w:tab/>
        <w:t xml:space="preserve">Parliament of Australia. Government Response - Bedtime Reading: Inquiry into Sleep Health Awareness in Australia [Internet]. Canberra: Australian Government; 2023 [cited 2024 March 6]. Available from: </w:t>
      </w:r>
      <w:hyperlink r:id="rId121" w:history="1">
        <w:r w:rsidRPr="002D6F18">
          <w:rPr>
            <w:rStyle w:val="Hyperlink"/>
          </w:rPr>
          <w:t>https://www.aph.gov.au/Parliamentary_Business/Committees/House/Health_Aged_Care_and_Sport/SleepHealthAwareness/Government_Response</w:t>
        </w:r>
      </w:hyperlink>
      <w:r w:rsidRPr="002D6F18">
        <w:t>.</w:t>
      </w:r>
      <w:bookmarkEnd w:id="305"/>
    </w:p>
    <w:p w14:paraId="49D8B91B" w14:textId="379FF2EB" w:rsidR="002D6F18" w:rsidRPr="002D6F18" w:rsidRDefault="002D6F18" w:rsidP="002D6F18">
      <w:pPr>
        <w:pStyle w:val="EndNoteBibliography"/>
        <w:spacing w:after="0"/>
        <w:ind w:left="380" w:hanging="380"/>
      </w:pPr>
      <w:bookmarkStart w:id="306" w:name="_ENREF_102"/>
      <w:r w:rsidRPr="002D6F18">
        <w:t>102.</w:t>
      </w:r>
      <w:r w:rsidRPr="002D6F18">
        <w:tab/>
        <w:t xml:space="preserve">Australian Bureau of Statistics. Causes of Death, Australia, 2022: Risk Factors for Intentional Self-Harm Deaths (Suicide) in Australia [Internet]. ABS; 2023 [cited 2023 October 30]. Available from: </w:t>
      </w:r>
      <w:hyperlink r:id="rId122" w:history="1">
        <w:r w:rsidRPr="002D6F18">
          <w:rPr>
            <w:rStyle w:val="Hyperlink"/>
          </w:rPr>
          <w:t>https://www.abs.gov.au/statistics/health/causes-death/causes-death-australia/2021#risk-factors-for-intentional-self-harm-deaths-suicide-in-australia</w:t>
        </w:r>
      </w:hyperlink>
      <w:r w:rsidRPr="002D6F18">
        <w:t>.</w:t>
      </w:r>
      <w:bookmarkEnd w:id="306"/>
    </w:p>
    <w:p w14:paraId="66D7964B" w14:textId="77777777" w:rsidR="002D6F18" w:rsidRPr="002D6F18" w:rsidRDefault="002D6F18" w:rsidP="002D6F18">
      <w:pPr>
        <w:pStyle w:val="EndNoteBibliography"/>
        <w:spacing w:after="0"/>
        <w:ind w:left="380" w:hanging="380"/>
      </w:pPr>
      <w:bookmarkStart w:id="307" w:name="_ENREF_103"/>
      <w:r w:rsidRPr="002D6F18">
        <w:t>103.</w:t>
      </w:r>
      <w:r w:rsidRPr="002D6F18">
        <w:tab/>
        <w:t>Onyeka I, Maguire A, Ross E, Dermot O. Does physical ill-health increase the risk of suicide? A census-based follow-up study of over 1 million people. Epidemiology and Psychiatric Sciences. 2020;29. 10.1017/S2045796020000529.</w:t>
      </w:r>
      <w:bookmarkEnd w:id="307"/>
    </w:p>
    <w:p w14:paraId="449C936E" w14:textId="77777777" w:rsidR="002D6F18" w:rsidRPr="002D6F18" w:rsidRDefault="002D6F18" w:rsidP="002D6F18">
      <w:pPr>
        <w:pStyle w:val="EndNoteBibliography"/>
        <w:spacing w:after="0"/>
        <w:ind w:left="380" w:hanging="380"/>
      </w:pPr>
      <w:bookmarkStart w:id="308" w:name="_ENREF_104"/>
      <w:r w:rsidRPr="002D6F18">
        <w:t>104.</w:t>
      </w:r>
      <w:r w:rsidRPr="002D6F18">
        <w:tab/>
        <w:t>Nafilyan V, Morgan J, Mais D, Sleeman K, Butt A, Ward I, et al. Risk of suicide after diagnosis of severe physical health conditions: A retrospective cohort study of 47 million people. The Lancet Regional Health - Europe. 2023;25:100562. 10.1016/j.lanepe.2022.100562.</w:t>
      </w:r>
      <w:bookmarkEnd w:id="308"/>
    </w:p>
    <w:p w14:paraId="23FC0811" w14:textId="203F087F" w:rsidR="002D6F18" w:rsidRPr="002D6F18" w:rsidRDefault="002D6F18" w:rsidP="002D6F18">
      <w:pPr>
        <w:pStyle w:val="EndNoteBibliography"/>
        <w:spacing w:after="0"/>
        <w:ind w:left="380" w:hanging="380"/>
      </w:pPr>
      <w:bookmarkStart w:id="309" w:name="_ENREF_105"/>
      <w:r w:rsidRPr="002D6F18">
        <w:t>105.</w:t>
      </w:r>
      <w:r w:rsidRPr="002D6F18">
        <w:tab/>
        <w:t xml:space="preserve">Office for Mental Health and Wellbeing. Guidance to Support Gender Affirming Care for Mental Health [Internet]. ACT Health; 2021 [cited 2023 October 30]. Available from: </w:t>
      </w:r>
      <w:hyperlink r:id="rId123" w:history="1">
        <w:r w:rsidRPr="002D6F18">
          <w:rPr>
            <w:rStyle w:val="Hyperlink"/>
          </w:rPr>
          <w:t>https://www.health.act.gov.au/news/guidance-support-gender-affirming-care-mental-health</w:t>
        </w:r>
      </w:hyperlink>
      <w:r w:rsidRPr="002D6F18">
        <w:t>.</w:t>
      </w:r>
      <w:bookmarkEnd w:id="309"/>
    </w:p>
    <w:p w14:paraId="25631F23" w14:textId="11B0FD16" w:rsidR="002D6F18" w:rsidRPr="002D6F18" w:rsidRDefault="002D6F18" w:rsidP="002D6F18">
      <w:pPr>
        <w:pStyle w:val="EndNoteBibliography"/>
        <w:spacing w:after="0"/>
        <w:ind w:left="380" w:hanging="380"/>
      </w:pPr>
      <w:bookmarkStart w:id="310" w:name="_ENREF_106"/>
      <w:r w:rsidRPr="002D6F18">
        <w:t>106.</w:t>
      </w:r>
      <w:r w:rsidRPr="002D6F18">
        <w:tab/>
        <w:t xml:space="preserve">Australian Senate - Select Committee on Autism. Services, support and life outcomes for autistic Australians: Australian Government; 2022 [cited 2024 April 03]. Available from: </w:t>
      </w:r>
      <w:hyperlink r:id="rId124" w:history="1">
        <w:r w:rsidRPr="002D6F18">
          <w:rPr>
            <w:rStyle w:val="Hyperlink"/>
          </w:rPr>
          <w:t>https://www.aph.gov.au/Parliamentary_Business/Committees/Senate/Autism/autism/Report</w:t>
        </w:r>
      </w:hyperlink>
      <w:r w:rsidRPr="002D6F18">
        <w:t>.</w:t>
      </w:r>
      <w:bookmarkEnd w:id="310"/>
    </w:p>
    <w:p w14:paraId="19E03A3C" w14:textId="26C3D5B5" w:rsidR="002D6F18" w:rsidRPr="002D6F18" w:rsidRDefault="002D6F18" w:rsidP="002D6F18">
      <w:pPr>
        <w:pStyle w:val="EndNoteBibliography"/>
        <w:spacing w:after="0"/>
        <w:ind w:left="380" w:hanging="380"/>
      </w:pPr>
      <w:bookmarkStart w:id="311" w:name="_ENREF_107"/>
      <w:r w:rsidRPr="002D6F18">
        <w:t>107.</w:t>
      </w:r>
      <w:r w:rsidRPr="002D6F18">
        <w:tab/>
        <w:t xml:space="preserve">Department of Social Services. Draft National Autism Strategy Canberra: DSS, Australian Government; 2024 [cited 2024 April 03]. Available from: </w:t>
      </w:r>
      <w:hyperlink r:id="rId125" w:history="1">
        <w:r w:rsidRPr="002D6F18">
          <w:rPr>
            <w:rStyle w:val="Hyperlink"/>
          </w:rPr>
          <w:t>https://engage.dss.gov.au/developing-the-national-autism-strategy/draft-strategy/</w:t>
        </w:r>
      </w:hyperlink>
      <w:r w:rsidRPr="002D6F18">
        <w:t>.</w:t>
      </w:r>
      <w:bookmarkEnd w:id="311"/>
    </w:p>
    <w:p w14:paraId="13F32FDC" w14:textId="27B871E9" w:rsidR="002D6F18" w:rsidRPr="002D6F18" w:rsidRDefault="002D6F18" w:rsidP="002D6F18">
      <w:pPr>
        <w:pStyle w:val="EndNoteBibliography"/>
        <w:spacing w:after="0"/>
        <w:ind w:left="380" w:hanging="380"/>
      </w:pPr>
      <w:bookmarkStart w:id="312" w:name="_ENREF_108"/>
      <w:r w:rsidRPr="002D6F18">
        <w:t>108.</w:t>
      </w:r>
      <w:r w:rsidRPr="002D6F18">
        <w:tab/>
        <w:t xml:space="preserve">Suicide Prevention Australia. Inquiry into Assessment and Support Services for People with ADHD: Submission, June 2023 [Internet]. SPA; 2023 [cited 2023 October 30]. Available from: </w:t>
      </w:r>
      <w:hyperlink r:id="rId126" w:history="1">
        <w:r w:rsidRPr="002D6F18">
          <w:rPr>
            <w:rStyle w:val="Hyperlink"/>
          </w:rPr>
          <w:t>https://www.suicidepreventionaust.org/wp-content/uploads/2023/08/Submission-to-Inquiry-into-assessment-and-support-services-for-people-with-ADHD-Suicide-Prevention-Australia.pdf</w:t>
        </w:r>
      </w:hyperlink>
      <w:r w:rsidRPr="002D6F18">
        <w:t>.</w:t>
      </w:r>
      <w:bookmarkEnd w:id="312"/>
    </w:p>
    <w:p w14:paraId="08F14720" w14:textId="77777777" w:rsidR="002D6F18" w:rsidRPr="002D6F18" w:rsidRDefault="002D6F18" w:rsidP="002D6F18">
      <w:pPr>
        <w:pStyle w:val="EndNoteBibliography"/>
        <w:spacing w:after="0"/>
        <w:ind w:left="380" w:hanging="380"/>
      </w:pPr>
      <w:bookmarkStart w:id="313" w:name="_ENREF_109"/>
      <w:r w:rsidRPr="002D6F18">
        <w:t>109.</w:t>
      </w:r>
      <w:r w:rsidRPr="002D6F18">
        <w:tab/>
        <w:t>Cassidy S, Au-Yeung S, Robertson A, Cogger-Ward H, Richards G, Allison C, et al. Autism and autistic traits in those who died by suicide in England. Br J Psychiatry. 2022:1-9. 10.1192/bjp.2022.21.</w:t>
      </w:r>
      <w:bookmarkEnd w:id="313"/>
    </w:p>
    <w:p w14:paraId="01605D09" w14:textId="77777777" w:rsidR="002D6F18" w:rsidRPr="002D6F18" w:rsidRDefault="002D6F18" w:rsidP="002D6F18">
      <w:pPr>
        <w:pStyle w:val="EndNoteBibliography"/>
        <w:spacing w:after="0"/>
        <w:ind w:left="380" w:hanging="380"/>
      </w:pPr>
      <w:bookmarkStart w:id="314" w:name="_ENREF_110"/>
      <w:r w:rsidRPr="002D6F18">
        <w:t>110.</w:t>
      </w:r>
      <w:r w:rsidRPr="002D6F18">
        <w:tab/>
        <w:t>Onaemo VN, Fawehinmi TO, D'Arcy C. Risk of Suicide Ideation in Comorbid Substance Use Disorder and Major Depression. PLoS ONE. 2022. DOI: 10.1371/journal.pone.0265287.</w:t>
      </w:r>
      <w:bookmarkEnd w:id="314"/>
    </w:p>
    <w:p w14:paraId="564C1003" w14:textId="4132BD6E" w:rsidR="002D6F18" w:rsidRPr="002D6F18" w:rsidRDefault="002D6F18" w:rsidP="002D6F18">
      <w:pPr>
        <w:pStyle w:val="EndNoteBibliography"/>
        <w:spacing w:after="0"/>
        <w:ind w:left="380" w:hanging="380"/>
      </w:pPr>
      <w:bookmarkStart w:id="315" w:name="_ENREF_111"/>
      <w:r w:rsidRPr="002D6F18">
        <w:t>111.</w:t>
      </w:r>
      <w:r w:rsidRPr="002D6F18">
        <w:tab/>
        <w:t xml:space="preserve">Productivity Commission. Mental Health, Inquiry Report, Volume 1, No. 95 [Internet]. Canberra: PC; 2020 [cited 2023 October 03]. Available from: </w:t>
      </w:r>
      <w:hyperlink r:id="rId127" w:history="1">
        <w:r w:rsidRPr="002D6F18">
          <w:rPr>
            <w:rStyle w:val="Hyperlink"/>
          </w:rPr>
          <w:t>https://www.pc.gov.au/inquiries/completed/mental-health/report/mental-health-volume1.pdf</w:t>
        </w:r>
      </w:hyperlink>
      <w:r w:rsidRPr="002D6F18">
        <w:t>.</w:t>
      </w:r>
      <w:bookmarkEnd w:id="315"/>
    </w:p>
    <w:p w14:paraId="3EA5FAEA" w14:textId="68053490" w:rsidR="002D6F18" w:rsidRPr="002D6F18" w:rsidRDefault="002D6F18" w:rsidP="002D6F18">
      <w:pPr>
        <w:pStyle w:val="EndNoteBibliography"/>
        <w:spacing w:after="0"/>
        <w:ind w:left="380" w:hanging="380"/>
      </w:pPr>
      <w:bookmarkStart w:id="316" w:name="_ENREF_112"/>
      <w:r w:rsidRPr="002D6F18">
        <w:t>112.</w:t>
      </w:r>
      <w:r w:rsidRPr="002D6F18">
        <w:tab/>
        <w:t xml:space="preserve">Suicide Prevention Australia. Gambling and Suicide Prevention: A Roadmap for Change [Internet]. SPA; 2022 [cited 2023 October 30]. Available from: </w:t>
      </w:r>
      <w:hyperlink r:id="rId128" w:history="1">
        <w:r w:rsidRPr="002D6F18">
          <w:rPr>
            <w:rStyle w:val="Hyperlink"/>
          </w:rPr>
          <w:t>https://www.suicidepreventionaust.org/wp-content/uploads/2022/02/Gambling-Report_2022.pdf</w:t>
        </w:r>
      </w:hyperlink>
      <w:r w:rsidRPr="002D6F18">
        <w:t>.</w:t>
      </w:r>
      <w:bookmarkEnd w:id="316"/>
    </w:p>
    <w:p w14:paraId="3BC6F10E" w14:textId="693396F2" w:rsidR="002D6F18" w:rsidRPr="002D6F18" w:rsidRDefault="002D6F18" w:rsidP="002D6F18">
      <w:pPr>
        <w:pStyle w:val="EndNoteBibliography"/>
        <w:spacing w:after="0"/>
        <w:ind w:left="380" w:hanging="380"/>
      </w:pPr>
      <w:bookmarkStart w:id="317" w:name="_ENREF_113"/>
      <w:r w:rsidRPr="002D6F18">
        <w:t>113.</w:t>
      </w:r>
      <w:r w:rsidRPr="002D6F18">
        <w:tab/>
        <w:t xml:space="preserve">Australian House of Representatives - Standing Committee on Social Policy and Legal Affairs. You win some, you lose more: Online gambling and its impacts on those experiencing gambling harm [Internet]. Canberra: Parliament of Australia; 2023 [Available from: </w:t>
      </w:r>
      <w:hyperlink r:id="rId129" w:history="1">
        <w:r w:rsidRPr="002D6F18">
          <w:rPr>
            <w:rStyle w:val="Hyperlink"/>
          </w:rPr>
          <w:t>https://parlinfo.aph.gov.au/parlInfo/download/committees/reportrep/RB000159/toc_pdf/Youwinsome,youlosemore.pdf</w:t>
        </w:r>
      </w:hyperlink>
      <w:r w:rsidRPr="002D6F18">
        <w:t>.</w:t>
      </w:r>
      <w:bookmarkEnd w:id="317"/>
    </w:p>
    <w:p w14:paraId="491C8A1F" w14:textId="376A9CDA" w:rsidR="002D6F18" w:rsidRPr="002D6F18" w:rsidRDefault="002D6F18" w:rsidP="002D6F18">
      <w:pPr>
        <w:pStyle w:val="EndNoteBibliography"/>
        <w:spacing w:after="0"/>
        <w:ind w:left="380" w:hanging="380"/>
      </w:pPr>
      <w:bookmarkStart w:id="318" w:name="_ENREF_114"/>
      <w:r w:rsidRPr="002D6F18">
        <w:t>114.</w:t>
      </w:r>
      <w:r w:rsidRPr="002D6F18">
        <w:tab/>
        <w:t xml:space="preserve">Australian Institute of Health and Welfare. Deaths by Suicide Over Time: AIHW, Australian Government; 2023 [cited 2023 October 05]. Available from: </w:t>
      </w:r>
      <w:hyperlink r:id="rId130" w:history="1">
        <w:r w:rsidRPr="002D6F18">
          <w:rPr>
            <w:rStyle w:val="Hyperlink"/>
          </w:rPr>
          <w:t>https://www.aihw.gov.au/suicide-self-harm-monitoring/data/deaths-by-suicide-in-australia/suicide-deaths-over-time</w:t>
        </w:r>
      </w:hyperlink>
      <w:r w:rsidRPr="002D6F18">
        <w:t>.</w:t>
      </w:r>
      <w:bookmarkEnd w:id="318"/>
    </w:p>
    <w:p w14:paraId="2B3C9BA5" w14:textId="791E3416" w:rsidR="002D6F18" w:rsidRPr="002D6F18" w:rsidRDefault="002D6F18" w:rsidP="002D6F18">
      <w:pPr>
        <w:pStyle w:val="EndNoteBibliography"/>
        <w:spacing w:after="0"/>
        <w:ind w:left="380" w:hanging="380"/>
      </w:pPr>
      <w:bookmarkStart w:id="319" w:name="_ENREF_115"/>
      <w:r w:rsidRPr="002D6F18">
        <w:t>115.</w:t>
      </w:r>
      <w:r w:rsidRPr="002D6F18">
        <w:tab/>
        <w:t xml:space="preserve">Australian Institute of Health and Welfare. Deaths by Suicide Over Time: Impact of Social and Economic Events [Internet]. AIHW, Australian Government; 2023 [cited 2023 October 30]. Available from: </w:t>
      </w:r>
      <w:hyperlink r:id="rId131" w:history="1">
        <w:r w:rsidRPr="002D6F18">
          <w:rPr>
            <w:rStyle w:val="Hyperlink"/>
          </w:rPr>
          <w:t>https://www.aihw.gov.au/suicide-self-harm-monitoring/data/deaths-by-suicide-in-australia/suicide-deaths-over-time#Impact%20of%20social%20and%20economic%20events</w:t>
        </w:r>
      </w:hyperlink>
      <w:r w:rsidRPr="002D6F18">
        <w:t>.</w:t>
      </w:r>
      <w:bookmarkEnd w:id="319"/>
    </w:p>
    <w:p w14:paraId="506A1574" w14:textId="77777777" w:rsidR="002D6F18" w:rsidRPr="002D6F18" w:rsidRDefault="002D6F18" w:rsidP="002D6F18">
      <w:pPr>
        <w:pStyle w:val="EndNoteBibliography"/>
        <w:spacing w:after="0"/>
        <w:ind w:left="380" w:hanging="380"/>
      </w:pPr>
      <w:bookmarkStart w:id="320" w:name="_ENREF_116"/>
      <w:r w:rsidRPr="002D6F18">
        <w:t>116.</w:t>
      </w:r>
      <w:r w:rsidRPr="002D6F18">
        <w:tab/>
        <w:t>Cole K, Anne D, Mak A. Good for the soul: The relationship between work, wellbeing and psychological capital. Journal of Socio-Economics. 2009;38:464-74. 10.1016/j.socec.2008.10.004.</w:t>
      </w:r>
      <w:bookmarkEnd w:id="320"/>
    </w:p>
    <w:p w14:paraId="57AC77B6" w14:textId="77777777" w:rsidR="002D6F18" w:rsidRPr="002D6F18" w:rsidRDefault="002D6F18" w:rsidP="002D6F18">
      <w:pPr>
        <w:pStyle w:val="EndNoteBibliography"/>
        <w:spacing w:after="0"/>
        <w:ind w:left="380" w:hanging="380"/>
      </w:pPr>
      <w:bookmarkStart w:id="321" w:name="_ENREF_117"/>
      <w:r w:rsidRPr="002D6F18">
        <w:t>117.</w:t>
      </w:r>
      <w:r w:rsidRPr="002D6F18">
        <w:tab/>
        <w:t>Venkataramani A, Kearney R, Brien R, Chatterjee P, Kawachi I, Tsai A. Economic opportunity, health behaviours, and health outcomes in the USA: a population-based cross-sectional study. The Lancet Public Health. 2016;1:e18-25. 10.1016/S2468-2667(16)30005-6.</w:t>
      </w:r>
      <w:bookmarkEnd w:id="321"/>
    </w:p>
    <w:p w14:paraId="25A00908" w14:textId="1AFF327C" w:rsidR="002D6F18" w:rsidRPr="002D6F18" w:rsidRDefault="002D6F18" w:rsidP="002D6F18">
      <w:pPr>
        <w:pStyle w:val="EndNoteBibliography"/>
        <w:spacing w:after="0"/>
        <w:ind w:left="380" w:hanging="380"/>
      </w:pPr>
      <w:bookmarkStart w:id="322" w:name="_ENREF_118"/>
      <w:r w:rsidRPr="002D6F18">
        <w:t>118.</w:t>
      </w:r>
      <w:r w:rsidRPr="002D6F18">
        <w:tab/>
        <w:t xml:space="preserve">Australian Institute of Health and Welfare. Health across socioeconomic groups [Internet]. AIHW, Australian Government; 2022 [cited 2023 November 20]. Available from: </w:t>
      </w:r>
      <w:hyperlink r:id="rId132" w:history="1">
        <w:r w:rsidRPr="002D6F18">
          <w:rPr>
            <w:rStyle w:val="Hyperlink"/>
          </w:rPr>
          <w:t>https://www.aihw.gov.au/reports/australias-health/health-across-socioeconomic-groups</w:t>
        </w:r>
      </w:hyperlink>
      <w:r w:rsidRPr="002D6F18">
        <w:t>.</w:t>
      </w:r>
      <w:bookmarkEnd w:id="322"/>
    </w:p>
    <w:p w14:paraId="7AA73DB1" w14:textId="67E570D8" w:rsidR="002D6F18" w:rsidRPr="002D6F18" w:rsidRDefault="002D6F18" w:rsidP="002D6F18">
      <w:pPr>
        <w:pStyle w:val="EndNoteBibliography"/>
        <w:spacing w:after="0"/>
        <w:ind w:left="380" w:hanging="380"/>
      </w:pPr>
      <w:bookmarkStart w:id="323" w:name="_ENREF_119"/>
      <w:r w:rsidRPr="002D6F18">
        <w:t>119.</w:t>
      </w:r>
      <w:r w:rsidRPr="002D6F18">
        <w:tab/>
        <w:t xml:space="preserve">Centers for Disease Control and Prevention. Risk and protective factors for Suicide [Internet]. 2024 [updated 25 April 2024;cited 2024 May 06]. Available from: </w:t>
      </w:r>
      <w:hyperlink r:id="rId133" w:history="1">
        <w:r w:rsidRPr="002D6F18">
          <w:rPr>
            <w:rStyle w:val="Hyperlink"/>
          </w:rPr>
          <w:t>https://www.cdc.gov/suicide/risk-factors/?CDC_AAref_Val=https://www.cdc.gov/suicide/factors/index.html</w:t>
        </w:r>
      </w:hyperlink>
      <w:r w:rsidRPr="002D6F18">
        <w:t>.</w:t>
      </w:r>
      <w:bookmarkEnd w:id="323"/>
    </w:p>
    <w:p w14:paraId="5C249B5A" w14:textId="77777777" w:rsidR="002D6F18" w:rsidRPr="002D6F18" w:rsidRDefault="002D6F18" w:rsidP="002D6F18">
      <w:pPr>
        <w:pStyle w:val="EndNoteBibliography"/>
        <w:spacing w:after="0"/>
        <w:ind w:left="380" w:hanging="380"/>
      </w:pPr>
      <w:bookmarkStart w:id="324" w:name="_ENREF_120"/>
      <w:r w:rsidRPr="002D6F18">
        <w:t>120.</w:t>
      </w:r>
      <w:r w:rsidRPr="002D6F18">
        <w:tab/>
        <w:t>Ciemleja G, Lace N, Titko J. Financial literacy as a prerequisite for citizens' economic security: Development of a measurement instrument. Journal of Security and Sustainability Issues. 2014;Volume 4:29-40. 10.9770/jssi.2014.4.1(3).</w:t>
      </w:r>
      <w:bookmarkEnd w:id="324"/>
    </w:p>
    <w:p w14:paraId="380DC77E" w14:textId="5C9EAD21" w:rsidR="002D6F18" w:rsidRPr="002D6F18" w:rsidRDefault="002D6F18" w:rsidP="002D6F18">
      <w:pPr>
        <w:pStyle w:val="EndNoteBibliography"/>
        <w:spacing w:after="0"/>
        <w:ind w:left="380" w:hanging="380"/>
      </w:pPr>
      <w:bookmarkStart w:id="325" w:name="_ENREF_121"/>
      <w:r w:rsidRPr="002D6F18">
        <w:t>121.</w:t>
      </w:r>
      <w:r w:rsidRPr="002D6F18">
        <w:tab/>
        <w:t xml:space="preserve">Boedker C, Moy N, Wu C. Financial Wellbeing and General Life Satisfaction in Australia [Internet]. University of Newcastle 2022 [cited 2024 March 01]. Available from: </w:t>
      </w:r>
      <w:hyperlink r:id="rId134" w:history="1">
        <w:r w:rsidRPr="002D6F18">
          <w:rPr>
            <w:rStyle w:val="Hyperlink"/>
          </w:rPr>
          <w:t>https://www.newcastle.edu.au/__data/assets/pdf_file/0009/816039/2022-1041-Greater-Bank-report-v241.pdf</w:t>
        </w:r>
      </w:hyperlink>
      <w:r w:rsidRPr="002D6F18">
        <w:t>.</w:t>
      </w:r>
      <w:bookmarkEnd w:id="325"/>
    </w:p>
    <w:p w14:paraId="00D65357" w14:textId="5E70D9D6" w:rsidR="002D6F18" w:rsidRPr="002D6F18" w:rsidRDefault="002D6F18" w:rsidP="002D6F18">
      <w:pPr>
        <w:pStyle w:val="EndNoteBibliography"/>
        <w:spacing w:after="0"/>
        <w:ind w:left="380" w:hanging="380"/>
      </w:pPr>
      <w:bookmarkStart w:id="326" w:name="_ENREF_122"/>
      <w:r w:rsidRPr="002D6F18">
        <w:t>122.</w:t>
      </w:r>
      <w:r w:rsidRPr="002D6F18">
        <w:tab/>
        <w:t xml:space="preserve">Department of Education. Improving Outcomes for All: The Report of the Independent Expert Panel’s Review to Inform a Better and Fairer Education System [Internet]. DoE, Australian Government; 2023 [updated 20 December 2023;cited 2024 March 6]. Available from: </w:t>
      </w:r>
      <w:hyperlink r:id="rId135" w:history="1">
        <w:r w:rsidRPr="002D6F18">
          <w:rPr>
            <w:rStyle w:val="Hyperlink"/>
          </w:rPr>
          <w:t>https://www.education.gov.au/review-inform-better-and-fairer-education-system/resources/expert-panels-report</w:t>
        </w:r>
      </w:hyperlink>
      <w:r w:rsidRPr="002D6F18">
        <w:t>.</w:t>
      </w:r>
      <w:bookmarkEnd w:id="326"/>
    </w:p>
    <w:p w14:paraId="4266A5B6" w14:textId="77777777" w:rsidR="002D6F18" w:rsidRPr="002D6F18" w:rsidRDefault="002D6F18" w:rsidP="002D6F18">
      <w:pPr>
        <w:pStyle w:val="EndNoteBibliography"/>
        <w:spacing w:after="0"/>
        <w:ind w:left="380" w:hanging="380"/>
      </w:pPr>
      <w:bookmarkStart w:id="327" w:name="_ENREF_123"/>
      <w:r w:rsidRPr="002D6F18">
        <w:t>123.</w:t>
      </w:r>
      <w:r w:rsidRPr="002D6F18">
        <w:tab/>
        <w:t>Vandoros S, Avendano M, Kawachi I. The association between economic uncertainty and suicide in the short-run. Social Science &amp; Medicine. 2018;220. 10.1016/j.socscimed.2018.11.035.</w:t>
      </w:r>
      <w:bookmarkEnd w:id="327"/>
    </w:p>
    <w:p w14:paraId="1990466E" w14:textId="1F550023" w:rsidR="002D6F18" w:rsidRPr="002D6F18" w:rsidRDefault="002D6F18" w:rsidP="002D6F18">
      <w:pPr>
        <w:pStyle w:val="EndNoteBibliography"/>
        <w:spacing w:after="0"/>
        <w:ind w:left="380" w:hanging="380"/>
      </w:pPr>
      <w:bookmarkStart w:id="328" w:name="_ENREF_124"/>
      <w:r w:rsidRPr="002D6F18">
        <w:t>124.</w:t>
      </w:r>
      <w:r w:rsidRPr="002D6F18">
        <w:tab/>
        <w:t xml:space="preserve">Australian Institute of Health and Welfare. Deaths by Suicide, by Socioeconomic Areas [Internet]. AIHW, Australian Government; 2023 [cited 2023 October 24]. Available from: </w:t>
      </w:r>
      <w:hyperlink r:id="rId136" w:history="1">
        <w:r w:rsidRPr="002D6F18">
          <w:rPr>
            <w:rStyle w:val="Hyperlink"/>
          </w:rPr>
          <w:t>https://www.aihw.gov.au/suicide-self-harm-monitoring/data/behaviours-risk-factors/suicide-by-socioeconomic-areas</w:t>
        </w:r>
      </w:hyperlink>
      <w:r w:rsidRPr="002D6F18">
        <w:t>.</w:t>
      </w:r>
      <w:bookmarkEnd w:id="328"/>
    </w:p>
    <w:p w14:paraId="5DE37F08" w14:textId="7E84EB8D" w:rsidR="002D6F18" w:rsidRPr="002D6F18" w:rsidRDefault="002D6F18" w:rsidP="002D6F18">
      <w:pPr>
        <w:pStyle w:val="EndNoteBibliography"/>
        <w:spacing w:after="0"/>
        <w:ind w:left="380" w:hanging="380"/>
      </w:pPr>
      <w:bookmarkStart w:id="329" w:name="_ENREF_125"/>
      <w:r w:rsidRPr="002D6F18">
        <w:t>125.</w:t>
      </w:r>
      <w:r w:rsidRPr="002D6F18">
        <w:tab/>
        <w:t xml:space="preserve">Skinner A, Osgood ND, Occhipinti JA, Song YJC, Hickie IB. Unemployment and Underemployment are Causes of Suicide. Science Advances. 2023. </w:t>
      </w:r>
      <w:hyperlink r:id="rId137" w:history="1">
        <w:r w:rsidRPr="002D6F18">
          <w:rPr>
            <w:rStyle w:val="Hyperlink"/>
          </w:rPr>
          <w:t>https://doi.org/10.1126/sciadv.adg3758</w:t>
        </w:r>
      </w:hyperlink>
      <w:r w:rsidRPr="002D6F18">
        <w:t>.</w:t>
      </w:r>
      <w:bookmarkEnd w:id="329"/>
    </w:p>
    <w:p w14:paraId="331229F8" w14:textId="4CD5F56B" w:rsidR="002D6F18" w:rsidRPr="002D6F18" w:rsidRDefault="002D6F18" w:rsidP="002D6F18">
      <w:pPr>
        <w:pStyle w:val="EndNoteBibliography"/>
        <w:spacing w:after="0"/>
        <w:ind w:left="380" w:hanging="380"/>
      </w:pPr>
      <w:bookmarkStart w:id="330" w:name="_ENREF_126"/>
      <w:r w:rsidRPr="002D6F18">
        <w:t>126.</w:t>
      </w:r>
      <w:r w:rsidRPr="002D6F18">
        <w:tab/>
        <w:t xml:space="preserve">Public Health Information Development Unit (PHIDU). Social health atlas of Australia: remoteness graphs: Torrens University Australia 2023 [cited 2024 January 04]. Available from: </w:t>
      </w:r>
      <w:hyperlink r:id="rId138" w:history="1">
        <w:r w:rsidRPr="002D6F18">
          <w:rPr>
            <w:rStyle w:val="Hyperlink"/>
          </w:rPr>
          <w:t>https://phidu.torrens.edu.au/social-health-atlases/graphs/remoteness-whole-population/remoteness-graphs-latest#education</w:t>
        </w:r>
      </w:hyperlink>
      <w:r w:rsidRPr="002D6F18">
        <w:t>.</w:t>
      </w:r>
      <w:bookmarkEnd w:id="330"/>
    </w:p>
    <w:p w14:paraId="2870A96C" w14:textId="00F744F1" w:rsidR="002D6F18" w:rsidRPr="002D6F18" w:rsidRDefault="002D6F18" w:rsidP="002D6F18">
      <w:pPr>
        <w:pStyle w:val="EndNoteBibliography"/>
        <w:spacing w:after="0"/>
        <w:ind w:left="380" w:hanging="380"/>
      </w:pPr>
      <w:bookmarkStart w:id="331" w:name="_ENREF_127"/>
      <w:r w:rsidRPr="002D6F18">
        <w:t>127.</w:t>
      </w:r>
      <w:r w:rsidRPr="002D6F18">
        <w:tab/>
        <w:t xml:space="preserve">Longman J, Braddon M, Verlie B, Schlosberg D, Hampshire L, Hawke C, et al. Building resilience to the mental health impacts of climate change in rural Australia. The Journal of Climate Change and Health. 2023;12:100240. </w:t>
      </w:r>
      <w:hyperlink r:id="rId139" w:history="1">
        <w:r w:rsidRPr="002D6F18">
          <w:rPr>
            <w:rStyle w:val="Hyperlink"/>
          </w:rPr>
          <w:t>https://doi.org/10.1016/j.joclim.2023.100240</w:t>
        </w:r>
      </w:hyperlink>
      <w:r w:rsidRPr="002D6F18">
        <w:t>.</w:t>
      </w:r>
      <w:bookmarkEnd w:id="331"/>
    </w:p>
    <w:p w14:paraId="6E868328" w14:textId="14893217" w:rsidR="002D6F18" w:rsidRPr="002D6F18" w:rsidRDefault="002D6F18" w:rsidP="002D6F18">
      <w:pPr>
        <w:pStyle w:val="EndNoteBibliography"/>
        <w:spacing w:after="0"/>
        <w:ind w:left="380" w:hanging="380"/>
      </w:pPr>
      <w:bookmarkStart w:id="332" w:name="_ENREF_128"/>
      <w:r w:rsidRPr="002D6F18">
        <w:t>128.</w:t>
      </w:r>
      <w:r w:rsidRPr="002D6F18">
        <w:tab/>
        <w:t xml:space="preserve">Australian Institute of Health and Welfare. Social and Economic Factors and Deaths by Suicide [Internet]. AIHW; 2023 [cited 2023 November 06]. Available from: </w:t>
      </w:r>
      <w:hyperlink r:id="rId140" w:history="1">
        <w:r w:rsidRPr="002D6F18">
          <w:rPr>
            <w:rStyle w:val="Hyperlink"/>
          </w:rPr>
          <w:t>https://www.aihw.gov.au/suicide-self-harm-monitoring/data/behaviours-risk-factors/social-factors-suicide</w:t>
        </w:r>
      </w:hyperlink>
      <w:r w:rsidRPr="002D6F18">
        <w:t>.</w:t>
      </w:r>
      <w:bookmarkEnd w:id="332"/>
    </w:p>
    <w:p w14:paraId="0E05E851" w14:textId="183B5C1E" w:rsidR="002D6F18" w:rsidRPr="002D6F18" w:rsidRDefault="002D6F18" w:rsidP="002D6F18">
      <w:pPr>
        <w:pStyle w:val="EndNoteBibliography"/>
        <w:spacing w:after="0"/>
        <w:ind w:left="380" w:hanging="380"/>
      </w:pPr>
      <w:bookmarkStart w:id="333" w:name="_ENREF_129"/>
      <w:r w:rsidRPr="002D6F18">
        <w:t>129.</w:t>
      </w:r>
      <w:r w:rsidRPr="002D6F18">
        <w:tab/>
        <w:t xml:space="preserve">Australian Housing and Urban Research Institute. What is a mental ill health issue and how it affects housing [Internet ]. Australian Housing and Urban Research Institute; 2022 [cited 2024 March 06]. Available from: </w:t>
      </w:r>
      <w:hyperlink r:id="rId141" w:history="1">
        <w:r w:rsidRPr="002D6F18">
          <w:rPr>
            <w:rStyle w:val="Hyperlink"/>
          </w:rPr>
          <w:t>https://www.ahuri.edu.au/analysis/brief/what-mental-ill-health-issue-and-how-it-affects-housing</w:t>
        </w:r>
      </w:hyperlink>
      <w:r w:rsidRPr="002D6F18">
        <w:t>.</w:t>
      </w:r>
      <w:bookmarkEnd w:id="333"/>
    </w:p>
    <w:p w14:paraId="6C222C15" w14:textId="777FFB01" w:rsidR="002D6F18" w:rsidRPr="002D6F18" w:rsidRDefault="002D6F18" w:rsidP="002D6F18">
      <w:pPr>
        <w:pStyle w:val="EndNoteBibliography"/>
        <w:spacing w:after="0"/>
        <w:ind w:left="380" w:hanging="380"/>
      </w:pPr>
      <w:bookmarkStart w:id="334" w:name="_ENREF_130"/>
      <w:r w:rsidRPr="002D6F18">
        <w:t>130.</w:t>
      </w:r>
      <w:r w:rsidRPr="002D6F18">
        <w:tab/>
        <w:t xml:space="preserve">Sylvan L. The countervailing power: review of the coordination and funding for financial counselling services across Australia [Internet]. Department of Social Services, Australian Government; 2019 [cited 2024 March 17]. Available from: </w:t>
      </w:r>
      <w:hyperlink r:id="rId142" w:history="1">
        <w:r w:rsidRPr="002D6F18">
          <w:rPr>
            <w:rStyle w:val="Hyperlink"/>
          </w:rPr>
          <w:t>https://www.dss.gov.au/communities-and-vulnerable-people-publications-articles/the-countervailing-power-review-of-the-coordination-and-funding-for-financial-counselling-services-across-australia</w:t>
        </w:r>
      </w:hyperlink>
      <w:r w:rsidRPr="002D6F18">
        <w:t>.</w:t>
      </w:r>
      <w:bookmarkEnd w:id="334"/>
    </w:p>
    <w:p w14:paraId="24EE87E3" w14:textId="19A01F58" w:rsidR="002D6F18" w:rsidRPr="002D6F18" w:rsidRDefault="002D6F18" w:rsidP="002D6F18">
      <w:pPr>
        <w:pStyle w:val="EndNoteBibliography"/>
        <w:spacing w:after="0"/>
        <w:ind w:left="380" w:hanging="380"/>
      </w:pPr>
      <w:bookmarkStart w:id="335" w:name="_ENREF_131"/>
      <w:r w:rsidRPr="002D6F18">
        <w:t>131.</w:t>
      </w:r>
      <w:r w:rsidRPr="002D6F18">
        <w:tab/>
        <w:t xml:space="preserve">Australian Institute of Health and Welfare. The use of mental health services, psychological distress, loneliness, suicide, ambulance attendances and COVID-19 [Internet]. AIHW, Australian Government; 2023 [updated 06 December 2023;cited 2024 March 06]. Available from: </w:t>
      </w:r>
      <w:hyperlink r:id="rId143" w:history="1">
        <w:r w:rsidRPr="002D6F18">
          <w:rPr>
            <w:rStyle w:val="Hyperlink"/>
          </w:rPr>
          <w:t>https://www.aihw.gov.au/suicide-self-harm-monitoring/data/covid-19</w:t>
        </w:r>
      </w:hyperlink>
      <w:r w:rsidRPr="002D6F18">
        <w:t>.</w:t>
      </w:r>
      <w:bookmarkEnd w:id="335"/>
    </w:p>
    <w:p w14:paraId="7790DCF2" w14:textId="03E7A9C7" w:rsidR="002D6F18" w:rsidRPr="002D6F18" w:rsidRDefault="002D6F18" w:rsidP="002D6F18">
      <w:pPr>
        <w:pStyle w:val="EndNoteBibliography"/>
        <w:spacing w:after="0"/>
        <w:ind w:left="380" w:hanging="380"/>
      </w:pPr>
      <w:bookmarkStart w:id="336" w:name="_ENREF_132"/>
      <w:r w:rsidRPr="002D6F18">
        <w:t>132.</w:t>
      </w:r>
      <w:r w:rsidRPr="002D6F18">
        <w:tab/>
        <w:t xml:space="preserve">Phillips B, Gray M, Biddle N. COVID 19 JobKeeper and JobSeeker impacts on poverty and housing stress under current and alternative economic and policy scenarios [Internet]. Canberra: Centre for Social Research and Methods, Australian National University; 2020 [cited 2024 March 17]. Available from: </w:t>
      </w:r>
      <w:hyperlink r:id="rId144" w:history="1">
        <w:r w:rsidRPr="002D6F18">
          <w:rPr>
            <w:rStyle w:val="Hyperlink"/>
          </w:rPr>
          <w:t>https://csrm.cass.anu.edu.au/research/publications/covid-19-jobkeeper-and-jobseeker-impacts-poverty-and-housing-stress-under</w:t>
        </w:r>
      </w:hyperlink>
      <w:r w:rsidRPr="002D6F18">
        <w:t>.</w:t>
      </w:r>
      <w:bookmarkEnd w:id="336"/>
    </w:p>
    <w:p w14:paraId="04B78F35" w14:textId="583A3B8C" w:rsidR="002D6F18" w:rsidRPr="002D6F18" w:rsidRDefault="002D6F18" w:rsidP="002D6F18">
      <w:pPr>
        <w:pStyle w:val="EndNoteBibliography"/>
        <w:spacing w:after="0"/>
        <w:ind w:left="380" w:hanging="380"/>
      </w:pPr>
      <w:bookmarkStart w:id="337" w:name="_ENREF_133"/>
      <w:r w:rsidRPr="002D6F18">
        <w:t>133.</w:t>
      </w:r>
      <w:r w:rsidRPr="002D6F18">
        <w:tab/>
        <w:t xml:space="preserve">The Treasury. Working future: the Australian Government’s white paper on jobs and opportunities [Internet]. The Treasury, Australian Government; 2023 [updated 25 September 2023;cited 2024 February 08]. Available from: </w:t>
      </w:r>
      <w:hyperlink r:id="rId145" w:history="1">
        <w:r w:rsidRPr="002D6F18">
          <w:rPr>
            <w:rStyle w:val="Hyperlink"/>
          </w:rPr>
          <w:t>https://treasury.gov.au/employment-whitepaper/final-report</w:t>
        </w:r>
      </w:hyperlink>
      <w:r w:rsidRPr="002D6F18">
        <w:t>.</w:t>
      </w:r>
      <w:bookmarkEnd w:id="337"/>
    </w:p>
    <w:p w14:paraId="64EDE9EA" w14:textId="77777777" w:rsidR="002D6F18" w:rsidRPr="002D6F18" w:rsidRDefault="002D6F18" w:rsidP="002D6F18">
      <w:pPr>
        <w:pStyle w:val="EndNoteBibliography"/>
        <w:spacing w:after="0"/>
        <w:ind w:left="380" w:hanging="380"/>
      </w:pPr>
      <w:bookmarkStart w:id="338" w:name="_ENREF_134"/>
      <w:r w:rsidRPr="002D6F18">
        <w:t>134.</w:t>
      </w:r>
      <w:r w:rsidRPr="002D6F18">
        <w:tab/>
        <w:t>Calati R, Ferrari C, Brittner M, Oasi O, Olié E, Carvalho AF, et al. Suicidal Thoughts and Behaviors and Social Isolation: A Narrative Review of the Literature. Journal of Affective Disorders. 2019. DOI: 10.1016/j.jad.2018.11.022.</w:t>
      </w:r>
      <w:bookmarkEnd w:id="338"/>
    </w:p>
    <w:p w14:paraId="4D22A534" w14:textId="55B03ECC" w:rsidR="002D6F18" w:rsidRPr="002D6F18" w:rsidRDefault="002D6F18" w:rsidP="002D6F18">
      <w:pPr>
        <w:pStyle w:val="EndNoteBibliography"/>
        <w:spacing w:after="0"/>
        <w:ind w:left="380" w:hanging="380"/>
      </w:pPr>
      <w:bookmarkStart w:id="339" w:name="_ENREF_135"/>
      <w:r w:rsidRPr="002D6F18">
        <w:t>135.</w:t>
      </w:r>
      <w:r w:rsidRPr="002D6F18">
        <w:tab/>
        <w:t xml:space="preserve">Quinn B, Prattley J, Rowland B. Social connectedness among Australian males [Internet ]. Melbourne Australian Institute of Family Studies; 2021 [cited 2023 November 21]. Available from: </w:t>
      </w:r>
      <w:hyperlink r:id="rId146" w:history="1">
        <w:r w:rsidRPr="002D6F18">
          <w:rPr>
            <w:rStyle w:val="Hyperlink"/>
          </w:rPr>
          <w:t>https://tentomen.org.au/research-findings/social-connectedness-among-australian-males</w:t>
        </w:r>
      </w:hyperlink>
      <w:r w:rsidRPr="002D6F18">
        <w:t>.</w:t>
      </w:r>
      <w:bookmarkEnd w:id="339"/>
    </w:p>
    <w:p w14:paraId="123C7058" w14:textId="1CF9E1D9" w:rsidR="002D6F18" w:rsidRPr="002D6F18" w:rsidRDefault="002D6F18" w:rsidP="002D6F18">
      <w:pPr>
        <w:pStyle w:val="EndNoteBibliography"/>
        <w:spacing w:after="0"/>
        <w:ind w:left="380" w:hanging="380"/>
      </w:pPr>
      <w:bookmarkStart w:id="340" w:name="_ENREF_136"/>
      <w:r w:rsidRPr="002D6F18">
        <w:t>136.</w:t>
      </w:r>
      <w:r w:rsidRPr="002D6F18">
        <w:tab/>
        <w:t xml:space="preserve">Cox D. American men suffer a friendship recession [Internet]. American Survey Centre; 2021 [cited 2023 November 21]. Available from: </w:t>
      </w:r>
      <w:hyperlink r:id="rId147" w:history="1">
        <w:r w:rsidRPr="002D6F18">
          <w:rPr>
            <w:rStyle w:val="Hyperlink"/>
          </w:rPr>
          <w:t>https://www.americansurveycenter.org/commentary/american-men-suffer-a-friendship-recession/</w:t>
        </w:r>
      </w:hyperlink>
      <w:r w:rsidRPr="002D6F18">
        <w:t>.</w:t>
      </w:r>
      <w:bookmarkEnd w:id="340"/>
    </w:p>
    <w:p w14:paraId="4D90B58A" w14:textId="20E91706" w:rsidR="002D6F18" w:rsidRPr="002D6F18" w:rsidRDefault="002D6F18" w:rsidP="002D6F18">
      <w:pPr>
        <w:pStyle w:val="EndNoteBibliography"/>
        <w:spacing w:after="0"/>
        <w:ind w:left="380" w:hanging="380"/>
      </w:pPr>
      <w:bookmarkStart w:id="341" w:name="_ENREF_137"/>
      <w:r w:rsidRPr="002D6F18">
        <w:t>137.</w:t>
      </w:r>
      <w:r w:rsidRPr="002D6F18">
        <w:tab/>
        <w:t xml:space="preserve">Gibson M, Stuart J, Leske S, Ward R, Tanton R. Suicide rates for young Aboriginal and Torres Strait Islander people: the influence of community level cultural connectedness. Medical Journal of Australia. 2021;214(11):514-8. </w:t>
      </w:r>
      <w:hyperlink r:id="rId148" w:history="1">
        <w:r w:rsidRPr="002D6F18">
          <w:rPr>
            <w:rStyle w:val="Hyperlink"/>
          </w:rPr>
          <w:t>https://doi.org/10.5694/mja2.51084</w:t>
        </w:r>
      </w:hyperlink>
      <w:r w:rsidRPr="002D6F18">
        <w:t>.</w:t>
      </w:r>
      <w:bookmarkEnd w:id="341"/>
    </w:p>
    <w:p w14:paraId="47319C48" w14:textId="7B5D6B1E" w:rsidR="002D6F18" w:rsidRPr="002D6F18" w:rsidRDefault="002D6F18" w:rsidP="002D6F18">
      <w:pPr>
        <w:pStyle w:val="EndNoteBibliography"/>
        <w:spacing w:after="0"/>
        <w:ind w:left="380" w:hanging="380"/>
      </w:pPr>
      <w:bookmarkStart w:id="342" w:name="_ENREF_138"/>
      <w:r w:rsidRPr="002D6F18">
        <w:t>138.</w:t>
      </w:r>
      <w:r w:rsidRPr="002D6F18">
        <w:tab/>
        <w:t xml:space="preserve">Wilkins R, Vera-Toscano E, Botha F, Wooden M, Trinh T. The household, income and labour dynamics in Australia survey: selected findings from waves 1 to 20 [Internet ]. Melbourne Melbourne Institute: Applied Economic &amp; Social Research, University of Melbourne; 2022 [cited 2023 November 24]. Available from: </w:t>
      </w:r>
      <w:hyperlink r:id="rId149" w:history="1">
        <w:r w:rsidRPr="002D6F18">
          <w:rPr>
            <w:rStyle w:val="Hyperlink"/>
          </w:rPr>
          <w:t>https://melbourneinstitute.unimelb.edu.au/hilda/publications/hilda-statistical-reports/past-reports</w:t>
        </w:r>
      </w:hyperlink>
      <w:r w:rsidRPr="002D6F18">
        <w:t>.</w:t>
      </w:r>
      <w:bookmarkEnd w:id="342"/>
    </w:p>
    <w:p w14:paraId="7A93E620" w14:textId="7D1470FD" w:rsidR="002D6F18" w:rsidRPr="002D6F18" w:rsidRDefault="002D6F18" w:rsidP="002D6F18">
      <w:pPr>
        <w:pStyle w:val="EndNoteBibliography"/>
        <w:spacing w:after="0"/>
        <w:ind w:left="380" w:hanging="380"/>
      </w:pPr>
      <w:bookmarkStart w:id="343" w:name="_ENREF_139"/>
      <w:r w:rsidRPr="002D6F18">
        <w:t>139.</w:t>
      </w:r>
      <w:r w:rsidRPr="002D6F18">
        <w:tab/>
        <w:t xml:space="preserve">Department of Social Services. Strong and Resilient Communities [Internet]. DSS, Australian Government; 2023 [cited 2023 October 06]. Available from: </w:t>
      </w:r>
      <w:hyperlink r:id="rId150" w:history="1">
        <w:r w:rsidRPr="002D6F18">
          <w:rPr>
            <w:rStyle w:val="Hyperlink"/>
          </w:rPr>
          <w:t>https://www.dss.gov.au/our-responsibilities-communities-and-vulnerable-people/strong-and-resilient-communities</w:t>
        </w:r>
      </w:hyperlink>
      <w:r w:rsidRPr="002D6F18">
        <w:t>.</w:t>
      </w:r>
      <w:bookmarkEnd w:id="343"/>
    </w:p>
    <w:p w14:paraId="10214E61" w14:textId="5C1D03AF" w:rsidR="002D6F18" w:rsidRPr="002D6F18" w:rsidRDefault="002D6F18" w:rsidP="002D6F18">
      <w:pPr>
        <w:pStyle w:val="EndNoteBibliography"/>
        <w:spacing w:after="0"/>
        <w:ind w:left="380" w:hanging="380"/>
      </w:pPr>
      <w:bookmarkStart w:id="344" w:name="_ENREF_140"/>
      <w:r w:rsidRPr="002D6F18">
        <w:t>140.</w:t>
      </w:r>
      <w:r w:rsidRPr="002D6F18">
        <w:tab/>
        <w:t xml:space="preserve">Social Research Centre. Strong and Resilient Communities evaluation report [Internet]. Canberra: Department of Social Services; 2021 [cited 2024 March 06]. Available from: </w:t>
      </w:r>
      <w:hyperlink r:id="rId151" w:history="1">
        <w:r w:rsidRPr="002D6F18">
          <w:rPr>
            <w:rStyle w:val="Hyperlink"/>
          </w:rPr>
          <w:t>https://www.dss.gov.au/strong-and-resilient-communities-evaluation-report</w:t>
        </w:r>
      </w:hyperlink>
      <w:r w:rsidRPr="002D6F18">
        <w:t>.</w:t>
      </w:r>
      <w:bookmarkEnd w:id="344"/>
    </w:p>
    <w:p w14:paraId="764F8375" w14:textId="77777777" w:rsidR="002D6F18" w:rsidRPr="002D6F18" w:rsidRDefault="002D6F18" w:rsidP="002D6F18">
      <w:pPr>
        <w:pStyle w:val="EndNoteBibliography"/>
        <w:spacing w:after="0"/>
        <w:ind w:left="380" w:hanging="380"/>
      </w:pPr>
      <w:bookmarkStart w:id="345" w:name="_ENREF_141"/>
      <w:r w:rsidRPr="002D6F18">
        <w:t>141.</w:t>
      </w:r>
      <w:r w:rsidRPr="002D6F18">
        <w:tab/>
        <w:t>Stewart SM, Eaddy M, Horton SE, Hughes J, Kennard B. The Validity of the Interpersonal Theory of Suicide in Adolescence: A Review. Journal of Clinical Child &amp; Adolescent Psychology. 2017. DOI: 10.1080/15374416.2015.1020542.</w:t>
      </w:r>
      <w:bookmarkEnd w:id="345"/>
    </w:p>
    <w:p w14:paraId="5391291E" w14:textId="77777777" w:rsidR="002D6F18" w:rsidRPr="002D6F18" w:rsidRDefault="002D6F18" w:rsidP="002D6F18">
      <w:pPr>
        <w:pStyle w:val="EndNoteBibliography"/>
        <w:spacing w:after="0"/>
        <w:ind w:left="380" w:hanging="380"/>
      </w:pPr>
      <w:bookmarkStart w:id="346" w:name="_ENREF_142"/>
      <w:r w:rsidRPr="002D6F18">
        <w:t>142.</w:t>
      </w:r>
      <w:r w:rsidRPr="002D6F18">
        <w:tab/>
        <w:t>Huxhold O, Suanet B, Wetzel M. Perceived Social Exclusion and Loneliness: Two Distinct but Related Phenomena. Sociological Science. 2022;9:430-53. 10.15195/v9.a17.</w:t>
      </w:r>
      <w:bookmarkEnd w:id="346"/>
    </w:p>
    <w:p w14:paraId="660729B5" w14:textId="4D14436E" w:rsidR="002D6F18" w:rsidRPr="002D6F18" w:rsidRDefault="002D6F18" w:rsidP="002D6F18">
      <w:pPr>
        <w:pStyle w:val="EndNoteBibliography"/>
        <w:spacing w:after="0"/>
        <w:ind w:left="380" w:hanging="380"/>
      </w:pPr>
      <w:bookmarkStart w:id="347" w:name="_ENREF_143"/>
      <w:r w:rsidRPr="002D6F18">
        <w:t>143.</w:t>
      </w:r>
      <w:r w:rsidRPr="002D6F18">
        <w:tab/>
        <w:t xml:space="preserve">Badcock JC, Holt-Lunstad J, Garcia E, Bombaci P, Lim MH. Position statement: addressing social isolation, loneliness, and the power of human connection [Internet]. Global Initiative on Loneliness and Connection; 2022 [cited 2023 November 21]. Available from: </w:t>
      </w:r>
      <w:hyperlink r:id="rId152" w:history="1">
        <w:r w:rsidRPr="002D6F18">
          <w:rPr>
            <w:rStyle w:val="Hyperlink"/>
          </w:rPr>
          <w:t>https://www.gilc.global/our-position-statements</w:t>
        </w:r>
      </w:hyperlink>
      <w:r w:rsidRPr="002D6F18">
        <w:t>.</w:t>
      </w:r>
      <w:bookmarkEnd w:id="347"/>
    </w:p>
    <w:p w14:paraId="2CA246A4" w14:textId="20BB9FD6" w:rsidR="002D6F18" w:rsidRPr="002D6F18" w:rsidRDefault="002D6F18" w:rsidP="002D6F18">
      <w:pPr>
        <w:pStyle w:val="EndNoteBibliography"/>
        <w:spacing w:after="0"/>
        <w:ind w:left="380" w:hanging="380"/>
      </w:pPr>
      <w:bookmarkStart w:id="348" w:name="_ENREF_144"/>
      <w:r w:rsidRPr="002D6F18">
        <w:t>144.</w:t>
      </w:r>
      <w:r w:rsidRPr="002D6F18">
        <w:tab/>
        <w:t xml:space="preserve">Truong M, Moore E. Racism and Indigenous wellbeing, mental health and suicide [Internet]. Australian Institute of Health and Welfare; 2003 [cited 2023 November 27]. Available from: </w:t>
      </w:r>
      <w:hyperlink r:id="rId153" w:history="1">
        <w:r w:rsidRPr="002D6F18">
          <w:rPr>
            <w:rStyle w:val="Hyperlink"/>
          </w:rPr>
          <w:t>https://www.indigenousmhspc.gov.au/getattachment/72f9d6ff-14fe-4c3b-8705-dce479bce7bb/racism-and-indigenous-wellbeing.pdf?v=1569</w:t>
        </w:r>
      </w:hyperlink>
      <w:r w:rsidRPr="002D6F18">
        <w:t>.</w:t>
      </w:r>
      <w:bookmarkEnd w:id="348"/>
    </w:p>
    <w:p w14:paraId="0F9743DC" w14:textId="77777777" w:rsidR="002D6F18" w:rsidRPr="002D6F18" w:rsidRDefault="002D6F18" w:rsidP="002D6F18">
      <w:pPr>
        <w:pStyle w:val="EndNoteBibliography"/>
        <w:spacing w:after="0"/>
        <w:ind w:left="380" w:hanging="380"/>
      </w:pPr>
      <w:bookmarkStart w:id="349" w:name="_ENREF_145"/>
      <w:r w:rsidRPr="002D6F18">
        <w:t>145.</w:t>
      </w:r>
      <w:r w:rsidRPr="002D6F18">
        <w:tab/>
        <w:t>Wilson E, Chen Y-H, Arayasirikul S, Raymond H, McFarland W. The Impact of Discrimination on the Mental Health of Trans*Female Youth and the Protective Effect of Parental Support. AIDS and Behavior. 2016;20. 10.1007/s10461-016-1409-7.</w:t>
      </w:r>
      <w:bookmarkEnd w:id="349"/>
    </w:p>
    <w:p w14:paraId="72D2F4D4" w14:textId="6D34AA61" w:rsidR="002D6F18" w:rsidRPr="002D6F18" w:rsidRDefault="002D6F18" w:rsidP="002D6F18">
      <w:pPr>
        <w:pStyle w:val="EndNoteBibliography"/>
        <w:spacing w:after="0"/>
        <w:ind w:left="380" w:hanging="380"/>
      </w:pPr>
      <w:bookmarkStart w:id="350" w:name="_ENREF_146"/>
      <w:r w:rsidRPr="002D6F18">
        <w:t>146.</w:t>
      </w:r>
      <w:r w:rsidRPr="002D6F18">
        <w:tab/>
        <w:t xml:space="preserve">Lim MH, Smith B. State of the Nation Report: Social Connections in Australia 2023 [Internet]. Ending Loneliness Together; 2023 [cited 2023 November 06]. Available from: </w:t>
      </w:r>
      <w:hyperlink r:id="rId154" w:history="1">
        <w:r w:rsidRPr="002D6F18">
          <w:rPr>
            <w:rStyle w:val="Hyperlink"/>
          </w:rPr>
          <w:t>https://lonelinessawarenessweek.com.au/wp-content/uploads/2023/08/state-of-nation-social-connection-2023.pdf</w:t>
        </w:r>
      </w:hyperlink>
      <w:r w:rsidRPr="002D6F18">
        <w:t>.</w:t>
      </w:r>
      <w:bookmarkEnd w:id="350"/>
    </w:p>
    <w:p w14:paraId="5449442B" w14:textId="4EE05652" w:rsidR="002D6F18" w:rsidRPr="002D6F18" w:rsidRDefault="002D6F18" w:rsidP="002D6F18">
      <w:pPr>
        <w:pStyle w:val="EndNoteBibliography"/>
        <w:spacing w:after="0"/>
        <w:ind w:left="380" w:hanging="380"/>
      </w:pPr>
      <w:bookmarkStart w:id="351" w:name="_ENREF_147"/>
      <w:r w:rsidRPr="002D6F18">
        <w:t>147.</w:t>
      </w:r>
      <w:r w:rsidRPr="002D6F18">
        <w:tab/>
        <w:t xml:space="preserve">Quinn B, Rowland B, Martin S. Insights #2 Report: findings from Ten to Men: the Australian longitudinal study on male health, 2013–21 [Internet]. Melbourne: Australian Institute of Family Studies; 2022 [cited 2024 March 06]. Available from: </w:t>
      </w:r>
      <w:hyperlink r:id="rId155" w:history="1">
        <w:r w:rsidRPr="002D6F18">
          <w:rPr>
            <w:rStyle w:val="Hyperlink"/>
          </w:rPr>
          <w:t>https://aifs.gov.au/tentomen/insights-report/insights-2-report-overview-and-key-findings</w:t>
        </w:r>
      </w:hyperlink>
      <w:r w:rsidRPr="002D6F18">
        <w:t>.</w:t>
      </w:r>
      <w:bookmarkEnd w:id="351"/>
    </w:p>
    <w:p w14:paraId="325AB521" w14:textId="77777777" w:rsidR="002D6F18" w:rsidRPr="002D6F18" w:rsidRDefault="002D6F18" w:rsidP="002D6F18">
      <w:pPr>
        <w:pStyle w:val="EndNoteBibliography"/>
        <w:spacing w:after="0"/>
        <w:ind w:left="380" w:hanging="380"/>
      </w:pPr>
      <w:bookmarkStart w:id="352" w:name="_ENREF_148"/>
      <w:r w:rsidRPr="002D6F18">
        <w:t>148.</w:t>
      </w:r>
      <w:r w:rsidRPr="002D6F18">
        <w:tab/>
        <w:t>Ernst M, Klein E, Beutel M, Brähler E. Gender-specific associations of loneliness and suicidal ideation in a representative population sample: Young, lonely men are particularly at risk. Journal of Affective Disorders. 2021;294. 10.1016/j.jad.2021.06.085.</w:t>
      </w:r>
      <w:bookmarkEnd w:id="352"/>
    </w:p>
    <w:p w14:paraId="28DC7F40" w14:textId="77777777" w:rsidR="002D6F18" w:rsidRPr="002D6F18" w:rsidRDefault="002D6F18" w:rsidP="002D6F18">
      <w:pPr>
        <w:pStyle w:val="EndNoteBibliography"/>
        <w:spacing w:after="0"/>
        <w:ind w:left="380" w:hanging="380"/>
      </w:pPr>
      <w:bookmarkStart w:id="353" w:name="_ENREF_149"/>
      <w:r w:rsidRPr="002D6F18">
        <w:t>149.</w:t>
      </w:r>
      <w:r w:rsidRPr="002D6F18">
        <w:tab/>
        <w:t>Fong P, Cruwys T, Robinson SL, Haslam SA, Haslam C, Mance PL, et al. Evidence that Loneliness can be Reduced by a Whole-of-Community Intervention to Increase Neighbourhood Identification. Social Science &amp; Medicine. 2021. DOI: 10.1016/j.socscimed.2021.113909.</w:t>
      </w:r>
      <w:bookmarkEnd w:id="353"/>
    </w:p>
    <w:p w14:paraId="631FFC7E" w14:textId="0EC94621" w:rsidR="002D6F18" w:rsidRPr="002D6F18" w:rsidRDefault="002D6F18" w:rsidP="002D6F18">
      <w:pPr>
        <w:pStyle w:val="EndNoteBibliography"/>
        <w:spacing w:after="0"/>
        <w:ind w:left="380" w:hanging="380"/>
      </w:pPr>
      <w:bookmarkStart w:id="354" w:name="_ENREF_150"/>
      <w:r w:rsidRPr="002D6F18">
        <w:t>150.</w:t>
      </w:r>
      <w:r w:rsidRPr="002D6F18">
        <w:tab/>
        <w:t xml:space="preserve">National Mental Health Commission. National Children's Mental Health and Wellbeing Strategy [Internet]. Canberra: NMHC; 2021 [cited 2023 October 06]. Available from: </w:t>
      </w:r>
      <w:hyperlink r:id="rId156" w:history="1">
        <w:r w:rsidRPr="002D6F18">
          <w:rPr>
            <w:rStyle w:val="Hyperlink"/>
          </w:rPr>
          <w:t>https://www.mentalhealthcommission.gov.au/projects/childrens-strategy</w:t>
        </w:r>
      </w:hyperlink>
      <w:r w:rsidRPr="002D6F18">
        <w:t>.</w:t>
      </w:r>
      <w:bookmarkEnd w:id="354"/>
    </w:p>
    <w:p w14:paraId="489243E9" w14:textId="6F52AD3C" w:rsidR="002D6F18" w:rsidRPr="002D6F18" w:rsidRDefault="002D6F18" w:rsidP="002D6F18">
      <w:pPr>
        <w:pStyle w:val="EndNoteBibliography"/>
        <w:spacing w:after="0"/>
        <w:ind w:left="380" w:hanging="380"/>
      </w:pPr>
      <w:bookmarkStart w:id="355" w:name="_ENREF_151"/>
      <w:r w:rsidRPr="002D6F18">
        <w:t>151.</w:t>
      </w:r>
      <w:r w:rsidRPr="002D6F18">
        <w:tab/>
        <w:t xml:space="preserve">Department of Social Services. Early Years Strategy [Internet]. DSS, Australian Government; 2024 [cited 2024 March 06]. Available from: </w:t>
      </w:r>
      <w:hyperlink r:id="rId157" w:history="1">
        <w:r w:rsidRPr="002D6F18">
          <w:rPr>
            <w:rStyle w:val="Hyperlink"/>
          </w:rPr>
          <w:t>https://www.dss.gov.au/families-and-children-programs-services/early-years-strategy</w:t>
        </w:r>
      </w:hyperlink>
      <w:r w:rsidRPr="002D6F18">
        <w:t>.</w:t>
      </w:r>
      <w:bookmarkEnd w:id="355"/>
    </w:p>
    <w:p w14:paraId="5EDE7305" w14:textId="60C0437E" w:rsidR="002D6F18" w:rsidRPr="002D6F18" w:rsidRDefault="002D6F18" w:rsidP="002D6F18">
      <w:pPr>
        <w:pStyle w:val="EndNoteBibliography"/>
        <w:spacing w:after="0"/>
        <w:ind w:left="380" w:hanging="380"/>
      </w:pPr>
      <w:bookmarkStart w:id="356" w:name="_ENREF_152"/>
      <w:r w:rsidRPr="002D6F18">
        <w:t>152.</w:t>
      </w:r>
      <w:r w:rsidRPr="002D6F18">
        <w:tab/>
        <w:t xml:space="preserve">World Health Organisation. Improving the Mental and Brain Health of Children and Adolescents [Internet]. 2023 [cited 2023 October 23]. Available from: </w:t>
      </w:r>
      <w:hyperlink r:id="rId158" w:history="1">
        <w:r w:rsidRPr="002D6F18">
          <w:rPr>
            <w:rStyle w:val="Hyperlink"/>
          </w:rPr>
          <w:t>https://www.who.int/activities/improving-the-mental-and-brain-health-of-children-and-adolescents</w:t>
        </w:r>
      </w:hyperlink>
      <w:r w:rsidRPr="002D6F18">
        <w:t>.</w:t>
      </w:r>
      <w:bookmarkEnd w:id="356"/>
    </w:p>
    <w:p w14:paraId="24CE70A4" w14:textId="5E727E58" w:rsidR="002D6F18" w:rsidRPr="002D6F18" w:rsidRDefault="002D6F18" w:rsidP="002D6F18">
      <w:pPr>
        <w:pStyle w:val="EndNoteBibliography"/>
        <w:spacing w:after="0"/>
        <w:ind w:left="380" w:hanging="380"/>
      </w:pPr>
      <w:bookmarkStart w:id="357" w:name="_ENREF_153"/>
      <w:r w:rsidRPr="002D6F18">
        <w:t>153.</w:t>
      </w:r>
      <w:r w:rsidRPr="002D6F18">
        <w:tab/>
        <w:t xml:space="preserve">World Health Organization. Good health adds life to years: global brief for World Health Day 2012: World Health Organization; 2012 [cited 2023 November 21]. Available from: </w:t>
      </w:r>
      <w:hyperlink r:id="rId159" w:history="1">
        <w:r w:rsidRPr="002D6F18">
          <w:rPr>
            <w:rStyle w:val="Hyperlink"/>
          </w:rPr>
          <w:t>https://iris.who.int/handle/10665/70853</w:t>
        </w:r>
      </w:hyperlink>
      <w:r w:rsidRPr="002D6F18">
        <w:t>.</w:t>
      </w:r>
      <w:bookmarkEnd w:id="357"/>
    </w:p>
    <w:p w14:paraId="6F595F20" w14:textId="04B62290" w:rsidR="002D6F18" w:rsidRPr="002D6F18" w:rsidRDefault="002D6F18" w:rsidP="002D6F18">
      <w:pPr>
        <w:pStyle w:val="EndNoteBibliography"/>
        <w:spacing w:after="0"/>
        <w:ind w:left="380" w:hanging="380"/>
      </w:pPr>
      <w:bookmarkStart w:id="358" w:name="_ENREF_154"/>
      <w:r w:rsidRPr="002D6F18">
        <w:t>154.</w:t>
      </w:r>
      <w:r w:rsidRPr="002D6F18">
        <w:tab/>
        <w:t xml:space="preserve">Royal Commission into Aged Care Quality and Safety. Care, dignity and respect. Final report [Internet]. Australian Government; 2021 [updated 01 March 2021;cited 2023 November 21]. Available from: </w:t>
      </w:r>
      <w:hyperlink r:id="rId160" w:history="1">
        <w:r w:rsidRPr="002D6F18">
          <w:rPr>
            <w:rStyle w:val="Hyperlink"/>
          </w:rPr>
          <w:t>https://www.royalcommission.gov.au/aged-care/final-report</w:t>
        </w:r>
      </w:hyperlink>
      <w:r w:rsidRPr="002D6F18">
        <w:t>.</w:t>
      </w:r>
      <w:bookmarkEnd w:id="358"/>
    </w:p>
    <w:p w14:paraId="28610B85" w14:textId="4D9F145F" w:rsidR="002D6F18" w:rsidRPr="002D6F18" w:rsidRDefault="002D6F18" w:rsidP="002D6F18">
      <w:pPr>
        <w:pStyle w:val="EndNoteBibliography"/>
        <w:spacing w:after="0"/>
        <w:ind w:left="380" w:hanging="380"/>
      </w:pPr>
      <w:bookmarkStart w:id="359" w:name="_ENREF_155"/>
      <w:r w:rsidRPr="002D6F18">
        <w:t>155.</w:t>
      </w:r>
      <w:r w:rsidRPr="002D6F18">
        <w:tab/>
        <w:t xml:space="preserve">Mental Health in Mind International AB. Youth Aware of Mental health [Internet]. 2024 [cited 2024 March 06]. Available from: </w:t>
      </w:r>
      <w:hyperlink r:id="rId161" w:history="1">
        <w:r w:rsidRPr="002D6F18">
          <w:rPr>
            <w:rStyle w:val="Hyperlink"/>
          </w:rPr>
          <w:t>https://www.y-a-m.org/</w:t>
        </w:r>
      </w:hyperlink>
      <w:r w:rsidRPr="002D6F18">
        <w:t>.</w:t>
      </w:r>
      <w:bookmarkEnd w:id="359"/>
    </w:p>
    <w:p w14:paraId="184F1D3E" w14:textId="50FD398C" w:rsidR="002D6F18" w:rsidRPr="002D6F18" w:rsidRDefault="002D6F18" w:rsidP="002D6F18">
      <w:pPr>
        <w:pStyle w:val="EndNoteBibliography"/>
        <w:spacing w:after="0"/>
        <w:ind w:left="380" w:hanging="380"/>
      </w:pPr>
      <w:bookmarkStart w:id="360" w:name="_ENREF_156"/>
      <w:r w:rsidRPr="002D6F18">
        <w:t>156.</w:t>
      </w:r>
      <w:r w:rsidRPr="002D6F18">
        <w:tab/>
        <w:t xml:space="preserve">Department of Health. Australian Government Response to the Final Report of the Royal Commission into Aged Care Quality and Safety [Internet]. DoH, Australian Government; 2021 [cited 2024 March 06]. Available from: </w:t>
      </w:r>
      <w:hyperlink r:id="rId162" w:history="1">
        <w:r w:rsidRPr="002D6F18">
          <w:rPr>
            <w:rStyle w:val="Hyperlink"/>
          </w:rPr>
          <w:t>https://www.health.gov.au/sites/default/files/documents/2021/05/australian-government-response-to-the-final-report-of-the-royal-commission-into-aged-care-quality-and-safety.pdf</w:t>
        </w:r>
      </w:hyperlink>
      <w:r w:rsidRPr="002D6F18">
        <w:t>.</w:t>
      </w:r>
      <w:bookmarkEnd w:id="360"/>
    </w:p>
    <w:p w14:paraId="44D918AC" w14:textId="0FFA73B8" w:rsidR="002D6F18" w:rsidRPr="002D6F18" w:rsidRDefault="002D6F18" w:rsidP="002D6F18">
      <w:pPr>
        <w:pStyle w:val="EndNoteBibliography"/>
        <w:spacing w:after="0"/>
        <w:ind w:left="380" w:hanging="380"/>
      </w:pPr>
      <w:bookmarkStart w:id="361" w:name="_ENREF_157"/>
      <w:r w:rsidRPr="002D6F18">
        <w:t>157.</w:t>
      </w:r>
      <w:r w:rsidRPr="002D6F18">
        <w:tab/>
        <w:t xml:space="preserve">Meyer IH, Blosnich JR, Choi SK, Harper GW, Russell ST. Suicidal behaviour and coming out milestones in three cohorts of sexual minority adults [Internet]. Williams Institute, UCLA School of Law; 2021 [cited 2024 March 6]. Available from: </w:t>
      </w:r>
      <w:hyperlink r:id="rId163" w:history="1">
        <w:r w:rsidRPr="002D6F18">
          <w:rPr>
            <w:rStyle w:val="Hyperlink"/>
          </w:rPr>
          <w:t>https://williamsinstitute.law.ucla.edu/publications/suicide-coming-out-sgm</w:t>
        </w:r>
      </w:hyperlink>
      <w:r w:rsidRPr="002D6F18">
        <w:t>.</w:t>
      </w:r>
      <w:bookmarkEnd w:id="361"/>
    </w:p>
    <w:p w14:paraId="0FEECFFB" w14:textId="77777777" w:rsidR="002D6F18" w:rsidRPr="002D6F18" w:rsidRDefault="002D6F18" w:rsidP="002D6F18">
      <w:pPr>
        <w:pStyle w:val="EndNoteBibliography"/>
        <w:spacing w:after="0"/>
        <w:ind w:left="380" w:hanging="380"/>
      </w:pPr>
      <w:bookmarkStart w:id="362" w:name="_ENREF_158"/>
      <w:r w:rsidRPr="002D6F18">
        <w:t>158.</w:t>
      </w:r>
      <w:r w:rsidRPr="002D6F18">
        <w:tab/>
        <w:t>Zwickl S, Wong A, Dowers E, Leemaqz S, Bretherton I, Cook T, et al. Factors associated with suicide attempts among Australian transgender adults. BMC Psychiatry. 2021;21. 10.1186/s12888-021-03084-7.</w:t>
      </w:r>
      <w:bookmarkEnd w:id="362"/>
    </w:p>
    <w:p w14:paraId="244CF518" w14:textId="221B23D1" w:rsidR="002D6F18" w:rsidRPr="002D6F18" w:rsidRDefault="002D6F18" w:rsidP="002D6F18">
      <w:pPr>
        <w:pStyle w:val="EndNoteBibliography"/>
        <w:spacing w:after="0"/>
        <w:ind w:left="380" w:hanging="380"/>
      </w:pPr>
      <w:bookmarkStart w:id="363" w:name="_ENREF_159"/>
      <w:r w:rsidRPr="002D6F18">
        <w:t>159.</w:t>
      </w:r>
      <w:r w:rsidRPr="002D6F18">
        <w:tab/>
        <w:t xml:space="preserve">The Trevor Project. Research brief: age of gender identity outness and suicide risk. [Internet ]. The Trevor Project 2023 [Available from: </w:t>
      </w:r>
      <w:hyperlink r:id="rId164" w:history="1">
        <w:r w:rsidRPr="002D6F18">
          <w:rPr>
            <w:rStyle w:val="Hyperlink"/>
          </w:rPr>
          <w:t>https://www.thetrevorproject.org/wp-content/uploads/2023/03/March-2023-Research-Brief-Final.pdf</w:t>
        </w:r>
      </w:hyperlink>
      <w:r w:rsidRPr="002D6F18">
        <w:t>.</w:t>
      </w:r>
      <w:bookmarkEnd w:id="363"/>
    </w:p>
    <w:p w14:paraId="32D3D7C0" w14:textId="77777777" w:rsidR="002D6F18" w:rsidRPr="002D6F18" w:rsidRDefault="002D6F18" w:rsidP="002D6F18">
      <w:pPr>
        <w:pStyle w:val="EndNoteBibliography"/>
        <w:spacing w:after="0"/>
        <w:ind w:left="380" w:hanging="380"/>
      </w:pPr>
      <w:bookmarkStart w:id="364" w:name="_ENREF_160"/>
      <w:r w:rsidRPr="002D6F18">
        <w:t>160.</w:t>
      </w:r>
      <w:r w:rsidRPr="002D6F18">
        <w:tab/>
        <w:t>Stanley AR, Aguilar T, Holland KM, Orpinas P. Precipitating Circumstances Associated With Intimate Partner Problem-Related Suicides. Am J Prev Med. 2023;65(3):385-94. 10.1016/j.amepre.2023.03.011.</w:t>
      </w:r>
      <w:bookmarkEnd w:id="364"/>
    </w:p>
    <w:p w14:paraId="327AB26B" w14:textId="51357857" w:rsidR="002D6F18" w:rsidRPr="002D6F18" w:rsidRDefault="002D6F18" w:rsidP="002D6F18">
      <w:pPr>
        <w:pStyle w:val="EndNoteBibliography"/>
        <w:spacing w:after="0"/>
        <w:ind w:left="380" w:hanging="380"/>
      </w:pPr>
      <w:bookmarkStart w:id="365" w:name="_ENREF_161"/>
      <w:r w:rsidRPr="002D6F18">
        <w:t>161.</w:t>
      </w:r>
      <w:r w:rsidRPr="002D6F18">
        <w:tab/>
        <w:t xml:space="preserve">Australian Institute of Health and Welfare. Psychosocial Risk Factors and Deaths by Suicide [Internet]. AIHW, Australian Government; 2022 [cited 2023 October 03]. Available from: </w:t>
      </w:r>
      <w:hyperlink r:id="rId165" w:history="1">
        <w:r w:rsidRPr="002D6F18">
          <w:rPr>
            <w:rStyle w:val="Hyperlink"/>
          </w:rPr>
          <w:t>https://www.aihw.gov.au/suicide-self-harm-monitoring/data/behaviours-risk-factors/psychosocial-risk-factors-suicide</w:t>
        </w:r>
      </w:hyperlink>
      <w:r w:rsidRPr="002D6F18">
        <w:t>.</w:t>
      </w:r>
      <w:bookmarkEnd w:id="365"/>
    </w:p>
    <w:p w14:paraId="12B53ABA" w14:textId="77777777" w:rsidR="002D6F18" w:rsidRPr="002D6F18" w:rsidRDefault="002D6F18" w:rsidP="002D6F18">
      <w:pPr>
        <w:pStyle w:val="EndNoteBibliography"/>
        <w:spacing w:after="0"/>
        <w:ind w:left="380" w:hanging="380"/>
      </w:pPr>
      <w:bookmarkStart w:id="366" w:name="_ENREF_162"/>
      <w:r w:rsidRPr="002D6F18">
        <w:t>162.</w:t>
      </w:r>
      <w:r w:rsidRPr="002D6F18">
        <w:tab/>
        <w:t>Page A, Sperandei S, Spittal M, Milner A, Pirkis J. The impact of transitions from employment to retirement on suicidal behaviour among older aged Australians. Social psychiatry and psychiatric epidemiology. 2021;56. 10.1007/s00127-020-01947-0.</w:t>
      </w:r>
      <w:bookmarkEnd w:id="366"/>
    </w:p>
    <w:p w14:paraId="711DD305" w14:textId="77777777" w:rsidR="002D6F18" w:rsidRPr="002D6F18" w:rsidRDefault="002D6F18" w:rsidP="002D6F18">
      <w:pPr>
        <w:pStyle w:val="EndNoteBibliography"/>
        <w:spacing w:after="0"/>
        <w:ind w:left="380" w:hanging="380"/>
      </w:pPr>
      <w:bookmarkStart w:id="367" w:name="_ENREF_163"/>
      <w:r w:rsidRPr="002D6F18">
        <w:t>163.</w:t>
      </w:r>
      <w:r w:rsidRPr="002D6F18">
        <w:tab/>
        <w:t>Collie A, Gray SE. The relationship between work disability and subsequent suicide or self-harm: A scoping review. PLOS Global Public Health. 2022;2(12):e0000922. 10.1371/journal.pgph.0000922.</w:t>
      </w:r>
      <w:bookmarkEnd w:id="367"/>
    </w:p>
    <w:p w14:paraId="49975616" w14:textId="77777777" w:rsidR="002D6F18" w:rsidRPr="002D6F18" w:rsidRDefault="002D6F18" w:rsidP="002D6F18">
      <w:pPr>
        <w:pStyle w:val="EndNoteBibliography"/>
        <w:spacing w:after="0"/>
        <w:ind w:left="380" w:hanging="380"/>
      </w:pPr>
      <w:bookmarkStart w:id="368" w:name="_ENREF_164"/>
      <w:r w:rsidRPr="002D6F18">
        <w:t>164.</w:t>
      </w:r>
      <w:r w:rsidRPr="002D6F18">
        <w:tab/>
        <w:t>Spittal MJ, Forsyth S, Pirkis J, Alati R, Kinner SA. Suicide in Adults Released from Prison in Queensland, Australia: A Cohort Study. Journal of Epidemiology &amp; Community Health. 2014. DOI: 10.1136/jech-2014-204295.</w:t>
      </w:r>
      <w:bookmarkEnd w:id="368"/>
    </w:p>
    <w:p w14:paraId="3A8BA6D4" w14:textId="77777777" w:rsidR="002D6F18" w:rsidRPr="002D6F18" w:rsidRDefault="002D6F18" w:rsidP="002D6F18">
      <w:pPr>
        <w:pStyle w:val="EndNoteBibliography"/>
        <w:spacing w:after="0"/>
        <w:ind w:left="380" w:hanging="380"/>
      </w:pPr>
      <w:bookmarkStart w:id="369" w:name="_ENREF_165"/>
      <w:r w:rsidRPr="002D6F18">
        <w:t>165.</w:t>
      </w:r>
      <w:r w:rsidRPr="002D6F18">
        <w:tab/>
        <w:t>Hedrick K, Armstrong G, Coffey G, Borschmann R. Self-harm among asylum seekers in Australian onshore immigration detention: how incidence rates vary by held detention type. BMC Public Health. 2020;20(1):592. 10.1186/s12889-020-08717-2.</w:t>
      </w:r>
      <w:bookmarkEnd w:id="369"/>
    </w:p>
    <w:p w14:paraId="3116FC94" w14:textId="77777777" w:rsidR="002D6F18" w:rsidRPr="002D6F18" w:rsidRDefault="002D6F18" w:rsidP="002D6F18">
      <w:pPr>
        <w:pStyle w:val="EndNoteBibliography"/>
        <w:spacing w:after="0"/>
        <w:ind w:left="380" w:hanging="380"/>
      </w:pPr>
      <w:bookmarkStart w:id="370" w:name="_ENREF_166"/>
      <w:r w:rsidRPr="002D6F18">
        <w:t>166.</w:t>
      </w:r>
      <w:r w:rsidRPr="002D6F18">
        <w:tab/>
        <w:t>Murphy BJ, Bugeja LC, Pilgrim JL, Ibrahim JE. Suicide Among Nursing Home Residents in Australia: A National Population-Based Retrospective Analysis of Medico-Legal Death Investigation Information. International Journal of Geriatric Psychiatry. 2018. 10.1002/gps.4862.</w:t>
      </w:r>
      <w:bookmarkEnd w:id="370"/>
    </w:p>
    <w:p w14:paraId="23B104A7" w14:textId="77777777" w:rsidR="002D6F18" w:rsidRPr="002D6F18" w:rsidRDefault="002D6F18" w:rsidP="002D6F18">
      <w:pPr>
        <w:pStyle w:val="EndNoteBibliography"/>
        <w:spacing w:after="0"/>
        <w:ind w:left="380" w:hanging="380"/>
      </w:pPr>
      <w:bookmarkStart w:id="371" w:name="_ENREF_167"/>
      <w:r w:rsidRPr="002D6F18">
        <w:t>167.</w:t>
      </w:r>
      <w:r w:rsidRPr="002D6F18">
        <w:tab/>
        <w:t>Fitzpatrick SJ, Handley T, Powell N, Read D, Inder KJ, Perkins D, et al. A Sociological Autopsy Lens on Older Adult Suicide in Rural Australia: Addressing Health, Psychosocial Factors and Care Practices at the Intersection of Policies and Institutions. Social Science &amp; Medicine. 2021. DOI: 10.1016/j.socscimed.2021.114196.</w:t>
      </w:r>
      <w:bookmarkEnd w:id="371"/>
    </w:p>
    <w:p w14:paraId="41217847" w14:textId="77777777" w:rsidR="002D6F18" w:rsidRPr="002D6F18" w:rsidRDefault="002D6F18" w:rsidP="002D6F18">
      <w:pPr>
        <w:pStyle w:val="EndNoteBibliography"/>
        <w:spacing w:after="0"/>
        <w:ind w:left="380" w:hanging="380"/>
      </w:pPr>
      <w:bookmarkStart w:id="372" w:name="_ENREF_168"/>
      <w:r w:rsidRPr="002D6F18">
        <w:t>168.</w:t>
      </w:r>
      <w:r w:rsidRPr="002D6F18">
        <w:tab/>
        <w:t>Lyons A, Alba B, Waling A, Minichiello V, Hughes M, Barrett C, et al. Comfort Among Older Lesbian and Gay People in Disclosing Their Sexual Orientation to Health and Aged Care Services. Journal of Applied Gerontology. 2021;40(2):132-41. 10.1177/0733464820925330.</w:t>
      </w:r>
      <w:bookmarkEnd w:id="372"/>
    </w:p>
    <w:p w14:paraId="1A5452C0" w14:textId="77777777" w:rsidR="002D6F18" w:rsidRPr="002D6F18" w:rsidRDefault="002D6F18" w:rsidP="002D6F18">
      <w:pPr>
        <w:pStyle w:val="EndNoteBibliography"/>
        <w:spacing w:after="0"/>
        <w:ind w:left="380" w:hanging="380"/>
      </w:pPr>
      <w:bookmarkStart w:id="373" w:name="_ENREF_169"/>
      <w:r w:rsidRPr="002D6F18">
        <w:t>169.</w:t>
      </w:r>
      <w:r w:rsidRPr="002D6F18">
        <w:tab/>
        <w:t>Hamdan S, Berkman N, Lavi N, Levy S, Brent D. The Effect of Sudden Death Bereavement on the Risk for Suicide. Crisis. 2019. 10.1027/0227-5910/a000635.</w:t>
      </w:r>
      <w:bookmarkEnd w:id="373"/>
    </w:p>
    <w:p w14:paraId="3BB85B4B" w14:textId="77777777" w:rsidR="002D6F18" w:rsidRPr="002D6F18" w:rsidRDefault="002D6F18" w:rsidP="002D6F18">
      <w:pPr>
        <w:pStyle w:val="EndNoteBibliography"/>
        <w:spacing w:after="0"/>
        <w:ind w:left="380" w:hanging="380"/>
      </w:pPr>
      <w:bookmarkStart w:id="374" w:name="_ENREF_170"/>
      <w:r w:rsidRPr="002D6F18">
        <w:t>170.</w:t>
      </w:r>
      <w:r w:rsidRPr="002D6F18">
        <w:tab/>
        <w:t>Stroebe M, Stroebe W, Abakoumkin G. The Broken Heart: Suicidal Ideation in Bereavement. American Journal of Psychiatry. 2005. DOI: 10.1176/appi.ajp.162.11.2178.</w:t>
      </w:r>
      <w:bookmarkEnd w:id="374"/>
    </w:p>
    <w:p w14:paraId="69F46E9F" w14:textId="77777777" w:rsidR="002D6F18" w:rsidRPr="002D6F18" w:rsidRDefault="002D6F18" w:rsidP="002D6F18">
      <w:pPr>
        <w:pStyle w:val="EndNoteBibliography"/>
        <w:spacing w:after="0"/>
        <w:ind w:left="380" w:hanging="380"/>
      </w:pPr>
      <w:bookmarkStart w:id="375" w:name="_ENREF_171"/>
      <w:r w:rsidRPr="002D6F18">
        <w:t>171.</w:t>
      </w:r>
      <w:r w:rsidRPr="002D6F18">
        <w:tab/>
        <w:t>Krysinska K, Currier D, Andriessen K. Evaluation of a New Online Program for Children Bereaved by Suicide: The Views of Children, Parents, and Facilitators. Archives of Suicide Research. 2023. DOI: 10.1080/13811118.2023.2185559.</w:t>
      </w:r>
      <w:bookmarkEnd w:id="375"/>
    </w:p>
    <w:p w14:paraId="6781E5FA" w14:textId="45EB06D3" w:rsidR="002D6F18" w:rsidRPr="002D6F18" w:rsidRDefault="002D6F18" w:rsidP="002D6F18">
      <w:pPr>
        <w:pStyle w:val="EndNoteBibliography"/>
        <w:spacing w:after="0"/>
        <w:ind w:left="380" w:hanging="380"/>
      </w:pPr>
      <w:bookmarkStart w:id="376" w:name="_ENREF_172"/>
      <w:r w:rsidRPr="002D6F18">
        <w:t>172.</w:t>
      </w:r>
      <w:r w:rsidRPr="002D6F18">
        <w:tab/>
        <w:t xml:space="preserve">Substance Abuse and Mental Health Services Administration. A Practitioner's Resource Guide: Helping Families to Support Their LGBT Children [Internet]. SAMHSA; 2014 [cited 2023 October 30]. Available from: </w:t>
      </w:r>
      <w:hyperlink r:id="rId166" w:history="1">
        <w:r w:rsidRPr="002D6F18">
          <w:rPr>
            <w:rStyle w:val="Hyperlink"/>
          </w:rPr>
          <w:t>https://store.samhsa.gov/sites/default/files/d7/priv/pep14-lgbtkids.pdf</w:t>
        </w:r>
      </w:hyperlink>
      <w:r w:rsidRPr="002D6F18">
        <w:t>.</w:t>
      </w:r>
      <w:bookmarkEnd w:id="376"/>
    </w:p>
    <w:p w14:paraId="4F0A0907" w14:textId="7EAD3ECF" w:rsidR="002D6F18" w:rsidRPr="002D6F18" w:rsidRDefault="002D6F18" w:rsidP="002D6F18">
      <w:pPr>
        <w:pStyle w:val="EndNoteBibliography"/>
        <w:spacing w:after="0"/>
        <w:ind w:left="380" w:hanging="380"/>
      </w:pPr>
      <w:bookmarkStart w:id="377" w:name="_ENREF_173"/>
      <w:r w:rsidRPr="002D6F18">
        <w:t>173.</w:t>
      </w:r>
      <w:r w:rsidRPr="002D6F18">
        <w:tab/>
        <w:t xml:space="preserve">Ryan C. Helping Families Support Their Lesbian, Gay, Bisexual, and Transgender (LGBT) Children [Internet]. Georgetown University Center for Child and Human Development; 2009 [cited 2023 October 30]. Available from: </w:t>
      </w:r>
      <w:hyperlink r:id="rId167" w:history="1">
        <w:r w:rsidRPr="002D6F18">
          <w:rPr>
            <w:rStyle w:val="Hyperlink"/>
          </w:rPr>
          <w:t>https://nccc.georgetown.edu/documents/LGBT_Brief.pdf</w:t>
        </w:r>
      </w:hyperlink>
      <w:r w:rsidRPr="002D6F18">
        <w:t>.</w:t>
      </w:r>
      <w:bookmarkEnd w:id="377"/>
    </w:p>
    <w:p w14:paraId="2697F35D" w14:textId="74245813" w:rsidR="002D6F18" w:rsidRPr="002D6F18" w:rsidRDefault="002D6F18" w:rsidP="002D6F18">
      <w:pPr>
        <w:pStyle w:val="EndNoteBibliography"/>
        <w:spacing w:after="0"/>
        <w:ind w:left="380" w:hanging="380"/>
      </w:pPr>
      <w:bookmarkStart w:id="378" w:name="_ENREF_174"/>
      <w:r w:rsidRPr="002D6F18">
        <w:t>174.</w:t>
      </w:r>
      <w:r w:rsidRPr="002D6F18">
        <w:tab/>
        <w:t xml:space="preserve">Australian Government. Royal Commission into Defence and Veteran Suicide: Final report [Internet]. Canberra: Australian Government; 2024 [cited 2024 September 09]. Available from: </w:t>
      </w:r>
      <w:hyperlink r:id="rId168" w:history="1">
        <w:r w:rsidRPr="002D6F18">
          <w:rPr>
            <w:rStyle w:val="Hyperlink"/>
          </w:rPr>
          <w:t>https://www.aph.gov.au/Parliamentary_Business/Tabled_Documents/7262</w:t>
        </w:r>
      </w:hyperlink>
      <w:r w:rsidRPr="002D6F18">
        <w:t>.</w:t>
      </w:r>
      <w:bookmarkEnd w:id="378"/>
    </w:p>
    <w:p w14:paraId="32F543A1" w14:textId="77777777" w:rsidR="002D6F18" w:rsidRPr="002D6F18" w:rsidRDefault="002D6F18" w:rsidP="002D6F18">
      <w:pPr>
        <w:pStyle w:val="EndNoteBibliography"/>
        <w:spacing w:after="0"/>
        <w:ind w:left="380" w:hanging="380"/>
      </w:pPr>
      <w:bookmarkStart w:id="379" w:name="_ENREF_175"/>
      <w:r w:rsidRPr="002D6F18">
        <w:t>175.</w:t>
      </w:r>
      <w:r w:rsidRPr="002D6F18">
        <w:tab/>
        <w:t>Carpiniello B, Pinna F. The Reciprocal Relationship between Suicidality and Stigma. Frontiers in Psychiatry. 2017. DOI: 10.3389/fpsyt.2017.00035.</w:t>
      </w:r>
      <w:bookmarkEnd w:id="379"/>
    </w:p>
    <w:p w14:paraId="0DEF23AD" w14:textId="77777777" w:rsidR="002D6F18" w:rsidRPr="002D6F18" w:rsidRDefault="002D6F18" w:rsidP="002D6F18">
      <w:pPr>
        <w:pStyle w:val="EndNoteBibliography"/>
        <w:spacing w:after="0"/>
        <w:ind w:left="380" w:hanging="380"/>
      </w:pPr>
      <w:bookmarkStart w:id="380" w:name="_ENREF_176"/>
      <w:r w:rsidRPr="002D6F18">
        <w:t>176.</w:t>
      </w:r>
      <w:r w:rsidRPr="002D6F18">
        <w:tab/>
        <w:t>Sudak H, Maxim K, Carpenter M. Suicide and Stigma: A Review of the Literature and Personal Reflections. Academic Psychiatry. 2008. DOI: 10.1176/appi.ap.32.2.136.</w:t>
      </w:r>
      <w:bookmarkEnd w:id="380"/>
    </w:p>
    <w:p w14:paraId="6E16DE36" w14:textId="77777777" w:rsidR="002D6F18" w:rsidRPr="002D6F18" w:rsidRDefault="002D6F18" w:rsidP="002D6F18">
      <w:pPr>
        <w:pStyle w:val="EndNoteBibliography"/>
        <w:spacing w:after="0"/>
        <w:ind w:left="380" w:hanging="380"/>
      </w:pPr>
      <w:bookmarkStart w:id="381" w:name="_ENREF_177"/>
      <w:r w:rsidRPr="002D6F18">
        <w:t>177.</w:t>
      </w:r>
      <w:r w:rsidRPr="002D6F18">
        <w:tab/>
        <w:t>Batterham PJ, Calear AL, Christensen H. The Stigma of Suicide Scale. Psychometric Properties and Correlates of the Stigma of Suicide. Crisis: The Journal of Crisis Intervention and Suicide Prevention. 2013. DOI: 10.1027/0227-5910/a000156.</w:t>
      </w:r>
      <w:bookmarkEnd w:id="381"/>
    </w:p>
    <w:p w14:paraId="270DC684" w14:textId="77777777" w:rsidR="002D6F18" w:rsidRPr="002D6F18" w:rsidRDefault="002D6F18" w:rsidP="002D6F18">
      <w:pPr>
        <w:pStyle w:val="EndNoteBibliography"/>
        <w:spacing w:after="0"/>
        <w:ind w:left="380" w:hanging="380"/>
      </w:pPr>
      <w:bookmarkStart w:id="382" w:name="_ENREF_178"/>
      <w:r w:rsidRPr="002D6F18">
        <w:t>178.</w:t>
      </w:r>
      <w:r w:rsidRPr="002D6F18">
        <w:tab/>
        <w:t>Sharwood LN, Calear AL, Batterham PJ, Torok M, McGillivray L, Rheinberger D, et al. Exploring Sociodemographic Correlates of Suicide Stigma in Australia: Baseline Cross-Sectional Survey Findings from the Life-Span Suicide Prevention Trial Studies. International Journal of Environmental Research and Public Health. 2023. DOI: 10.3390/ijerph20032610.</w:t>
      </w:r>
      <w:bookmarkEnd w:id="382"/>
    </w:p>
    <w:p w14:paraId="4CA34A1E" w14:textId="77777777" w:rsidR="002D6F18" w:rsidRPr="002D6F18" w:rsidRDefault="002D6F18" w:rsidP="002D6F18">
      <w:pPr>
        <w:pStyle w:val="EndNoteBibliography"/>
        <w:spacing w:after="0"/>
        <w:ind w:left="380" w:hanging="380"/>
      </w:pPr>
      <w:bookmarkStart w:id="383" w:name="_ENREF_179"/>
      <w:r w:rsidRPr="002D6F18">
        <w:t>179.</w:t>
      </w:r>
      <w:r w:rsidRPr="002D6F18">
        <w:tab/>
        <w:t>Calear A, Batterham P. Suicidal ideation disclosure: Patterns, correlates and outcome. Psychiatry Research. 2019;278. 10.1016/j.psychres.2019.05.024.</w:t>
      </w:r>
      <w:bookmarkEnd w:id="383"/>
    </w:p>
    <w:p w14:paraId="766B1327" w14:textId="77777777" w:rsidR="002D6F18" w:rsidRPr="002D6F18" w:rsidRDefault="002D6F18" w:rsidP="002D6F18">
      <w:pPr>
        <w:pStyle w:val="EndNoteBibliography"/>
        <w:spacing w:after="0"/>
        <w:ind w:left="380" w:hanging="380"/>
      </w:pPr>
      <w:bookmarkStart w:id="384" w:name="_ENREF_180"/>
      <w:r w:rsidRPr="002D6F18">
        <w:t>180.</w:t>
      </w:r>
      <w:r w:rsidRPr="002D6F18">
        <w:tab/>
        <w:t>Corrigan PW. On the Stigma of Mental Illness: Practical Strategies for Research and Social Change. Washington, DC, United States of America: American Psychological Association; 2005.</w:t>
      </w:r>
      <w:bookmarkEnd w:id="384"/>
    </w:p>
    <w:p w14:paraId="16BD023D" w14:textId="77777777" w:rsidR="002D6F18" w:rsidRPr="002D6F18" w:rsidRDefault="002D6F18" w:rsidP="002D6F18">
      <w:pPr>
        <w:pStyle w:val="EndNoteBibliography"/>
        <w:spacing w:after="0"/>
        <w:ind w:left="380" w:hanging="380"/>
      </w:pPr>
      <w:bookmarkStart w:id="385" w:name="_ENREF_181"/>
      <w:r w:rsidRPr="002D6F18">
        <w:t>181.</w:t>
      </w:r>
      <w:r w:rsidRPr="002D6F18">
        <w:tab/>
        <w:t>Dalky HF. Mental Illness Stigma Reduction Interventions: Review of Intervention Trials. Western Journal of Nursing Research. 2012. DOI: 10.1177/0193945911400638.</w:t>
      </w:r>
      <w:bookmarkEnd w:id="385"/>
    </w:p>
    <w:p w14:paraId="0AA8E484" w14:textId="77777777" w:rsidR="002D6F18" w:rsidRPr="002D6F18" w:rsidRDefault="002D6F18" w:rsidP="002D6F18">
      <w:pPr>
        <w:pStyle w:val="EndNoteBibliography"/>
        <w:spacing w:after="0"/>
        <w:ind w:left="380" w:hanging="380"/>
      </w:pPr>
      <w:bookmarkStart w:id="386" w:name="_ENREF_182"/>
      <w:r w:rsidRPr="002D6F18">
        <w:t>182.</w:t>
      </w:r>
      <w:r w:rsidRPr="002D6F18">
        <w:tab/>
        <w:t>Morgan AJ, Reavley NJ, Ross A, San Too L, Jorm AF. Interventions to Reduce Stigma Towards People with Severe Mental Illness: Systematic Review and Meta-Analysis. Journal of Psychiatric Research. 2018. DOI: 10.1016/j.jpsychires.2018.05.017.</w:t>
      </w:r>
      <w:bookmarkEnd w:id="386"/>
    </w:p>
    <w:p w14:paraId="22E2A85B" w14:textId="77777777" w:rsidR="002D6F18" w:rsidRPr="002D6F18" w:rsidRDefault="002D6F18" w:rsidP="002D6F18">
      <w:pPr>
        <w:pStyle w:val="EndNoteBibliography"/>
        <w:spacing w:after="0"/>
        <w:ind w:left="380" w:hanging="380"/>
      </w:pPr>
      <w:bookmarkStart w:id="387" w:name="_ENREF_183"/>
      <w:r w:rsidRPr="002D6F18">
        <w:t>183.</w:t>
      </w:r>
      <w:r w:rsidRPr="002D6F18">
        <w:tab/>
        <w:t>Niederkrotenthaler T, Voracek M, Herberth A, Till B, Strauss M, Etzersdorfer E, et al. Papageno v Werther Effect. BMJ: British Medical Journal (Online). 2010. DOI: 10.1136/bmj.c5841.</w:t>
      </w:r>
      <w:bookmarkEnd w:id="387"/>
    </w:p>
    <w:p w14:paraId="4A50771C" w14:textId="77777777" w:rsidR="002D6F18" w:rsidRPr="002D6F18" w:rsidRDefault="002D6F18" w:rsidP="002D6F18">
      <w:pPr>
        <w:pStyle w:val="EndNoteBibliography"/>
        <w:spacing w:after="0"/>
        <w:ind w:left="380" w:hanging="380"/>
      </w:pPr>
      <w:bookmarkStart w:id="388" w:name="_ENREF_184"/>
      <w:r w:rsidRPr="002D6F18">
        <w:t>184.</w:t>
      </w:r>
      <w:r w:rsidRPr="002D6F18">
        <w:tab/>
        <w:t>Mehta N, Clement S, Marcus E, Stona AC, Bezborodovs N, Evans-Lacko S, et al. Evidence for Effective Interventions to Reduce Mental Health-Related Stigma and Discrimination in the Medium and Long Term: Systematic Review. The British Journal of Psychiatry. 2015. DOI: 10.1192/bjp.bp.114.151944.</w:t>
      </w:r>
      <w:bookmarkEnd w:id="388"/>
    </w:p>
    <w:p w14:paraId="73A79339" w14:textId="77777777" w:rsidR="002D6F18" w:rsidRPr="002D6F18" w:rsidRDefault="002D6F18" w:rsidP="002D6F18">
      <w:pPr>
        <w:pStyle w:val="EndNoteBibliography"/>
        <w:spacing w:after="0"/>
        <w:ind w:left="380" w:hanging="380"/>
      </w:pPr>
      <w:bookmarkStart w:id="389" w:name="_ENREF_185"/>
      <w:r w:rsidRPr="002D6F18">
        <w:t>185.</w:t>
      </w:r>
      <w:r w:rsidRPr="002D6F18">
        <w:tab/>
        <w:t>Ruddle A, Mason O, Wykes T. A review of hearing voices groups: evidence and mechanisms of change. Clin Psychol Rev. 2011;31(5):757-66. 10.1016/j.cpr.2011.03.010.</w:t>
      </w:r>
      <w:bookmarkEnd w:id="389"/>
    </w:p>
    <w:p w14:paraId="22251EEB" w14:textId="50AB1A6D" w:rsidR="002D6F18" w:rsidRPr="002D6F18" w:rsidRDefault="002D6F18" w:rsidP="002D6F18">
      <w:pPr>
        <w:pStyle w:val="EndNoteBibliography"/>
        <w:spacing w:after="0"/>
        <w:ind w:left="380" w:hanging="380"/>
      </w:pPr>
      <w:bookmarkStart w:id="390" w:name="_ENREF_186"/>
      <w:r w:rsidRPr="002D6F18">
        <w:t>186.</w:t>
      </w:r>
      <w:r w:rsidRPr="002D6F18">
        <w:tab/>
        <w:t xml:space="preserve">Mens Outreach Service Aboriginal Corporation and Family Outreach Service. ALIVE &amp; Kicking Goals! [Internet]. MOSAC; 2023 [cited 2023 November 02]. Available from: </w:t>
      </w:r>
      <w:hyperlink r:id="rId169" w:history="1">
        <w:r w:rsidRPr="002D6F18">
          <w:rPr>
            <w:rStyle w:val="Hyperlink"/>
          </w:rPr>
          <w:t>https://mensoutreach.org.au/alive-kicking-goals/</w:t>
        </w:r>
      </w:hyperlink>
      <w:r w:rsidRPr="002D6F18">
        <w:t>.</w:t>
      </w:r>
      <w:bookmarkEnd w:id="390"/>
    </w:p>
    <w:p w14:paraId="33E6209D" w14:textId="77777777" w:rsidR="002D6F18" w:rsidRPr="002D6F18" w:rsidRDefault="002D6F18" w:rsidP="002D6F18">
      <w:pPr>
        <w:pStyle w:val="EndNoteBibliography"/>
        <w:spacing w:after="0"/>
        <w:ind w:left="380" w:hanging="380"/>
      </w:pPr>
      <w:bookmarkStart w:id="391" w:name="_ENREF_187"/>
      <w:r w:rsidRPr="002D6F18">
        <w:t>187.</w:t>
      </w:r>
      <w:r w:rsidRPr="002D6F18">
        <w:tab/>
        <w:t>Otsuka K, Nakamura H, Kudo K, Endo J, Sanjo K, Fukumoto K, et al. The Characteristics of the Suicide Attempter According to the Onset Time of the Suicidal Ideation. Annals of General Psychiatry. 2015. DOI: 10.1186/s12991-015-0087-6.</w:t>
      </w:r>
      <w:bookmarkEnd w:id="391"/>
    </w:p>
    <w:p w14:paraId="120B9DFA" w14:textId="77777777" w:rsidR="002D6F18" w:rsidRPr="002D6F18" w:rsidRDefault="002D6F18" w:rsidP="002D6F18">
      <w:pPr>
        <w:pStyle w:val="EndNoteBibliography"/>
        <w:spacing w:after="0"/>
        <w:ind w:left="380" w:hanging="380"/>
      </w:pPr>
      <w:bookmarkStart w:id="392" w:name="_ENREF_188"/>
      <w:r w:rsidRPr="002D6F18">
        <w:t>188.</w:t>
      </w:r>
      <w:r w:rsidRPr="002D6F18">
        <w:tab/>
        <w:t>Paashaus L, Forkmann T, Glaesmer H, Juckel G, Rath D, Schönfelder A, et al. From Decision to Action: Suicidal History and Time Between Decision to Die and Actual Suicide Attempt. Clinical Psychology &amp; Psychotherapy. 2021. DOI: 10.1002/cpp.2580.</w:t>
      </w:r>
      <w:bookmarkEnd w:id="392"/>
    </w:p>
    <w:p w14:paraId="440837A9" w14:textId="77777777" w:rsidR="002D6F18" w:rsidRPr="002D6F18" w:rsidRDefault="002D6F18" w:rsidP="002D6F18">
      <w:pPr>
        <w:pStyle w:val="EndNoteBibliography"/>
        <w:spacing w:after="0"/>
        <w:ind w:left="380" w:hanging="380"/>
      </w:pPr>
      <w:bookmarkStart w:id="393" w:name="_ENREF_189"/>
      <w:r w:rsidRPr="002D6F18">
        <w:t>189.</w:t>
      </w:r>
      <w:r w:rsidRPr="002D6F18">
        <w:tab/>
        <w:t>Deisenhammer EA, Ing CM, Strauss R, Kemmler G, Hinterhube H, Weiss EM. The Duration of the Suicidal Process: How Much Time is Left for Intervention Between Consideration and Accomplishment of a Suicide Attempt? Journal of Clinical Psychiatry. 2009. DOI: 10.4088/JCP.07m03904.</w:t>
      </w:r>
      <w:bookmarkEnd w:id="393"/>
    </w:p>
    <w:p w14:paraId="278ACDA4" w14:textId="77777777" w:rsidR="002D6F18" w:rsidRPr="002D6F18" w:rsidRDefault="002D6F18" w:rsidP="002D6F18">
      <w:pPr>
        <w:pStyle w:val="EndNoteBibliography"/>
        <w:spacing w:after="0"/>
        <w:ind w:left="380" w:hanging="380"/>
      </w:pPr>
      <w:bookmarkStart w:id="394" w:name="_ENREF_190"/>
      <w:r w:rsidRPr="002D6F18">
        <w:t>190.</w:t>
      </w:r>
      <w:r w:rsidRPr="002D6F18">
        <w:tab/>
        <w:t>Nock MK, Borges G, Bromet EJ, Alonso J, Angermeyer M, Beautrais A, et al. Cross-National Prevalence and Risk Factors for Suicidal Ideation, Plans and Attempts. The British Journal of Psychiatry. 2008. DOI: 10.1192/bjp.bp.107.040113.</w:t>
      </w:r>
      <w:bookmarkEnd w:id="394"/>
    </w:p>
    <w:p w14:paraId="69F13BB9" w14:textId="6A2C4B3A" w:rsidR="002D6F18" w:rsidRPr="002D6F18" w:rsidRDefault="002D6F18" w:rsidP="002D6F18">
      <w:pPr>
        <w:pStyle w:val="EndNoteBibliography"/>
        <w:spacing w:after="0"/>
        <w:ind w:left="380" w:hanging="380"/>
      </w:pPr>
      <w:bookmarkStart w:id="395" w:name="_ENREF_191"/>
      <w:r w:rsidRPr="002D6F18">
        <w:t>191.</w:t>
      </w:r>
      <w:r w:rsidRPr="002D6F18">
        <w:tab/>
        <w:t xml:space="preserve">World Health Organization. Preventing Suicide: A Global Imperative [Internet]. WHO; 2014 [cited 2023 October 31]. Available from: </w:t>
      </w:r>
      <w:hyperlink r:id="rId170" w:history="1">
        <w:r w:rsidRPr="002D6F18">
          <w:rPr>
            <w:rStyle w:val="Hyperlink"/>
          </w:rPr>
          <w:t>https://www.who.int/publications/i/item/9789241564779</w:t>
        </w:r>
      </w:hyperlink>
      <w:r w:rsidRPr="002D6F18">
        <w:t>.</w:t>
      </w:r>
      <w:bookmarkEnd w:id="395"/>
    </w:p>
    <w:p w14:paraId="2387BE60" w14:textId="77777777" w:rsidR="002D6F18" w:rsidRPr="002D6F18" w:rsidRDefault="002D6F18" w:rsidP="002D6F18">
      <w:pPr>
        <w:pStyle w:val="EndNoteBibliography"/>
        <w:spacing w:after="0"/>
        <w:ind w:left="380" w:hanging="380"/>
      </w:pPr>
      <w:bookmarkStart w:id="396" w:name="_ENREF_192"/>
      <w:r w:rsidRPr="002D6F18">
        <w:t>192.</w:t>
      </w:r>
      <w:r w:rsidRPr="002D6F18">
        <w:tab/>
        <w:t>Yip PSF, Caine E, Yousuf S, Chang SS, Wu KCC, Chen YY. Means Restriction for Suicide Prevention. The Lancet. 2012. DOI: 10.1016/S0140-6736(12)60521-2.</w:t>
      </w:r>
      <w:bookmarkEnd w:id="396"/>
    </w:p>
    <w:p w14:paraId="13556ED2" w14:textId="77777777" w:rsidR="002D6F18" w:rsidRPr="002D6F18" w:rsidRDefault="002D6F18" w:rsidP="002D6F18">
      <w:pPr>
        <w:pStyle w:val="EndNoteBibliography"/>
        <w:spacing w:after="0"/>
        <w:ind w:left="380" w:hanging="380"/>
      </w:pPr>
      <w:bookmarkStart w:id="397" w:name="_ENREF_193"/>
      <w:r w:rsidRPr="002D6F18">
        <w:t>193.</w:t>
      </w:r>
      <w:r w:rsidRPr="002D6F18">
        <w:tab/>
        <w:t>Hawton K, Williams K. Influences of the Media on Suicide: Researchers, Policy Makers, and Media Personnel need to Collaborate on Guidelines. 2002. DOI: 10.1136/bmj.325.7377.1374.</w:t>
      </w:r>
      <w:bookmarkEnd w:id="397"/>
    </w:p>
    <w:p w14:paraId="09083110" w14:textId="08685283" w:rsidR="002D6F18" w:rsidRPr="002D6F18" w:rsidRDefault="002D6F18" w:rsidP="002D6F18">
      <w:pPr>
        <w:pStyle w:val="EndNoteBibliography"/>
        <w:spacing w:after="0"/>
        <w:ind w:left="380" w:hanging="380"/>
      </w:pPr>
      <w:bookmarkStart w:id="398" w:name="_ENREF_194"/>
      <w:r w:rsidRPr="002D6F18">
        <w:t>194.</w:t>
      </w:r>
      <w:r w:rsidRPr="002D6F18">
        <w:tab/>
        <w:t xml:space="preserve">Thorn P, McKay S, Hemming L, Reavley N, La Sala L, Sabo A, et al. #chatsafe: a young person’s guide to communicating safely online about self-harm and suicide. Edition two [Internet]. Melbourne, Australia Orygen; 2023 [cited 2024 March 06]. Available from: </w:t>
      </w:r>
      <w:hyperlink r:id="rId171" w:history="1">
        <w:r w:rsidRPr="002D6F18">
          <w:rPr>
            <w:rStyle w:val="Hyperlink"/>
          </w:rPr>
          <w:t>https://www.orygen.org.au/chatsafe</w:t>
        </w:r>
      </w:hyperlink>
      <w:r w:rsidRPr="002D6F18">
        <w:t>.</w:t>
      </w:r>
      <w:bookmarkEnd w:id="398"/>
    </w:p>
    <w:p w14:paraId="08BCAC57" w14:textId="245491FF" w:rsidR="002D6F18" w:rsidRPr="002D6F18" w:rsidRDefault="002D6F18" w:rsidP="002D6F18">
      <w:pPr>
        <w:pStyle w:val="EndNoteBibliography"/>
        <w:spacing w:after="0"/>
        <w:ind w:left="380" w:hanging="380"/>
      </w:pPr>
      <w:bookmarkStart w:id="399" w:name="_ENREF_195"/>
      <w:r w:rsidRPr="002D6F18">
        <w:t>195.</w:t>
      </w:r>
      <w:r w:rsidRPr="002D6F18">
        <w:tab/>
        <w:t xml:space="preserve">Australian Institute of Health and Welfare. The National Suicide and Self-Harm Monitoring System [Internet]. AIHW; 2023 [cited 2023 October 30]. Available from: </w:t>
      </w:r>
      <w:hyperlink r:id="rId172" w:history="1">
        <w:r w:rsidRPr="002D6F18">
          <w:rPr>
            <w:rStyle w:val="Hyperlink"/>
          </w:rPr>
          <w:t>https://www.aihw.gov.au/suicide-self-harm-monitoring</w:t>
        </w:r>
      </w:hyperlink>
      <w:r w:rsidRPr="002D6F18">
        <w:t>.</w:t>
      </w:r>
      <w:bookmarkEnd w:id="399"/>
    </w:p>
    <w:p w14:paraId="5160251F" w14:textId="3711EA9C" w:rsidR="002D6F18" w:rsidRPr="002D6F18" w:rsidRDefault="002D6F18" w:rsidP="002D6F18">
      <w:pPr>
        <w:pStyle w:val="EndNoteBibliography"/>
        <w:spacing w:after="0"/>
        <w:ind w:left="380" w:hanging="380"/>
      </w:pPr>
      <w:bookmarkStart w:id="400" w:name="_ENREF_196"/>
      <w:r w:rsidRPr="002D6F18">
        <w:t>196.</w:t>
      </w:r>
      <w:r w:rsidRPr="002D6F18">
        <w:tab/>
        <w:t xml:space="preserve">Flego A, Dempster G, Cutler T, Robinson J, Perkis J. Evaluation of the National Suicide and Self-Harm Monitoring Project and System: Final Report [Internet]. AIHW; 2022 [cited 2023 November 02]. Available from: </w:t>
      </w:r>
      <w:hyperlink r:id="rId173" w:history="1">
        <w:r w:rsidRPr="002D6F18">
          <w:rPr>
            <w:rStyle w:val="Hyperlink"/>
          </w:rPr>
          <w:t>https://www.aihw.gov.au/getmedia/3913189d-ee80-4dcb-bbf2-ed1cb2104e3a/NSSHMS-Evaluation_Final-report_UoM_280622.pdf.aspx</w:t>
        </w:r>
      </w:hyperlink>
      <w:r w:rsidRPr="002D6F18">
        <w:t>.</w:t>
      </w:r>
      <w:bookmarkEnd w:id="400"/>
    </w:p>
    <w:p w14:paraId="165CF312" w14:textId="77777777" w:rsidR="002D6F18" w:rsidRPr="002D6F18" w:rsidRDefault="002D6F18" w:rsidP="002D6F18">
      <w:pPr>
        <w:pStyle w:val="EndNoteBibliography"/>
        <w:spacing w:after="0"/>
        <w:ind w:left="380" w:hanging="380"/>
      </w:pPr>
      <w:bookmarkStart w:id="401" w:name="_ENREF_197"/>
      <w:r w:rsidRPr="002D6F18">
        <w:t>197.</w:t>
      </w:r>
      <w:r w:rsidRPr="002D6F18">
        <w:tab/>
        <w:t>Torok M, Calear AL, Smart A, Nicolopoulos A, Wong Q. Preventing Adolescent Suicide: A Systematic Review of the Effectiveness and Change Mechanisms of Suicide Prevention Gatekeeping Training Programs for Teachers and Parents. Journal of Adolescence. 2019. DOI: 10.1016/j.adolescence.2019.04.005.</w:t>
      </w:r>
      <w:bookmarkEnd w:id="401"/>
    </w:p>
    <w:p w14:paraId="00B52251" w14:textId="77777777" w:rsidR="002D6F18" w:rsidRPr="002D6F18" w:rsidRDefault="002D6F18" w:rsidP="002D6F18">
      <w:pPr>
        <w:pStyle w:val="EndNoteBibliography"/>
        <w:spacing w:after="0"/>
        <w:ind w:left="380" w:hanging="380"/>
      </w:pPr>
      <w:bookmarkStart w:id="402" w:name="_ENREF_198"/>
      <w:r w:rsidRPr="002D6F18">
        <w:t>198.</w:t>
      </w:r>
      <w:r w:rsidRPr="002D6F18">
        <w:tab/>
        <w:t>Holmes G, Clacy A, Hermens DF, Lagopoulos J. The Long-Term Efficacy of Suicide Prevention Gatekeeper Training: A Systematic Review. Archives of Suicide Research. 2021. DOI: 10.1080/13811118.2019.1690608.</w:t>
      </w:r>
      <w:bookmarkEnd w:id="402"/>
    </w:p>
    <w:p w14:paraId="30F15A26" w14:textId="77777777" w:rsidR="002D6F18" w:rsidRPr="002D6F18" w:rsidRDefault="002D6F18" w:rsidP="002D6F18">
      <w:pPr>
        <w:pStyle w:val="EndNoteBibliography"/>
        <w:spacing w:after="0"/>
        <w:ind w:left="380" w:hanging="380"/>
      </w:pPr>
      <w:bookmarkStart w:id="403" w:name="_ENREF_199"/>
      <w:r w:rsidRPr="002D6F18">
        <w:t>199.</w:t>
      </w:r>
      <w:r w:rsidRPr="002D6F18">
        <w:tab/>
        <w:t>Mann JJ, Michel CA, Auerbach RP. Improving Suicide Prevention Through Evidence-Based Strategies: A Systematic Review. American Journal of Psychiatry. 2021. DOI: 10.1176/appi.ajp.2020.20060864.</w:t>
      </w:r>
      <w:bookmarkEnd w:id="403"/>
    </w:p>
    <w:p w14:paraId="74E2EFB2" w14:textId="77777777" w:rsidR="002D6F18" w:rsidRPr="002D6F18" w:rsidRDefault="002D6F18" w:rsidP="002D6F18">
      <w:pPr>
        <w:pStyle w:val="EndNoteBibliography"/>
        <w:spacing w:after="0"/>
        <w:ind w:left="380" w:hanging="380"/>
      </w:pPr>
      <w:bookmarkStart w:id="404" w:name="_ENREF_200"/>
      <w:r w:rsidRPr="002D6F18">
        <w:t>200.</w:t>
      </w:r>
      <w:r w:rsidRPr="002D6F18">
        <w:tab/>
        <w:t>Bowersox NW, Jagusch J, Garlick J, Chen JI, Pfeiffer PN. Peer-Based Interventions Targeting Suicide Prevention: A Scoping Review. American Journal of Community Psychology. 2021. DOI: 10.1002/ajcp.12510.</w:t>
      </w:r>
      <w:bookmarkEnd w:id="404"/>
    </w:p>
    <w:p w14:paraId="2532DD4D" w14:textId="4EBB31DC" w:rsidR="002D6F18" w:rsidRPr="002D6F18" w:rsidRDefault="002D6F18" w:rsidP="002D6F18">
      <w:pPr>
        <w:pStyle w:val="EndNoteBibliography"/>
        <w:spacing w:after="0"/>
        <w:ind w:left="380" w:hanging="380"/>
      </w:pPr>
      <w:bookmarkStart w:id="405" w:name="_ENREF_201"/>
      <w:r w:rsidRPr="002D6F18">
        <w:t>201.</w:t>
      </w:r>
      <w:r w:rsidRPr="002D6F18">
        <w:tab/>
        <w:t xml:space="preserve">Robinson J, Bailey E, Browne V, Cox G, Hooper C. Raising the bar for youth suicide prevention Melbourne Orygen, The National Centre of Excellence in Youth Mental Health; 2016 [cited 2023 October 30]. Available from: </w:t>
      </w:r>
      <w:hyperlink r:id="rId174" w:history="1">
        <w:r w:rsidRPr="002D6F18">
          <w:rPr>
            <w:rStyle w:val="Hyperlink"/>
          </w:rPr>
          <w:t>https://www.orygen.org.au/Orygen-Institute/Policy-Reports/Raising-the-bar-for-youth-suicide-prevention#:~:text=Titled%20'Raising%20the%20bar%20for,partnership%20with%20young%20people%20themselves</w:t>
        </w:r>
      </w:hyperlink>
      <w:r w:rsidRPr="002D6F18">
        <w:t>.</w:t>
      </w:r>
      <w:bookmarkEnd w:id="405"/>
    </w:p>
    <w:p w14:paraId="48487D2B" w14:textId="77777777" w:rsidR="002D6F18" w:rsidRPr="002D6F18" w:rsidRDefault="002D6F18" w:rsidP="002D6F18">
      <w:pPr>
        <w:pStyle w:val="EndNoteBibliography"/>
        <w:spacing w:after="0"/>
        <w:ind w:left="380" w:hanging="380"/>
      </w:pPr>
      <w:bookmarkStart w:id="406" w:name="_ENREF_202"/>
      <w:r w:rsidRPr="002D6F18">
        <w:t>202.</w:t>
      </w:r>
      <w:r w:rsidRPr="002D6F18">
        <w:tab/>
        <w:t>Hughes JL, Ackerman JP, Adrian MC, Campo JV, Bridge JA. Suicide in Young People: Screening, Risk Assessment, and Intervention. BMJ. 2023. DOI: 10.1136/bmj-2022-070630.</w:t>
      </w:r>
      <w:bookmarkEnd w:id="406"/>
    </w:p>
    <w:p w14:paraId="172F9B7C" w14:textId="77EC81D2" w:rsidR="002D6F18" w:rsidRPr="002D6F18" w:rsidRDefault="002D6F18" w:rsidP="002D6F18">
      <w:pPr>
        <w:pStyle w:val="EndNoteBibliography"/>
        <w:spacing w:after="0"/>
        <w:ind w:left="380" w:hanging="380"/>
      </w:pPr>
      <w:bookmarkStart w:id="407" w:name="_ENREF_203"/>
      <w:r w:rsidRPr="002D6F18">
        <w:t>203.</w:t>
      </w:r>
      <w:r w:rsidRPr="002D6F18">
        <w:tab/>
        <w:t xml:space="preserve">Scottish Government. Evaluation of the Distress Brief Intervention pilot programme [Internet]. Scottish Government; 2022 [cited 2023 November 21]. Available from: </w:t>
      </w:r>
      <w:hyperlink r:id="rId175" w:history="1">
        <w:r w:rsidRPr="002D6F18">
          <w:rPr>
            <w:rStyle w:val="Hyperlink"/>
          </w:rPr>
          <w:t>https://www.gov.scot/publications/evaluation-distress-brief-intervention-pilot-programme/documents/</w:t>
        </w:r>
      </w:hyperlink>
      <w:r w:rsidRPr="002D6F18">
        <w:t>.</w:t>
      </w:r>
      <w:bookmarkEnd w:id="407"/>
    </w:p>
    <w:p w14:paraId="6964CDCF" w14:textId="0AD333D0" w:rsidR="002D6F18" w:rsidRPr="002D6F18" w:rsidRDefault="002D6F18" w:rsidP="002D6F18">
      <w:pPr>
        <w:pStyle w:val="EndNoteBibliography"/>
        <w:spacing w:after="0"/>
        <w:ind w:left="380" w:hanging="380"/>
      </w:pPr>
      <w:bookmarkStart w:id="408" w:name="_ENREF_204"/>
      <w:r w:rsidRPr="002D6F18">
        <w:t>204.</w:t>
      </w:r>
      <w:r w:rsidRPr="002D6F18">
        <w:tab/>
        <w:t xml:space="preserve">Aboriginal Medical Services Alliance Northern Territory. Suicide story…our way 2022 [cited 2023 November 21]. Available from: </w:t>
      </w:r>
      <w:hyperlink r:id="rId176" w:history="1">
        <w:r w:rsidRPr="002D6F18">
          <w:rPr>
            <w:rStyle w:val="Hyperlink"/>
          </w:rPr>
          <w:t>http://www.amsant.org.au/suicide-story/</w:t>
        </w:r>
      </w:hyperlink>
      <w:r w:rsidRPr="002D6F18">
        <w:t>.</w:t>
      </w:r>
      <w:bookmarkEnd w:id="408"/>
    </w:p>
    <w:p w14:paraId="6B5BEF46" w14:textId="04513EB5" w:rsidR="002D6F18" w:rsidRPr="002D6F18" w:rsidRDefault="002D6F18" w:rsidP="002D6F18">
      <w:pPr>
        <w:pStyle w:val="EndNoteBibliography"/>
        <w:spacing w:after="0"/>
        <w:ind w:left="380" w:hanging="380"/>
      </w:pPr>
      <w:bookmarkStart w:id="409" w:name="_ENREF_205"/>
      <w:r w:rsidRPr="002D6F18">
        <w:t>205.</w:t>
      </w:r>
      <w:r w:rsidRPr="002D6F18">
        <w:tab/>
        <w:t xml:space="preserve">Guenther J, Mack S. Evaluation of Suicide Story, Final Report [Internet]. Batchelor Institute of Indigenous Tertiary Education; 2019 [cited 2023 November 01]. Available from: </w:t>
      </w:r>
      <w:hyperlink r:id="rId177" w:history="1">
        <w:r w:rsidRPr="002D6F18">
          <w:rPr>
            <w:rStyle w:val="Hyperlink"/>
          </w:rPr>
          <w:t>https://eprints.batchelor.edu.au/id/eprint/611/1/Evaluation%20of%20Suicide%20Story%20FINAL%20REPORT_V1.3.pdf</w:t>
        </w:r>
      </w:hyperlink>
      <w:r w:rsidRPr="002D6F18">
        <w:t>.</w:t>
      </w:r>
      <w:bookmarkEnd w:id="409"/>
    </w:p>
    <w:p w14:paraId="5B1DD3A0" w14:textId="231AC89B" w:rsidR="002D6F18" w:rsidRPr="002D6F18" w:rsidRDefault="002D6F18" w:rsidP="002D6F18">
      <w:pPr>
        <w:pStyle w:val="EndNoteBibliography"/>
        <w:spacing w:after="0"/>
        <w:ind w:left="380" w:hanging="380"/>
      </w:pPr>
      <w:bookmarkStart w:id="410" w:name="_ENREF_206"/>
      <w:r w:rsidRPr="002D6F18">
        <w:t>206.</w:t>
      </w:r>
      <w:r w:rsidRPr="002D6F18">
        <w:tab/>
        <w:t xml:space="preserve">Substance Abuse and Mental Health Services Administration. SAMHSA’s concept of trauma and guidance for a trauma-informed approach [Internet]. Rockville: U.S. Department of Health and Human Services; 2014 [Available from: </w:t>
      </w:r>
      <w:hyperlink r:id="rId178" w:history="1">
        <w:r w:rsidRPr="002D6F18">
          <w:rPr>
            <w:rStyle w:val="Hyperlink"/>
          </w:rPr>
          <w:t>https://samhsa.gov/resource/dbhis/samhsas-concept-trauma-guidance-trauma-informed-approach</w:t>
        </w:r>
      </w:hyperlink>
      <w:r w:rsidRPr="002D6F18">
        <w:t>.</w:t>
      </w:r>
      <w:bookmarkEnd w:id="410"/>
    </w:p>
    <w:p w14:paraId="637FD337" w14:textId="77777777" w:rsidR="002D6F18" w:rsidRPr="002D6F18" w:rsidRDefault="002D6F18" w:rsidP="002D6F18">
      <w:pPr>
        <w:pStyle w:val="EndNoteBibliography"/>
        <w:spacing w:after="0"/>
        <w:ind w:left="380" w:hanging="380"/>
      </w:pPr>
      <w:bookmarkStart w:id="411" w:name="_ENREF_207"/>
      <w:r w:rsidRPr="002D6F18">
        <w:t>207.</w:t>
      </w:r>
      <w:r w:rsidRPr="002D6F18">
        <w:tab/>
        <w:t>Mirick R, Bridger J, McCauley J. Trauma-Informed Clinical Practice with Clients with Suicidal Thoughts and Behaviors. Smith College Studies in Social Work. 2022;92:1-16. 10.1080/00377317.2022.2104778.</w:t>
      </w:r>
      <w:bookmarkEnd w:id="411"/>
    </w:p>
    <w:p w14:paraId="626693A2" w14:textId="77777777" w:rsidR="002D6F18" w:rsidRPr="002D6F18" w:rsidRDefault="002D6F18" w:rsidP="002D6F18">
      <w:pPr>
        <w:pStyle w:val="EndNoteBibliography"/>
        <w:spacing w:after="0"/>
        <w:ind w:left="380" w:hanging="380"/>
      </w:pPr>
      <w:bookmarkStart w:id="412" w:name="_ENREF_208"/>
      <w:r w:rsidRPr="002D6F18">
        <w:t>208.</w:t>
      </w:r>
      <w:r w:rsidRPr="002D6F18">
        <w:tab/>
        <w:t>Labouliere C, Vasan P, Kramer A, Brown G, Green K, Rahman M, et al. Zero Suicide: A model for reducing suicide in United States behavioral healthcare. Suicidologi. 2018;23. 10.5617/suicidologi.6198.</w:t>
      </w:r>
      <w:bookmarkEnd w:id="412"/>
    </w:p>
    <w:p w14:paraId="66ADE211" w14:textId="51A1DA82" w:rsidR="002D6F18" w:rsidRPr="002D6F18" w:rsidRDefault="002D6F18" w:rsidP="002D6F18">
      <w:pPr>
        <w:pStyle w:val="EndNoteBibliography"/>
        <w:spacing w:after="0"/>
        <w:ind w:left="380" w:hanging="380"/>
      </w:pPr>
      <w:bookmarkStart w:id="413" w:name="_ENREF_209"/>
      <w:r w:rsidRPr="002D6F18">
        <w:t>209.</w:t>
      </w:r>
      <w:r w:rsidRPr="002D6F18">
        <w:tab/>
        <w:t xml:space="preserve">Clinical Excellence Commission. Guide to co-developing a restorative just and learning culture: NSW Government 2023 [Available from: </w:t>
      </w:r>
      <w:hyperlink r:id="rId179" w:history="1">
        <w:r w:rsidRPr="002D6F18">
          <w:rPr>
            <w:rStyle w:val="Hyperlink"/>
          </w:rPr>
          <w:t>https://www.cec.health.nsw.gov.au/__data/assets/pdf_file/0008/891728/GUIDE-Co-developing-RJLC_Rev-1_-30_June-2023.pdf</w:t>
        </w:r>
      </w:hyperlink>
      <w:r w:rsidRPr="002D6F18">
        <w:t>.</w:t>
      </w:r>
      <w:bookmarkEnd w:id="413"/>
    </w:p>
    <w:p w14:paraId="5A7F4DB2" w14:textId="77777777" w:rsidR="002D6F18" w:rsidRPr="002D6F18" w:rsidRDefault="002D6F18" w:rsidP="002D6F18">
      <w:pPr>
        <w:pStyle w:val="EndNoteBibliography"/>
        <w:spacing w:after="0"/>
        <w:ind w:left="380" w:hanging="380"/>
      </w:pPr>
      <w:bookmarkStart w:id="414" w:name="_ENREF_210"/>
      <w:r w:rsidRPr="002D6F18">
        <w:t>210.</w:t>
      </w:r>
      <w:r w:rsidRPr="002D6F18">
        <w:tab/>
        <w:t>Borecky A, Thomsen C, Dubov A. Reweighing the Ethical Tradeoffs in the Involuntary Hospitalization of Suicidal Patients. The American Journal of Bioethics. 2019. DOI: 10.1080/15265161.2019.1654557.</w:t>
      </w:r>
      <w:bookmarkEnd w:id="414"/>
    </w:p>
    <w:p w14:paraId="35D40A3D" w14:textId="77777777" w:rsidR="002D6F18" w:rsidRPr="002D6F18" w:rsidRDefault="002D6F18" w:rsidP="002D6F18">
      <w:pPr>
        <w:pStyle w:val="EndNoteBibliography"/>
        <w:spacing w:after="0"/>
        <w:ind w:left="380" w:hanging="380"/>
      </w:pPr>
      <w:bookmarkStart w:id="415" w:name="_ENREF_211"/>
      <w:r w:rsidRPr="002D6F18">
        <w:t>211.</w:t>
      </w:r>
      <w:r w:rsidRPr="002D6F18">
        <w:tab/>
        <w:t>Large MM, Kapur N. Psychiatric Hospitalisation and the Risk of Suicide. The British Journal of Psychiatry. 2018. DOI: 10.1192/bjp.2018.22.</w:t>
      </w:r>
      <w:bookmarkEnd w:id="415"/>
    </w:p>
    <w:p w14:paraId="1ACFC436" w14:textId="73EDFCE1" w:rsidR="002D6F18" w:rsidRPr="002D6F18" w:rsidRDefault="002D6F18" w:rsidP="002D6F18">
      <w:pPr>
        <w:pStyle w:val="EndNoteBibliography"/>
        <w:spacing w:after="0"/>
        <w:ind w:left="380" w:hanging="380"/>
      </w:pPr>
      <w:bookmarkStart w:id="416" w:name="_ENREF_212"/>
      <w:r w:rsidRPr="002D6F18">
        <w:t>212.</w:t>
      </w:r>
      <w:r w:rsidRPr="002D6F18">
        <w:tab/>
        <w:t xml:space="preserve">Wang DWL, Colucci E. Should Compulsory Admission to Hospital be Part of Suicide Prevention Strategies? BJPsych Bulletin. 2017. </w:t>
      </w:r>
      <w:hyperlink r:id="rId180" w:history="1">
        <w:r w:rsidRPr="002D6F18">
          <w:rPr>
            <w:rStyle w:val="Hyperlink"/>
          </w:rPr>
          <w:t>https://doi.org/10.1192/pb.bp.116.055699</w:t>
        </w:r>
      </w:hyperlink>
      <w:r w:rsidRPr="002D6F18">
        <w:t>.</w:t>
      </w:r>
      <w:bookmarkEnd w:id="416"/>
    </w:p>
    <w:p w14:paraId="36107C52" w14:textId="28BDD747" w:rsidR="002D6F18" w:rsidRPr="002D6F18" w:rsidRDefault="002D6F18" w:rsidP="002D6F18">
      <w:pPr>
        <w:pStyle w:val="EndNoteBibliography"/>
        <w:spacing w:after="0"/>
        <w:ind w:left="380" w:hanging="380"/>
      </w:pPr>
      <w:bookmarkStart w:id="417" w:name="_ENREF_213"/>
      <w:r w:rsidRPr="002D6F18">
        <w:t>213.</w:t>
      </w:r>
      <w:r w:rsidRPr="002D6F18">
        <w:tab/>
        <w:t xml:space="preserve">Hogan MF, Grumet JG. Suicide Prevention: An Emerging Priority for Health Care. Health Affairs. 2016. </w:t>
      </w:r>
      <w:hyperlink r:id="rId181" w:history="1">
        <w:r w:rsidRPr="002D6F18">
          <w:rPr>
            <w:rStyle w:val="Hyperlink"/>
          </w:rPr>
          <w:t>https://doi.org/10.1377/hlthaff.2015.1672</w:t>
        </w:r>
      </w:hyperlink>
      <w:r w:rsidRPr="002D6F18">
        <w:t>.</w:t>
      </w:r>
      <w:bookmarkEnd w:id="417"/>
    </w:p>
    <w:p w14:paraId="523C4600" w14:textId="77777777" w:rsidR="002D6F18" w:rsidRPr="002D6F18" w:rsidRDefault="002D6F18" w:rsidP="002D6F18">
      <w:pPr>
        <w:pStyle w:val="EndNoteBibliography"/>
        <w:spacing w:after="0"/>
        <w:ind w:left="380" w:hanging="380"/>
      </w:pPr>
      <w:bookmarkStart w:id="418" w:name="_ENREF_214"/>
      <w:r w:rsidRPr="002D6F18">
        <w:t>214.</w:t>
      </w:r>
      <w:r w:rsidRPr="002D6F18">
        <w:tab/>
        <w:t>Turner K, Stapelberg NJC, Sveticic J, Dekker SWA. Inconvenient Truths in Suicide Prevention: Why a Restorative Just Culture Should be Implemented Alongside a Zero Suicide Framework. Australian &amp; New Zealand Journal of Psychiatry. 2020. DOI: 10.1177/0004867420918659.</w:t>
      </w:r>
      <w:bookmarkEnd w:id="418"/>
    </w:p>
    <w:p w14:paraId="6370AC4C" w14:textId="77777777" w:rsidR="002D6F18" w:rsidRPr="002D6F18" w:rsidRDefault="002D6F18" w:rsidP="002D6F18">
      <w:pPr>
        <w:pStyle w:val="EndNoteBibliography"/>
        <w:spacing w:after="0"/>
        <w:ind w:left="380" w:hanging="380"/>
      </w:pPr>
      <w:bookmarkStart w:id="419" w:name="_ENREF_215"/>
      <w:r w:rsidRPr="002D6F18">
        <w:t>215.</w:t>
      </w:r>
      <w:r w:rsidRPr="002D6F18">
        <w:tab/>
        <w:t>Levesque J-F, Harris M, Russell G. Patient-centred access to health care: Conceptualising access at the interface of health systems and populations. International journal for equity in health. 2013;12:18. 10.1186/1475-9276-12-18.</w:t>
      </w:r>
      <w:bookmarkEnd w:id="419"/>
    </w:p>
    <w:p w14:paraId="444BE8C5" w14:textId="77777777" w:rsidR="002D6F18" w:rsidRPr="002D6F18" w:rsidRDefault="002D6F18" w:rsidP="002D6F18">
      <w:pPr>
        <w:pStyle w:val="EndNoteBibliography"/>
        <w:spacing w:after="0"/>
        <w:ind w:left="380" w:hanging="380"/>
      </w:pPr>
      <w:bookmarkStart w:id="420" w:name="_ENREF_216"/>
      <w:r w:rsidRPr="002D6F18">
        <w:t>216.</w:t>
      </w:r>
      <w:r w:rsidRPr="002D6F18">
        <w:tab/>
        <w:t>Punton G, Dodd AL, McNeill A. ‘You’re on the Waiting List’: An Interpretive Phenomenological Analysis of Young Adults’ Experiences of Waiting Lists Within Mental Health Services in the UK. PLoS ONE. 2022. DOI: 10.1371/journal.pone.0265542.</w:t>
      </w:r>
      <w:bookmarkEnd w:id="420"/>
    </w:p>
    <w:p w14:paraId="56C807E2" w14:textId="4122619D" w:rsidR="002D6F18" w:rsidRPr="002D6F18" w:rsidRDefault="002D6F18" w:rsidP="002D6F18">
      <w:pPr>
        <w:pStyle w:val="EndNoteBibliography"/>
        <w:spacing w:after="0"/>
        <w:ind w:left="380" w:hanging="380"/>
      </w:pPr>
      <w:bookmarkStart w:id="421" w:name="_ENREF_217"/>
      <w:r w:rsidRPr="002D6F18">
        <w:t>217.</w:t>
      </w:r>
      <w:r w:rsidRPr="002D6F18">
        <w:tab/>
        <w:t xml:space="preserve">Pirkis J, Currier D, Harris M, Mihalopoulos C. Evaluation of better access: main report. [Internet]. Victoria: University of Melbourne; 2022 [cited 2023 November 21]. Available from: </w:t>
      </w:r>
      <w:hyperlink r:id="rId182" w:history="1">
        <w:r w:rsidRPr="002D6F18">
          <w:rPr>
            <w:rStyle w:val="Hyperlink"/>
          </w:rPr>
          <w:t>https://www.health.gov.au/resources/publications/main-report-evaluation-of-the-better-access-initiative?language=en</w:t>
        </w:r>
      </w:hyperlink>
      <w:r w:rsidRPr="002D6F18">
        <w:t>.</w:t>
      </w:r>
      <w:bookmarkEnd w:id="421"/>
    </w:p>
    <w:p w14:paraId="4D1CC7DC" w14:textId="77777777" w:rsidR="002D6F18" w:rsidRPr="002D6F18" w:rsidRDefault="002D6F18" w:rsidP="002D6F18">
      <w:pPr>
        <w:pStyle w:val="EndNoteBibliography"/>
        <w:spacing w:after="0"/>
        <w:ind w:left="380" w:hanging="380"/>
      </w:pPr>
      <w:bookmarkStart w:id="422" w:name="_ENREF_218"/>
      <w:r w:rsidRPr="002D6F18">
        <w:t>218.</w:t>
      </w:r>
      <w:r w:rsidRPr="002D6F18">
        <w:tab/>
        <w:t>Vacher C, Skinner A, Occhipinti J‐A, Rosenberg S, Ho N, Song YJC, et al. Improving Access to Mental Health Care: A System Dynamics Model of Direct Access to Specialist Care and Accelerated Specialist Service Capacity Growth. Medical Journal of Australia. 2023. DOI: 10.5694/mja2.51903.</w:t>
      </w:r>
      <w:bookmarkEnd w:id="422"/>
    </w:p>
    <w:p w14:paraId="698DE0F0" w14:textId="77777777" w:rsidR="002D6F18" w:rsidRPr="002D6F18" w:rsidRDefault="002D6F18" w:rsidP="002D6F18">
      <w:pPr>
        <w:pStyle w:val="EndNoteBibliography"/>
        <w:spacing w:after="0"/>
        <w:ind w:left="380" w:hanging="380"/>
      </w:pPr>
      <w:bookmarkStart w:id="423" w:name="_ENREF_219"/>
      <w:r w:rsidRPr="002D6F18">
        <w:t>219.</w:t>
      </w:r>
      <w:r w:rsidRPr="002D6F18">
        <w:tab/>
        <w:t>Torok M, Han J, Baker S, Werner-Seidler A, Wong I, Larsen ME, et al. Suicide Prevention Using Self-Guided Digital Interventions: A Systematic Review and Meta-Analysis of Randomised Controlled Trials. The Lancet Digital Health. 2020. DOI: 10.1016/S2589-7500(19)30199-2.</w:t>
      </w:r>
      <w:bookmarkEnd w:id="423"/>
    </w:p>
    <w:p w14:paraId="6507AD08" w14:textId="77777777" w:rsidR="002D6F18" w:rsidRPr="002D6F18" w:rsidRDefault="002D6F18" w:rsidP="002D6F18">
      <w:pPr>
        <w:pStyle w:val="EndNoteBibliography"/>
        <w:spacing w:after="0"/>
        <w:ind w:left="380" w:hanging="380"/>
      </w:pPr>
      <w:bookmarkStart w:id="424" w:name="_ENREF_220"/>
      <w:r w:rsidRPr="002D6F18">
        <w:t>220.</w:t>
      </w:r>
      <w:r w:rsidRPr="002D6F18">
        <w:tab/>
        <w:t>Rheinberger D, Macdonald D, McGillivray L, Maple M, Torok M, Nicolopoulos A, et al. “A Sustained, Productive, Constructive Relationship with Someone Who Can Help”—A Qualitative Exploration of the Experiences of Help Seekers and Support Persons Using the Emergency Department during a Suicide Crisis. International Journal of Environmental Research and Public Health. 2021. DOI: 10.3390/ijerph181910262.</w:t>
      </w:r>
      <w:bookmarkEnd w:id="424"/>
    </w:p>
    <w:p w14:paraId="70D85B80" w14:textId="77777777" w:rsidR="002D6F18" w:rsidRPr="002D6F18" w:rsidRDefault="002D6F18" w:rsidP="002D6F18">
      <w:pPr>
        <w:pStyle w:val="EndNoteBibliography"/>
        <w:spacing w:after="0"/>
        <w:ind w:left="380" w:hanging="380"/>
      </w:pPr>
      <w:bookmarkStart w:id="425" w:name="_ENREF_221"/>
      <w:r w:rsidRPr="002D6F18">
        <w:t>221.</w:t>
      </w:r>
      <w:r w:rsidRPr="002D6F18">
        <w:tab/>
        <w:t>Kerr K, Heffernan E, Hawgood J, Edwards B, Meurk C. Optimal Care Pathways for People in Suicidal Crisis who Interact with First Responders: A Scoping Review. International Journal of Environmental Research and Public Health. 2022. DOI: 10.3390/ijerph191811510.</w:t>
      </w:r>
      <w:bookmarkEnd w:id="425"/>
    </w:p>
    <w:p w14:paraId="12BF012F" w14:textId="77777777" w:rsidR="002D6F18" w:rsidRPr="002D6F18" w:rsidRDefault="002D6F18" w:rsidP="002D6F18">
      <w:pPr>
        <w:pStyle w:val="EndNoteBibliography"/>
        <w:spacing w:after="0"/>
        <w:ind w:left="380" w:hanging="380"/>
      </w:pPr>
      <w:bookmarkStart w:id="426" w:name="_ENREF_222"/>
      <w:r w:rsidRPr="002D6F18">
        <w:t>222.</w:t>
      </w:r>
      <w:r w:rsidRPr="002D6F18">
        <w:tab/>
        <w:t>Witt K, Rajaram G, Lamblin M, Knott J, Dean A, Spittal MJ, et al. Characteristics of Self-Harm Presentations to the Emergency Department of the Royal Melbourne Hospital, 2012–2019: Data from the Self-Harm Monitoring System for Victoria. Australasian Emergency Care. 2023. DOI: 10.1016/j.auec.2023.01.003.</w:t>
      </w:r>
      <w:bookmarkEnd w:id="426"/>
    </w:p>
    <w:p w14:paraId="23075586" w14:textId="77777777" w:rsidR="002D6F18" w:rsidRPr="002D6F18" w:rsidRDefault="002D6F18" w:rsidP="002D6F18">
      <w:pPr>
        <w:pStyle w:val="EndNoteBibliography"/>
        <w:spacing w:after="0"/>
        <w:ind w:left="380" w:hanging="380"/>
      </w:pPr>
      <w:bookmarkStart w:id="427" w:name="_ENREF_223"/>
      <w:r w:rsidRPr="002D6F18">
        <w:t>223.</w:t>
      </w:r>
      <w:r w:rsidRPr="002D6F18">
        <w:tab/>
        <w:t>Torous J, Walker R. Leveraging Digital Health and Machine Learning Toward Reducing Suicide - From Panacea to Practical Tool. JAMA Psychiatry. 2019. DOI: 10.1001/jamapsychiatry.2019.1231.</w:t>
      </w:r>
      <w:bookmarkEnd w:id="427"/>
    </w:p>
    <w:p w14:paraId="4EA00E02" w14:textId="23E65F0F" w:rsidR="002D6F18" w:rsidRPr="002D6F18" w:rsidRDefault="002D6F18" w:rsidP="002D6F18">
      <w:pPr>
        <w:pStyle w:val="EndNoteBibliography"/>
        <w:spacing w:after="0"/>
        <w:ind w:left="380" w:hanging="380"/>
      </w:pPr>
      <w:bookmarkStart w:id="428" w:name="_ENREF_224"/>
      <w:r w:rsidRPr="002D6F18">
        <w:t>224.</w:t>
      </w:r>
      <w:r w:rsidRPr="002D6F18">
        <w:tab/>
        <w:t xml:space="preserve">Vahabzadeh A, Sahin N, Kalali A. Digital Suicide Prevention: Can Technology Become a Game-Changer? [Internet]. Innovations in Clinical Neuroscience; 2016 [cited 2023 October 31]. Available from: </w:t>
      </w:r>
      <w:hyperlink r:id="rId183" w:history="1">
        <w:r w:rsidRPr="002D6F18">
          <w:rPr>
            <w:rStyle w:val="Hyperlink"/>
          </w:rPr>
          <w:t>https://www.ncbi.nlm.nih.gov/pmc/articles/PMC5077254/</w:t>
        </w:r>
      </w:hyperlink>
      <w:r w:rsidRPr="002D6F18">
        <w:t>.</w:t>
      </w:r>
      <w:bookmarkEnd w:id="428"/>
    </w:p>
    <w:p w14:paraId="0FCBF5C8" w14:textId="77777777" w:rsidR="002D6F18" w:rsidRPr="002D6F18" w:rsidRDefault="002D6F18" w:rsidP="002D6F18">
      <w:pPr>
        <w:pStyle w:val="EndNoteBibliography"/>
        <w:spacing w:after="0"/>
        <w:ind w:left="380" w:hanging="380"/>
      </w:pPr>
      <w:bookmarkStart w:id="429" w:name="_ENREF_225"/>
      <w:r w:rsidRPr="002D6F18">
        <w:t>225.</w:t>
      </w:r>
      <w:r w:rsidRPr="002D6F18">
        <w:tab/>
        <w:t>Robinson J, Hetrick S, Cox G, Bendall S, Yuen HP, Yung A, et al. Can an Internet‐Based Intervention Reduce Suicidal Ideation, Depression and Hopelessness Among Secondary School Students: Results from a Pilot Study. Early Intervention in Psychiatry. 2016. DOI: 10.1111/eip.12137.</w:t>
      </w:r>
      <w:bookmarkEnd w:id="429"/>
    </w:p>
    <w:p w14:paraId="59EFCE80" w14:textId="59F5B98F" w:rsidR="002D6F18" w:rsidRPr="002D6F18" w:rsidRDefault="002D6F18" w:rsidP="002D6F18">
      <w:pPr>
        <w:pStyle w:val="EndNoteBibliography"/>
        <w:spacing w:after="0"/>
        <w:ind w:left="380" w:hanging="380"/>
      </w:pPr>
      <w:bookmarkStart w:id="430" w:name="_ENREF_226"/>
      <w:r w:rsidRPr="002D6F18">
        <w:t>226.</w:t>
      </w:r>
      <w:r w:rsidRPr="002D6F18">
        <w:tab/>
        <w:t xml:space="preserve">United Nations Children’s Fund. Availability, accessibility, acceptability and quality framework: a tool to identify potential barriers to accessing services in humanitarian settings. [Internet]. United Nations Children’s Fund; 2019 [cited 2023 November 21]. Available from: </w:t>
      </w:r>
      <w:hyperlink r:id="rId184" w:history="1">
        <w:r w:rsidRPr="002D6F18">
          <w:rPr>
            <w:rStyle w:val="Hyperlink"/>
          </w:rPr>
          <w:t>https://gbvguidelines.org/wp/wp-content/uploads/2019/11/AAAQ-framework-Nov-2019-WEB.pdf</w:t>
        </w:r>
      </w:hyperlink>
      <w:r w:rsidRPr="002D6F18">
        <w:t>.</w:t>
      </w:r>
      <w:bookmarkEnd w:id="430"/>
    </w:p>
    <w:p w14:paraId="10544C67" w14:textId="77777777" w:rsidR="002D6F18" w:rsidRPr="002D6F18" w:rsidRDefault="002D6F18" w:rsidP="002D6F18">
      <w:pPr>
        <w:pStyle w:val="EndNoteBibliography"/>
        <w:spacing w:after="0"/>
        <w:ind w:left="380" w:hanging="380"/>
      </w:pPr>
      <w:bookmarkStart w:id="431" w:name="_ENREF_227"/>
      <w:r w:rsidRPr="002D6F18">
        <w:t>227.</w:t>
      </w:r>
      <w:r w:rsidRPr="002D6F18">
        <w:tab/>
        <w:t>Struszczyk S, Galdas PM, Tiffin PA. Men and Suicide Prevention: A Scoping Review. Journal of Mental Health. 2019. DOI: 10.1080/09638237.2017.1370638.</w:t>
      </w:r>
      <w:bookmarkEnd w:id="431"/>
    </w:p>
    <w:p w14:paraId="2F777AFE" w14:textId="77777777" w:rsidR="002D6F18" w:rsidRPr="002D6F18" w:rsidRDefault="002D6F18" w:rsidP="002D6F18">
      <w:pPr>
        <w:pStyle w:val="EndNoteBibliography"/>
        <w:spacing w:after="0"/>
        <w:ind w:left="380" w:hanging="380"/>
      </w:pPr>
      <w:bookmarkStart w:id="432" w:name="_ENREF_228"/>
      <w:r w:rsidRPr="002D6F18">
        <w:t>228.</w:t>
      </w:r>
      <w:r w:rsidRPr="002D6F18">
        <w:tab/>
        <w:t>Seidler ZE, Rice SM, Dhillon HM, Herrman H. Why it’s Time to Focus on Masculinity in Mental Health Training and Clinical Practice. Australasian Psychiatry. 2019. DOI: 10.1177/1039856218804340.</w:t>
      </w:r>
      <w:bookmarkEnd w:id="432"/>
    </w:p>
    <w:p w14:paraId="5D002C27" w14:textId="65B89F3D" w:rsidR="002D6F18" w:rsidRPr="002D6F18" w:rsidRDefault="002D6F18" w:rsidP="002D6F18">
      <w:pPr>
        <w:pStyle w:val="EndNoteBibliography"/>
        <w:spacing w:after="0"/>
        <w:ind w:left="380" w:hanging="380"/>
      </w:pPr>
      <w:bookmarkStart w:id="433" w:name="_ENREF_229"/>
      <w:r w:rsidRPr="002D6F18">
        <w:t>229.</w:t>
      </w:r>
      <w:r w:rsidRPr="002D6F18">
        <w:tab/>
        <w:t xml:space="preserve">Hill AO, Bourne A, McNair R, Carman M, Lyons A. Private lives 3: the health and wellbeing of LGBTIQ people in Australia Bundoora, Victoria: Australian Research Centre in Sex, Health and Society, La Trobe University; 2021 [Available from: </w:t>
      </w:r>
      <w:hyperlink r:id="rId185" w:history="1">
        <w:r w:rsidRPr="002D6F18">
          <w:rPr>
            <w:rStyle w:val="Hyperlink"/>
          </w:rPr>
          <w:t>https://www.latrobe.edu.au/__data/assets/pdf_file/0009/1185885/Private-Lives-3.pdf</w:t>
        </w:r>
      </w:hyperlink>
      <w:r w:rsidRPr="002D6F18">
        <w:t>.</w:t>
      </w:r>
      <w:bookmarkEnd w:id="433"/>
    </w:p>
    <w:p w14:paraId="692C2AFD" w14:textId="77777777" w:rsidR="002D6F18" w:rsidRPr="002D6F18" w:rsidRDefault="002D6F18" w:rsidP="002D6F18">
      <w:pPr>
        <w:pStyle w:val="EndNoteBibliography"/>
        <w:spacing w:after="0"/>
        <w:ind w:left="380" w:hanging="380"/>
      </w:pPr>
      <w:bookmarkStart w:id="434" w:name="_ENREF_230"/>
      <w:r w:rsidRPr="002D6F18">
        <w:t>230.</w:t>
      </w:r>
      <w:r w:rsidRPr="002D6F18">
        <w:tab/>
        <w:t>Waling A, Lim G, Dhalla S, Lyons A, Bourne A. Understanding LGBTI+ Lives in Crisis: La Trobe University &amp; Lifeline Australia; 2022 [cited 2023 October 04].</w:t>
      </w:r>
      <w:bookmarkEnd w:id="434"/>
    </w:p>
    <w:p w14:paraId="79E1F240" w14:textId="0A3AB55E" w:rsidR="002D6F18" w:rsidRPr="002D6F18" w:rsidRDefault="002D6F18" w:rsidP="002D6F18">
      <w:pPr>
        <w:pStyle w:val="EndNoteBibliography"/>
        <w:spacing w:after="0"/>
        <w:ind w:left="380" w:hanging="380"/>
      </w:pPr>
      <w:bookmarkStart w:id="435" w:name="_ENREF_231"/>
      <w:r w:rsidRPr="002D6F18">
        <w:t>231.</w:t>
      </w:r>
      <w:r w:rsidRPr="002D6F18">
        <w:tab/>
        <w:t xml:space="preserve">Victoria State Government. Royal Commission into Victoria's Mental Health System [Internet]. Victoria State Government; 2021 [cited 2023 October 04]. Available from: </w:t>
      </w:r>
      <w:hyperlink r:id="rId186" w:history="1">
        <w:r w:rsidRPr="002D6F18">
          <w:rPr>
            <w:rStyle w:val="Hyperlink"/>
          </w:rPr>
          <w:t>https://finalreport.rcvmhs.vic.gov.au/</w:t>
        </w:r>
      </w:hyperlink>
      <w:r w:rsidRPr="002D6F18">
        <w:t>.</w:t>
      </w:r>
      <w:bookmarkEnd w:id="435"/>
    </w:p>
    <w:p w14:paraId="106657E3" w14:textId="77777777" w:rsidR="002D6F18" w:rsidRPr="002D6F18" w:rsidRDefault="002D6F18" w:rsidP="002D6F18">
      <w:pPr>
        <w:pStyle w:val="EndNoteBibliography"/>
        <w:spacing w:after="0"/>
        <w:ind w:left="380" w:hanging="380"/>
      </w:pPr>
      <w:bookmarkStart w:id="436" w:name="_ENREF_232"/>
      <w:r w:rsidRPr="002D6F18">
        <w:t>232.</w:t>
      </w:r>
      <w:r w:rsidRPr="002D6F18">
        <w:tab/>
        <w:t>Kõlves K, De Leo D. Are immigrants responsible for the recent decline in Australian suicide rates? Epidemiology and psychiatric sciences. 2014;24:1-8. 10.1017/S2045796014000122.</w:t>
      </w:r>
      <w:bookmarkEnd w:id="436"/>
    </w:p>
    <w:p w14:paraId="2D2182E8" w14:textId="6E18D960" w:rsidR="002D6F18" w:rsidRPr="002D6F18" w:rsidRDefault="002D6F18" w:rsidP="002D6F18">
      <w:pPr>
        <w:pStyle w:val="EndNoteBibliography"/>
        <w:spacing w:after="0"/>
        <w:ind w:left="380" w:hanging="380"/>
      </w:pPr>
      <w:bookmarkStart w:id="437" w:name="_ENREF_233"/>
      <w:r w:rsidRPr="002D6F18">
        <w:t>233.</w:t>
      </w:r>
      <w:r w:rsidRPr="002D6F18">
        <w:tab/>
        <w:t xml:space="preserve">Williams B. Collaborative and Coordinated Care: An Investigation of the Enablers and Barriers for Adults who Experience Mental Ill-Health in Eastern Melbourne: EMHSCA Care Coordination Research Summary [Internet]. Melbourne, Victoria2019 [cited 2023 November 05]. Available from: </w:t>
      </w:r>
      <w:hyperlink r:id="rId187" w:history="1">
        <w:r w:rsidRPr="002D6F18">
          <w:rPr>
            <w:rStyle w:val="Hyperlink"/>
          </w:rPr>
          <w:t>https://www.emphn.org.au/images/uploads/files/EMHSCA-Care-Coordination-study-2019.pdf</w:t>
        </w:r>
      </w:hyperlink>
      <w:r w:rsidRPr="002D6F18">
        <w:t>.</w:t>
      </w:r>
      <w:bookmarkEnd w:id="437"/>
    </w:p>
    <w:p w14:paraId="762424A5" w14:textId="016BAF13" w:rsidR="002D6F18" w:rsidRPr="002D6F18" w:rsidRDefault="002D6F18" w:rsidP="002D6F18">
      <w:pPr>
        <w:pStyle w:val="EndNoteBibliography"/>
        <w:spacing w:after="0"/>
        <w:ind w:left="380" w:hanging="380"/>
      </w:pPr>
      <w:bookmarkStart w:id="438" w:name="_ENREF_234"/>
      <w:r w:rsidRPr="002D6F18">
        <w:t>234.</w:t>
      </w:r>
      <w:r w:rsidRPr="002D6F18">
        <w:tab/>
        <w:t xml:space="preserve">Department of Health and Aged Care. National Guidelines to Improve Coordination of Treatment and Supports for People with Severe and Complex Mental Illness: Australian Government Department of Health, March 2022 [Internet]. Department of Health and Aged Care; 2022 [cited 2023 November 05]. Available from: </w:t>
      </w:r>
      <w:hyperlink r:id="rId188" w:history="1">
        <w:r w:rsidRPr="002D6F18">
          <w:rPr>
            <w:rStyle w:val="Hyperlink"/>
          </w:rPr>
          <w:t>https://www.health.gov.au/resources/collections/national-guidelines-to-improve-coordination-of-treatment-and-supports-for-people-with-severe-and-complex-mental-illness</w:t>
        </w:r>
      </w:hyperlink>
      <w:r w:rsidRPr="002D6F18">
        <w:t>.</w:t>
      </w:r>
      <w:bookmarkEnd w:id="438"/>
    </w:p>
    <w:p w14:paraId="2744DC53" w14:textId="77777777" w:rsidR="002D6F18" w:rsidRPr="002D6F18" w:rsidRDefault="002D6F18" w:rsidP="002D6F18">
      <w:pPr>
        <w:pStyle w:val="EndNoteBibliography"/>
        <w:spacing w:after="0"/>
        <w:ind w:left="380" w:hanging="380"/>
      </w:pPr>
      <w:bookmarkStart w:id="439" w:name="_ENREF_235"/>
      <w:r w:rsidRPr="002D6F18">
        <w:t>235.</w:t>
      </w:r>
      <w:r w:rsidRPr="002D6F18">
        <w:tab/>
        <w:t>Vanhaecht K, Sermeus W, Peers J, Deneckere S, Lodewijckx C, Leigheb F, et al. The European Quality of Care Pathway (EQCP) Study: history, project management and approach. Int J Care Pathw 2010 14: 52-56. 2010;14. 10.1258/jicp.2010.010015.</w:t>
      </w:r>
      <w:bookmarkEnd w:id="439"/>
    </w:p>
    <w:p w14:paraId="16D1B3EA" w14:textId="77777777" w:rsidR="002D6F18" w:rsidRPr="002D6F18" w:rsidRDefault="002D6F18" w:rsidP="002D6F18">
      <w:pPr>
        <w:pStyle w:val="EndNoteBibliography"/>
        <w:spacing w:after="0"/>
        <w:ind w:left="380" w:hanging="380"/>
      </w:pPr>
      <w:bookmarkStart w:id="440" w:name="_ENREF_236"/>
      <w:r w:rsidRPr="002D6F18">
        <w:t>236.</w:t>
      </w:r>
      <w:r w:rsidRPr="002D6F18">
        <w:tab/>
        <w:t>Seys D, Bruyneel L, Deneckere S, Kul S, Veken L, van Zelm R, et al. Better organized care via care pathways: A multicenter study. PLOS ONE. 2017;12:e0180398. 10.1371/journal.pone.0180398.</w:t>
      </w:r>
      <w:bookmarkEnd w:id="440"/>
    </w:p>
    <w:p w14:paraId="5F7A3662" w14:textId="77777777" w:rsidR="002D6F18" w:rsidRPr="002D6F18" w:rsidRDefault="002D6F18" w:rsidP="002D6F18">
      <w:pPr>
        <w:pStyle w:val="EndNoteBibliography"/>
        <w:spacing w:after="0"/>
        <w:ind w:left="380" w:hanging="380"/>
      </w:pPr>
      <w:bookmarkStart w:id="441" w:name="_ENREF_237"/>
      <w:r w:rsidRPr="002D6F18">
        <w:t>237.</w:t>
      </w:r>
      <w:r w:rsidRPr="002D6F18">
        <w:tab/>
        <w:t>Coffey CE. Building a System of Perfect Depression Care in Behavioral Health. The Joint Commission Journal on Quality and Patient Safety. 2007;33:193-9. 10.1016/S1553-7250(07)33022-5.</w:t>
      </w:r>
      <w:bookmarkEnd w:id="441"/>
    </w:p>
    <w:p w14:paraId="3B6C3C23" w14:textId="77777777" w:rsidR="002D6F18" w:rsidRPr="002D6F18" w:rsidRDefault="002D6F18" w:rsidP="002D6F18">
      <w:pPr>
        <w:pStyle w:val="EndNoteBibliography"/>
        <w:spacing w:after="0"/>
        <w:ind w:left="380" w:hanging="380"/>
      </w:pPr>
      <w:bookmarkStart w:id="442" w:name="_ENREF_238"/>
      <w:r w:rsidRPr="002D6F18">
        <w:t>238.</w:t>
      </w:r>
      <w:r w:rsidRPr="002D6F18">
        <w:tab/>
        <w:t>Stapelberg NJC, Sveticic J, Hughes I, Almeida-Crasto A, Gaee-Atefi T, Gill N, et al. Efficacy of the Zero Suicide Framework in Reducing Recurrent Suicide Attempts: Cross-Sectional and Time-to-Recurrent-Event Analyses. The British Journal of Psychiatry. 2021. DOI: 10.1192/bjp.2020.190.</w:t>
      </w:r>
      <w:bookmarkEnd w:id="442"/>
    </w:p>
    <w:p w14:paraId="21B89627" w14:textId="4D989762" w:rsidR="002D6F18" w:rsidRPr="002D6F18" w:rsidRDefault="002D6F18" w:rsidP="002D6F18">
      <w:pPr>
        <w:pStyle w:val="EndNoteBibliography"/>
        <w:spacing w:after="0"/>
        <w:ind w:left="380" w:hanging="380"/>
      </w:pPr>
      <w:bookmarkStart w:id="443" w:name="_ENREF_239"/>
      <w:r w:rsidRPr="002D6F18">
        <w:t>239.</w:t>
      </w:r>
      <w:r w:rsidRPr="002D6F18">
        <w:tab/>
        <w:t xml:space="preserve">Substance Abuse and Mental Health Services Administration. National Guidelines for Behavioral Health Crisis Care: Best Practice Toolkit [Internet]. SAMHSA; 2020 [cited 2023 November 05]. Available from: </w:t>
      </w:r>
      <w:hyperlink r:id="rId189" w:history="1">
        <w:r w:rsidRPr="002D6F18">
          <w:rPr>
            <w:rStyle w:val="Hyperlink"/>
          </w:rPr>
          <w:t>https://www.samhsa.gov/sites/default/files/national-guidelines-for-behavioral-health-crisis-care-02242020.pdf</w:t>
        </w:r>
      </w:hyperlink>
      <w:r w:rsidRPr="002D6F18">
        <w:t>.</w:t>
      </w:r>
      <w:bookmarkEnd w:id="443"/>
    </w:p>
    <w:p w14:paraId="69A2CC3D" w14:textId="6C317D26" w:rsidR="002D6F18" w:rsidRPr="002D6F18" w:rsidRDefault="002D6F18" w:rsidP="002D6F18">
      <w:pPr>
        <w:pStyle w:val="EndNoteBibliography"/>
        <w:spacing w:after="0"/>
        <w:ind w:left="380" w:hanging="380"/>
      </w:pPr>
      <w:bookmarkStart w:id="444" w:name="_ENREF_240"/>
      <w:r w:rsidRPr="002D6F18">
        <w:t>240.</w:t>
      </w:r>
      <w:r w:rsidRPr="002D6F18">
        <w:tab/>
        <w:t xml:space="preserve">Duggan M, Harris B, Chislett W-K, Calder R. Nowhere Else To Go: Why Australia’s Health System Results in People with Mental Illness Getting ‘Stuck' in Emergency Departments [Internet]. Mitchell Institute for Education and Health Policy, Victoria University; 2020 [cited 2023 November 05]. Available from: </w:t>
      </w:r>
      <w:hyperlink r:id="rId190" w:history="1">
        <w:r w:rsidRPr="002D6F18">
          <w:rPr>
            <w:rStyle w:val="Hyperlink"/>
          </w:rPr>
          <w:t>https://vuir.vu.edu.au/41956/1/nowhere-else-to-go-people-mental-illness-stuck-emergency-departments-report-mitchell-institute.pdf</w:t>
        </w:r>
      </w:hyperlink>
      <w:r w:rsidRPr="002D6F18">
        <w:t>.</w:t>
      </w:r>
      <w:bookmarkEnd w:id="444"/>
    </w:p>
    <w:p w14:paraId="53749041" w14:textId="77777777" w:rsidR="002D6F18" w:rsidRPr="002D6F18" w:rsidRDefault="002D6F18" w:rsidP="002D6F18">
      <w:pPr>
        <w:pStyle w:val="EndNoteBibliography"/>
        <w:spacing w:after="0"/>
        <w:ind w:left="380" w:hanging="380"/>
      </w:pPr>
      <w:bookmarkStart w:id="445" w:name="_ENREF_241"/>
      <w:r w:rsidRPr="002D6F18">
        <w:t>241.</w:t>
      </w:r>
      <w:r w:rsidRPr="002D6F18">
        <w:tab/>
        <w:t>Currier G, Fisher S, Caine E. Mobile Crisis Team Intervention to Enhance Linkage of Discharged Suicidal Emergency Department Patients to Outpatient Psychiatric Services: A Randomized Controlled Trial. Academic emergency medicine : official journal of the Society for Academic Emergency Medicine. 2009;17:36-43. 10.1111/j.1553-2712.2009.00619.x.</w:t>
      </w:r>
      <w:bookmarkEnd w:id="445"/>
    </w:p>
    <w:p w14:paraId="481CA075" w14:textId="77777777" w:rsidR="002D6F18" w:rsidRPr="002D6F18" w:rsidRDefault="002D6F18" w:rsidP="002D6F18">
      <w:pPr>
        <w:pStyle w:val="EndNoteBibliography"/>
        <w:spacing w:after="0"/>
        <w:ind w:left="380" w:hanging="380"/>
      </w:pPr>
      <w:bookmarkStart w:id="446" w:name="_ENREF_242"/>
      <w:r w:rsidRPr="002D6F18">
        <w:t>242.</w:t>
      </w:r>
      <w:r w:rsidRPr="002D6F18">
        <w:tab/>
        <w:t>Guo S, Biegel D, Johnsen J, Dyches H. Assessing the Impact of Community-Based Mobile Crisis Services on Preventing Hospitalization. Psychiatric services (Washington, DC). 2001;52:223-8. 10.1176/appi.ps.52.2.223.</w:t>
      </w:r>
      <w:bookmarkEnd w:id="446"/>
    </w:p>
    <w:p w14:paraId="3F12826A" w14:textId="77777777" w:rsidR="002D6F18" w:rsidRPr="002D6F18" w:rsidRDefault="002D6F18" w:rsidP="002D6F18">
      <w:pPr>
        <w:pStyle w:val="EndNoteBibliography"/>
        <w:spacing w:after="0"/>
        <w:ind w:left="380" w:hanging="380"/>
      </w:pPr>
      <w:bookmarkStart w:id="447" w:name="_ENREF_243"/>
      <w:r w:rsidRPr="002D6F18">
        <w:t>243.</w:t>
      </w:r>
      <w:r w:rsidRPr="002D6F18">
        <w:tab/>
        <w:t>Hugo M, Smout M, Bannister J. A Comparison in Hospitalization Rates Between a Community-Based Mobile Emergency Service and a Hospital-Based Emergency Service. The Australian and New Zealand journal of psychiatry. 2002;36:504-8. 10.1046/j.1440-1614.2002.01042.x.</w:t>
      </w:r>
      <w:bookmarkEnd w:id="447"/>
    </w:p>
    <w:p w14:paraId="6536CE8A" w14:textId="77777777" w:rsidR="002D6F18" w:rsidRPr="002D6F18" w:rsidRDefault="002D6F18" w:rsidP="002D6F18">
      <w:pPr>
        <w:pStyle w:val="EndNoteBibliography"/>
        <w:spacing w:after="0"/>
        <w:ind w:left="380" w:hanging="380"/>
      </w:pPr>
      <w:bookmarkStart w:id="448" w:name="_ENREF_244"/>
      <w:r w:rsidRPr="002D6F18">
        <w:t>244.</w:t>
      </w:r>
      <w:r w:rsidRPr="002D6F18">
        <w:tab/>
        <w:t>Scott R. Evaluation of a Mobile Crisis Program: Effectiveness, Efficiency, and Consumer Satisfaction. Psychiatric services (Washington, DC). 2000;51:1153-6. 10.1176/appi.ps.51.9.1153.</w:t>
      </w:r>
      <w:bookmarkEnd w:id="448"/>
    </w:p>
    <w:p w14:paraId="40D73894" w14:textId="3FD43CCB" w:rsidR="002D6F18" w:rsidRPr="002D6F18" w:rsidRDefault="002D6F18" w:rsidP="002D6F18">
      <w:pPr>
        <w:pStyle w:val="EndNoteBibliography"/>
        <w:spacing w:after="0"/>
        <w:ind w:left="380" w:hanging="380"/>
      </w:pPr>
      <w:bookmarkStart w:id="449" w:name="_ENREF_245"/>
      <w:r w:rsidRPr="002D6F18">
        <w:t>245.</w:t>
      </w:r>
      <w:r w:rsidRPr="002D6F18">
        <w:tab/>
        <w:t xml:space="preserve">Shand F, Woodward A, McGill K, Larsen M, Torok M, Petheridge A, et al. Suicide aftercare services: an Evidence Check rapid review brokered by the Sax Institute for the NSW Ministry of Health [Internet]. 2019 [cited 2023 November 21]. Available from: </w:t>
      </w:r>
      <w:hyperlink r:id="rId191" w:history="1">
        <w:r w:rsidRPr="002D6F18">
          <w:rPr>
            <w:rStyle w:val="Hyperlink"/>
          </w:rPr>
          <w:t>https://www.saxinstitute.org.au/wp-content/uploads/2019_Suicide-Aftercare-Services-Report.pdf</w:t>
        </w:r>
      </w:hyperlink>
      <w:r w:rsidRPr="002D6F18">
        <w:t>.</w:t>
      </w:r>
      <w:bookmarkEnd w:id="449"/>
    </w:p>
    <w:p w14:paraId="07C3B9FE" w14:textId="05463449" w:rsidR="002D6F18" w:rsidRPr="002D6F18" w:rsidRDefault="002D6F18" w:rsidP="002D6F18">
      <w:pPr>
        <w:pStyle w:val="EndNoteBibliography"/>
        <w:spacing w:after="0"/>
        <w:ind w:left="380" w:hanging="380"/>
      </w:pPr>
      <w:bookmarkStart w:id="450" w:name="_ENREF_246"/>
      <w:r w:rsidRPr="002D6F18">
        <w:t>246.</w:t>
      </w:r>
      <w:r w:rsidRPr="002D6F18">
        <w:tab/>
        <w:t xml:space="preserve">Australian Institute of Health and Welfare. Deaths by Suicide in Australia: Australian Prevalence Estimates of Suicidal Behaviours [Internet]. AIHW, Australian Government; 2023 [cited 2023 February 14]. Available from: </w:t>
      </w:r>
      <w:hyperlink r:id="rId192" w:history="1">
        <w:r w:rsidRPr="002D6F18">
          <w:rPr>
            <w:rStyle w:val="Hyperlink"/>
          </w:rPr>
          <w:t>https://www.aihw.gov.au/suicide-self-harm-monitoring/data/deaths-by-suicide-in-australia/prevalence-estimates-of-suicidal-behaviours</w:t>
        </w:r>
      </w:hyperlink>
      <w:r w:rsidRPr="002D6F18">
        <w:t>.</w:t>
      </w:r>
      <w:bookmarkEnd w:id="450"/>
    </w:p>
    <w:p w14:paraId="26EB71D8" w14:textId="467A4DC0" w:rsidR="002D6F18" w:rsidRPr="002D6F18" w:rsidRDefault="002D6F18" w:rsidP="002D6F18">
      <w:pPr>
        <w:pStyle w:val="EndNoteBibliography"/>
        <w:spacing w:after="0"/>
        <w:ind w:left="380" w:hanging="380"/>
      </w:pPr>
      <w:bookmarkStart w:id="451" w:name="_ENREF_247"/>
      <w:r w:rsidRPr="002D6F18">
        <w:t>247.</w:t>
      </w:r>
      <w:r w:rsidRPr="002D6F18">
        <w:tab/>
        <w:t xml:space="preserve">Nous Group. The Way Back Support Services Evaluation: Final Evaluation Report [Internet]. Beyond Blue; 2022 [cited 2023 November 05]. Available from: </w:t>
      </w:r>
      <w:hyperlink r:id="rId193" w:history="1">
        <w:r w:rsidRPr="002D6F18">
          <w:rPr>
            <w:rStyle w:val="Hyperlink"/>
          </w:rPr>
          <w:t>https://www.beyondblue.org.au/docs/default-source/media-release-pdf/the-way-back-support-services-evaluation-final-evaluation-report.pdf</w:t>
        </w:r>
      </w:hyperlink>
      <w:r w:rsidRPr="002D6F18">
        <w:t>.</w:t>
      </w:r>
      <w:bookmarkEnd w:id="451"/>
    </w:p>
    <w:p w14:paraId="6D24BBD0" w14:textId="77777777" w:rsidR="002D6F18" w:rsidRPr="002D6F18" w:rsidRDefault="002D6F18" w:rsidP="002D6F18">
      <w:pPr>
        <w:pStyle w:val="EndNoteBibliography"/>
        <w:spacing w:after="0"/>
        <w:ind w:left="380" w:hanging="380"/>
      </w:pPr>
      <w:bookmarkStart w:id="452" w:name="_ENREF_248"/>
      <w:r w:rsidRPr="002D6F18">
        <w:t>248.</w:t>
      </w:r>
      <w:r w:rsidRPr="002D6F18">
        <w:tab/>
        <w:t>Demesmaeker A, Chazard E, Hoang A, Vaiva G, Amad A. Suicide Mortality After a Nonfatal Suicide Attempt: A Systematic Review and Meta-Analysis. Australian &amp; New Zealand Journal of Psychiatry. 2022. DOI: 10.1177/00048674211043455.</w:t>
      </w:r>
      <w:bookmarkEnd w:id="452"/>
    </w:p>
    <w:p w14:paraId="70FACC32" w14:textId="77777777" w:rsidR="002D6F18" w:rsidRPr="002D6F18" w:rsidRDefault="002D6F18" w:rsidP="002D6F18">
      <w:pPr>
        <w:pStyle w:val="EndNoteBibliography"/>
        <w:spacing w:after="0"/>
        <w:ind w:left="380" w:hanging="380"/>
      </w:pPr>
      <w:bookmarkStart w:id="453" w:name="_ENREF_249"/>
      <w:r w:rsidRPr="002D6F18">
        <w:t>249.</w:t>
      </w:r>
      <w:r w:rsidRPr="002D6F18">
        <w:tab/>
        <w:t>Mendez-Bustos P, de Leon-Martinez V, Miret M, Baca-Garcia E, Lopez-Castroman J. Suicide reattempters: a systematic review. Harv Rev Psychiatry. 2013;21(6):281-95. 10.1097/hrp.0000000000000001.</w:t>
      </w:r>
      <w:bookmarkEnd w:id="453"/>
    </w:p>
    <w:p w14:paraId="485F6F53" w14:textId="22C36933" w:rsidR="002D6F18" w:rsidRPr="002D6F18" w:rsidRDefault="002D6F18" w:rsidP="002D6F18">
      <w:pPr>
        <w:pStyle w:val="EndNoteBibliography"/>
        <w:spacing w:after="0"/>
        <w:ind w:left="380" w:hanging="380"/>
      </w:pPr>
      <w:bookmarkStart w:id="454" w:name="_ENREF_250"/>
      <w:r w:rsidRPr="002D6F18">
        <w:t>250.</w:t>
      </w:r>
      <w:r w:rsidRPr="002D6F18">
        <w:tab/>
        <w:t xml:space="preserve">Black Dog Institute. What Can be Done to Decrease Suicidal Behaviour in Australia? [Internet]. Sydney, New South Wales: Black Dog Institute; 2020 [cited 2023 November 05]. Available from: </w:t>
      </w:r>
      <w:hyperlink r:id="rId194" w:history="1">
        <w:r w:rsidRPr="002D6F18">
          <w:rPr>
            <w:rStyle w:val="Hyperlink"/>
          </w:rPr>
          <w:t>https://www.blackdoginstitute.org.au/wp-content/uploads/2020/09/What-Can-Be-Done-To-Decrease-Suicide-a-call-to-action_Black-Dog-Institute.pdf</w:t>
        </w:r>
      </w:hyperlink>
      <w:r w:rsidRPr="002D6F18">
        <w:t>.</w:t>
      </w:r>
      <w:bookmarkEnd w:id="454"/>
    </w:p>
    <w:p w14:paraId="52FF152C" w14:textId="77777777" w:rsidR="002D6F18" w:rsidRPr="002D6F18" w:rsidRDefault="002D6F18" w:rsidP="002D6F18">
      <w:pPr>
        <w:pStyle w:val="EndNoteBibliography"/>
        <w:spacing w:after="0"/>
        <w:ind w:left="380" w:hanging="380"/>
      </w:pPr>
      <w:bookmarkStart w:id="455" w:name="_ENREF_251"/>
      <w:r w:rsidRPr="002D6F18">
        <w:t>251.</w:t>
      </w:r>
      <w:r w:rsidRPr="002D6F18">
        <w:tab/>
        <w:t>Kehoe M, Wright AM, Lee SJ, Rylatt D, Fitzgibbon BM, Meyer D, et al. Provision of a Multidisciplinary Post-Suicidal, Community-Based Aftercare Program: A Longitudinal Study. Community Mental Health Journal. 2023. DOI: 10.1007/s10597-022-01051-4.</w:t>
      </w:r>
      <w:bookmarkEnd w:id="455"/>
    </w:p>
    <w:p w14:paraId="366EA832" w14:textId="5EF86B6B" w:rsidR="002D6F18" w:rsidRPr="002D6F18" w:rsidRDefault="002D6F18" w:rsidP="002D6F18">
      <w:pPr>
        <w:pStyle w:val="EndNoteBibliography"/>
        <w:spacing w:after="0"/>
        <w:ind w:left="380" w:hanging="380"/>
      </w:pPr>
      <w:bookmarkStart w:id="456" w:name="_ENREF_252"/>
      <w:r w:rsidRPr="002D6F18">
        <w:t>252.</w:t>
      </w:r>
      <w:r w:rsidRPr="002D6F18">
        <w:tab/>
        <w:t xml:space="preserve">Muyabi K, Walsh S, Carter M, Gilliam M, Jones M. Evaluation Report: Executive Summary, Evaluation of an Aftercare Service Model in an Aboriginal Community Controlled Health Organisation [Internet]. Wyalla, South Australia: Country South Australia Primary Health Network; 2020 [cited 2023 November 06]. Available from: </w:t>
      </w:r>
      <w:hyperlink r:id="rId195" w:history="1">
        <w:r w:rsidRPr="002D6F18">
          <w:rPr>
            <w:rStyle w:val="Hyperlink"/>
          </w:rPr>
          <w:t>https://www.countrysaphn.com.au/wp-content/uploads/2021/05/CSAPHN_Evaluation-Report_V4.pdf</w:t>
        </w:r>
      </w:hyperlink>
      <w:r w:rsidRPr="002D6F18">
        <w:t>.</w:t>
      </w:r>
      <w:bookmarkEnd w:id="456"/>
    </w:p>
    <w:p w14:paraId="4F25CC73" w14:textId="3C90CDF1" w:rsidR="002D6F18" w:rsidRPr="002D6F18" w:rsidRDefault="002D6F18" w:rsidP="002D6F18">
      <w:pPr>
        <w:pStyle w:val="EndNoteBibliography"/>
        <w:spacing w:after="0"/>
        <w:ind w:left="380" w:hanging="380"/>
      </w:pPr>
      <w:bookmarkStart w:id="457" w:name="_ENREF_253"/>
      <w:r w:rsidRPr="002D6F18">
        <w:t>253.</w:t>
      </w:r>
      <w:r w:rsidRPr="002D6F18">
        <w:tab/>
        <w:t xml:space="preserve">Department of Health and Aged Care. Strengthening Medicare Taskforce Report, December 2022 [Internet]. Department of Health and Aged Care; 2022 [cited 2023 November 05]. Available from: </w:t>
      </w:r>
      <w:hyperlink r:id="rId196" w:history="1">
        <w:r w:rsidRPr="002D6F18">
          <w:rPr>
            <w:rStyle w:val="Hyperlink"/>
          </w:rPr>
          <w:t>https://www.health.gov.au/sites/default/files/2023-02/strengthening-medicare-taskforce-report_0.pdf</w:t>
        </w:r>
      </w:hyperlink>
      <w:r w:rsidRPr="002D6F18">
        <w:t>.</w:t>
      </w:r>
      <w:bookmarkEnd w:id="457"/>
    </w:p>
    <w:p w14:paraId="42814404" w14:textId="77777777" w:rsidR="002D6F18" w:rsidRPr="002D6F18" w:rsidRDefault="002D6F18" w:rsidP="002D6F18">
      <w:pPr>
        <w:pStyle w:val="EndNoteBibliography"/>
        <w:spacing w:after="0"/>
        <w:ind w:left="380" w:hanging="380"/>
      </w:pPr>
      <w:bookmarkStart w:id="458" w:name="_ENREF_254"/>
      <w:r w:rsidRPr="002D6F18">
        <w:t>254.</w:t>
      </w:r>
      <w:r w:rsidRPr="002D6F18">
        <w:tab/>
        <w:t>Pisani A, Murrie D, Silverman M. Reformulating Suicide Risk Formulation: From Prediction to Prevention. Academic Psychiatry. 2015;40. 10.1007/s40596-015-0434-6.</w:t>
      </w:r>
      <w:bookmarkEnd w:id="458"/>
    </w:p>
    <w:p w14:paraId="24222421" w14:textId="533CFA88" w:rsidR="002D6F18" w:rsidRPr="002D6F18" w:rsidRDefault="002D6F18" w:rsidP="002D6F18">
      <w:pPr>
        <w:pStyle w:val="EndNoteBibliography"/>
        <w:spacing w:after="0"/>
        <w:ind w:left="380" w:hanging="380"/>
      </w:pPr>
      <w:bookmarkStart w:id="459" w:name="_ENREF_255"/>
      <w:r w:rsidRPr="002D6F18">
        <w:t>255.</w:t>
      </w:r>
      <w:r w:rsidRPr="002D6F18">
        <w:tab/>
        <w:t xml:space="preserve">Queensland Centre for Mental Health Learning. Queensland Centre for Mental Health Learning. Course outline for QC25 Suicide Risk Assessment and Management in Emergency Department settings (Train-the-trainer) [Internet ]. 2023 [cited 2023 November 21]. Available from: </w:t>
      </w:r>
      <w:hyperlink r:id="rId197" w:history="1">
        <w:r w:rsidRPr="002D6F18">
          <w:rPr>
            <w:rStyle w:val="Hyperlink"/>
          </w:rPr>
          <w:t>https://www.qcmhl.qld.edu.au/course/index.php?categoryid=4</w:t>
        </w:r>
      </w:hyperlink>
      <w:r w:rsidRPr="002D6F18">
        <w:t>.</w:t>
      </w:r>
      <w:bookmarkEnd w:id="459"/>
    </w:p>
    <w:p w14:paraId="6B1BC894" w14:textId="01E5BDEA" w:rsidR="002D6F18" w:rsidRPr="002D6F18" w:rsidRDefault="002D6F18" w:rsidP="002D6F18">
      <w:pPr>
        <w:pStyle w:val="EndNoteBibliography"/>
        <w:spacing w:after="0"/>
        <w:ind w:left="380" w:hanging="380"/>
      </w:pPr>
      <w:bookmarkStart w:id="460" w:name="_ENREF_256"/>
      <w:r w:rsidRPr="002D6F18">
        <w:t>256.</w:t>
      </w:r>
      <w:r w:rsidRPr="002D6F18">
        <w:tab/>
        <w:t xml:space="preserve">SafeSide Prevention. Recovery-oriented framework for suicide prevention [Internet]. Rochester [cited 2023 November 21]. Available from: </w:t>
      </w:r>
      <w:hyperlink r:id="rId198" w:history="1">
        <w:r w:rsidRPr="002D6F18">
          <w:rPr>
            <w:rStyle w:val="Hyperlink"/>
          </w:rPr>
          <w:t>https://safesideprevention.com/approach/care-framework</w:t>
        </w:r>
      </w:hyperlink>
      <w:r w:rsidRPr="002D6F18">
        <w:t>.</w:t>
      </w:r>
      <w:bookmarkEnd w:id="460"/>
    </w:p>
    <w:p w14:paraId="69194ED3" w14:textId="1626E978" w:rsidR="002D6F18" w:rsidRPr="002D6F18" w:rsidRDefault="002D6F18" w:rsidP="002D6F18">
      <w:pPr>
        <w:pStyle w:val="EndNoteBibliography"/>
        <w:spacing w:after="0"/>
        <w:ind w:left="380" w:hanging="380"/>
      </w:pPr>
      <w:bookmarkStart w:id="461" w:name="_ENREF_257"/>
      <w:r w:rsidRPr="002D6F18">
        <w:t>257.</w:t>
      </w:r>
      <w:r w:rsidRPr="002D6F18">
        <w:tab/>
        <w:t xml:space="preserve">Zero Suicide Institute. Zero Suicide Framework [Internet]. Education Development Center;  [cited 2024 March 06]. Available from: </w:t>
      </w:r>
      <w:hyperlink r:id="rId199" w:history="1">
        <w:r w:rsidRPr="002D6F18">
          <w:rPr>
            <w:rStyle w:val="Hyperlink"/>
          </w:rPr>
          <w:t>https://zerosuicide.edc.org/</w:t>
        </w:r>
      </w:hyperlink>
      <w:r w:rsidRPr="002D6F18">
        <w:t>.</w:t>
      </w:r>
      <w:bookmarkEnd w:id="461"/>
    </w:p>
    <w:p w14:paraId="6ABE78E2" w14:textId="399C0125" w:rsidR="002D6F18" w:rsidRPr="002D6F18" w:rsidRDefault="002D6F18" w:rsidP="002D6F18">
      <w:pPr>
        <w:pStyle w:val="EndNoteBibliography"/>
        <w:spacing w:after="0"/>
        <w:ind w:left="380" w:hanging="380"/>
      </w:pPr>
      <w:bookmarkStart w:id="462" w:name="_ENREF_258"/>
      <w:r w:rsidRPr="002D6F18">
        <w:t>258.</w:t>
      </w:r>
      <w:r w:rsidRPr="002D6F18">
        <w:tab/>
        <w:t xml:space="preserve">Hill NT, Halliday L, Reavley NJ. Guidelines for integrated suicide-related crisis and follow-up care in emergency departments and other acute settings [Internet]. Sydney: Black Dog Institute 2017 [cited 2023 March 06]. Available from: </w:t>
      </w:r>
      <w:hyperlink r:id="rId200" w:history="1">
        <w:r w:rsidRPr="002D6F18">
          <w:rPr>
            <w:rStyle w:val="Hyperlink"/>
          </w:rPr>
          <w:t>https://www.blackdoginstitute.org.au/wp-content/uploads/2020/04/delphi-guidelines-clinical-summary_web.pdf</w:t>
        </w:r>
      </w:hyperlink>
      <w:r w:rsidRPr="002D6F18">
        <w:t>.</w:t>
      </w:r>
      <w:bookmarkEnd w:id="462"/>
    </w:p>
    <w:p w14:paraId="644D018A" w14:textId="77777777" w:rsidR="002D6F18" w:rsidRPr="002D6F18" w:rsidRDefault="002D6F18" w:rsidP="002D6F18">
      <w:pPr>
        <w:pStyle w:val="EndNoteBibliography"/>
        <w:spacing w:after="0"/>
        <w:ind w:left="380" w:hanging="380"/>
      </w:pPr>
      <w:bookmarkStart w:id="463" w:name="_ENREF_259"/>
      <w:r w:rsidRPr="002D6F18">
        <w:t>259.</w:t>
      </w:r>
      <w:r w:rsidRPr="002D6F18">
        <w:tab/>
        <w:t>Grigoroglou C, van der Feltz-Cornelis C, Hodkinson A, Coventry PA, Zghebi SS, Kontopantelis E, et al. Effectiveness of collaborative care in reducing suicidal ideation: An individual participant data meta-analysis. Gen Hosp Psychiatry. 2021;71:27-35. 10.1016/j.genhosppsych.2021.04.004.</w:t>
      </w:r>
      <w:bookmarkEnd w:id="463"/>
    </w:p>
    <w:p w14:paraId="3EB2159B" w14:textId="77777777" w:rsidR="002D6F18" w:rsidRPr="002D6F18" w:rsidRDefault="002D6F18" w:rsidP="002D6F18">
      <w:pPr>
        <w:pStyle w:val="EndNoteBibliography"/>
        <w:spacing w:after="0"/>
        <w:ind w:left="380" w:hanging="380"/>
      </w:pPr>
      <w:bookmarkStart w:id="464" w:name="_ENREF_260"/>
      <w:r w:rsidRPr="002D6F18">
        <w:t>260.</w:t>
      </w:r>
      <w:r w:rsidRPr="002D6F18">
        <w:tab/>
        <w:t>Kapur N, Cooper J, King-Hele S, Webb R, Lawlor M, Rodway C, et al. The Repetition of Suicidal Behavior: A Multicenter Cohort Study. The Journal of Clinical Psychiatry. 2006. DOI: 10.4088/JCP.v67n1016.</w:t>
      </w:r>
      <w:bookmarkEnd w:id="464"/>
    </w:p>
    <w:p w14:paraId="592E752F" w14:textId="77777777" w:rsidR="002D6F18" w:rsidRPr="002D6F18" w:rsidRDefault="002D6F18" w:rsidP="002D6F18">
      <w:pPr>
        <w:pStyle w:val="EndNoteBibliography"/>
        <w:spacing w:after="0"/>
        <w:ind w:left="380" w:hanging="380"/>
      </w:pPr>
      <w:bookmarkStart w:id="465" w:name="_ENREF_261"/>
      <w:r w:rsidRPr="002D6F18">
        <w:t>261.</w:t>
      </w:r>
      <w:r w:rsidRPr="002D6F18">
        <w:tab/>
        <w:t>ten Have M, De Graaf R, Van Dorsselaer S, Verdurmen J, Van't Land H, Vollebergh W, et al. Incidence and Course of Suicidal Ideation and Suicide Attempts in the General Population. The Canadian Journal of Psychiatry. 2009. DOI: 10.1177/070674370905401205.</w:t>
      </w:r>
      <w:bookmarkEnd w:id="465"/>
    </w:p>
    <w:p w14:paraId="048977C0" w14:textId="77777777" w:rsidR="002D6F18" w:rsidRPr="002D6F18" w:rsidRDefault="002D6F18" w:rsidP="002D6F18">
      <w:pPr>
        <w:pStyle w:val="EndNoteBibliography"/>
        <w:spacing w:after="0"/>
        <w:ind w:left="380" w:hanging="380"/>
      </w:pPr>
      <w:bookmarkStart w:id="466" w:name="_ENREF_262"/>
      <w:r w:rsidRPr="002D6F18">
        <w:t>262.</w:t>
      </w:r>
      <w:r w:rsidRPr="002D6F18">
        <w:tab/>
        <w:t>Paris J. Chronic Suicidality Among Patients with Borderline Personality Disorder. Psychiatric Services. 2002. DOI: 10.1176/appi.ps.53.6.738.</w:t>
      </w:r>
      <w:bookmarkEnd w:id="466"/>
    </w:p>
    <w:p w14:paraId="5FD09A81" w14:textId="3A410F37" w:rsidR="002D6F18" w:rsidRPr="002D6F18" w:rsidRDefault="002D6F18" w:rsidP="002D6F18">
      <w:pPr>
        <w:pStyle w:val="EndNoteBibliography"/>
        <w:spacing w:after="0"/>
        <w:ind w:left="380" w:hanging="380"/>
      </w:pPr>
      <w:bookmarkStart w:id="467" w:name="_ENREF_263"/>
      <w:r w:rsidRPr="002D6F18">
        <w:t>263.</w:t>
      </w:r>
      <w:r w:rsidRPr="002D6F18">
        <w:tab/>
        <w:t xml:space="preserve">Bassilios B, Dunt D, Currier D, Krysinska K, Machlin A, Newton D, et al. Environmental Scan of Suicide Prevention Activity in Australia: Summary Report Melbourne: Centre for Mental Health, The University of Melbourne; 2023 [cited 2023 October 04]. Available from: </w:t>
      </w:r>
      <w:hyperlink r:id="rId201" w:history="1">
        <w:r w:rsidRPr="002D6F18">
          <w:rPr>
            <w:rStyle w:val="Hyperlink"/>
          </w:rPr>
          <w:t>http://hdl.handle.net/11343/337092</w:t>
        </w:r>
      </w:hyperlink>
      <w:r w:rsidRPr="002D6F18">
        <w:t>.</w:t>
      </w:r>
      <w:bookmarkEnd w:id="467"/>
    </w:p>
    <w:p w14:paraId="23E28120" w14:textId="77777777" w:rsidR="002D6F18" w:rsidRPr="002D6F18" w:rsidRDefault="002D6F18" w:rsidP="002D6F18">
      <w:pPr>
        <w:pStyle w:val="EndNoteBibliography"/>
        <w:spacing w:after="0"/>
        <w:ind w:left="380" w:hanging="380"/>
      </w:pPr>
      <w:bookmarkStart w:id="468" w:name="_ENREF_264"/>
      <w:r w:rsidRPr="002D6F18">
        <w:t>264.</w:t>
      </w:r>
      <w:r w:rsidRPr="002D6F18">
        <w:tab/>
        <w:t>Garakani A, Buono FD, Larkin K, Polonsky M, Goldberg JF. Development and Validation of a New Scale to Measure Chronic Suicidal Ideation: The Chronic Suicidal Ideation Inventory-5 (CSI-5). Journal of Psychiatric Research. 2022. DOI: 10.1016/j.jpsychires.2022.03.021.</w:t>
      </w:r>
      <w:bookmarkEnd w:id="468"/>
    </w:p>
    <w:p w14:paraId="2F50A8DB" w14:textId="600098C5" w:rsidR="002D6F18" w:rsidRPr="002D6F18" w:rsidRDefault="002D6F18" w:rsidP="002D6F18">
      <w:pPr>
        <w:pStyle w:val="EndNoteBibliography"/>
        <w:spacing w:after="0"/>
        <w:ind w:left="380" w:hanging="380"/>
      </w:pPr>
      <w:bookmarkStart w:id="469" w:name="_ENREF_265"/>
      <w:r w:rsidRPr="002D6F18">
        <w:t>265.</w:t>
      </w:r>
      <w:r w:rsidRPr="002D6F18">
        <w:tab/>
        <w:t xml:space="preserve">Mendoza J, Rosenberg S. Breaking the Silence - Seminal Report on Suicide and Suicide Prevention in Australia [Internet]. Moffat Beach: ConNetica Consulting Pty Ltd; 2010 [cited 2023 November 02]. Available from: </w:t>
      </w:r>
      <w:hyperlink r:id="rId202" w:history="1">
        <w:r w:rsidRPr="002D6F18">
          <w:rPr>
            <w:rStyle w:val="Hyperlink"/>
          </w:rPr>
          <w:t>https://nceph.anu.edu.au/research/tools-resources/breaking-silence-seminal-report-suicide-and-suicide-prevention-australia</w:t>
        </w:r>
      </w:hyperlink>
      <w:r w:rsidRPr="002D6F18">
        <w:t>.</w:t>
      </w:r>
      <w:bookmarkEnd w:id="469"/>
    </w:p>
    <w:p w14:paraId="273AD0BA" w14:textId="77777777" w:rsidR="002D6F18" w:rsidRPr="002D6F18" w:rsidRDefault="002D6F18" w:rsidP="002D6F18">
      <w:pPr>
        <w:pStyle w:val="EndNoteBibliography"/>
        <w:spacing w:after="0"/>
        <w:ind w:left="380" w:hanging="380"/>
      </w:pPr>
      <w:bookmarkStart w:id="470" w:name="_ENREF_266"/>
      <w:r w:rsidRPr="002D6F18">
        <w:t>266.</w:t>
      </w:r>
      <w:r w:rsidRPr="002D6F18">
        <w:tab/>
        <w:t>Lawn S, Kaine C, Stevenson J, McMahon J. Australian Mental Health Consumers’ Experiences of Service Engagement and Disengagement: A Descriptive Study. International Journal of Environmental Research and Public Health. 2021. 10.3390/ijerph181910464.</w:t>
      </w:r>
      <w:bookmarkEnd w:id="470"/>
    </w:p>
    <w:p w14:paraId="6A6B1E16" w14:textId="77777777" w:rsidR="002D6F18" w:rsidRPr="002D6F18" w:rsidRDefault="002D6F18" w:rsidP="002D6F18">
      <w:pPr>
        <w:pStyle w:val="EndNoteBibliography"/>
        <w:spacing w:after="0"/>
        <w:ind w:left="380" w:hanging="380"/>
      </w:pPr>
      <w:bookmarkStart w:id="471" w:name="_ENREF_267"/>
      <w:r w:rsidRPr="002D6F18">
        <w:t>267.</w:t>
      </w:r>
      <w:r w:rsidRPr="002D6F18">
        <w:tab/>
        <w:t>Simpson A, Flood C, Rowe J, Quigley J, Henry S, Hall C, et al. Results of a Pilot Randomised Controlled Trial to Measure the Clinical and Cost Effectiveness of Peer Support in Increasing Hope and Quality of Life in Mental Health Patients Discharged from Hospital in the UK. BMC Psychiatry. 2014. DOI: 10.1186/1471-244X-14-30.</w:t>
      </w:r>
      <w:bookmarkEnd w:id="471"/>
    </w:p>
    <w:p w14:paraId="78B5C8E0" w14:textId="77777777" w:rsidR="002D6F18" w:rsidRPr="002D6F18" w:rsidRDefault="002D6F18" w:rsidP="002D6F18">
      <w:pPr>
        <w:pStyle w:val="EndNoteBibliography"/>
        <w:spacing w:after="0"/>
        <w:ind w:left="380" w:hanging="380"/>
      </w:pPr>
      <w:bookmarkStart w:id="472" w:name="_ENREF_268"/>
      <w:r w:rsidRPr="002D6F18">
        <w:t>268.</w:t>
      </w:r>
      <w:r w:rsidRPr="002D6F18">
        <w:tab/>
        <w:t>White S, Foster R, Marks J, Morshead R, Goldsmith L, Barlow S, et al. The Effectiveness of One-to-One Peer Support in Mental Health Services: A Systematic Review and Meta-Analysis. BMC Psychiatry. 2020. DOI: 10.1186/s12888-020-02923-3.</w:t>
      </w:r>
      <w:bookmarkEnd w:id="472"/>
    </w:p>
    <w:p w14:paraId="42443CDB" w14:textId="77777777" w:rsidR="002D6F18" w:rsidRPr="002D6F18" w:rsidRDefault="002D6F18" w:rsidP="002D6F18">
      <w:pPr>
        <w:pStyle w:val="EndNoteBibliography"/>
        <w:spacing w:after="0"/>
        <w:ind w:left="380" w:hanging="380"/>
      </w:pPr>
      <w:bookmarkStart w:id="473" w:name="_ENREF_269"/>
      <w:r w:rsidRPr="002D6F18">
        <w:t>269.</w:t>
      </w:r>
      <w:r w:rsidRPr="002D6F18">
        <w:tab/>
        <w:t>Schlichthorst M, Ozols I, Reifels L, Morgan A. Lived Experience Peer Support Programs for Suicide Prevention: A Systematic Scoping Review. International Journal of Mental Health Systems. 2020. DOI: 10.1186/s13033-020-00396-1.</w:t>
      </w:r>
      <w:bookmarkEnd w:id="473"/>
    </w:p>
    <w:p w14:paraId="7F59063E" w14:textId="77777777" w:rsidR="002D6F18" w:rsidRPr="002D6F18" w:rsidRDefault="002D6F18" w:rsidP="002D6F18">
      <w:pPr>
        <w:pStyle w:val="EndNoteBibliography"/>
        <w:spacing w:after="0"/>
        <w:ind w:left="380" w:hanging="380"/>
      </w:pPr>
      <w:bookmarkStart w:id="474" w:name="_ENREF_270"/>
      <w:r w:rsidRPr="002D6F18">
        <w:t>270.</w:t>
      </w:r>
      <w:r w:rsidRPr="002D6F18">
        <w:tab/>
        <w:t>Gibson M, Moreau N, Balzamo E, Crompton D. Peer Intervention Following Suicide-Related Emergency Department Presentation: Evaluation of the PAUSE Pilot Program. International Journal of Environmental Research and Public Health. 2023. DOI: 10.3390/ijerph20043763.</w:t>
      </w:r>
      <w:bookmarkEnd w:id="474"/>
    </w:p>
    <w:p w14:paraId="349CE139" w14:textId="77777777" w:rsidR="002D6F18" w:rsidRPr="002D6F18" w:rsidRDefault="002D6F18" w:rsidP="002D6F18">
      <w:pPr>
        <w:pStyle w:val="EndNoteBibliography"/>
        <w:spacing w:after="0"/>
        <w:ind w:left="380" w:hanging="380"/>
      </w:pPr>
      <w:bookmarkStart w:id="475" w:name="_ENREF_271"/>
      <w:r w:rsidRPr="002D6F18">
        <w:t>271.</w:t>
      </w:r>
      <w:r w:rsidRPr="002D6F18">
        <w:tab/>
        <w:t>Maple M, Wayland S, Pearce T, Sanford R, Bhullar N. A Psychoeducational Support Group Intervention for People Who Have Attempted Suicide: An Open Trial with Promising Preliminary Findings. Community Mental Health Journal. 2022. DOI: 10.1007/s10597-022-00978-y.</w:t>
      </w:r>
      <w:bookmarkEnd w:id="475"/>
    </w:p>
    <w:p w14:paraId="7871F0B9" w14:textId="77777777" w:rsidR="002D6F18" w:rsidRPr="002D6F18" w:rsidRDefault="002D6F18" w:rsidP="002D6F18">
      <w:pPr>
        <w:pStyle w:val="EndNoteBibliography"/>
        <w:spacing w:after="0"/>
        <w:ind w:left="380" w:hanging="380"/>
      </w:pPr>
      <w:bookmarkStart w:id="476" w:name="_ENREF_272"/>
      <w:r w:rsidRPr="002D6F18">
        <w:t>272.</w:t>
      </w:r>
      <w:r w:rsidRPr="002D6F18">
        <w:tab/>
        <w:t>Frey LM, Hans JD, Cerel J. Suicide Disclosure in Suicide Attempt Survivors: Does Family Reaction Moderate or Mediate Disclosure's Effect on Depression? Suicide and Life‐Threatening Behavior. 2016. DOI: 10.1111/sltb.12175.</w:t>
      </w:r>
      <w:bookmarkEnd w:id="476"/>
    </w:p>
    <w:p w14:paraId="2C712B19" w14:textId="77777777" w:rsidR="002D6F18" w:rsidRPr="002D6F18" w:rsidRDefault="002D6F18" w:rsidP="002D6F18">
      <w:pPr>
        <w:pStyle w:val="EndNoteBibliography"/>
        <w:spacing w:after="0"/>
        <w:ind w:left="380" w:hanging="380"/>
      </w:pPr>
      <w:bookmarkStart w:id="477" w:name="_ENREF_273"/>
      <w:r w:rsidRPr="002D6F18">
        <w:t>273.</w:t>
      </w:r>
      <w:r w:rsidRPr="002D6F18">
        <w:tab/>
        <w:t>Frey LM, Fulginiti A. Talking About Suicide May Not be Enough: Family Reaction as a Mediator Between Disclosure and Interpersonal Needs. Journal of Mental Health. 2017. DOI: 10.1080/09638237.2017.1340592.</w:t>
      </w:r>
      <w:bookmarkEnd w:id="477"/>
    </w:p>
    <w:p w14:paraId="6717DD63" w14:textId="77777777" w:rsidR="002D6F18" w:rsidRPr="002D6F18" w:rsidRDefault="002D6F18" w:rsidP="002D6F18">
      <w:pPr>
        <w:pStyle w:val="EndNoteBibliography"/>
        <w:spacing w:after="0"/>
        <w:ind w:left="380" w:hanging="380"/>
      </w:pPr>
      <w:bookmarkStart w:id="478" w:name="_ENREF_274"/>
      <w:r w:rsidRPr="002D6F18">
        <w:t>274.</w:t>
      </w:r>
      <w:r w:rsidRPr="002D6F18">
        <w:tab/>
        <w:t>Edwards TM, Patterson JE, Griffith JL. Suicide Prevention: The Role of Families and Carers. Asia‐Pacific Psychiatry. 2021. DOI: 10.1111/appy.12453.</w:t>
      </w:r>
      <w:bookmarkEnd w:id="478"/>
    </w:p>
    <w:p w14:paraId="76E5EE90" w14:textId="77777777" w:rsidR="002D6F18" w:rsidRPr="002D6F18" w:rsidRDefault="002D6F18" w:rsidP="002D6F18">
      <w:pPr>
        <w:pStyle w:val="EndNoteBibliography"/>
        <w:spacing w:after="0"/>
        <w:ind w:left="380" w:hanging="380"/>
      </w:pPr>
      <w:bookmarkStart w:id="479" w:name="_ENREF_275"/>
      <w:r w:rsidRPr="002D6F18">
        <w:t>275.</w:t>
      </w:r>
      <w:r w:rsidRPr="002D6F18">
        <w:tab/>
        <w:t>Myfanwy Maple, Sarah Wayland, Andrew McMahon, Katie McGill, Navjot Bhullar. “Suicide can’t always be prevented, but it can be postponed” Lived experiences of providing care and support to people who suicide attempt, and those who have gone on to die by suicide A report prepared for the National Suicide Prevention Advisor and National Suicide Prevention Taskforce2020.</w:t>
      </w:r>
      <w:bookmarkEnd w:id="479"/>
    </w:p>
    <w:p w14:paraId="4804873B" w14:textId="77777777" w:rsidR="002D6F18" w:rsidRPr="002D6F18" w:rsidRDefault="002D6F18" w:rsidP="002D6F18">
      <w:pPr>
        <w:pStyle w:val="EndNoteBibliography"/>
        <w:spacing w:after="0"/>
        <w:ind w:left="380" w:hanging="380"/>
      </w:pPr>
      <w:bookmarkStart w:id="480" w:name="_ENREF_276"/>
      <w:r w:rsidRPr="002D6F18">
        <w:t>276.</w:t>
      </w:r>
      <w:r w:rsidRPr="002D6F18">
        <w:tab/>
        <w:t>Wayland S, Coker S, Maple M. The human approach to supportive interventions: The lived experience of people who care for others who suicide attempt. International Journal of Mental Health Nursing. 2020;30. 10.1111/inm.12829.</w:t>
      </w:r>
      <w:bookmarkEnd w:id="480"/>
    </w:p>
    <w:p w14:paraId="49DBBFE7" w14:textId="77777777" w:rsidR="002D6F18" w:rsidRPr="002D6F18" w:rsidRDefault="002D6F18" w:rsidP="002D6F18">
      <w:pPr>
        <w:pStyle w:val="EndNoteBibliography"/>
        <w:spacing w:after="0"/>
        <w:ind w:left="380" w:hanging="380"/>
      </w:pPr>
      <w:bookmarkStart w:id="481" w:name="_ENREF_277"/>
      <w:r w:rsidRPr="002D6F18">
        <w:t>277.</w:t>
      </w:r>
      <w:r w:rsidRPr="002D6F18">
        <w:tab/>
        <w:t>Chiocchi J, Lamph G, Slevin P, Fisher-Smith D, Sampson M. Can a carer (peer) led psychoeducation programme improve mental health carers well-being, reduce burden and enrich empowerment: a service evaluation study. The Journal of Mental Health Training, Education and Practice. 2019;14. 10.1108/JMHTEP-10-2018-0057.</w:t>
      </w:r>
      <w:bookmarkEnd w:id="481"/>
    </w:p>
    <w:p w14:paraId="3FBBCDE4" w14:textId="77777777" w:rsidR="002D6F18" w:rsidRPr="002D6F18" w:rsidRDefault="002D6F18" w:rsidP="002D6F18">
      <w:pPr>
        <w:pStyle w:val="EndNoteBibliography"/>
        <w:spacing w:after="0"/>
        <w:ind w:left="380" w:hanging="380"/>
      </w:pPr>
      <w:bookmarkStart w:id="482" w:name="_ENREF_278"/>
      <w:r w:rsidRPr="002D6F18">
        <w:t>278.</w:t>
      </w:r>
      <w:r w:rsidRPr="002D6F18">
        <w:tab/>
        <w:t>Visa B, Harvey C. Mental health carers’ experiences of an Australian Carer Peer Support program: Tailoring supports to carers’ needs. Health &amp; Social Care in the Community. 2018;27. 10.1111/hsc.12689.</w:t>
      </w:r>
      <w:bookmarkEnd w:id="482"/>
    </w:p>
    <w:p w14:paraId="2C73419B" w14:textId="77777777" w:rsidR="002D6F18" w:rsidRPr="002D6F18" w:rsidRDefault="002D6F18" w:rsidP="002D6F18">
      <w:pPr>
        <w:pStyle w:val="EndNoteBibliography"/>
        <w:spacing w:after="0"/>
        <w:ind w:left="380" w:hanging="380"/>
      </w:pPr>
      <w:bookmarkStart w:id="483" w:name="_ENREF_279"/>
      <w:r w:rsidRPr="002D6F18">
        <w:t>279.</w:t>
      </w:r>
      <w:r w:rsidRPr="002D6F18">
        <w:tab/>
        <w:t>Dash S, McNamara S, de Courten M, Calder R. Social prescribing for suicide prevention: a rapid review. Frontiers in Public Health. 2024;12. 10.3389/fpubh.2024.1396614.</w:t>
      </w:r>
      <w:bookmarkEnd w:id="483"/>
    </w:p>
    <w:p w14:paraId="4DAC7B78" w14:textId="77777777" w:rsidR="002D6F18" w:rsidRPr="002D6F18" w:rsidRDefault="002D6F18" w:rsidP="002D6F18">
      <w:pPr>
        <w:pStyle w:val="EndNoteBibliography"/>
        <w:spacing w:after="0"/>
        <w:ind w:left="380" w:hanging="380"/>
      </w:pPr>
      <w:bookmarkStart w:id="484" w:name="_ENREF_280"/>
      <w:r w:rsidRPr="002D6F18">
        <w:t>280.</w:t>
      </w:r>
      <w:r w:rsidRPr="002D6F18">
        <w:tab/>
        <w:t>Bickerdike L, Booth A, Wilson PM, Farley K, Wright K. Social Prescribing: Less Rhetoric and More Reality. A Systematic Review of the Evidence. BMJ Open. 2017. DOI: 10.1136/bmjopen-2016-013384.</w:t>
      </w:r>
      <w:bookmarkEnd w:id="484"/>
    </w:p>
    <w:p w14:paraId="21D9C01C" w14:textId="77777777" w:rsidR="002D6F18" w:rsidRPr="002D6F18" w:rsidRDefault="002D6F18" w:rsidP="002D6F18">
      <w:pPr>
        <w:pStyle w:val="EndNoteBibliography"/>
        <w:spacing w:after="0"/>
        <w:ind w:left="380" w:hanging="380"/>
      </w:pPr>
      <w:bookmarkStart w:id="485" w:name="_ENREF_281"/>
      <w:r w:rsidRPr="002D6F18">
        <w:t>281.</w:t>
      </w:r>
      <w:r w:rsidRPr="002D6F18">
        <w:tab/>
        <w:t>Husk K, Elston J, Gradinger F, Callaghan L, Asthana S. Social Prescribing: Where is the Evidence? British Journal of General Practice. 2019. DOI: 10.3399/bjgp19X700325.</w:t>
      </w:r>
      <w:bookmarkEnd w:id="485"/>
    </w:p>
    <w:p w14:paraId="295BD1B8" w14:textId="77777777" w:rsidR="002D6F18" w:rsidRPr="002D6F18" w:rsidRDefault="002D6F18" w:rsidP="002D6F18">
      <w:pPr>
        <w:pStyle w:val="EndNoteBibliography"/>
        <w:spacing w:after="0"/>
        <w:ind w:left="380" w:hanging="380"/>
      </w:pPr>
      <w:bookmarkStart w:id="486" w:name="_ENREF_282"/>
      <w:r w:rsidRPr="002D6F18">
        <w:t>282.</w:t>
      </w:r>
      <w:r w:rsidRPr="002D6F18">
        <w:tab/>
        <w:t>Thomas G, Lynch M, Spencer LH. A Systematic Review to Examine the Evidence in Developing Social Prescribing Interventions that Apply a Co-Productive, Co-Designed Approach to Improve Well-Being Outcomes in a Community Setting. International Journal of Environmental Research and Public Health. 2021. DOI: 10.3390/ijerph18083896.</w:t>
      </w:r>
      <w:bookmarkEnd w:id="486"/>
    </w:p>
    <w:p w14:paraId="6538C2BA" w14:textId="77777777" w:rsidR="002D6F18" w:rsidRPr="002D6F18" w:rsidRDefault="002D6F18" w:rsidP="002D6F18">
      <w:pPr>
        <w:pStyle w:val="EndNoteBibliography"/>
        <w:spacing w:after="0"/>
        <w:ind w:left="380" w:hanging="380"/>
      </w:pPr>
      <w:bookmarkStart w:id="487" w:name="_ENREF_283"/>
      <w:r w:rsidRPr="002D6F18">
        <w:t>283.</w:t>
      </w:r>
      <w:r w:rsidRPr="002D6F18">
        <w:tab/>
        <w:t>Rothe D, Heiss R. Link Workers, Activities and Target Groups in Social Prescribing: A Literature Review. Journal of Integrated Care. 2022. DOI: 10.1108/JICA-09-2021-0047.</w:t>
      </w:r>
      <w:bookmarkEnd w:id="487"/>
    </w:p>
    <w:p w14:paraId="08C1148A" w14:textId="77777777" w:rsidR="002D6F18" w:rsidRPr="002D6F18" w:rsidRDefault="002D6F18" w:rsidP="002D6F18">
      <w:pPr>
        <w:pStyle w:val="EndNoteBibliography"/>
        <w:spacing w:after="0"/>
        <w:ind w:left="380" w:hanging="380"/>
      </w:pPr>
      <w:bookmarkStart w:id="488" w:name="_ENREF_284"/>
      <w:r w:rsidRPr="002D6F18">
        <w:t>284.</w:t>
      </w:r>
      <w:r w:rsidRPr="002D6F18">
        <w:tab/>
        <w:t>Murrup-Stewart C, Whyman T, Jobson L, Adams K. “Connection to Culture Is Like a Massive Lifeline”: Yarning With Aboriginal Young People About Culture and Social and Emotional Wellbeing. Qualitative Health Research. 2021;31(10):1833-46. 10.1177/10497323211009475.</w:t>
      </w:r>
      <w:bookmarkEnd w:id="488"/>
    </w:p>
    <w:p w14:paraId="6B85DD7C" w14:textId="77777777" w:rsidR="002D6F18" w:rsidRPr="002D6F18" w:rsidRDefault="002D6F18" w:rsidP="002D6F18">
      <w:pPr>
        <w:pStyle w:val="EndNoteBibliography"/>
        <w:spacing w:after="0"/>
        <w:ind w:left="380" w:hanging="380"/>
      </w:pPr>
      <w:bookmarkStart w:id="489" w:name="_ENREF_285"/>
      <w:r w:rsidRPr="002D6F18">
        <w:t>285.</w:t>
      </w:r>
      <w:r w:rsidRPr="002D6F18">
        <w:tab/>
        <w:t>Pescheny J, Randhawa G, Pappas Y. The impact of social prescribing services on service users: a systematic review of the evidence. European journal of public health. 2019;30. 10.1093/eurpub/ckz078.</w:t>
      </w:r>
      <w:bookmarkEnd w:id="489"/>
    </w:p>
    <w:p w14:paraId="6B4BA920" w14:textId="77777777" w:rsidR="002D6F18" w:rsidRPr="002D6F18" w:rsidRDefault="002D6F18" w:rsidP="002D6F18">
      <w:pPr>
        <w:pStyle w:val="EndNoteBibliography"/>
        <w:spacing w:after="0"/>
        <w:ind w:left="380" w:hanging="380"/>
      </w:pPr>
      <w:bookmarkStart w:id="490" w:name="_ENREF_286"/>
      <w:r w:rsidRPr="002D6F18">
        <w:t>286.</w:t>
      </w:r>
      <w:r w:rsidRPr="002D6F18">
        <w:tab/>
        <w:t>Reinhardt GY, Vidovic D, Hammerton C. Understanding loneliness: a systematic review of the impact of social prescribing initiatives on loneliness. Perspect Public Health. 2021;141(4):204-13. 10.1177/1757913920967040.</w:t>
      </w:r>
      <w:bookmarkEnd w:id="490"/>
    </w:p>
    <w:p w14:paraId="7D1E4E38" w14:textId="77777777" w:rsidR="002D6F18" w:rsidRPr="002D6F18" w:rsidRDefault="002D6F18" w:rsidP="002D6F18">
      <w:pPr>
        <w:pStyle w:val="EndNoteBibliography"/>
        <w:spacing w:after="0"/>
        <w:ind w:left="380" w:hanging="380"/>
      </w:pPr>
      <w:bookmarkStart w:id="491" w:name="_ENREF_287"/>
      <w:r w:rsidRPr="002D6F18">
        <w:t>287.</w:t>
      </w:r>
      <w:r w:rsidRPr="002D6F18">
        <w:tab/>
        <w:t>Vidovic D, Reinhardt G, Hammerton C. Can Social Prescribing Foster Individual and Community Well-Being? A Systematic Review of the Evidence. International Journal of Environmental Research and Public Health. 2021;18:5276. 10.3390/ijerph18105276.</w:t>
      </w:r>
      <w:bookmarkEnd w:id="491"/>
    </w:p>
    <w:p w14:paraId="6E7316C9" w14:textId="77777777" w:rsidR="002D6F18" w:rsidRPr="002D6F18" w:rsidRDefault="002D6F18" w:rsidP="002D6F18">
      <w:pPr>
        <w:pStyle w:val="EndNoteBibliography"/>
        <w:spacing w:after="0"/>
        <w:ind w:left="380" w:hanging="380"/>
      </w:pPr>
      <w:bookmarkStart w:id="492" w:name="_ENREF_288"/>
      <w:r w:rsidRPr="002D6F18">
        <w:t>288.</w:t>
      </w:r>
      <w:r w:rsidRPr="002D6F18">
        <w:tab/>
        <w:t>Wildman J, Wildman JM. Impact of a link worker social prescribing intervention on non-elective admitted patient care costs: A quasi-experimental study. Soc Sci Med. 2023;317:115598. 10.1016/j.socscimed.2022.115598.</w:t>
      </w:r>
      <w:bookmarkEnd w:id="492"/>
    </w:p>
    <w:p w14:paraId="7A38E259" w14:textId="77777777" w:rsidR="002D6F18" w:rsidRPr="002D6F18" w:rsidRDefault="002D6F18" w:rsidP="002D6F18">
      <w:pPr>
        <w:pStyle w:val="EndNoteBibliography"/>
        <w:spacing w:after="0"/>
        <w:ind w:left="380" w:hanging="380"/>
      </w:pPr>
      <w:bookmarkStart w:id="493" w:name="_ENREF_289"/>
      <w:r w:rsidRPr="002D6F18">
        <w:t>289.</w:t>
      </w:r>
      <w:r w:rsidRPr="002D6F18">
        <w:tab/>
        <w:t>Griffiths C, Hina F, Jiang H. Social Prescribing through Primary Care: A Systematic Review of the Evidence. Open Journal of Preventive Medicine. 2022. DOI: 10.4236/ojpm.2022.122003.</w:t>
      </w:r>
      <w:bookmarkEnd w:id="493"/>
    </w:p>
    <w:p w14:paraId="5ED25A1B" w14:textId="77777777" w:rsidR="002D6F18" w:rsidRPr="002D6F18" w:rsidRDefault="002D6F18" w:rsidP="002D6F18">
      <w:pPr>
        <w:pStyle w:val="EndNoteBibliography"/>
        <w:spacing w:after="0"/>
        <w:ind w:left="380" w:hanging="380"/>
      </w:pPr>
      <w:bookmarkStart w:id="494" w:name="_ENREF_290"/>
      <w:r w:rsidRPr="002D6F18">
        <w:t>290.</w:t>
      </w:r>
      <w:r w:rsidRPr="002D6F18">
        <w:tab/>
        <w:t>Pescheny J, Pappas Y, Randhawa G. Facilitators and barriers of implementing and delivering social prescribing services: A systematic review. BMC Health Services Research. 2018;18:86. 10.1186/s12913-018-2893-4.</w:t>
      </w:r>
      <w:bookmarkEnd w:id="494"/>
    </w:p>
    <w:p w14:paraId="5AEE8938" w14:textId="77777777" w:rsidR="002D6F18" w:rsidRPr="002D6F18" w:rsidRDefault="002D6F18" w:rsidP="002D6F18">
      <w:pPr>
        <w:pStyle w:val="EndNoteBibliography"/>
        <w:spacing w:after="0"/>
        <w:ind w:left="380" w:hanging="380"/>
      </w:pPr>
      <w:bookmarkStart w:id="495" w:name="_ENREF_291"/>
      <w:r w:rsidRPr="002D6F18">
        <w:t>291.</w:t>
      </w:r>
      <w:r w:rsidRPr="002D6F18">
        <w:tab/>
        <w:t>Chatterjee H, Camic P, Lockyer B, Thomson L. Non-clinical community interventions: a systematised review of social prescribing schemes. Arts &amp; Health. 2017;10:1-27. 10.1080/17533015.2017.1334002.</w:t>
      </w:r>
      <w:bookmarkEnd w:id="495"/>
    </w:p>
    <w:p w14:paraId="7EF8E3BE" w14:textId="77777777" w:rsidR="002D6F18" w:rsidRPr="002D6F18" w:rsidRDefault="002D6F18" w:rsidP="002D6F18">
      <w:pPr>
        <w:pStyle w:val="EndNoteBibliography"/>
        <w:spacing w:after="0"/>
        <w:ind w:left="380" w:hanging="380"/>
      </w:pPr>
      <w:bookmarkStart w:id="496" w:name="_ENREF_292"/>
      <w:r w:rsidRPr="002D6F18">
        <w:t>292.</w:t>
      </w:r>
      <w:r w:rsidRPr="002D6F18">
        <w:tab/>
        <w:t>Costa A, Sousa C, Seabra P, Virgolino A, Santos O, Lopes J, et al. Effectiveness of Social Prescribing Programs in the Primary Health-Care Context: A Systematic Literature Review. Sustainability. 2021;13:1-21. 10.3390/su13052731.</w:t>
      </w:r>
      <w:bookmarkEnd w:id="496"/>
    </w:p>
    <w:p w14:paraId="2A6D5300" w14:textId="050CCB0D" w:rsidR="002D6F18" w:rsidRPr="002D6F18" w:rsidRDefault="002D6F18" w:rsidP="002D6F18">
      <w:pPr>
        <w:pStyle w:val="EndNoteBibliography"/>
        <w:spacing w:after="0"/>
        <w:ind w:left="380" w:hanging="380"/>
      </w:pPr>
      <w:bookmarkStart w:id="497" w:name="_ENREF_293"/>
      <w:r w:rsidRPr="002D6F18">
        <w:t>293.</w:t>
      </w:r>
      <w:r w:rsidRPr="002D6F18">
        <w:tab/>
        <w:t xml:space="preserve">World Health Organization. Live Life: An Implementation Guide for Suicide Prevention in Countries [Internet]. WHO; 2021 [cited 2023 October 30]. Available from: </w:t>
      </w:r>
      <w:hyperlink r:id="rId203" w:history="1">
        <w:r w:rsidRPr="002D6F18">
          <w:rPr>
            <w:rStyle w:val="Hyperlink"/>
          </w:rPr>
          <w:t>https://www.who.int/publications/i/item/9789240026629</w:t>
        </w:r>
      </w:hyperlink>
      <w:r w:rsidRPr="002D6F18">
        <w:t>.</w:t>
      </w:r>
      <w:bookmarkEnd w:id="497"/>
    </w:p>
    <w:p w14:paraId="746D2D3C" w14:textId="77777777" w:rsidR="002D6F18" w:rsidRPr="002D6F18" w:rsidRDefault="002D6F18" w:rsidP="002D6F18">
      <w:pPr>
        <w:pStyle w:val="EndNoteBibliography"/>
        <w:spacing w:after="0"/>
        <w:ind w:left="380" w:hanging="380"/>
      </w:pPr>
      <w:bookmarkStart w:id="498" w:name="_ENREF_294"/>
      <w:r w:rsidRPr="002D6F18">
        <w:t>294.</w:t>
      </w:r>
      <w:r w:rsidRPr="002D6F18">
        <w:tab/>
        <w:t>Espeland K, Knizek BL, Hjelmeland H. "Time to Try Something New" – Professionals' Experiences and Reflections on Suicide Prevention in Norway. Crisis: The Journal of Crisis Intervention and Suicide Prevention. 2021. DOI: 10.1027/0227-5910/a000740.</w:t>
      </w:r>
      <w:bookmarkEnd w:id="498"/>
    </w:p>
    <w:p w14:paraId="6B617DA2" w14:textId="77777777" w:rsidR="002D6F18" w:rsidRPr="002D6F18" w:rsidRDefault="002D6F18" w:rsidP="002D6F18">
      <w:pPr>
        <w:pStyle w:val="EndNoteBibliography"/>
        <w:spacing w:after="0"/>
        <w:ind w:left="380" w:hanging="380"/>
      </w:pPr>
      <w:bookmarkStart w:id="499" w:name="_ENREF_295"/>
      <w:r w:rsidRPr="002D6F18">
        <w:t>295.</w:t>
      </w:r>
      <w:r w:rsidRPr="002D6F18">
        <w:tab/>
        <w:t>Amri M, Chatur A, O'Campo P. An Umbrella Review of Intersectoral and Multisectoral Approaches to Health Policy. Social Science &amp; Medicine. 2022. DOI: 10.1016/j.socscimed.2022.115469.</w:t>
      </w:r>
      <w:bookmarkEnd w:id="499"/>
    </w:p>
    <w:p w14:paraId="0BFD9A94" w14:textId="77777777" w:rsidR="002D6F18" w:rsidRPr="002D6F18" w:rsidRDefault="002D6F18" w:rsidP="002D6F18">
      <w:pPr>
        <w:pStyle w:val="EndNoteBibliography"/>
        <w:spacing w:after="0"/>
        <w:ind w:left="380" w:hanging="380"/>
      </w:pPr>
      <w:bookmarkStart w:id="500" w:name="_ENREF_296"/>
      <w:r w:rsidRPr="002D6F18">
        <w:t>296.</w:t>
      </w:r>
      <w:r w:rsidRPr="002D6F18">
        <w:tab/>
        <w:t>Okamura K, Ikeshita K, Kimoto S, Makinodan M, Kishimoto T. Suicide Prevention in Japan: Government and Community Measures, and High‐Risk Interventions. Asia‐Pacific Psychiatry. 2021. DOI: 10.1111/appy.12471.</w:t>
      </w:r>
      <w:bookmarkEnd w:id="500"/>
    </w:p>
    <w:p w14:paraId="73139725" w14:textId="3BF0949F" w:rsidR="002D6F18" w:rsidRPr="002D6F18" w:rsidRDefault="002D6F18" w:rsidP="002D6F18">
      <w:pPr>
        <w:pStyle w:val="EndNoteBibliography"/>
        <w:spacing w:after="0"/>
        <w:ind w:left="380" w:hanging="380"/>
      </w:pPr>
      <w:bookmarkStart w:id="501" w:name="_ENREF_297"/>
      <w:r w:rsidRPr="002D6F18">
        <w:t>297.</w:t>
      </w:r>
      <w:r w:rsidRPr="002D6F18">
        <w:tab/>
        <w:t xml:space="preserve">National Suicide Prevention Adviser. Connected and Compassionate: Implementing a National Whole-of-Governments Approach to Suicide Prevention [Internet]. Canberra: National Mental Health Commission; 2020 [cited 2023 October 05]. Available from: </w:t>
      </w:r>
      <w:hyperlink r:id="rId204" w:history="1">
        <w:r w:rsidRPr="002D6F18">
          <w:rPr>
            <w:rStyle w:val="Hyperlink"/>
          </w:rPr>
          <w:t>https://www.mentalhealthcommission.gov.au/getmedia/543d313c-5749-404d-b349-b08db3a7fd96/Connected-and-Compassionate</w:t>
        </w:r>
      </w:hyperlink>
      <w:r w:rsidRPr="002D6F18">
        <w:t>.</w:t>
      </w:r>
      <w:bookmarkEnd w:id="501"/>
    </w:p>
    <w:p w14:paraId="45E9C5BF" w14:textId="09909091" w:rsidR="002D6F18" w:rsidRPr="002D6F18" w:rsidRDefault="002D6F18" w:rsidP="002D6F18">
      <w:pPr>
        <w:pStyle w:val="EndNoteBibliography"/>
        <w:spacing w:after="0"/>
        <w:ind w:left="380" w:hanging="380"/>
      </w:pPr>
      <w:bookmarkStart w:id="502" w:name="_ENREF_298"/>
      <w:r w:rsidRPr="002D6F18">
        <w:t>298.</w:t>
      </w:r>
      <w:r w:rsidRPr="002D6F18">
        <w:tab/>
        <w:t xml:space="preserve">Department of Health and Social Care. Policy paper: Suicide prevention in England: 5-year cross-sector strategy. [Internet]. UK Government; 2023 [cited 2024 March 06]. Available from: </w:t>
      </w:r>
      <w:hyperlink r:id="rId205" w:history="1">
        <w:r w:rsidRPr="002D6F18">
          <w:rPr>
            <w:rStyle w:val="Hyperlink"/>
          </w:rPr>
          <w:t>https://www.gov.uk/government/publications/suicide-prevention-strategy-for-england-2023-to-2028</w:t>
        </w:r>
      </w:hyperlink>
      <w:r w:rsidRPr="002D6F18">
        <w:t>.</w:t>
      </w:r>
      <w:bookmarkEnd w:id="502"/>
    </w:p>
    <w:p w14:paraId="697FEB03" w14:textId="737024A8" w:rsidR="002D6F18" w:rsidRPr="002D6F18" w:rsidRDefault="002D6F18" w:rsidP="002D6F18">
      <w:pPr>
        <w:pStyle w:val="EndNoteBibliography"/>
        <w:spacing w:after="0"/>
        <w:ind w:left="380" w:hanging="380"/>
      </w:pPr>
      <w:bookmarkStart w:id="503" w:name="_ENREF_299"/>
      <w:r w:rsidRPr="002D6F18">
        <w:t>299.</w:t>
      </w:r>
      <w:r w:rsidRPr="002D6F18">
        <w:tab/>
        <w:t xml:space="preserve">Kania J, Kramer M. Collective Impact [Internet]. Stanford Social Innovation Review; 2011 [cited 2023 November 06]. Available from: </w:t>
      </w:r>
      <w:hyperlink r:id="rId206" w:history="1">
        <w:r w:rsidRPr="002D6F18">
          <w:rPr>
            <w:rStyle w:val="Hyperlink"/>
          </w:rPr>
          <w:t>https://ssir.org/articles/entry/collective_impact/</w:t>
        </w:r>
      </w:hyperlink>
      <w:r w:rsidRPr="002D6F18">
        <w:t>.</w:t>
      </w:r>
      <w:bookmarkEnd w:id="503"/>
    </w:p>
    <w:p w14:paraId="3993F2C1" w14:textId="77777777" w:rsidR="002D6F18" w:rsidRPr="002D6F18" w:rsidRDefault="002D6F18" w:rsidP="002D6F18">
      <w:pPr>
        <w:pStyle w:val="EndNoteBibliography"/>
        <w:spacing w:after="0"/>
        <w:ind w:left="380" w:hanging="380"/>
      </w:pPr>
      <w:bookmarkStart w:id="504" w:name="_ENREF_300"/>
      <w:r w:rsidRPr="002D6F18">
        <w:t>300.</w:t>
      </w:r>
      <w:r w:rsidRPr="002D6F18">
        <w:tab/>
        <w:t>Ortenzi F, Marten R, Valentine NB, Kwamie A, Rasanathan K. Whole-of-Government and Whole-of-Society Approaches: Call for Further Research to Improve Population Health and Health Equity. 2022. DOI: 10.1136/bmjgh-2022-009972.</w:t>
      </w:r>
      <w:bookmarkEnd w:id="504"/>
    </w:p>
    <w:p w14:paraId="34A48BEA" w14:textId="62986D35" w:rsidR="002D6F18" w:rsidRPr="002D6F18" w:rsidRDefault="002D6F18" w:rsidP="002D6F18">
      <w:pPr>
        <w:pStyle w:val="EndNoteBibliography"/>
        <w:spacing w:after="0"/>
        <w:ind w:left="380" w:hanging="380"/>
      </w:pPr>
      <w:bookmarkStart w:id="505" w:name="_ENREF_301"/>
      <w:r w:rsidRPr="002D6F18">
        <w:t>301.</w:t>
      </w:r>
      <w:r w:rsidRPr="002D6F18">
        <w:tab/>
        <w:t xml:space="preserve">Government of South Australia. Suicide Prevention Act 2021 [Internet]. Adelaide, South Australia: Government of South Australia; 2021 [cited 2023 November 06]. Available from: </w:t>
      </w:r>
      <w:hyperlink r:id="rId207" w:history="1">
        <w:r w:rsidRPr="002D6F18">
          <w:rPr>
            <w:rStyle w:val="Hyperlink"/>
          </w:rPr>
          <w:t>https://www.legislation.sa.gov.au/__legislation/lz/v/a/2021/suicide%20prevention%20act%202021_51/2021.51.un.pdf</w:t>
        </w:r>
      </w:hyperlink>
      <w:r w:rsidRPr="002D6F18">
        <w:t>.</w:t>
      </w:r>
      <w:bookmarkEnd w:id="505"/>
    </w:p>
    <w:p w14:paraId="63AB85FC" w14:textId="72002D97" w:rsidR="002D6F18" w:rsidRPr="002D6F18" w:rsidRDefault="002D6F18" w:rsidP="002D6F18">
      <w:pPr>
        <w:pStyle w:val="EndNoteBibliography"/>
        <w:spacing w:after="0"/>
        <w:ind w:left="380" w:hanging="380"/>
      </w:pPr>
      <w:bookmarkStart w:id="506" w:name="_ENREF_302"/>
      <w:r w:rsidRPr="002D6F18">
        <w:t>302.</w:t>
      </w:r>
      <w:r w:rsidRPr="002D6F18">
        <w:tab/>
        <w:t xml:space="preserve">Mental Health Commission of New South Wales. Strategic Framework for Suicide Prevention in NSW 2022-2027 [Internet]. Sydney, New South Wales: Mental Health Commission of New South Wales; 2022 [cited 2023 November 06]. Available from: </w:t>
      </w:r>
      <w:hyperlink r:id="rId208" w:history="1">
        <w:r w:rsidRPr="002D6F18">
          <w:rPr>
            <w:rStyle w:val="Hyperlink"/>
          </w:rPr>
          <w:t>https://www.health.nsw.gov.au/mentalhealth/Pages/suicide-prevention-strategic-framework.aspx</w:t>
        </w:r>
      </w:hyperlink>
      <w:r w:rsidRPr="002D6F18">
        <w:t>.</w:t>
      </w:r>
      <w:bookmarkEnd w:id="506"/>
    </w:p>
    <w:p w14:paraId="6BB2C63C" w14:textId="4D75B379" w:rsidR="002D6F18" w:rsidRPr="002D6F18" w:rsidRDefault="002D6F18" w:rsidP="002D6F18">
      <w:pPr>
        <w:pStyle w:val="EndNoteBibliography"/>
        <w:spacing w:after="0"/>
        <w:ind w:left="380" w:hanging="380"/>
      </w:pPr>
      <w:bookmarkStart w:id="507" w:name="_ENREF_303"/>
      <w:r w:rsidRPr="002D6F18">
        <w:t>303.</w:t>
      </w:r>
      <w:r w:rsidRPr="002D6F18">
        <w:tab/>
        <w:t xml:space="preserve">Western Australia Mental Health Commission. Western Australian Suicide Prevention Framework 2021-2025 [Internet]. Perth, Western Australia: Western Australia Mental Health Commission; 2021 [cited 2023 November 06]. Available from: </w:t>
      </w:r>
      <w:hyperlink r:id="rId209" w:history="1">
        <w:r w:rsidRPr="002D6F18">
          <w:rPr>
            <w:rStyle w:val="Hyperlink"/>
          </w:rPr>
          <w:t>https://www.mhc.wa.gov.au/media/3505/wa-suicideprevention-a4-mk40-web-version.pdf</w:t>
        </w:r>
      </w:hyperlink>
      <w:r w:rsidRPr="002D6F18">
        <w:t>.</w:t>
      </w:r>
      <w:bookmarkEnd w:id="507"/>
    </w:p>
    <w:p w14:paraId="2092FCF4" w14:textId="4D93C4B5" w:rsidR="002D6F18" w:rsidRPr="002D6F18" w:rsidRDefault="002D6F18" w:rsidP="002D6F18">
      <w:pPr>
        <w:pStyle w:val="EndNoteBibliography"/>
        <w:spacing w:after="0"/>
        <w:ind w:left="380" w:hanging="380"/>
      </w:pPr>
      <w:bookmarkStart w:id="508" w:name="_ENREF_304"/>
      <w:r w:rsidRPr="002D6F18">
        <w:t>304.</w:t>
      </w:r>
      <w:r w:rsidRPr="002D6F18">
        <w:tab/>
        <w:t xml:space="preserve">Northern Territory Government. Health and Wellbeing [Internet]. Northern Territory Government; 2023 [cited 2023 October 05]. Available from: </w:t>
      </w:r>
      <w:hyperlink r:id="rId210" w:history="1">
        <w:r w:rsidRPr="002D6F18">
          <w:rPr>
            <w:rStyle w:val="Hyperlink"/>
          </w:rPr>
          <w:t>https://nt.gov.au/wellbeing</w:t>
        </w:r>
      </w:hyperlink>
      <w:r w:rsidRPr="002D6F18">
        <w:t>.</w:t>
      </w:r>
      <w:bookmarkEnd w:id="508"/>
    </w:p>
    <w:p w14:paraId="5B8B4D90" w14:textId="21039625" w:rsidR="002D6F18" w:rsidRPr="002D6F18" w:rsidRDefault="002D6F18" w:rsidP="002D6F18">
      <w:pPr>
        <w:pStyle w:val="EndNoteBibliography"/>
        <w:spacing w:after="0"/>
        <w:ind w:left="380" w:hanging="380"/>
      </w:pPr>
      <w:bookmarkStart w:id="509" w:name="_ENREF_305"/>
      <w:r w:rsidRPr="002D6F18">
        <w:t>305.</w:t>
      </w:r>
      <w:r w:rsidRPr="002D6F18">
        <w:tab/>
        <w:t xml:space="preserve">Alcohol and Drug Directorate Mental Health. Compassion and Connection: Tasmanian Suicide Prevention Strategy 2023-2027 [Internet]. Hobart, Tasmania: Tasmanian Department of Health; 2022 [cited 2023 November 06]. Available from: </w:t>
      </w:r>
      <w:hyperlink r:id="rId211" w:history="1">
        <w:r w:rsidRPr="002D6F18">
          <w:rPr>
            <w:rStyle w:val="Hyperlink"/>
          </w:rPr>
          <w:t>https://www.health.tas.gov.au/publications/tasmanian-suicide-prevention-strategy-2023-2027</w:t>
        </w:r>
      </w:hyperlink>
      <w:r w:rsidRPr="002D6F18">
        <w:t>.</w:t>
      </w:r>
      <w:bookmarkEnd w:id="509"/>
    </w:p>
    <w:p w14:paraId="1BC9E3F4" w14:textId="49DB686B" w:rsidR="002D6F18" w:rsidRPr="002D6F18" w:rsidRDefault="002D6F18" w:rsidP="002D6F18">
      <w:pPr>
        <w:pStyle w:val="EndNoteBibliography"/>
        <w:spacing w:after="0"/>
        <w:ind w:left="380" w:hanging="380"/>
      </w:pPr>
      <w:bookmarkStart w:id="510" w:name="_ENREF_306"/>
      <w:r w:rsidRPr="002D6F18">
        <w:t>306.</w:t>
      </w:r>
      <w:r w:rsidRPr="002D6F18">
        <w:tab/>
        <w:t xml:space="preserve">Queensland Mental Health Commission. Every Life: The Queensland Suicide Prevention Plan 2019-2029, Phase One [Internet]. Brisbane, Queensland: Queensland Mental Health Commission; 2019 [cited 2023 November 06]. Available from: </w:t>
      </w:r>
      <w:hyperlink r:id="rId212" w:history="1">
        <w:r w:rsidRPr="002D6F18">
          <w:rPr>
            <w:rStyle w:val="Hyperlink"/>
          </w:rPr>
          <w:t>https://www.qmhc.qld.gov.au/sites/default/files/every_life_the_queensland_suicide_prevention_plan_2019-2029_web.pdf</w:t>
        </w:r>
      </w:hyperlink>
      <w:r w:rsidRPr="002D6F18">
        <w:t>.</w:t>
      </w:r>
      <w:bookmarkEnd w:id="510"/>
    </w:p>
    <w:p w14:paraId="6390A0D5" w14:textId="75F73432" w:rsidR="002D6F18" w:rsidRPr="002D6F18" w:rsidRDefault="002D6F18" w:rsidP="002D6F18">
      <w:pPr>
        <w:pStyle w:val="EndNoteBibliography"/>
        <w:spacing w:after="0"/>
        <w:ind w:left="380" w:hanging="380"/>
      </w:pPr>
      <w:bookmarkStart w:id="511" w:name="_ENREF_307"/>
      <w:r w:rsidRPr="002D6F18">
        <w:t>307.</w:t>
      </w:r>
      <w:r w:rsidRPr="002D6F18">
        <w:tab/>
        <w:t xml:space="preserve">Victorian Department of Health. Victorian Suicide Prevention Framework 2016-2025 [Internet]. Melbourne, Victoria: Victoria State Government; 2016 [cited 2023 November 06]. Available from: </w:t>
      </w:r>
      <w:hyperlink r:id="rId213" w:history="1">
        <w:r w:rsidRPr="002D6F18">
          <w:rPr>
            <w:rStyle w:val="Hyperlink"/>
          </w:rPr>
          <w:t>https://www.health.vic.gov.au/publications/victorian-suicide-prevention-framework-2016-2025</w:t>
        </w:r>
      </w:hyperlink>
      <w:r w:rsidRPr="002D6F18">
        <w:t>.</w:t>
      </w:r>
      <w:bookmarkEnd w:id="511"/>
    </w:p>
    <w:p w14:paraId="258B79C1" w14:textId="77777777" w:rsidR="002D6F18" w:rsidRPr="002D6F18" w:rsidRDefault="002D6F18" w:rsidP="002D6F18">
      <w:pPr>
        <w:pStyle w:val="EndNoteBibliography"/>
        <w:spacing w:after="0"/>
        <w:ind w:left="380" w:hanging="380"/>
      </w:pPr>
      <w:bookmarkStart w:id="512" w:name="_ENREF_308"/>
      <w:r w:rsidRPr="002D6F18">
        <w:t>308.</w:t>
      </w:r>
      <w:r w:rsidRPr="002D6F18">
        <w:tab/>
        <w:t>Morgan A, Roberts R, Mackinnon A, Reifels L. The effectiveness of an Australian community suicide prevention networks program in preventing suicide: a controlled longitudinal study. BMC Public Health. 2022;22. 10.1186/s12889-022-14331-1.</w:t>
      </w:r>
      <w:bookmarkEnd w:id="512"/>
    </w:p>
    <w:p w14:paraId="61A90AF7" w14:textId="4FA6E7E3" w:rsidR="002D6F18" w:rsidRPr="002D6F18" w:rsidRDefault="002D6F18" w:rsidP="002D6F18">
      <w:pPr>
        <w:pStyle w:val="EndNoteBibliography"/>
        <w:spacing w:after="0"/>
        <w:ind w:left="380" w:hanging="380"/>
      </w:pPr>
      <w:bookmarkStart w:id="513" w:name="_ENREF_309"/>
      <w:r w:rsidRPr="002D6F18">
        <w:t>309.</w:t>
      </w:r>
      <w:r w:rsidRPr="002D6F18">
        <w:tab/>
        <w:t xml:space="preserve">KPMG. Analysis of Suicide Prevention Trials: Evaluation Findings, Discussion Paper [Internet]. Department of Health and Aged Care; 2022 [cited 2023 November 05]. Available from: </w:t>
      </w:r>
      <w:hyperlink r:id="rId214" w:history="1">
        <w:r w:rsidRPr="002D6F18">
          <w:rPr>
            <w:rStyle w:val="Hyperlink"/>
          </w:rPr>
          <w:t>https://www.health.gov.au/resources/publications/analysis-of-suicide-prevention-trials-evaluation-findings-discussion-paper</w:t>
        </w:r>
      </w:hyperlink>
      <w:r w:rsidRPr="002D6F18">
        <w:t>.</w:t>
      </w:r>
      <w:bookmarkEnd w:id="513"/>
    </w:p>
    <w:p w14:paraId="5A897CFE" w14:textId="0E002D3C" w:rsidR="002D6F18" w:rsidRPr="002D6F18" w:rsidRDefault="002D6F18" w:rsidP="002D6F18">
      <w:pPr>
        <w:pStyle w:val="EndNoteBibliography"/>
        <w:spacing w:after="0"/>
        <w:ind w:left="380" w:hanging="380"/>
      </w:pPr>
      <w:bookmarkStart w:id="514" w:name="_ENREF_310"/>
      <w:r w:rsidRPr="002D6F18">
        <w:t>310.</w:t>
      </w:r>
      <w:r w:rsidRPr="002D6F18">
        <w:tab/>
        <w:t xml:space="preserve">Department of Health and Aged Care. National Suicide Prevention Trial [Internet]. DOHAC, Australian Government; 2023 [cited 2024 March 06]. Available from: </w:t>
      </w:r>
      <w:hyperlink r:id="rId215" w:history="1">
        <w:r w:rsidRPr="002D6F18">
          <w:rPr>
            <w:rStyle w:val="Hyperlink"/>
          </w:rPr>
          <w:t>https://www.health.gov.au/our-work/national-suicide-prevention-trial</w:t>
        </w:r>
      </w:hyperlink>
      <w:r w:rsidRPr="002D6F18">
        <w:t>.</w:t>
      </w:r>
      <w:bookmarkEnd w:id="514"/>
    </w:p>
    <w:p w14:paraId="02DC0408" w14:textId="03C4CADE" w:rsidR="002D6F18" w:rsidRPr="002D6F18" w:rsidRDefault="002D6F18" w:rsidP="002D6F18">
      <w:pPr>
        <w:pStyle w:val="EndNoteBibliography"/>
        <w:spacing w:after="0"/>
        <w:ind w:left="380" w:hanging="380"/>
      </w:pPr>
      <w:bookmarkStart w:id="515" w:name="_ENREF_311"/>
      <w:r w:rsidRPr="002D6F18">
        <w:t>311.</w:t>
      </w:r>
      <w:r w:rsidRPr="002D6F18">
        <w:tab/>
        <w:t xml:space="preserve">Department of Health and Aged Care. National Suicide Prevention Trial: final evaluation report. [Internet]. DOHAC, Australian Government; 2021 [cited 2024 March 06]. Available from: </w:t>
      </w:r>
      <w:hyperlink r:id="rId216" w:history="1">
        <w:r w:rsidRPr="002D6F18">
          <w:rPr>
            <w:rStyle w:val="Hyperlink"/>
          </w:rPr>
          <w:t>https://www.health.gov.au/resources/publications/national-suicide-prevention-trial-final-evaluation-report?language=en</w:t>
        </w:r>
      </w:hyperlink>
      <w:r w:rsidRPr="002D6F18">
        <w:t>.</w:t>
      </w:r>
      <w:bookmarkEnd w:id="515"/>
    </w:p>
    <w:p w14:paraId="14285EA9" w14:textId="385ABF9B" w:rsidR="002D6F18" w:rsidRPr="002D6F18" w:rsidRDefault="002D6F18" w:rsidP="002D6F18">
      <w:pPr>
        <w:pStyle w:val="EndNoteBibliography"/>
        <w:spacing w:after="0"/>
        <w:ind w:left="380" w:hanging="380"/>
      </w:pPr>
      <w:bookmarkStart w:id="516" w:name="_ENREF_312"/>
      <w:r w:rsidRPr="002D6F18">
        <w:t>312.</w:t>
      </w:r>
      <w:r w:rsidRPr="002D6F18">
        <w:tab/>
        <w:t xml:space="preserve">Department of Health and Aged Care. Analysis of suicide prevention trials evaluation findings: discussion paper [Internet ]. DOHAC, Australian Government; 2022 [cited 2024 March 06]. Available from: </w:t>
      </w:r>
      <w:hyperlink r:id="rId217" w:history="1">
        <w:r w:rsidRPr="002D6F18">
          <w:rPr>
            <w:rStyle w:val="Hyperlink"/>
          </w:rPr>
          <w:t>https://www.health.gov.au/resources/publications/analysis-of-suicide-prevention-trials-evaluation-findings-discussion-paper?language=en</w:t>
        </w:r>
      </w:hyperlink>
      <w:r w:rsidRPr="002D6F18">
        <w:t>.</w:t>
      </w:r>
      <w:bookmarkEnd w:id="516"/>
    </w:p>
    <w:p w14:paraId="2A8E8A61" w14:textId="4303267C" w:rsidR="002D6F18" w:rsidRPr="002D6F18" w:rsidRDefault="002D6F18" w:rsidP="002D6F18">
      <w:pPr>
        <w:pStyle w:val="EndNoteBibliography"/>
        <w:spacing w:after="0"/>
        <w:ind w:left="380" w:hanging="380"/>
      </w:pPr>
      <w:bookmarkStart w:id="517" w:name="_ENREF_313"/>
      <w:r w:rsidRPr="002D6F18">
        <w:t>313.</w:t>
      </w:r>
      <w:r w:rsidRPr="002D6F18">
        <w:tab/>
        <w:t xml:space="preserve">International Association for Public Participation. IAP2 Public Participation Spectrum [Internet]. IAP2 Australasia; 2019 [cited 2023 November 06]. Available from: </w:t>
      </w:r>
      <w:hyperlink r:id="rId218" w:history="1">
        <w:r w:rsidRPr="002D6F18">
          <w:rPr>
            <w:rStyle w:val="Hyperlink"/>
          </w:rPr>
          <w:t>https://iap2.org.au/resources/spectrum/</w:t>
        </w:r>
      </w:hyperlink>
      <w:r w:rsidRPr="002D6F18">
        <w:t>.</w:t>
      </w:r>
      <w:bookmarkEnd w:id="517"/>
    </w:p>
    <w:p w14:paraId="099E625C" w14:textId="659F340F" w:rsidR="002D6F18" w:rsidRPr="002D6F18" w:rsidRDefault="002D6F18" w:rsidP="002D6F18">
      <w:pPr>
        <w:pStyle w:val="EndNoteBibliography"/>
        <w:spacing w:after="0"/>
        <w:ind w:left="380" w:hanging="380"/>
      </w:pPr>
      <w:bookmarkStart w:id="518" w:name="_ENREF_314"/>
      <w:r w:rsidRPr="002D6F18">
        <w:t>314.</w:t>
      </w:r>
      <w:r w:rsidRPr="002D6F18">
        <w:tab/>
        <w:t xml:space="preserve">Roses in the Ocean. Lived Experience of Suicide Engagement, Partnership and Integration: (LESEPI) Decision and Evaluation Tools [Internet]. Brisbane, Queensland: Roses in the Ocean; 2022 [cited 2023 November 06]. Available from: </w:t>
      </w:r>
      <w:hyperlink r:id="rId219" w:history="1">
        <w:r w:rsidRPr="002D6F18">
          <w:rPr>
            <w:rStyle w:val="Hyperlink"/>
          </w:rPr>
          <w:t>https://rosesintheocean.com.au/wp-content/uploads/2022/09/LESEPI-Decision-Evaluation-Tools-V1.2.pdf</w:t>
        </w:r>
      </w:hyperlink>
      <w:r w:rsidRPr="002D6F18">
        <w:t>.</w:t>
      </w:r>
      <w:bookmarkEnd w:id="518"/>
    </w:p>
    <w:p w14:paraId="23E3EF15" w14:textId="77777777" w:rsidR="002D6F18" w:rsidRPr="002D6F18" w:rsidRDefault="002D6F18" w:rsidP="002D6F18">
      <w:pPr>
        <w:pStyle w:val="EndNoteBibliography"/>
        <w:spacing w:after="0"/>
        <w:ind w:left="380" w:hanging="380"/>
      </w:pPr>
      <w:bookmarkStart w:id="519" w:name="_ENREF_315"/>
      <w:r w:rsidRPr="002D6F18">
        <w:t>315.</w:t>
      </w:r>
      <w:r w:rsidRPr="002D6F18">
        <w:tab/>
        <w:t>Wayland S, McKay K, Maple M. How is Participating in Suicide Prevention Activities Experienced by Those with Lived and Living Experiences of Suicide in Australia? A Qualitative Study. International Journal of Environmental Research and Public Health. 2020. DOI: 10.3390/ijerph17134635.</w:t>
      </w:r>
      <w:bookmarkEnd w:id="519"/>
    </w:p>
    <w:p w14:paraId="48257A0F" w14:textId="0950B06F" w:rsidR="002D6F18" w:rsidRPr="002D6F18" w:rsidRDefault="002D6F18" w:rsidP="002D6F18">
      <w:pPr>
        <w:pStyle w:val="EndNoteBibliography"/>
        <w:spacing w:after="0"/>
        <w:ind w:left="380" w:hanging="380"/>
      </w:pPr>
      <w:bookmarkStart w:id="520" w:name="_ENREF_316"/>
      <w:r w:rsidRPr="002D6F18">
        <w:t>316.</w:t>
      </w:r>
      <w:r w:rsidRPr="002D6F18">
        <w:tab/>
        <w:t xml:space="preserve">National Suicide Prevention Office. Roses in the Ocean Lived Experience Summit Workshop Summary Report 2023 [Internet]. NSPO; 2023 [cited 2023 November 06]. Available from: </w:t>
      </w:r>
      <w:hyperlink r:id="rId220" w:history="1">
        <w:r w:rsidRPr="002D6F18">
          <w:rPr>
            <w:rStyle w:val="Hyperlink"/>
          </w:rPr>
          <w:t>https://haveyoursay.mentalhealthcommission.gov.au/rito-lived-experience-summit-workshop-summary-report-2023</w:t>
        </w:r>
      </w:hyperlink>
      <w:r w:rsidRPr="002D6F18">
        <w:t>.</w:t>
      </w:r>
      <w:bookmarkEnd w:id="520"/>
    </w:p>
    <w:p w14:paraId="74087FC4" w14:textId="3F67652B" w:rsidR="002D6F18" w:rsidRPr="002D6F18" w:rsidRDefault="002D6F18" w:rsidP="002D6F18">
      <w:pPr>
        <w:pStyle w:val="EndNoteBibliography"/>
        <w:spacing w:after="0"/>
        <w:ind w:left="380" w:hanging="380"/>
      </w:pPr>
      <w:bookmarkStart w:id="521" w:name="_ENREF_317"/>
      <w:r w:rsidRPr="002D6F18">
        <w:t>317.</w:t>
      </w:r>
      <w:r w:rsidRPr="002D6F18">
        <w:tab/>
        <w:t xml:space="preserve">Roses in the Ocean. Lived Experience of Suicide Engagement Principles: (LESEP) Guidance Document [Internet]. Brisbane, Queensland: Roses in the Ocean; 2022 [cited 2023 November 06]. Available from: </w:t>
      </w:r>
      <w:hyperlink r:id="rId221" w:history="1">
        <w:r w:rsidRPr="002D6F18">
          <w:rPr>
            <w:rStyle w:val="Hyperlink"/>
          </w:rPr>
          <w:t>https://rosesintheocean.com.au/wp-content/uploads/2022/03/1.-LESEP-Guidance-Document-V1.1-FEB-2022.pdf</w:t>
        </w:r>
      </w:hyperlink>
      <w:r w:rsidRPr="002D6F18">
        <w:t>.</w:t>
      </w:r>
      <w:bookmarkEnd w:id="521"/>
    </w:p>
    <w:p w14:paraId="62443EC4" w14:textId="01499642" w:rsidR="002D6F18" w:rsidRPr="002D6F18" w:rsidRDefault="002D6F18" w:rsidP="002D6F18">
      <w:pPr>
        <w:pStyle w:val="EndNoteBibliography"/>
        <w:spacing w:after="0"/>
        <w:ind w:left="380" w:hanging="380"/>
      </w:pPr>
      <w:bookmarkStart w:id="522" w:name="_ENREF_318"/>
      <w:r w:rsidRPr="002D6F18">
        <w:t>318.</w:t>
      </w:r>
      <w:r w:rsidRPr="002D6F18">
        <w:tab/>
        <w:t xml:space="preserve">Roses in the Ocean. Capacity-Building Workshops [Internet]. Roses in the Ocean; 2023 [cited 2023 November 06]. Available from: </w:t>
      </w:r>
      <w:hyperlink r:id="rId222" w:history="1">
        <w:r w:rsidRPr="002D6F18">
          <w:rPr>
            <w:rStyle w:val="Hyperlink"/>
          </w:rPr>
          <w:t>https://rosesintheocean.com.au/what-we-do/workshops/</w:t>
        </w:r>
      </w:hyperlink>
      <w:r w:rsidRPr="002D6F18">
        <w:t>.</w:t>
      </w:r>
      <w:bookmarkEnd w:id="522"/>
    </w:p>
    <w:p w14:paraId="10FD611D" w14:textId="4F9057CD" w:rsidR="002D6F18" w:rsidRPr="002D6F18" w:rsidRDefault="002D6F18" w:rsidP="002D6F18">
      <w:pPr>
        <w:pStyle w:val="EndNoteBibliography"/>
        <w:spacing w:after="0"/>
        <w:ind w:left="380" w:hanging="380"/>
      </w:pPr>
      <w:bookmarkStart w:id="523" w:name="_ENREF_319"/>
      <w:r w:rsidRPr="002D6F18">
        <w:t>319.</w:t>
      </w:r>
      <w:r w:rsidRPr="002D6F18">
        <w:tab/>
        <w:t xml:space="preserve">Black Dog Institute. Aboriginal and Torres Strait Islander Lived Experience Centre [Internet]. Black Dog Institute; 2023 [cited 2023 November 06]. Available from: </w:t>
      </w:r>
      <w:hyperlink r:id="rId223" w:history="1">
        <w:r w:rsidRPr="002D6F18">
          <w:rPr>
            <w:rStyle w:val="Hyperlink"/>
          </w:rPr>
          <w:t>https://www.blackdoginstitute.org.au/education-services/aboriginal-and-torres-strait-islander-network/</w:t>
        </w:r>
      </w:hyperlink>
      <w:r w:rsidRPr="002D6F18">
        <w:t>.</w:t>
      </w:r>
      <w:bookmarkEnd w:id="523"/>
    </w:p>
    <w:p w14:paraId="3BAE1D08" w14:textId="19DCBB65" w:rsidR="002D6F18" w:rsidRPr="002D6F18" w:rsidRDefault="002D6F18" w:rsidP="002D6F18">
      <w:pPr>
        <w:pStyle w:val="EndNoteBibliography"/>
        <w:spacing w:after="0"/>
        <w:ind w:left="380" w:hanging="380"/>
      </w:pPr>
      <w:bookmarkStart w:id="524" w:name="_ENREF_320"/>
      <w:r w:rsidRPr="002D6F18">
        <w:t>320.</w:t>
      </w:r>
      <w:r w:rsidRPr="002D6F18">
        <w:tab/>
        <w:t xml:space="preserve">Roses in the Ocean. Lived Experience of Suicide Engagement, Partnership and Integration: (LESEPI) Framework [Internet]. Brisbane, Queensland: Roses in the Ocean; 2022 [cited 2023 May 19]. Available from: </w:t>
      </w:r>
      <w:hyperlink r:id="rId224" w:history="1">
        <w:r w:rsidRPr="002D6F18">
          <w:rPr>
            <w:rStyle w:val="Hyperlink"/>
          </w:rPr>
          <w:t>https://rosesintheocean.com.au/wp-content/uploads/2022/09/LESEPI-Framework-V1.2.pdf</w:t>
        </w:r>
      </w:hyperlink>
      <w:r w:rsidRPr="002D6F18">
        <w:t>.</w:t>
      </w:r>
      <w:bookmarkEnd w:id="524"/>
    </w:p>
    <w:p w14:paraId="709AE51F" w14:textId="5B39CD6B" w:rsidR="002D6F18" w:rsidRPr="002D6F18" w:rsidRDefault="002D6F18" w:rsidP="002D6F18">
      <w:pPr>
        <w:pStyle w:val="EndNoteBibliography"/>
        <w:spacing w:after="0"/>
        <w:ind w:left="380" w:hanging="380"/>
      </w:pPr>
      <w:bookmarkStart w:id="525" w:name="_ENREF_321"/>
      <w:r w:rsidRPr="002D6F18">
        <w:t>321.</w:t>
      </w:r>
      <w:r w:rsidRPr="002D6F18">
        <w:tab/>
        <w:t xml:space="preserve">Suomi A, Freeman B, Banfield M. Framework for the Engagement of People with a Lived Experience in Program Implementation and Research: Review and Report Prepared for the LifeSpan Suicide Prevention Project [Internet]. Canberra, Australian Capital Territory: Australian National University; 2017 [cited 2023 May 19]. Available from: </w:t>
      </w:r>
      <w:hyperlink r:id="rId225" w:history="1">
        <w:r w:rsidRPr="002D6F18">
          <w:rPr>
            <w:rStyle w:val="Hyperlink"/>
          </w:rPr>
          <w:t>https://www.blackdoginstitute.org.au/wp-content/uploads/2020/04/anu-lived-experience-framework.pdf</w:t>
        </w:r>
      </w:hyperlink>
      <w:r w:rsidRPr="002D6F18">
        <w:t>.</w:t>
      </w:r>
      <w:bookmarkEnd w:id="525"/>
    </w:p>
    <w:p w14:paraId="4C1636C0" w14:textId="6D5E3027" w:rsidR="002D6F18" w:rsidRPr="002D6F18" w:rsidRDefault="002D6F18" w:rsidP="002D6F18">
      <w:pPr>
        <w:pStyle w:val="EndNoteBibliography"/>
        <w:spacing w:after="0"/>
        <w:ind w:left="380" w:hanging="380"/>
      </w:pPr>
      <w:bookmarkStart w:id="526" w:name="_ENREF_322"/>
      <w:r w:rsidRPr="002D6F18">
        <w:t>322.</w:t>
      </w:r>
      <w:r w:rsidRPr="002D6F18">
        <w:tab/>
        <w:t xml:space="preserve">Black Dog Institute. Centre of Research Excellence in Suicide Prevention: Lived Experience Resource Centre [Internet]. Black Dog Institute; 2023 [cited 2023 May 19]. Available from: </w:t>
      </w:r>
      <w:hyperlink r:id="rId226" w:history="1">
        <w:r w:rsidRPr="002D6F18">
          <w:rPr>
            <w:rStyle w:val="Hyperlink"/>
          </w:rPr>
          <w:t>https://www.blackdoginstitute.org.au/research-centres/centre-of-research-excellence-in-suicide-prevention/lived-experience-resource-centre/</w:t>
        </w:r>
      </w:hyperlink>
      <w:r w:rsidRPr="002D6F18">
        <w:t>.</w:t>
      </w:r>
      <w:bookmarkEnd w:id="526"/>
    </w:p>
    <w:p w14:paraId="11D8F478" w14:textId="77777777" w:rsidR="002D6F18" w:rsidRPr="002D6F18" w:rsidRDefault="002D6F18" w:rsidP="002D6F18">
      <w:pPr>
        <w:pStyle w:val="EndNoteBibliography"/>
        <w:spacing w:after="0"/>
        <w:ind w:left="380" w:hanging="380"/>
      </w:pPr>
      <w:bookmarkStart w:id="527" w:name="_ENREF_323"/>
      <w:r w:rsidRPr="002D6F18">
        <w:t>323.</w:t>
      </w:r>
      <w:r w:rsidRPr="002D6F18">
        <w:tab/>
        <w:t>Baran A, Gerstner R, Ueda M, Gmitrowicz A. Implementing Real-Time Data Suicide Surveillance Systems. Crisis: The Journal of Crisis Intervention and Suicide Prevention. 2021. DOI: 10.1027/0227-5910/a000829.</w:t>
      </w:r>
      <w:bookmarkEnd w:id="527"/>
    </w:p>
    <w:p w14:paraId="4855C465" w14:textId="5B4DEEC8" w:rsidR="002D6F18" w:rsidRPr="002D6F18" w:rsidRDefault="002D6F18" w:rsidP="002D6F18">
      <w:pPr>
        <w:pStyle w:val="EndNoteBibliography"/>
        <w:spacing w:after="0"/>
        <w:ind w:left="380" w:hanging="380"/>
      </w:pPr>
      <w:bookmarkStart w:id="528" w:name="_ENREF_324"/>
      <w:r w:rsidRPr="002D6F18">
        <w:t>324.</w:t>
      </w:r>
      <w:r w:rsidRPr="002D6F18">
        <w:tab/>
        <w:t xml:space="preserve">Centre for Mental Health and Community Wellbeing. LIFEWAYS: translating suicide prevention research into policy and practice [Internet]. University of Melbourne;  [cited 2024 March 06]. Available from: </w:t>
      </w:r>
      <w:hyperlink r:id="rId227" w:history="1">
        <w:r w:rsidRPr="002D6F18">
          <w:rPr>
            <w:rStyle w:val="Hyperlink"/>
          </w:rPr>
          <w:t>https://mspgh.unimelb.edu.au/research-groups/centre-for-mental-health/mental-health-policy-and-practice/national-leadership-in-suicide-prevention-research</w:t>
        </w:r>
      </w:hyperlink>
      <w:r w:rsidRPr="002D6F18">
        <w:t>.</w:t>
      </w:r>
      <w:bookmarkEnd w:id="528"/>
    </w:p>
    <w:p w14:paraId="7C0E408E" w14:textId="77FA9E6D" w:rsidR="002D6F18" w:rsidRPr="002D6F18" w:rsidRDefault="002D6F18" w:rsidP="002D6F18">
      <w:pPr>
        <w:pStyle w:val="EndNoteBibliography"/>
        <w:spacing w:after="0"/>
        <w:ind w:left="380" w:hanging="380"/>
      </w:pPr>
      <w:bookmarkStart w:id="529" w:name="_ENREF_325"/>
      <w:r w:rsidRPr="002D6F18">
        <w:t>325.</w:t>
      </w:r>
      <w:r w:rsidRPr="002D6F18">
        <w:tab/>
        <w:t xml:space="preserve">Black Dog Institute. Centre of Research Excellence in Suicide Prevention [Internet]. Black Dog Institute;  [cited 2024 March 06]. Available from: </w:t>
      </w:r>
      <w:hyperlink r:id="rId228" w:history="1">
        <w:r w:rsidRPr="002D6F18">
          <w:rPr>
            <w:rStyle w:val="Hyperlink"/>
          </w:rPr>
          <w:t>https://www.blackdoginstitute.org.au/cresp/</w:t>
        </w:r>
      </w:hyperlink>
      <w:r w:rsidRPr="002D6F18">
        <w:t>.</w:t>
      </w:r>
      <w:bookmarkEnd w:id="529"/>
    </w:p>
    <w:p w14:paraId="52EF35B6" w14:textId="5197005A" w:rsidR="002D6F18" w:rsidRPr="002D6F18" w:rsidRDefault="002D6F18" w:rsidP="002D6F18">
      <w:pPr>
        <w:pStyle w:val="EndNoteBibliography"/>
        <w:spacing w:after="0"/>
        <w:ind w:left="380" w:hanging="380"/>
      </w:pPr>
      <w:bookmarkStart w:id="530" w:name="_ENREF_326"/>
      <w:r w:rsidRPr="002D6F18">
        <w:t>326.</w:t>
      </w:r>
      <w:r w:rsidRPr="002D6F18">
        <w:tab/>
        <w:t xml:space="preserve">Suicide Prevention Australia. The National Suicide Prevention Research Fund [Internet]. SPA; 2023 [cited 2023 November 06]. Available from: </w:t>
      </w:r>
      <w:hyperlink r:id="rId229" w:history="1">
        <w:r w:rsidRPr="002D6F18">
          <w:rPr>
            <w:rStyle w:val="Hyperlink"/>
          </w:rPr>
          <w:t>https://www.suicidepreventionaust.org/research-grants/</w:t>
        </w:r>
      </w:hyperlink>
      <w:r w:rsidRPr="002D6F18">
        <w:t>.</w:t>
      </w:r>
      <w:bookmarkEnd w:id="530"/>
    </w:p>
    <w:p w14:paraId="19753817" w14:textId="1D9AC87F" w:rsidR="002D6F18" w:rsidRPr="002D6F18" w:rsidRDefault="002D6F18" w:rsidP="002D6F18">
      <w:pPr>
        <w:pStyle w:val="EndNoteBibliography"/>
        <w:spacing w:after="0"/>
        <w:ind w:left="380" w:hanging="380"/>
      </w:pPr>
      <w:bookmarkStart w:id="531" w:name="_ENREF_327"/>
      <w:r w:rsidRPr="002D6F18">
        <w:t>327.</w:t>
      </w:r>
      <w:r w:rsidRPr="002D6F18">
        <w:tab/>
        <w:t xml:space="preserve">Australian House of Representatives - Select Committee on Mental Health and Suicide Prevention. Mental health and suicide prevention: final report. [Internet]. Australian Government; 2021 [cited 2024 March 06]. Available from: </w:t>
      </w:r>
      <w:hyperlink r:id="rId230" w:history="1">
        <w:r w:rsidRPr="002D6F18">
          <w:rPr>
            <w:rStyle w:val="Hyperlink"/>
          </w:rPr>
          <w:t>https://www.aph.gov.au/Parliamentary_Business/Committees/House/Former_Committees/Mental_Health_and_Suicide_Prevention/MHSP/Report</w:t>
        </w:r>
      </w:hyperlink>
      <w:r w:rsidRPr="002D6F18">
        <w:t>.</w:t>
      </w:r>
      <w:bookmarkEnd w:id="531"/>
    </w:p>
    <w:p w14:paraId="316D29D0" w14:textId="0EA83AEB" w:rsidR="002D6F18" w:rsidRPr="002D6F18" w:rsidRDefault="002D6F18" w:rsidP="002D6F18">
      <w:pPr>
        <w:pStyle w:val="EndNoteBibliography"/>
        <w:spacing w:after="0"/>
        <w:ind w:left="380" w:hanging="380"/>
      </w:pPr>
      <w:bookmarkStart w:id="532" w:name="_ENREF_328"/>
      <w:r w:rsidRPr="002D6F18">
        <w:t>328.</w:t>
      </w:r>
      <w:r w:rsidRPr="002D6F18">
        <w:tab/>
        <w:t xml:space="preserve">Zero Suicide Institute of Australasia  Zero Suicide. Zero Suicide Healthcare evaluation framework: outcomes, actions &amp; measures [Internet]. Zero Suicide Institute of Australasia; 2021 [cited 2024 March 06]. Available from: </w:t>
      </w:r>
      <w:hyperlink r:id="rId231" w:history="1">
        <w:r w:rsidRPr="002D6F18">
          <w:rPr>
            <w:rStyle w:val="Hyperlink"/>
          </w:rPr>
          <w:t>https://zerosuicide.edc.org/resources/resource-database/zero-suicide-institute-australasia-evaluation-framework</w:t>
        </w:r>
      </w:hyperlink>
      <w:r w:rsidRPr="002D6F18">
        <w:t>.</w:t>
      </w:r>
      <w:bookmarkEnd w:id="532"/>
    </w:p>
    <w:p w14:paraId="73E8BB38" w14:textId="37E196C9" w:rsidR="002D6F18" w:rsidRPr="002D6F18" w:rsidRDefault="002D6F18" w:rsidP="002D6F18">
      <w:pPr>
        <w:pStyle w:val="EndNoteBibliography"/>
        <w:spacing w:after="0"/>
        <w:ind w:left="380" w:hanging="380"/>
      </w:pPr>
      <w:bookmarkStart w:id="533" w:name="_ENREF_329"/>
      <w:r w:rsidRPr="002D6F18">
        <w:t>329.</w:t>
      </w:r>
      <w:r w:rsidRPr="002D6F18">
        <w:tab/>
        <w:t xml:space="preserve">Suicide Prevention Australia. Suicide Prevention Standards for Quality Improvement: Edition 2 [Internet]. Sydney, New South Wales: SPA; 2022 [cited 2023 November 06]. Available from: </w:t>
      </w:r>
      <w:hyperlink r:id="rId232" w:history="1">
        <w:r w:rsidRPr="002D6F18">
          <w:rPr>
            <w:rStyle w:val="Hyperlink"/>
          </w:rPr>
          <w:t>https://www.suicidepreventionaust.org/wp-content/uploads/2023/04/Suicide-Prevention-Standards-for-Quality-Improvement-Ed2_-2023.pdf</w:t>
        </w:r>
      </w:hyperlink>
      <w:r w:rsidRPr="002D6F18">
        <w:t>.</w:t>
      </w:r>
      <w:bookmarkEnd w:id="533"/>
    </w:p>
    <w:p w14:paraId="32904F0B" w14:textId="5514FD3C" w:rsidR="002D6F18" w:rsidRPr="002D6F18" w:rsidRDefault="002D6F18" w:rsidP="002D6F18">
      <w:pPr>
        <w:pStyle w:val="EndNoteBibliography"/>
        <w:spacing w:after="0"/>
        <w:ind w:left="380" w:hanging="380"/>
      </w:pPr>
      <w:bookmarkStart w:id="534" w:name="_ENREF_330"/>
      <w:r w:rsidRPr="002D6F18">
        <w:t>330.</w:t>
      </w:r>
      <w:r w:rsidRPr="002D6F18">
        <w:tab/>
        <w:t xml:space="preserve">Suicide Prevention Australia. Suicide prevention accreditation program [Internet]. Suicide Prevention Australia;  [cited 2024 March 06]. Available from: </w:t>
      </w:r>
      <w:hyperlink r:id="rId233" w:history="1">
        <w:r w:rsidRPr="002D6F18">
          <w:rPr>
            <w:rStyle w:val="Hyperlink"/>
          </w:rPr>
          <w:t>https://www.suicidepreventionaust.org/accreditation-program</w:t>
        </w:r>
      </w:hyperlink>
      <w:r w:rsidRPr="002D6F18">
        <w:t>.</w:t>
      </w:r>
      <w:bookmarkEnd w:id="534"/>
    </w:p>
    <w:p w14:paraId="43EF18CB" w14:textId="001B84D4" w:rsidR="002D6F18" w:rsidRPr="002D6F18" w:rsidRDefault="002D6F18" w:rsidP="002D6F18">
      <w:pPr>
        <w:pStyle w:val="EndNoteBibliography"/>
        <w:spacing w:after="0"/>
        <w:ind w:left="380" w:hanging="380"/>
      </w:pPr>
      <w:bookmarkStart w:id="535" w:name="_ENREF_331"/>
      <w:r w:rsidRPr="002D6F18">
        <w:t>331.</w:t>
      </w:r>
      <w:r w:rsidRPr="002D6F18">
        <w:tab/>
        <w:t xml:space="preserve">The Treasury. Australian Centre for Evaluation [Internet]. The Treasury, Australian Government; n.d. [cited 2024 March 06]. Available from: </w:t>
      </w:r>
      <w:hyperlink r:id="rId234" w:history="1">
        <w:r w:rsidRPr="002D6F18">
          <w:rPr>
            <w:rStyle w:val="Hyperlink"/>
          </w:rPr>
          <w:t>https://evaluation.treasury.gov.au/</w:t>
        </w:r>
      </w:hyperlink>
      <w:r w:rsidRPr="002D6F18">
        <w:t>.</w:t>
      </w:r>
      <w:bookmarkEnd w:id="535"/>
    </w:p>
    <w:p w14:paraId="36ACE0F0" w14:textId="77777777" w:rsidR="002D6F18" w:rsidRPr="002D6F18" w:rsidRDefault="002D6F18" w:rsidP="002D6F18">
      <w:pPr>
        <w:pStyle w:val="EndNoteBibliography"/>
        <w:spacing w:after="0"/>
        <w:ind w:left="380" w:hanging="380"/>
      </w:pPr>
      <w:bookmarkStart w:id="536" w:name="_ENREF_332"/>
      <w:r w:rsidRPr="002D6F18">
        <w:t>332.</w:t>
      </w:r>
      <w:r w:rsidRPr="002D6F18">
        <w:tab/>
        <w:t>Morris Z, Wooding S, Grant J. The answer is 17 years, what is the question: Understanding time lags in translational research. Journal of the Royal Society of Medicine. 2011;104:510-20. 10.1258/jrsm.2011.110180.</w:t>
      </w:r>
      <w:bookmarkEnd w:id="536"/>
    </w:p>
    <w:p w14:paraId="7599F1B9" w14:textId="534331F8" w:rsidR="002D6F18" w:rsidRPr="002D6F18" w:rsidRDefault="002D6F18" w:rsidP="002D6F18">
      <w:pPr>
        <w:pStyle w:val="EndNoteBibliography"/>
        <w:spacing w:after="0"/>
        <w:ind w:left="380" w:hanging="380"/>
      </w:pPr>
      <w:bookmarkStart w:id="537" w:name="_ENREF_333"/>
      <w:r w:rsidRPr="002D6F18">
        <w:t>333.</w:t>
      </w:r>
      <w:r w:rsidRPr="002D6F18">
        <w:tab/>
        <w:t xml:space="preserve">Australian Institute of Health and Welfare. National mental health service planning framework [Internet]. AIHW, Australian Government; n.d. [cited 2024 March 06]. Available from: </w:t>
      </w:r>
      <w:hyperlink r:id="rId235" w:history="1">
        <w:r w:rsidRPr="002D6F18">
          <w:rPr>
            <w:rStyle w:val="Hyperlink"/>
          </w:rPr>
          <w:t>https://www.aihw.gov.au/nmhspf</w:t>
        </w:r>
      </w:hyperlink>
      <w:r w:rsidRPr="002D6F18">
        <w:t>.</w:t>
      </w:r>
      <w:bookmarkEnd w:id="537"/>
    </w:p>
    <w:p w14:paraId="0E228DF2" w14:textId="77777777" w:rsidR="002D6F18" w:rsidRPr="002D6F18" w:rsidRDefault="002D6F18" w:rsidP="002D6F18">
      <w:pPr>
        <w:pStyle w:val="EndNoteBibliography"/>
        <w:spacing w:after="0"/>
        <w:ind w:left="380" w:hanging="380"/>
      </w:pPr>
      <w:bookmarkStart w:id="538" w:name="_ENREF_334"/>
      <w:r w:rsidRPr="002D6F18">
        <w:t>334.</w:t>
      </w:r>
      <w:r w:rsidRPr="002D6F18">
        <w:tab/>
        <w:t>Hawgood J, Krysinska K, Mooney M, Ozols I, Andriessen K, Betterridge C, et al. Suicidology Post Graduate Curriculum: Priority Topics and Delivery Mechanisms for Suicide Prevention Education. International Journal of Environmental Research and Public Health. 2021. DOI: 10.3390/ijerph18189926.</w:t>
      </w:r>
      <w:bookmarkEnd w:id="538"/>
    </w:p>
    <w:p w14:paraId="10CD5D1B" w14:textId="71A56EAD" w:rsidR="002D6F18" w:rsidRPr="002D6F18" w:rsidRDefault="002D6F18" w:rsidP="002D6F18">
      <w:pPr>
        <w:pStyle w:val="EndNoteBibliography"/>
        <w:spacing w:after="0"/>
        <w:ind w:left="380" w:hanging="380"/>
      </w:pPr>
      <w:bookmarkStart w:id="539" w:name="_ENREF_335"/>
      <w:r w:rsidRPr="002D6F18">
        <w:t>335.</w:t>
      </w:r>
      <w:r w:rsidRPr="002D6F18">
        <w:tab/>
        <w:t xml:space="preserve">De Leo D, Draper BM, Snowdon J, Kõlves K. Contacts with health professionals before suicide: Missed opportunities for prevention? Comprehensive Psychiatry. 2013;54(7):1117-23. </w:t>
      </w:r>
      <w:hyperlink r:id="rId236" w:history="1">
        <w:r w:rsidRPr="002D6F18">
          <w:rPr>
            <w:rStyle w:val="Hyperlink"/>
          </w:rPr>
          <w:t>https://doi.org/10.1016/j.comppsych.2013.05.007</w:t>
        </w:r>
      </w:hyperlink>
      <w:r w:rsidRPr="002D6F18">
        <w:t>.</w:t>
      </w:r>
      <w:bookmarkEnd w:id="539"/>
    </w:p>
    <w:p w14:paraId="6D8FDABD" w14:textId="77777777" w:rsidR="002D6F18" w:rsidRPr="002D6F18" w:rsidRDefault="002D6F18" w:rsidP="002D6F18">
      <w:pPr>
        <w:pStyle w:val="EndNoteBibliography"/>
        <w:spacing w:after="0"/>
        <w:ind w:left="380" w:hanging="380"/>
      </w:pPr>
      <w:bookmarkStart w:id="540" w:name="_ENREF_336"/>
      <w:r w:rsidRPr="002D6F18">
        <w:t>336.</w:t>
      </w:r>
      <w:r w:rsidRPr="002D6F18">
        <w:tab/>
        <w:t>Stene-Larsen K, Reneflot A. Contact with primary and mental health care prior to suicide: A systematic review of the literature from 2000 to 2017. Scand J Public Health. 2019;47(1):9-17. 10.1177/1403494817746274.</w:t>
      </w:r>
      <w:bookmarkEnd w:id="540"/>
    </w:p>
    <w:p w14:paraId="452707F0" w14:textId="2F8AD2EF" w:rsidR="002D6F18" w:rsidRPr="002D6F18" w:rsidRDefault="002D6F18" w:rsidP="002D6F18">
      <w:pPr>
        <w:pStyle w:val="EndNoteBibliography"/>
        <w:spacing w:after="0"/>
        <w:ind w:left="380" w:hanging="380"/>
      </w:pPr>
      <w:bookmarkStart w:id="541" w:name="_ENREF_337"/>
      <w:r w:rsidRPr="002D6F18">
        <w:t>337.</w:t>
      </w:r>
      <w:r w:rsidRPr="002D6F18">
        <w:tab/>
        <w:t xml:space="preserve">Royal Australian College of General Practitioners. Position statement: The role of specialist GPs East Melbourne: Royal Australian College of General Practitioners; 2020 [cited 2024 March 06]. Available from: </w:t>
      </w:r>
      <w:hyperlink r:id="rId237" w:history="1">
        <w:r w:rsidRPr="002D6F18">
          <w:rPr>
            <w:rStyle w:val="Hyperlink"/>
          </w:rPr>
          <w:t>https://www.racgp.org.au/advocacy/position-statements/view-all-position-statements/health-systems-and-environmental/the-role-of-specialist-gps</w:t>
        </w:r>
      </w:hyperlink>
      <w:r w:rsidRPr="002D6F18">
        <w:t>.</w:t>
      </w:r>
      <w:bookmarkEnd w:id="541"/>
    </w:p>
    <w:p w14:paraId="64EB3BAE" w14:textId="719B2875" w:rsidR="002D6F18" w:rsidRPr="002D6F18" w:rsidRDefault="002D6F18" w:rsidP="002D6F18">
      <w:pPr>
        <w:pStyle w:val="EndNoteBibliography"/>
        <w:spacing w:after="0"/>
        <w:ind w:left="380" w:hanging="380"/>
      </w:pPr>
      <w:bookmarkStart w:id="542" w:name="_ENREF_338"/>
      <w:r w:rsidRPr="002D6F18">
        <w:t>338.</w:t>
      </w:r>
      <w:r w:rsidRPr="002D6F18">
        <w:tab/>
        <w:t xml:space="preserve">Royal Australian College of General Practitioners. Guidelines for Preventative Activities in General Practice, 9th Edition [Internet]. Melbourne, Victoria: RACGP; 2018 [cited 2023 November 06]. Available from: </w:t>
      </w:r>
      <w:hyperlink r:id="rId238" w:history="1">
        <w:r w:rsidRPr="002D6F18">
          <w:rPr>
            <w:rStyle w:val="Hyperlink"/>
          </w:rPr>
          <w:t>https://www.racgp.org.au/FSDEDEV/media/documents/Clinical%20Resources/Guidelines/Red%20Book/Guidelines-for-preventive-activities-in-general-practice.pdf</w:t>
        </w:r>
      </w:hyperlink>
      <w:r w:rsidRPr="002D6F18">
        <w:t>.</w:t>
      </w:r>
      <w:bookmarkEnd w:id="542"/>
    </w:p>
    <w:p w14:paraId="43CDB1D7" w14:textId="58AB657C" w:rsidR="002D6F18" w:rsidRPr="002D6F18" w:rsidRDefault="002D6F18" w:rsidP="002D6F18">
      <w:pPr>
        <w:pStyle w:val="EndNoteBibliography"/>
        <w:spacing w:after="0"/>
        <w:ind w:left="380" w:hanging="380"/>
      </w:pPr>
      <w:bookmarkStart w:id="543" w:name="_ENREF_339"/>
      <w:r w:rsidRPr="002D6F18">
        <w:t>339.</w:t>
      </w:r>
      <w:r w:rsidRPr="002D6F18">
        <w:tab/>
        <w:t xml:space="preserve">General Practice Mental Health Standards Collaboration (GPMHSC). Suicide Prevention and First Aid: A Resource for GPs [Internet]. Melbourne, Victoria: RACGP; 2016 [cited 2023 November 06]. Available from: </w:t>
      </w:r>
      <w:hyperlink r:id="rId239" w:history="1">
        <w:r w:rsidRPr="002D6F18">
          <w:rPr>
            <w:rStyle w:val="Hyperlink"/>
          </w:rPr>
          <w:t>https://gpmhsc.org.au/getattachment/f30b23b9-086b-4f48-a1cf-55721cd0cc3b/gpmhsc-suicide-prevention-and-first-aid-resource-for-gps.pdf</w:t>
        </w:r>
      </w:hyperlink>
      <w:r w:rsidRPr="002D6F18">
        <w:t>.</w:t>
      </w:r>
      <w:bookmarkEnd w:id="543"/>
    </w:p>
    <w:p w14:paraId="04187297" w14:textId="77777777" w:rsidR="002D6F18" w:rsidRPr="002D6F18" w:rsidRDefault="002D6F18" w:rsidP="002D6F18">
      <w:pPr>
        <w:pStyle w:val="EndNoteBibliography"/>
        <w:spacing w:after="0"/>
        <w:ind w:left="380" w:hanging="380"/>
      </w:pPr>
      <w:bookmarkStart w:id="544" w:name="_ENREF_340"/>
      <w:r w:rsidRPr="002D6F18">
        <w:t>340.</w:t>
      </w:r>
      <w:r w:rsidRPr="002D6F18">
        <w:tab/>
        <w:t>Nuij C, van Ballegooijen W, De Beurs D, Juniar D, Erlangsen A, Portzky G, et al. Safety Planning-Type Interventions for Suicide Prevention: Meta-Analysis. The British Journal of Psychiatry. 2021. DOI: 10.1192/bjp.2021.50.</w:t>
      </w:r>
      <w:bookmarkEnd w:id="544"/>
    </w:p>
    <w:p w14:paraId="68091014" w14:textId="50E0B39D" w:rsidR="002D6F18" w:rsidRPr="002D6F18" w:rsidRDefault="002D6F18" w:rsidP="002D6F18">
      <w:pPr>
        <w:pStyle w:val="EndNoteBibliography"/>
        <w:spacing w:after="0"/>
        <w:ind w:left="380" w:hanging="380"/>
      </w:pPr>
      <w:bookmarkStart w:id="545" w:name="_ENREF_341"/>
      <w:r w:rsidRPr="002D6F18">
        <w:t>341.</w:t>
      </w:r>
      <w:r w:rsidRPr="002D6F18">
        <w:tab/>
        <w:t xml:space="preserve">Healthcare Improvement Scotland. An evidence review on multidisciplinary team support in primary care [Internet]. Scottish Health Technologies Group; 2023 [updated 17 July 2023;cited 2024 March 13]. Available from: </w:t>
      </w:r>
      <w:hyperlink r:id="rId240" w:history="1">
        <w:r w:rsidRPr="002D6F18">
          <w:rPr>
            <w:rStyle w:val="Hyperlink"/>
          </w:rPr>
          <w:t>https://shtg.scot/our-advice/an-evidence-review-on-multidisciplinary-team-support-in-primary-care/</w:t>
        </w:r>
      </w:hyperlink>
      <w:r w:rsidRPr="002D6F18">
        <w:t>.</w:t>
      </w:r>
      <w:bookmarkEnd w:id="545"/>
    </w:p>
    <w:p w14:paraId="6A1626D2" w14:textId="6EE172B7" w:rsidR="002D6F18" w:rsidRPr="002D6F18" w:rsidRDefault="002D6F18" w:rsidP="002D6F18">
      <w:pPr>
        <w:pStyle w:val="EndNoteBibliography"/>
        <w:spacing w:after="0"/>
        <w:ind w:left="380" w:hanging="380"/>
      </w:pPr>
      <w:bookmarkStart w:id="546" w:name="_ENREF_342"/>
      <w:r w:rsidRPr="002D6F18">
        <w:t>342.</w:t>
      </w:r>
      <w:r w:rsidRPr="002D6F18">
        <w:tab/>
        <w:t xml:space="preserve">Davies K, Handley T, Livingstone F, de Jaeger A. ‘Making the journey easier’: an evaluation of community- and clinician-targeted rural suicide prevention workshops - 8th Australian Rural and Remote Mental Health Symposium [Internet]. Kingscliff, New South Wales2016 [cited 2024 March 06]. Available from: </w:t>
      </w:r>
      <w:hyperlink r:id="rId241" w:history="1">
        <w:r w:rsidRPr="002D6F18">
          <w:rPr>
            <w:rStyle w:val="Hyperlink"/>
          </w:rPr>
          <w:t>https://nova.newcastle.edu.au/vital/access/manager/Repository/uon:33517</w:t>
        </w:r>
      </w:hyperlink>
      <w:r w:rsidRPr="002D6F18">
        <w:t>.</w:t>
      </w:r>
      <w:bookmarkEnd w:id="546"/>
    </w:p>
    <w:p w14:paraId="4626CC7C" w14:textId="77777777" w:rsidR="002D6F18" w:rsidRPr="002D6F18" w:rsidRDefault="002D6F18" w:rsidP="002D6F18">
      <w:pPr>
        <w:pStyle w:val="EndNoteBibliography"/>
        <w:spacing w:after="0"/>
        <w:ind w:left="380" w:hanging="380"/>
      </w:pPr>
      <w:bookmarkStart w:id="547" w:name="_ENREF_343"/>
      <w:r w:rsidRPr="002D6F18">
        <w:t>343.</w:t>
      </w:r>
      <w:r w:rsidRPr="002D6F18">
        <w:tab/>
        <w:t>Swift JK, Trusty WT, Penix EA. The Effectiveness of the Collaborative Assessment and Management of Suicidality (CAMS) Compared to Alternative Treatment Conditions: A Meta‐Analysis. Suicide and Life‐Threatening Behavior. 2021. DOI: 10.1111/sltb.12765.</w:t>
      </w:r>
      <w:bookmarkEnd w:id="547"/>
    </w:p>
    <w:p w14:paraId="3F3EB5EE" w14:textId="667D5D0B" w:rsidR="002D6F18" w:rsidRPr="002D6F18" w:rsidRDefault="002D6F18" w:rsidP="002D6F18">
      <w:pPr>
        <w:pStyle w:val="EndNoteBibliography"/>
        <w:spacing w:after="0"/>
        <w:ind w:left="380" w:hanging="380"/>
      </w:pPr>
      <w:bookmarkStart w:id="548" w:name="_ENREF_344"/>
      <w:r w:rsidRPr="002D6F18">
        <w:t>344.</w:t>
      </w:r>
      <w:r w:rsidRPr="002D6F18">
        <w:tab/>
        <w:t xml:space="preserve">Byrne L, Wang L, Roennfeldt H, Chapman M, Darwin L, Castles C, et al. National Lived Experience Workforce Guidelines [Internet]. National Mental Health Commission; 2021 [cited 2023 November 06]. Available from: </w:t>
      </w:r>
      <w:hyperlink r:id="rId242" w:history="1">
        <w:r w:rsidRPr="002D6F18">
          <w:rPr>
            <w:rStyle w:val="Hyperlink"/>
          </w:rPr>
          <w:t>https://www.mentalhealthcommission.gov.au/getmedia/a33cce2a-e7fa-4f90-964d-85dbf1514b6b/NMHC_Lived-Experience-Workforce-Development-Guidelines</w:t>
        </w:r>
      </w:hyperlink>
      <w:r w:rsidRPr="002D6F18">
        <w:t>.</w:t>
      </w:r>
      <w:bookmarkEnd w:id="548"/>
    </w:p>
    <w:p w14:paraId="4238C302" w14:textId="3D1A0D75" w:rsidR="002D6F18" w:rsidRPr="002D6F18" w:rsidRDefault="002D6F18" w:rsidP="002D6F18">
      <w:pPr>
        <w:pStyle w:val="EndNoteBibliography"/>
        <w:spacing w:after="0"/>
        <w:ind w:left="380" w:hanging="380"/>
      </w:pPr>
      <w:bookmarkStart w:id="549" w:name="_ENREF_345"/>
      <w:r w:rsidRPr="002D6F18">
        <w:t>345.</w:t>
      </w:r>
      <w:r w:rsidRPr="002D6F18">
        <w:tab/>
        <w:t xml:space="preserve">Roses in the Ocean. Expanding the Suicide Prevention Peer Workforce: An Urgent and Rapid Solution to Australia’s Suicide Challenge [Internet]. Brisbane, Queensland: Roses in the Ocean; 2022 [cited 2023 November 06]. Available from: </w:t>
      </w:r>
      <w:hyperlink r:id="rId243" w:history="1">
        <w:r w:rsidRPr="002D6F18">
          <w:rPr>
            <w:rStyle w:val="Hyperlink"/>
          </w:rPr>
          <w:t>https://rosesintheocean.com.au/wp-content/uploads/2023/01/230329-Peer-Worker-Paper.pdf</w:t>
        </w:r>
      </w:hyperlink>
      <w:r w:rsidRPr="002D6F18">
        <w:t>.</w:t>
      </w:r>
      <w:bookmarkEnd w:id="549"/>
    </w:p>
    <w:p w14:paraId="61CFF8E0" w14:textId="3F0FFD44" w:rsidR="002D6F18" w:rsidRPr="002D6F18" w:rsidRDefault="002D6F18" w:rsidP="002D6F18">
      <w:pPr>
        <w:pStyle w:val="EndNoteBibliography"/>
        <w:spacing w:after="0"/>
        <w:ind w:left="380" w:hanging="380"/>
      </w:pPr>
      <w:bookmarkStart w:id="550" w:name="_ENREF_346"/>
      <w:r w:rsidRPr="002D6F18">
        <w:t>346.</w:t>
      </w:r>
      <w:r w:rsidRPr="002D6F18">
        <w:tab/>
        <w:t xml:space="preserve">Victorian Department of Health. Working with the Suicidal Person: Clinical Practice Guidelines for Emergency Departments and Mental Health Services [Internet]. Melbourne, Victoria: Victoria State Government; 2010 [cited 2023 November 06]. Available from: </w:t>
      </w:r>
      <w:hyperlink r:id="rId244" w:history="1">
        <w:r w:rsidRPr="002D6F18">
          <w:rPr>
            <w:rStyle w:val="Hyperlink"/>
          </w:rPr>
          <w:t>https://www.health.vic.gov.au/publications/suicide-working-with-the-suicidal-person-clinical-practice-guidelines-for-emergency</w:t>
        </w:r>
      </w:hyperlink>
      <w:r w:rsidRPr="002D6F18">
        <w:t>.</w:t>
      </w:r>
      <w:bookmarkEnd w:id="550"/>
    </w:p>
    <w:p w14:paraId="3E3641CD" w14:textId="288D61FA" w:rsidR="002D6F18" w:rsidRPr="002D6F18" w:rsidRDefault="002D6F18" w:rsidP="002D6F18">
      <w:pPr>
        <w:pStyle w:val="EndNoteBibliography"/>
        <w:spacing w:after="0"/>
        <w:ind w:left="380" w:hanging="380"/>
      </w:pPr>
      <w:bookmarkStart w:id="551" w:name="_ENREF_347"/>
      <w:r w:rsidRPr="002D6F18">
        <w:t>347.</w:t>
      </w:r>
      <w:r w:rsidRPr="002D6F18">
        <w:tab/>
        <w:t xml:space="preserve">Queensland Health. Suicide Prevention Practice: Queensland Health Guideline, QH-GDL-967:2021 [Internet]. Brisbane, Queensland: Clinical Excellence Queensland, Mental Health Alcohol and Other Drugs Branch, Queensland Government; 2021 [cited 2023 November 06]. Available from: </w:t>
      </w:r>
      <w:hyperlink r:id="rId245" w:history="1">
        <w:r w:rsidRPr="002D6F18">
          <w:rPr>
            <w:rStyle w:val="Hyperlink"/>
          </w:rPr>
          <w:t>https://www.health.qld.gov.au/__data/assets/pdf_file/0027/1125864/qh-gdl-967.pdf</w:t>
        </w:r>
      </w:hyperlink>
      <w:r w:rsidRPr="002D6F18">
        <w:t>.</w:t>
      </w:r>
      <w:bookmarkEnd w:id="551"/>
    </w:p>
    <w:p w14:paraId="4C6974BB" w14:textId="0D5AEBA1" w:rsidR="002D6F18" w:rsidRPr="002D6F18" w:rsidRDefault="002D6F18" w:rsidP="002D6F18">
      <w:pPr>
        <w:pStyle w:val="EndNoteBibliography"/>
        <w:spacing w:after="0"/>
        <w:ind w:left="380" w:hanging="380"/>
      </w:pPr>
      <w:bookmarkStart w:id="552" w:name="_ENREF_348"/>
      <w:r w:rsidRPr="002D6F18">
        <w:t>348.</w:t>
      </w:r>
      <w:r w:rsidRPr="002D6F18">
        <w:tab/>
        <w:t xml:space="preserve">Agency for Clinical Innovation. Suicide Care Pathways: Evidence Checks [Internet]. NSW Government; 2022 [cited 2023 November 06]. Available from: </w:t>
      </w:r>
      <w:hyperlink r:id="rId246" w:history="1">
        <w:r w:rsidRPr="002D6F18">
          <w:rPr>
            <w:rStyle w:val="Hyperlink"/>
          </w:rPr>
          <w:t>https://aci.health.nsw.gov.au/networks/mental-health/suicide-care-pathway#evidence</w:t>
        </w:r>
      </w:hyperlink>
      <w:r w:rsidRPr="002D6F18">
        <w:t>.</w:t>
      </w:r>
      <w:bookmarkEnd w:id="552"/>
    </w:p>
    <w:p w14:paraId="0C07E16C" w14:textId="77777777" w:rsidR="002D6F18" w:rsidRPr="002D6F18" w:rsidRDefault="002D6F18" w:rsidP="002D6F18">
      <w:pPr>
        <w:pStyle w:val="EndNoteBibliography"/>
        <w:spacing w:after="0"/>
        <w:ind w:left="380" w:hanging="380"/>
      </w:pPr>
      <w:bookmarkStart w:id="553" w:name="_ENREF_349"/>
      <w:r w:rsidRPr="002D6F18">
        <w:t>349.</w:t>
      </w:r>
      <w:r w:rsidRPr="002D6F18">
        <w:tab/>
        <w:t>Carter G, Page A, Large M, Hetrick S, Milner AJ, Bendit N, et al. Royal Australian and New Zealand College of Psychiatrists Clinical Practice Guideline for the Management of Deliberate Self-Harm. Australian &amp; New Zealand Journal of Psychiatry. 2016. DOI: 10.1177/0004867416661039.</w:t>
      </w:r>
      <w:bookmarkEnd w:id="553"/>
    </w:p>
    <w:p w14:paraId="172FB15B" w14:textId="32369013" w:rsidR="002D6F18" w:rsidRPr="002D6F18" w:rsidRDefault="002D6F18" w:rsidP="002D6F18">
      <w:pPr>
        <w:pStyle w:val="EndNoteBibliography"/>
        <w:spacing w:after="0"/>
        <w:ind w:left="380" w:hanging="380"/>
      </w:pPr>
      <w:bookmarkStart w:id="554" w:name="_ENREF_350"/>
      <w:r w:rsidRPr="002D6F18">
        <w:t>350.</w:t>
      </w:r>
      <w:r w:rsidRPr="002D6F18">
        <w:tab/>
        <w:t xml:space="preserve">Australian Commission on Safety and Quality in Health Care. National Safety and Quality Health Service (NSQHS) Standards: Action 5.31 Predicting, Preventing and Managing Self-Harm and Suicide [Internet]. ACSQHC; 2023 [cited 2023 November 06]. Available from: </w:t>
      </w:r>
      <w:hyperlink r:id="rId247" w:history="1">
        <w:r w:rsidRPr="002D6F18">
          <w:rPr>
            <w:rStyle w:val="Hyperlink"/>
          </w:rPr>
          <w:t>https://www.safetyandquality.gov.au/standards/nsqhs-standards/comprehensive-care-standard/minimising-patient-harm/action-531</w:t>
        </w:r>
      </w:hyperlink>
      <w:r w:rsidRPr="002D6F18">
        <w:t>.</w:t>
      </w:r>
      <w:bookmarkEnd w:id="554"/>
    </w:p>
    <w:p w14:paraId="45894307" w14:textId="06450C3E" w:rsidR="002D6F18" w:rsidRPr="002D6F18" w:rsidRDefault="002D6F18" w:rsidP="002D6F18">
      <w:pPr>
        <w:pStyle w:val="EndNoteBibliography"/>
        <w:spacing w:after="0"/>
        <w:ind w:left="380" w:hanging="380"/>
      </w:pPr>
      <w:bookmarkStart w:id="555" w:name="_ENREF_351"/>
      <w:r w:rsidRPr="002D6F18">
        <w:t>351.</w:t>
      </w:r>
      <w:r w:rsidRPr="002D6F18">
        <w:tab/>
        <w:t xml:space="preserve">Leckning B, Ringbauer A, Robinson G, Carey TA, Hirvonen T, Armstrong G. Guidelines for Best Practice Psychosocial Assessment of Aboriginal and Torres Strait Islander People Presenting to Hospital with Self-Harm and Suicidal Thoughts [Internet]. Darwin, Northern Territory: Menzies School of Health Research; 2019 [cited 2023 November 06]. Available from: </w:t>
      </w:r>
      <w:hyperlink r:id="rId248" w:history="1">
        <w:r w:rsidRPr="002D6F18">
          <w:rPr>
            <w:rStyle w:val="Hyperlink"/>
          </w:rPr>
          <w:t>https://www.menzies.edu.au/icms_docs/310034_The_BestPrAxIS_study.pdf</w:t>
        </w:r>
      </w:hyperlink>
      <w:r w:rsidRPr="002D6F18">
        <w:t>.</w:t>
      </w:r>
      <w:bookmarkEnd w:id="555"/>
    </w:p>
    <w:p w14:paraId="321EC2B9" w14:textId="743136DD" w:rsidR="002D6F18" w:rsidRPr="002D6F18" w:rsidRDefault="002D6F18" w:rsidP="002D6F18">
      <w:pPr>
        <w:pStyle w:val="EndNoteBibliography"/>
        <w:spacing w:after="0"/>
        <w:ind w:left="380" w:hanging="380"/>
      </w:pPr>
      <w:bookmarkStart w:id="556" w:name="_ENREF_352"/>
      <w:r w:rsidRPr="002D6F18">
        <w:t>352.</w:t>
      </w:r>
      <w:r w:rsidRPr="002D6F18">
        <w:tab/>
        <w:t xml:space="preserve">Strauss P, Hill NTM, Marion L, Gilbey D, Waters Z, Moore JK, et al. Suicide Prevention in LGBTQA+ Young People: Best Practice Guidelines for Clinical and Community Service Providers [Internet]. Telethon Kids Institute; 2022 [cited 2023 October 30]. Available from: </w:t>
      </w:r>
      <w:hyperlink r:id="rId249" w:history="1">
        <w:r w:rsidRPr="002D6F18">
          <w:rPr>
            <w:rStyle w:val="Hyperlink"/>
          </w:rPr>
          <w:t>https://www.telethonkids.org.au/globalassets/media/documents/projects/lgbtqa-guidelines/lgbtqa-suicide-prevention-guidelines.pdf</w:t>
        </w:r>
      </w:hyperlink>
      <w:r w:rsidRPr="002D6F18">
        <w:t>.</w:t>
      </w:r>
      <w:bookmarkEnd w:id="556"/>
    </w:p>
    <w:p w14:paraId="5F920DAC" w14:textId="7043DD7F" w:rsidR="002D6F18" w:rsidRPr="002D6F18" w:rsidRDefault="002D6F18" w:rsidP="002D6F18">
      <w:pPr>
        <w:pStyle w:val="EndNoteBibliography"/>
        <w:spacing w:after="0"/>
        <w:ind w:left="380" w:hanging="380"/>
      </w:pPr>
      <w:bookmarkStart w:id="557" w:name="_ENREF_353"/>
      <w:r w:rsidRPr="002D6F18">
        <w:t>353.</w:t>
      </w:r>
      <w:r w:rsidRPr="002D6F18">
        <w:tab/>
        <w:t xml:space="preserve">World Health Organization. Newsroom: stress Q&amp;A [Internet]. World Health Organization; 2023 [cited 2024 March 13]. Available from: </w:t>
      </w:r>
      <w:hyperlink r:id="rId250" w:history="1">
        <w:r w:rsidRPr="002D6F18">
          <w:rPr>
            <w:rStyle w:val="Hyperlink"/>
          </w:rPr>
          <w:t>https://www.who.int/news-room/questions-and-answers/item/stress</w:t>
        </w:r>
      </w:hyperlink>
      <w:r w:rsidRPr="002D6F18">
        <w:t>.</w:t>
      </w:r>
      <w:bookmarkEnd w:id="557"/>
    </w:p>
    <w:p w14:paraId="5BD8D8E1" w14:textId="77777777" w:rsidR="002D6F18" w:rsidRPr="002D6F18" w:rsidRDefault="002D6F18" w:rsidP="002D6F18">
      <w:pPr>
        <w:pStyle w:val="EndNoteBibliography"/>
        <w:spacing w:after="0"/>
        <w:ind w:left="380" w:hanging="380"/>
      </w:pPr>
      <w:bookmarkStart w:id="558" w:name="_ENREF_354"/>
      <w:r w:rsidRPr="002D6F18">
        <w:t>354.</w:t>
      </w:r>
      <w:r w:rsidRPr="002D6F18">
        <w:tab/>
        <w:t>Ridner S. Psychological Distress: Concept Analysis. Journal of advanced nursing. 2004;45:536-45. 10.1046/j.1365-2648.2003.02938.x.</w:t>
      </w:r>
      <w:bookmarkEnd w:id="558"/>
    </w:p>
    <w:p w14:paraId="2C066074" w14:textId="77777777" w:rsidR="002D6F18" w:rsidRPr="002D6F18" w:rsidRDefault="002D6F18" w:rsidP="002D6F18">
      <w:pPr>
        <w:pStyle w:val="EndNoteBibliography"/>
        <w:spacing w:after="0"/>
        <w:ind w:left="380" w:hanging="380"/>
      </w:pPr>
      <w:bookmarkStart w:id="559" w:name="_ENREF_355"/>
      <w:r w:rsidRPr="002D6F18">
        <w:t>355.</w:t>
      </w:r>
      <w:r w:rsidRPr="002D6F18">
        <w:tab/>
        <w:t>Belay A, Guangul M, Niguse W, Mesafint G. Prevalence and Associated Factors of Psychological Distress among Nurses in Public Hospitals, Southwest, Ethiopia: A cross-sectional Study. Ethiopian journal of health sciences. 2021;31:1247-56. 10.4314/ejhs.v31i6.21.</w:t>
      </w:r>
      <w:bookmarkEnd w:id="559"/>
    </w:p>
    <w:p w14:paraId="557B58C1" w14:textId="77777777" w:rsidR="002D6F18" w:rsidRPr="002D6F18" w:rsidRDefault="002D6F18" w:rsidP="002D6F18">
      <w:pPr>
        <w:pStyle w:val="EndNoteBibliography"/>
        <w:spacing w:after="0"/>
        <w:ind w:left="380" w:hanging="380"/>
      </w:pPr>
      <w:bookmarkStart w:id="560" w:name="_ENREF_356"/>
      <w:r w:rsidRPr="002D6F18">
        <w:t>356.</w:t>
      </w:r>
      <w:r w:rsidRPr="002D6F18">
        <w:tab/>
        <w:t>Horwitz A. Distinguishing distress from disorder as psychological outcomes of stressful social arrangments. Health (London, England : 1997). 2007;11:273-89. 10.1177/1363459307077541.</w:t>
      </w:r>
      <w:bookmarkEnd w:id="560"/>
    </w:p>
    <w:p w14:paraId="3388D3D6" w14:textId="77777777" w:rsidR="002D6F18" w:rsidRPr="002D6F18" w:rsidRDefault="002D6F18" w:rsidP="002D6F18">
      <w:pPr>
        <w:pStyle w:val="EndNoteBibliography"/>
        <w:spacing w:after="0"/>
        <w:ind w:left="380" w:hanging="380"/>
      </w:pPr>
      <w:bookmarkStart w:id="561" w:name="_ENREF_357"/>
      <w:r w:rsidRPr="002D6F18">
        <w:t>357.</w:t>
      </w:r>
      <w:r w:rsidRPr="002D6F18">
        <w:tab/>
        <w:t>Witt K, Milner A, Spittal MJ, Hetrick S, Robinson J, Pirkis J, et al. Population Attributable Risk of Factors Associated with the Repetition of Self-Harm Behaviour in Young People Presenting to Clinical Services: A Systematic Review and Meta-Analysis. European Child &amp; Adolescent Psychiatry. 2019. DOI: 10.1007/s00787-018-1111-6.</w:t>
      </w:r>
      <w:bookmarkEnd w:id="561"/>
    </w:p>
    <w:p w14:paraId="5A8F6F55" w14:textId="504B77BB" w:rsidR="002D6F18" w:rsidRPr="002D6F18" w:rsidRDefault="002D6F18" w:rsidP="002D6F18">
      <w:pPr>
        <w:pStyle w:val="EndNoteBibliography"/>
        <w:spacing w:after="0"/>
        <w:ind w:left="380" w:hanging="380"/>
      </w:pPr>
      <w:bookmarkStart w:id="562" w:name="_ENREF_358"/>
      <w:r w:rsidRPr="002D6F18">
        <w:t>358.</w:t>
      </w:r>
      <w:r w:rsidRPr="002D6F18">
        <w:tab/>
        <w:t xml:space="preserve">Aboriginal and Torres Strait Islander Lived Experience Centre. Definition of Aboriginal and Torres Strait Islander Lived Experience [Internet]. Sydney: Black Dog Institute;  [cited 2024 March 28]. Available from: </w:t>
      </w:r>
      <w:hyperlink r:id="rId251" w:history="1">
        <w:r w:rsidRPr="002D6F18">
          <w:rPr>
            <w:rStyle w:val="Hyperlink"/>
          </w:rPr>
          <w:t>https://www.blackdoginstitute.org.au/education-services/aboriginal-and-torres-strait-islander-network/</w:t>
        </w:r>
      </w:hyperlink>
      <w:r w:rsidRPr="002D6F18">
        <w:t>.</w:t>
      </w:r>
      <w:bookmarkEnd w:id="562"/>
    </w:p>
    <w:p w14:paraId="3F9DBDA3" w14:textId="22743EAB" w:rsidR="002D6F18" w:rsidRPr="002D6F18" w:rsidRDefault="002D6F18" w:rsidP="002D6F18">
      <w:pPr>
        <w:pStyle w:val="EndNoteBibliography"/>
        <w:spacing w:after="0"/>
        <w:ind w:left="380" w:hanging="380"/>
      </w:pPr>
      <w:bookmarkStart w:id="563" w:name="_ENREF_359"/>
      <w:r w:rsidRPr="002D6F18">
        <w:t>359.</w:t>
      </w:r>
      <w:r w:rsidRPr="002D6F18">
        <w:tab/>
        <w:t xml:space="preserve">Australian Bureau of Statistics. Standard for sex, gender, variations of sex characteristics and sexual orientation variables [Internet]. ABS, Australian Government; 2020 [cited 2024 March 06]. Available from: </w:t>
      </w:r>
      <w:hyperlink r:id="rId252" w:history="1">
        <w:r w:rsidRPr="002D6F18">
          <w:rPr>
            <w:rStyle w:val="Hyperlink"/>
          </w:rPr>
          <w:t>https://www.abs.gov.au/statistics/standards/standard-sex-gender-variations-sex-characteristics-and-sexual-orientation-variables/latest-release</w:t>
        </w:r>
      </w:hyperlink>
      <w:r w:rsidRPr="002D6F18">
        <w:t>.</w:t>
      </w:r>
      <w:bookmarkEnd w:id="563"/>
    </w:p>
    <w:p w14:paraId="6B093D4C" w14:textId="1A99FBEF" w:rsidR="002D6F18" w:rsidRPr="002D6F18" w:rsidRDefault="002D6F18" w:rsidP="002D6F18">
      <w:pPr>
        <w:pStyle w:val="EndNoteBibliography"/>
        <w:spacing w:after="0"/>
        <w:ind w:left="380" w:hanging="380"/>
      </w:pPr>
      <w:bookmarkStart w:id="564" w:name="_ENREF_360"/>
      <w:r w:rsidRPr="002D6F18">
        <w:t>360.</w:t>
      </w:r>
      <w:r w:rsidRPr="002D6F18">
        <w:tab/>
        <w:t xml:space="preserve">IDAHOBIT. Trans and gender diverse identities [Internet]. Minus18 Foundation Ltd2022 [cited 2024 March 07]. Available from: </w:t>
      </w:r>
      <w:hyperlink r:id="rId253" w:history="1">
        <w:r w:rsidRPr="002D6F18">
          <w:rPr>
            <w:rStyle w:val="Hyperlink"/>
          </w:rPr>
          <w:t>https://www.idahobit.org.au/identity-and-stats/understanding-trans-identities</w:t>
        </w:r>
      </w:hyperlink>
      <w:r w:rsidRPr="002D6F18">
        <w:t>.</w:t>
      </w:r>
      <w:bookmarkEnd w:id="564"/>
    </w:p>
    <w:p w14:paraId="0E5EB455" w14:textId="3D9B9B9D" w:rsidR="002D6F18" w:rsidRPr="002D6F18" w:rsidRDefault="002D6F18" w:rsidP="002D6F18">
      <w:pPr>
        <w:pStyle w:val="EndNoteBibliography"/>
        <w:ind w:left="380" w:hanging="380"/>
      </w:pPr>
      <w:bookmarkStart w:id="565" w:name="_ENREF_361"/>
      <w:r w:rsidRPr="002D6F18">
        <w:t>361.</w:t>
      </w:r>
      <w:r w:rsidRPr="002D6F18">
        <w:tab/>
        <w:t xml:space="preserve">World Health Organization. The ICD-10 classification of mental and behavioural disorders: diagnostic criteria for research [Internet]. Geneva: World Health Organization; 1993 [cited 2024 March 17]. Available from: </w:t>
      </w:r>
      <w:hyperlink r:id="rId254" w:history="1">
        <w:r w:rsidRPr="002D6F18">
          <w:rPr>
            <w:rStyle w:val="Hyperlink"/>
          </w:rPr>
          <w:t>https://icd.who.int/browse10/2019/en</w:t>
        </w:r>
      </w:hyperlink>
      <w:r w:rsidRPr="002D6F18">
        <w:t>.</w:t>
      </w:r>
      <w:bookmarkEnd w:id="565"/>
    </w:p>
    <w:p w14:paraId="5FE5E030" w14:textId="7134B708" w:rsidR="00836EB7" w:rsidRPr="004D6DB1" w:rsidRDefault="00690AAC" w:rsidP="00836EB7">
      <w:pPr>
        <w:pStyle w:val="EndNoteBibliography"/>
        <w:ind w:left="380" w:hanging="380"/>
      </w:pPr>
      <w:r>
        <w:fldChar w:fldCharType="end"/>
      </w:r>
    </w:p>
    <w:sectPr w:rsidR="00836EB7" w:rsidRPr="004D6DB1" w:rsidSect="00996915">
      <w:headerReference w:type="default" r:id="rId255"/>
      <w:footerReference w:type="default" r:id="rId256"/>
      <w:endnotePr>
        <w:numFmt w:val="decimal"/>
      </w:endnotePr>
      <w:pgSz w:w="11907" w:h="16839" w:code="9"/>
      <w:pgMar w:top="1418" w:right="1418" w:bottom="1418" w:left="1418" w:header="680" w:footer="850" w:gutter="0"/>
      <w:pgBorders w:offsetFrom="page">
        <w:top w:val="single" w:sz="4" w:space="24" w:color="FFFFFF" w:themeColor="background1"/>
        <w:left w:val="single" w:sz="4" w:space="24" w:color="FFFFFF" w:themeColor="background1"/>
        <w:bottom w:val="single" w:sz="4" w:space="24" w:color="FFFFFF" w:themeColor="background1"/>
        <w:right w:val="single" w:sz="4" w:space="24" w:color="FFFFFF" w:themeColor="background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98AD3F" w14:textId="77777777" w:rsidR="005C6BE2" w:rsidRPr="00B768A1" w:rsidRDefault="005C6BE2" w:rsidP="00634A83">
      <w:r>
        <w:pict w14:anchorId="37C48E52">
          <v:rect id="_x0000_i1027" style="width:0;height:1.5pt" o:hralign="center" o:hrstd="t" o:hr="t" fillcolor="#a0a0a0" stroked="f"/>
        </w:pict>
      </w:r>
    </w:p>
    <w:p w14:paraId="1D3AF4D3" w14:textId="77777777" w:rsidR="005C6BE2" w:rsidRPr="00B768A1" w:rsidRDefault="005C6BE2" w:rsidP="00634A83"/>
  </w:endnote>
  <w:endnote w:type="continuationSeparator" w:id="0">
    <w:p w14:paraId="1646DCC6" w14:textId="77777777" w:rsidR="005C6BE2" w:rsidRPr="00B768A1" w:rsidRDefault="005C6BE2" w:rsidP="00634A83">
      <w:r>
        <w:pict w14:anchorId="0A94B523">
          <v:rect id="_x0000_i1028" style="width:0;height:1.5pt" o:hralign="center" o:hrstd="t" o:hr="t" fillcolor="#a0a0a0" stroked="f"/>
        </w:pict>
      </w:r>
    </w:p>
    <w:p w14:paraId="379049E8" w14:textId="77777777" w:rsidR="005C6BE2" w:rsidRPr="00B768A1" w:rsidRDefault="005C6BE2" w:rsidP="00634A83"/>
  </w:endnote>
  <w:endnote w:type="continuationNotice" w:id="1">
    <w:p w14:paraId="2AE343B8" w14:textId="77777777" w:rsidR="005C6BE2" w:rsidRPr="00B768A1" w:rsidRDefault="005C6BE2" w:rsidP="00634A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Roboto-Light">
    <w:altName w:val="Arial"/>
    <w:charset w:val="00"/>
    <w:family w:val="auto"/>
    <w:pitch w:val="variable"/>
    <w:sig w:usb0="E00002FF" w:usb1="5000205B" w:usb2="00000020" w:usb3="00000000" w:csb0="0000019F" w:csb1="00000000"/>
  </w:font>
  <w:font w:name="Merriweather-Regular">
    <w:altName w:val="Cambria"/>
    <w:charset w:val="4D"/>
    <w:family w:val="auto"/>
    <w:pitch w:val="variable"/>
    <w:sig w:usb0="20000207" w:usb1="00000002" w:usb2="00000000" w:usb3="00000000" w:csb0="00000197" w:csb1="00000000"/>
  </w:font>
  <w:font w:name="Roboto-Bold">
    <w:altName w:val="Arial"/>
    <w:charset w:val="00"/>
    <w:family w:val="auto"/>
    <w:pitch w:val="variable"/>
    <w:sig w:usb0="E00002FF" w:usb1="5000205B" w:usb2="00000020" w:usb3="00000000" w:csb0="0000019F" w:csb1="00000000"/>
  </w:font>
  <w:font w:name="Roboto-Regular">
    <w:altName w:val="Arial"/>
    <w:charset w:val="00"/>
    <w:family w:val="auto"/>
    <w:pitch w:val="variable"/>
    <w:sig w:usb0="E00002FF" w:usb1="5000205B" w:usb2="00000020" w:usb3="00000000" w:csb0="0000019F" w:csb1="00000000"/>
  </w:font>
  <w:font w:name="Roboto-Medium">
    <w:altName w:val="Arial"/>
    <w:charset w:val="00"/>
    <w:family w:val="auto"/>
    <w:pitch w:val="variable"/>
    <w:sig w:usb0="E00002FF" w:usb1="5000205B" w:usb2="0000002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Roboto Medium">
    <w:charset w:val="00"/>
    <w:family w:val="auto"/>
    <w:pitch w:val="variable"/>
    <w:sig w:usb0="E0000AFF" w:usb1="5000217F" w:usb2="00000021" w:usb3="00000000" w:csb0="0000019F" w:csb1="00000000"/>
  </w:font>
  <w:font w:name="Merriweather">
    <w:altName w:val="Calibri"/>
    <w:charset w:val="00"/>
    <w:family w:val="auto"/>
    <w:pitch w:val="variable"/>
    <w:sig w:usb0="20000207" w:usb1="00000002" w:usb2="00000000" w:usb3="00000000" w:csb0="00000197" w:csb1="00000000"/>
  </w:font>
  <w:font w:name="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Minion Pro">
    <w:altName w:val="Cambria Math"/>
    <w:panose1 w:val="00000000000000000000"/>
    <w:charset w:val="00"/>
    <w:family w:val="roman"/>
    <w:notTrueType/>
    <w:pitch w:val="variable"/>
    <w:sig w:usb0="00000001" w:usb1="5000205B" w:usb2="00000000" w:usb3="00000000" w:csb0="0000019F" w:csb1="00000000"/>
  </w:font>
  <w:font w:name="Poppins">
    <w:charset w:val="00"/>
    <w:family w:val="auto"/>
    <w:pitch w:val="variable"/>
    <w:sig w:usb0="00008007" w:usb1="00000000" w:usb2="00000000" w:usb3="00000000" w:csb0="00000093" w:csb1="00000000"/>
  </w:font>
  <w:font w:name="Roboto Light">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C2616" w14:textId="77777777" w:rsidR="001E2BD8" w:rsidRPr="00B768A1" w:rsidRDefault="007D613D" w:rsidP="00756397">
    <w:pPr>
      <w:pStyle w:val="Footerwithblacklinebelow"/>
    </w:pPr>
    <w:r w:rsidRPr="00B768A1">
      <w:rPr>
        <w:noProof/>
      </w:rPr>
      <mc:AlternateContent>
        <mc:Choice Requires="wps">
          <w:drawing>
            <wp:anchor distT="0" distB="0" distL="114300" distR="114300" simplePos="0" relativeHeight="251658241" behindDoc="0" locked="1" layoutInCell="1" allowOverlap="1" wp14:anchorId="01EAD795" wp14:editId="295D2800">
              <wp:simplePos x="0" y="0"/>
              <wp:positionH relativeFrom="page">
                <wp:align>right</wp:align>
              </wp:positionH>
              <wp:positionV relativeFrom="page">
                <wp:align>bottom</wp:align>
              </wp:positionV>
              <wp:extent cx="1620000" cy="828000"/>
              <wp:effectExtent l="0" t="0" r="0" b="0"/>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20000" cy="828000"/>
                      </a:xfrm>
                      <a:prstGeom prst="rect">
                        <a:avLst/>
                      </a:prstGeom>
                      <a:noFill/>
                      <a:ln w="6350">
                        <a:noFill/>
                      </a:ln>
                    </wps:spPr>
                    <wps:txbx>
                      <w:txbxContent>
                        <w:p w14:paraId="765D9AFB" w14:textId="77777777" w:rsidR="007D613D" w:rsidRPr="00B768A1" w:rsidRDefault="007D613D" w:rsidP="00756397">
                          <w:pPr>
                            <w:pStyle w:val="FooterPageNumber"/>
                          </w:pPr>
                          <w:r w:rsidRPr="00B768A1">
                            <w:fldChar w:fldCharType="begin"/>
                          </w:r>
                          <w:r w:rsidRPr="00B768A1">
                            <w:instrText xml:space="preserve"> PAGE   \# "00"  </w:instrText>
                          </w:r>
                          <w:r w:rsidRPr="00B768A1">
                            <w:fldChar w:fldCharType="separate"/>
                          </w:r>
                          <w:r w:rsidRPr="00B768A1">
                            <w:t>1</w:t>
                          </w:r>
                          <w:r w:rsidRPr="00B768A1">
                            <w:fldChar w:fldCharType="end"/>
                          </w:r>
                        </w:p>
                      </w:txbxContent>
                    </wps:txbx>
                    <wps:bodyPr rot="0" spcFirstLastPara="0" vertOverflow="overflow" horzOverflow="overflow" vert="horz" wrap="square" lIns="91440" tIns="0" rIns="90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EAD795" id="_x0000_t202" coordsize="21600,21600" o:spt="202" path="m,l,21600r21600,l21600,xe">
              <v:stroke joinstyle="miter"/>
              <v:path gradientshapeok="t" o:connecttype="rect"/>
            </v:shapetype>
            <v:shape id="Text Box 6" o:spid="_x0000_s1026" type="#_x0000_t202" alt="&quot;&quot;" style="position:absolute;margin-left:76.35pt;margin-top:0;width:127.55pt;height:65.2pt;z-index:251658241;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" filled="f" stroked="f" strokeweight=".5pt">
              <v:textbox inset=",0,25mm">
                <w:txbxContent>
                  <w:p w14:paraId="765D9AFB" w14:textId="77777777" w:rsidR="007D613D" w:rsidRPr="00B768A1" w:rsidRDefault="007D613D" w:rsidP="00756397">
                    <w:pPr>
                      <w:pStyle w:val="FooterPageNumber"/>
                    </w:pPr>
                    <w:r w:rsidRPr="00B768A1">
                      <w:fldChar w:fldCharType="begin"/>
                    </w:r>
                    <w:r w:rsidRPr="00B768A1">
                      <w:instrText xml:space="preserve"> PAGE   \# "00"  </w:instrText>
                    </w:r>
                    <w:r w:rsidRPr="00B768A1">
                      <w:fldChar w:fldCharType="separate"/>
                    </w:r>
                    <w:r w:rsidRPr="00B768A1">
                      <w:t>1</w:t>
                    </w:r>
                    <w:r w:rsidRPr="00B768A1">
                      <w:fldChar w:fldCharType="end"/>
                    </w:r>
                  </w:p>
                </w:txbxContent>
              </v:textbox>
              <w10:wrap anchorx="page" anchory="page"/>
              <w10:anchorlock/>
            </v:shape>
          </w:pict>
        </mc:Fallback>
      </mc:AlternateContent>
    </w:r>
  </w:p>
  <w:p w14:paraId="3CBDFC86" w14:textId="77777777" w:rsidR="001E2BD8" w:rsidRPr="00B768A1" w:rsidRDefault="001E2BD8" w:rsidP="00756397">
    <w:pPr>
      <w:pStyle w:val="Footer"/>
    </w:pPr>
    <w:r w:rsidRPr="00B768A1">
      <w:rPr>
        <w:noProof/>
      </w:rPr>
      <w:drawing>
        <wp:inline distT="0" distB="0" distL="0" distR="0" wp14:anchorId="75D45CAB" wp14:editId="1D6810F0">
          <wp:extent cx="225720" cy="253935"/>
          <wp:effectExtent l="0" t="0" r="3175" b="0"/>
          <wp:docPr id="1915114322" name="Graphic 19151143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114322" name="Graphic 1915114322">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25720" cy="253935"/>
                  </a:xfrm>
                  <a:prstGeom prst="rect">
                    <a:avLst/>
                  </a:prstGeom>
                </pic:spPr>
              </pic:pic>
            </a:graphicData>
          </a:graphic>
        </wp:inline>
      </w:drawing>
    </w:r>
    <w:r w:rsidRPr="00B768A1">
      <w:tab/>
    </w:r>
    <w:r w:rsidRPr="00B768A1">
      <w:rPr>
        <w:noProof/>
      </w:rPr>
      <mc:AlternateContent>
        <mc:Choice Requires="wps">
          <w:drawing>
            <wp:inline distT="0" distB="0" distL="0" distR="0" wp14:anchorId="22B20787" wp14:editId="22D77B52">
              <wp:extent cx="4212000" cy="409575"/>
              <wp:effectExtent l="0" t="0" r="0" b="12700"/>
              <wp:docPr id="1977238209" name="Text Box 1977238209"/>
              <wp:cNvGraphicFramePr/>
              <a:graphic xmlns:a="http://schemas.openxmlformats.org/drawingml/2006/main">
                <a:graphicData uri="http://schemas.microsoft.com/office/word/2010/wordprocessingShape">
                  <wps:wsp>
                    <wps:cNvSpPr txBox="1"/>
                    <wps:spPr>
                      <a:xfrm>
                        <a:off x="0" y="0"/>
                        <a:ext cx="4212000" cy="409575"/>
                      </a:xfrm>
                      <a:prstGeom prst="rect">
                        <a:avLst/>
                      </a:prstGeom>
                      <a:noFill/>
                      <a:ln w="6350">
                        <a:noFill/>
                      </a:ln>
                    </wps:spPr>
                    <wps:txbx>
                      <w:txbxContent>
                        <w:p w14:paraId="6C0E87F9" w14:textId="59B13D2F" w:rsidR="001E2BD8" w:rsidRPr="00B768A1" w:rsidRDefault="00F93B6D" w:rsidP="00756397">
                          <w:pPr>
                            <w:pStyle w:val="Footer"/>
                          </w:pPr>
                          <w:sdt>
                            <w:sdtPr>
                              <w:alias w:val="Title"/>
                              <w:tag w:val=""/>
                              <w:id w:val="2036768716"/>
                              <w:placeholder>
                                <w:docPart w:val="C62373A50FE84460B11BC3109A9FE33B"/>
                              </w:placeholder>
                              <w:dataBinding w:prefixMappings="xmlns:ns0='http://purl.org/dc/elements/1.1/' xmlns:ns1='http://schemas.openxmlformats.org/package/2006/metadata/core-properties' " w:xpath="/ns1:coreProperties[1]/ns0:title[1]" w:storeItemID="{6C3C8BC8-F283-45AE-878A-BAB7291924A1}"/>
                              <w:text/>
                            </w:sdtPr>
                            <w:sdtEndPr/>
                            <w:sdtContent>
                              <w:r w:rsidR="00B93147">
                                <w:t>Advice on the National Suicide Prevention Strategy (consultation draft)</w:t>
                              </w:r>
                            </w:sdtContent>
                          </w:sdt>
                          <w:r w:rsidR="000E4CC3" w:rsidRPr="00B768A1">
                            <w:t xml:space="preserve">  </w:t>
                          </w:r>
                        </w:p>
                        <w:p w14:paraId="048352C0" w14:textId="18ACA50E" w:rsidR="001E2BD8" w:rsidRPr="00B768A1" w:rsidRDefault="00F93B6D" w:rsidP="00756397">
                          <w:pPr>
                            <w:pStyle w:val="Footer"/>
                          </w:pPr>
                          <w:sdt>
                            <w:sdtPr>
                              <w:alias w:val="Status"/>
                              <w:tag w:val=""/>
                              <w:id w:val="579731710"/>
                              <w:placeholder>
                                <w:docPart w:val="EEC6820629F54A99A040653FFB9E5632"/>
                              </w:placeholder>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0B41CD" w:rsidRPr="00B27033">
                                <w:rPr>
                                  <w:rStyle w:val="PlaceholderText"/>
                                </w:rPr>
                                <w:t>[Status]</w:t>
                              </w:r>
                            </w:sdtContent>
                          </w:sdt>
                          <w:r w:rsidR="001E2BD8" w:rsidRPr="00B768A1">
                            <w:t xml:space="preserve">  |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inline>
          </w:drawing>
        </mc:Choice>
        <mc:Fallback>
          <w:pict>
            <v:shape w14:anchorId="22B20787" id="Text Box 1977238209" o:spid="_x0000_s1027" type="#_x0000_t202" style="width:331.65pt;height:32.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" filled="f" stroked="f" strokeweight=".5pt">
              <v:textbox style="mso-fit-shape-to-text:t" inset="0,0,0,0">
                <w:txbxContent>
                  <w:p w14:paraId="6C0E87F9" w14:textId="59B13D2F" w:rsidR="001E2BD8" w:rsidRPr="00B768A1" w:rsidRDefault="00F93B6D" w:rsidP="00756397">
                    <w:pPr>
                      <w:pStyle w:val="Footer"/>
                    </w:pPr>
                    <w:sdt>
                      <w:sdtPr>
                        <w:alias w:val="Title"/>
                        <w:tag w:val=""/>
                        <w:id w:val="2036768716"/>
                        <w:placeholder>
                          <w:docPart w:val="C62373A50FE84460B11BC3109A9FE33B"/>
                        </w:placeholder>
                        <w:dataBinding w:prefixMappings="xmlns:ns0='http://purl.org/dc/elements/1.1/' xmlns:ns1='http://schemas.openxmlformats.org/package/2006/metadata/core-properties' " w:xpath="/ns1:coreProperties[1]/ns0:title[1]" w:storeItemID="{6C3C8BC8-F283-45AE-878A-BAB7291924A1}"/>
                        <w:text/>
                      </w:sdtPr>
                      <w:sdtEndPr/>
                      <w:sdtContent>
                        <w:r w:rsidR="00B93147">
                          <w:t>Advice on the National Suicide Prevention Strategy (consultation draft)</w:t>
                        </w:r>
                      </w:sdtContent>
                    </w:sdt>
                    <w:r w:rsidR="000E4CC3" w:rsidRPr="00B768A1">
                      <w:t xml:space="preserve">  </w:t>
                    </w:r>
                  </w:p>
                  <w:p w14:paraId="048352C0" w14:textId="18ACA50E" w:rsidR="001E2BD8" w:rsidRPr="00B768A1" w:rsidRDefault="00F93B6D" w:rsidP="00756397">
                    <w:pPr>
                      <w:pStyle w:val="Footer"/>
                    </w:pPr>
                    <w:sdt>
                      <w:sdtPr>
                        <w:alias w:val="Status"/>
                        <w:tag w:val=""/>
                        <w:id w:val="579731710"/>
                        <w:placeholder>
                          <w:docPart w:val="EEC6820629F54A99A040653FFB9E5632"/>
                        </w:placeholder>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0B41CD" w:rsidRPr="00B27033">
                          <w:rPr>
                            <w:rStyle w:val="PlaceholderText"/>
                          </w:rPr>
                          <w:t>[Status]</w:t>
                        </w:r>
                      </w:sdtContent>
                    </w:sdt>
                    <w:r w:rsidR="001E2BD8" w:rsidRPr="00B768A1">
                      <w:t xml:space="preserve">  |  </w:t>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039A4F15" w14:paraId="693787FD" w14:textId="77777777" w:rsidTr="00247E24">
      <w:trPr>
        <w:trHeight w:val="300"/>
      </w:trPr>
      <w:tc>
        <w:tcPr>
          <w:tcW w:w="3020" w:type="dxa"/>
        </w:tcPr>
        <w:p w14:paraId="508138E5" w14:textId="4A0AA2E7" w:rsidR="039A4F15" w:rsidRDefault="039A4F15" w:rsidP="00634A83">
          <w:pPr>
            <w:pStyle w:val="Header"/>
          </w:pPr>
        </w:p>
      </w:tc>
      <w:tc>
        <w:tcPr>
          <w:tcW w:w="3020" w:type="dxa"/>
        </w:tcPr>
        <w:p w14:paraId="5E1D8037" w14:textId="49661130" w:rsidR="039A4F15" w:rsidRDefault="039A4F15" w:rsidP="00634A83">
          <w:pPr>
            <w:pStyle w:val="Header"/>
          </w:pPr>
        </w:p>
      </w:tc>
      <w:tc>
        <w:tcPr>
          <w:tcW w:w="3020" w:type="dxa"/>
        </w:tcPr>
        <w:p w14:paraId="31480FCA" w14:textId="1535E129" w:rsidR="039A4F15" w:rsidRDefault="039A4F15" w:rsidP="00634A83">
          <w:pPr>
            <w:pStyle w:val="Header"/>
          </w:pPr>
        </w:p>
      </w:tc>
    </w:tr>
  </w:tbl>
  <w:p w14:paraId="55D8BDBB" w14:textId="0A4C5186" w:rsidR="00264E6E" w:rsidRDefault="00264E6E" w:rsidP="007563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6E58" w14:textId="77777777" w:rsidR="006D2CA2" w:rsidRPr="00B768A1" w:rsidRDefault="006D2CA2" w:rsidP="00756397">
    <w:pPr>
      <w:pStyle w:val="Footerwithblacklinebelow"/>
    </w:pPr>
    <w:r w:rsidRPr="00B768A1">
      <w:rPr>
        <w:noProof/>
      </w:rPr>
      <mc:AlternateContent>
        <mc:Choice Requires="wps">
          <w:drawing>
            <wp:anchor distT="0" distB="0" distL="114300" distR="114300" simplePos="0" relativeHeight="251658243" behindDoc="0" locked="1" layoutInCell="1" allowOverlap="1" wp14:anchorId="0F190811" wp14:editId="7E3665AE">
              <wp:simplePos x="0" y="0"/>
              <wp:positionH relativeFrom="page">
                <wp:posOffset>5950585</wp:posOffset>
              </wp:positionH>
              <wp:positionV relativeFrom="page">
                <wp:posOffset>9703435</wp:posOffset>
              </wp:positionV>
              <wp:extent cx="1619885" cy="827405"/>
              <wp:effectExtent l="0" t="0" r="0" b="0"/>
              <wp:wrapNone/>
              <wp:docPr id="1817850905" name="Text Box 18178509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19885" cy="827405"/>
                      </a:xfrm>
                      <a:prstGeom prst="rect">
                        <a:avLst/>
                      </a:prstGeom>
                      <a:noFill/>
                      <a:ln w="6350">
                        <a:noFill/>
                      </a:ln>
                    </wps:spPr>
                    <wps:txbx>
                      <w:txbxContent>
                        <w:p w14:paraId="4B0FF8C8" w14:textId="77777777" w:rsidR="006D2CA2" w:rsidRPr="00756397" w:rsidRDefault="006D2CA2" w:rsidP="00756397">
                          <w:pPr>
                            <w:pStyle w:val="FooterPageNumber"/>
                          </w:pPr>
                          <w:r w:rsidRPr="00756397">
                            <w:fldChar w:fldCharType="begin"/>
                          </w:r>
                          <w:r w:rsidRPr="00756397">
                            <w:instrText xml:space="preserve"> PAGE   \# "00"  </w:instrText>
                          </w:r>
                          <w:r w:rsidRPr="00756397">
                            <w:fldChar w:fldCharType="separate"/>
                          </w:r>
                          <w:r w:rsidRPr="00756397">
                            <w:t>1</w:t>
                          </w:r>
                          <w:r w:rsidRPr="00756397">
                            <w:fldChar w:fldCharType="end"/>
                          </w:r>
                        </w:p>
                      </w:txbxContent>
                    </wps:txbx>
                    <wps:bodyPr rot="0" spcFirstLastPara="0" vertOverflow="overflow" horzOverflow="overflow" vert="horz" wrap="square" lIns="91440" tIns="0" rIns="90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190811" id="_x0000_t202" coordsize="21600,21600" o:spt="202" path="m,l,21600r21600,l21600,xe">
              <v:stroke joinstyle="miter"/>
              <v:path gradientshapeok="t" o:connecttype="rect"/>
            </v:shapetype>
            <v:shape id="Text Box 1817850905" o:spid="_x0000_s1028" type="#_x0000_t202" alt="&quot;&quot;" style="position:absolute;margin-left:468.55pt;margin-top:764.05pt;width:127.55pt;height:65.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" filled="f" stroked="f" strokeweight=".5pt">
              <v:textbox inset=",0,25mm">
                <w:txbxContent>
                  <w:p w14:paraId="4B0FF8C8" w14:textId="77777777" w:rsidR="006D2CA2" w:rsidRPr="00756397" w:rsidRDefault="006D2CA2" w:rsidP="00756397">
                    <w:pPr>
                      <w:pStyle w:val="FooterPageNumber"/>
                    </w:pPr>
                    <w:r w:rsidRPr="00756397">
                      <w:fldChar w:fldCharType="begin"/>
                    </w:r>
                    <w:r w:rsidRPr="00756397">
                      <w:instrText xml:space="preserve"> PAGE   \# "00"  </w:instrText>
                    </w:r>
                    <w:r w:rsidRPr="00756397">
                      <w:fldChar w:fldCharType="separate"/>
                    </w:r>
                    <w:r w:rsidRPr="00756397">
                      <w:t>1</w:t>
                    </w:r>
                    <w:r w:rsidRPr="00756397">
                      <w:fldChar w:fldCharType="end"/>
                    </w:r>
                  </w:p>
                </w:txbxContent>
              </v:textbox>
              <w10:wrap anchorx="page" anchory="page"/>
              <w10:anchorlock/>
            </v:shape>
          </w:pict>
        </mc:Fallback>
      </mc:AlternateContent>
    </w:r>
  </w:p>
  <w:p w14:paraId="1F8CF9F8" w14:textId="77AD0401" w:rsidR="000A6296" w:rsidRPr="00B768A1" w:rsidRDefault="00A046F3" w:rsidP="00756397">
    <w:pPr>
      <w:pStyle w:val="Footer"/>
    </w:pPr>
    <w:r w:rsidRPr="00B768A1">
      <w:rPr>
        <w:noProof/>
      </w:rPr>
      <mc:AlternateContent>
        <mc:Choice Requires="wps">
          <w:drawing>
            <wp:inline distT="0" distB="0" distL="0" distR="0" wp14:anchorId="5CBC5753" wp14:editId="41343568">
              <wp:extent cx="4486275" cy="409575"/>
              <wp:effectExtent l="0" t="0" r="9525" b="6350"/>
              <wp:docPr id="11" name="Text Box 11"/>
              <wp:cNvGraphicFramePr/>
              <a:graphic xmlns:a="http://schemas.openxmlformats.org/drawingml/2006/main">
                <a:graphicData uri="http://schemas.microsoft.com/office/word/2010/wordprocessingShape">
                  <wps:wsp>
                    <wps:cNvSpPr txBox="1"/>
                    <wps:spPr>
                      <a:xfrm>
                        <a:off x="0" y="0"/>
                        <a:ext cx="4486275" cy="409575"/>
                      </a:xfrm>
                      <a:prstGeom prst="rect">
                        <a:avLst/>
                      </a:prstGeom>
                      <a:noFill/>
                      <a:ln w="6350">
                        <a:noFill/>
                      </a:ln>
                    </wps:spPr>
                    <wps:txbx>
                      <w:txbxContent>
                        <w:p w14:paraId="10267CFE" w14:textId="6279DE62" w:rsidR="00A046F3" w:rsidRPr="00B768A1" w:rsidRDefault="00F93B6D" w:rsidP="00756397">
                          <w:pPr>
                            <w:pStyle w:val="Footer"/>
                          </w:pPr>
                          <w:sdt>
                            <w:sdtPr>
                              <w:alias w:val="Title"/>
                              <w:tag w:val=""/>
                              <w:id w:val="-1955017112"/>
                              <w:dataBinding w:prefixMappings="xmlns:ns0='http://purl.org/dc/elements/1.1/' xmlns:ns1='http://schemas.openxmlformats.org/package/2006/metadata/core-properties' " w:xpath="/ns1:coreProperties[1]/ns0:title[1]" w:storeItemID="{6C3C8BC8-F283-45AE-878A-BAB7291924A1}"/>
                              <w:text/>
                            </w:sdtPr>
                            <w:sdtEndPr/>
                            <w:sdtContent>
                              <w:r w:rsidR="00B93147">
                                <w:t>Advice on the National Suicide Prevention Strategy (consultation draft)</w:t>
                              </w:r>
                            </w:sdtContent>
                          </w:sdt>
                          <w:r w:rsidR="00A046F3" w:rsidRPr="00B768A1">
                            <w:t xml:space="preserve">  </w:t>
                          </w:r>
                        </w:p>
                        <w:p w14:paraId="2F95D48C" w14:textId="77777777" w:rsidR="00A046F3" w:rsidRPr="00B768A1" w:rsidRDefault="00F93B6D" w:rsidP="00756397">
                          <w:pPr>
                            <w:pStyle w:val="Footer"/>
                          </w:pPr>
                          <w:sdt>
                            <w:sdtPr>
                              <w:alias w:val="Status"/>
                              <w:tag w:val=""/>
                              <w:id w:val="-899589571"/>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A046F3">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inline>
          </w:drawing>
        </mc:Choice>
        <mc:Fallback>
          <w:pict>
            <v:shape w14:anchorId="5CBC5753" id="Text Box 11" o:spid="_x0000_s1029" type="#_x0000_t202" style="width:353.25pt;height:32.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" filled="f" stroked="f" strokeweight=".5pt">
              <v:textbox style="mso-fit-shape-to-text:t" inset="0,0,0,0">
                <w:txbxContent>
                  <w:p w14:paraId="10267CFE" w14:textId="6279DE62" w:rsidR="00A046F3" w:rsidRPr="00B768A1" w:rsidRDefault="00F93B6D" w:rsidP="00756397">
                    <w:pPr>
                      <w:pStyle w:val="Footer"/>
                    </w:pPr>
                    <w:sdt>
                      <w:sdtPr>
                        <w:alias w:val="Title"/>
                        <w:tag w:val=""/>
                        <w:id w:val="-1955017112"/>
                        <w:dataBinding w:prefixMappings="xmlns:ns0='http://purl.org/dc/elements/1.1/' xmlns:ns1='http://schemas.openxmlformats.org/package/2006/metadata/core-properties' " w:xpath="/ns1:coreProperties[1]/ns0:title[1]" w:storeItemID="{6C3C8BC8-F283-45AE-878A-BAB7291924A1}"/>
                        <w:text/>
                      </w:sdtPr>
                      <w:sdtEndPr/>
                      <w:sdtContent>
                        <w:r w:rsidR="00B93147">
                          <w:t>Advice on the National Suicide Prevention Strategy (consultation draft)</w:t>
                        </w:r>
                      </w:sdtContent>
                    </w:sdt>
                    <w:r w:rsidR="00A046F3" w:rsidRPr="00B768A1">
                      <w:t xml:space="preserve">  </w:t>
                    </w:r>
                  </w:p>
                  <w:p w14:paraId="2F95D48C" w14:textId="77777777" w:rsidR="00A046F3" w:rsidRPr="00B768A1" w:rsidRDefault="00F93B6D" w:rsidP="00756397">
                    <w:pPr>
                      <w:pStyle w:val="Footer"/>
                    </w:pPr>
                    <w:sdt>
                      <w:sdtPr>
                        <w:alias w:val="Status"/>
                        <w:tag w:val=""/>
                        <w:id w:val="-899589571"/>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A046F3">
                          <w:t xml:space="preserve">     </w:t>
                        </w:r>
                      </w:sdtContent>
                    </w:sdt>
                  </w:p>
                </w:txbxContent>
              </v:textbox>
              <w10:anchorlock/>
            </v:shape>
          </w:pict>
        </mc:Fallback>
      </mc:AlternateContent>
    </w:r>
    <w:r w:rsidR="006D2CA2" w:rsidRPr="00B768A1">
      <w:rPr>
        <w:noProof/>
      </w:rPr>
      <w:drawing>
        <wp:inline distT="0" distB="0" distL="0" distR="0" wp14:anchorId="031166E4" wp14:editId="5CBB4CB2">
          <wp:extent cx="225720" cy="253935"/>
          <wp:effectExtent l="0" t="0" r="3175" b="0"/>
          <wp:docPr id="1311426602" name="Graphic 13114266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710242" name="Graphic 781710242">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25720" cy="253935"/>
                  </a:xfrm>
                  <a:prstGeom prst="rect">
                    <a:avLst/>
                  </a:prstGeom>
                </pic:spPr>
              </pic:pic>
            </a:graphicData>
          </a:graphic>
        </wp:inline>
      </w:drawing>
    </w:r>
    <w:r w:rsidR="006D2CA2" w:rsidRPr="00B768A1">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B98300" w14:textId="77777777" w:rsidR="00257DE6" w:rsidRPr="00B768A1" w:rsidRDefault="00257DE6" w:rsidP="00756397">
    <w:pPr>
      <w:pStyle w:val="Footerwithblacklinebelow"/>
    </w:pPr>
    <w:r w:rsidRPr="00B768A1">
      <w:rPr>
        <w:noProof/>
      </w:rPr>
      <mc:AlternateContent>
        <mc:Choice Requires="wps">
          <w:drawing>
            <wp:anchor distT="0" distB="0" distL="114300" distR="114300" simplePos="0" relativeHeight="251658240" behindDoc="0" locked="1" layoutInCell="1" allowOverlap="1" wp14:anchorId="722ACE15" wp14:editId="6F310019">
              <wp:simplePos x="0" y="0"/>
              <wp:positionH relativeFrom="page">
                <wp:align>right</wp:align>
              </wp:positionH>
              <wp:positionV relativeFrom="page">
                <wp:align>bottom</wp:align>
              </wp:positionV>
              <wp:extent cx="1620000" cy="828000"/>
              <wp:effectExtent l="0" t="0" r="0" b="0"/>
              <wp:wrapNone/>
              <wp:docPr id="1269017434" name="Text Box 12690174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20000" cy="828000"/>
                      </a:xfrm>
                      <a:prstGeom prst="rect">
                        <a:avLst/>
                      </a:prstGeom>
                      <a:noFill/>
                      <a:ln w="6350">
                        <a:noFill/>
                      </a:ln>
                    </wps:spPr>
                    <wps:txbx>
                      <w:txbxContent>
                        <w:p w14:paraId="3A2093D7" w14:textId="77777777" w:rsidR="00257DE6" w:rsidRPr="00756397" w:rsidRDefault="00257DE6" w:rsidP="00756397">
                          <w:pPr>
                            <w:pStyle w:val="FooterPageNumber"/>
                          </w:pPr>
                          <w:r w:rsidRPr="00756397">
                            <w:fldChar w:fldCharType="begin"/>
                          </w:r>
                          <w:r w:rsidRPr="00756397">
                            <w:instrText xml:space="preserve"> PAGE   \# "00"  </w:instrText>
                          </w:r>
                          <w:r w:rsidRPr="00756397">
                            <w:fldChar w:fldCharType="separate"/>
                          </w:r>
                          <w:r w:rsidRPr="00756397">
                            <w:t>1</w:t>
                          </w:r>
                          <w:r w:rsidRPr="00756397">
                            <w:fldChar w:fldCharType="end"/>
                          </w:r>
                        </w:p>
                      </w:txbxContent>
                    </wps:txbx>
                    <wps:bodyPr rot="0" spcFirstLastPara="0" vertOverflow="overflow" horzOverflow="overflow" vert="horz" wrap="square" lIns="91440" tIns="0" rIns="90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2ACE15" id="_x0000_t202" coordsize="21600,21600" o:spt="202" path="m,l,21600r21600,l21600,xe">
              <v:stroke joinstyle="miter"/>
              <v:path gradientshapeok="t" o:connecttype="rect"/>
            </v:shapetype>
            <v:shape id="Text Box 1269017434" o:spid="_x0000_s1030" type="#_x0000_t202" alt="&quot;&quot;" style="position:absolute;margin-left:76.35pt;margin-top:0;width:127.55pt;height:65.2pt;z-index:25165824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" filled="f" stroked="f" strokeweight=".5pt">
              <v:textbox inset=",0,25mm">
                <w:txbxContent>
                  <w:p w14:paraId="3A2093D7" w14:textId="77777777" w:rsidR="00257DE6" w:rsidRPr="00756397" w:rsidRDefault="00257DE6" w:rsidP="00756397">
                    <w:pPr>
                      <w:pStyle w:val="FooterPageNumber"/>
                    </w:pPr>
                    <w:r w:rsidRPr="00756397">
                      <w:fldChar w:fldCharType="begin"/>
                    </w:r>
                    <w:r w:rsidRPr="00756397">
                      <w:instrText xml:space="preserve"> PAGE   \# "00"  </w:instrText>
                    </w:r>
                    <w:r w:rsidRPr="00756397">
                      <w:fldChar w:fldCharType="separate"/>
                    </w:r>
                    <w:r w:rsidRPr="00756397">
                      <w:t>1</w:t>
                    </w:r>
                    <w:r w:rsidRPr="00756397">
                      <w:fldChar w:fldCharType="end"/>
                    </w:r>
                  </w:p>
                </w:txbxContent>
              </v:textbox>
              <w10:wrap anchorx="page" anchory="page"/>
              <w10:anchorlock/>
            </v:shape>
          </w:pict>
        </mc:Fallback>
      </mc:AlternateContent>
    </w:r>
  </w:p>
  <w:p w14:paraId="03E38419" w14:textId="2E4AB097" w:rsidR="00257DE6" w:rsidRPr="00B768A1" w:rsidRDefault="00936462" w:rsidP="00756397">
    <w:pPr>
      <w:pStyle w:val="Footer"/>
    </w:pPr>
    <w:r w:rsidRPr="00B768A1">
      <w:rPr>
        <w:noProof/>
      </w:rPr>
      <mc:AlternateContent>
        <mc:Choice Requires="wps">
          <w:drawing>
            <wp:anchor distT="0" distB="0" distL="114300" distR="114300" simplePos="0" relativeHeight="251658246" behindDoc="1" locked="0" layoutInCell="1" allowOverlap="1" wp14:anchorId="0ADDB1CC" wp14:editId="02655C76">
              <wp:simplePos x="0" y="0"/>
              <wp:positionH relativeFrom="margin">
                <wp:align>left</wp:align>
              </wp:positionH>
              <wp:positionV relativeFrom="paragraph">
                <wp:posOffset>79375</wp:posOffset>
              </wp:positionV>
              <wp:extent cx="4764405" cy="409575"/>
              <wp:effectExtent l="0" t="0" r="0" b="0"/>
              <wp:wrapTight wrapText="bothSides">
                <wp:wrapPolygon edited="0">
                  <wp:start x="0" y="0"/>
                  <wp:lineTo x="0" y="19200"/>
                  <wp:lineTo x="21505" y="19200"/>
                  <wp:lineTo x="21505" y="0"/>
                  <wp:lineTo x="0" y="0"/>
                </wp:wrapPolygon>
              </wp:wrapTight>
              <wp:docPr id="3933616" name="Text Box 3933616"/>
              <wp:cNvGraphicFramePr/>
              <a:graphic xmlns:a="http://schemas.openxmlformats.org/drawingml/2006/main">
                <a:graphicData uri="http://schemas.microsoft.com/office/word/2010/wordprocessingShape">
                  <wps:wsp>
                    <wps:cNvSpPr txBox="1"/>
                    <wps:spPr>
                      <a:xfrm>
                        <a:off x="0" y="0"/>
                        <a:ext cx="4764405" cy="409575"/>
                      </a:xfrm>
                      <a:prstGeom prst="rect">
                        <a:avLst/>
                      </a:prstGeom>
                      <a:noFill/>
                      <a:ln w="6350">
                        <a:noFill/>
                      </a:ln>
                    </wps:spPr>
                    <wps:txbx>
                      <w:txbxContent>
                        <w:p w14:paraId="49631B38" w14:textId="054420AE" w:rsidR="00927BDE" w:rsidRPr="00756397" w:rsidRDefault="00F93B6D" w:rsidP="00927BDE">
                          <w:pPr>
                            <w:pStyle w:val="Footer"/>
                          </w:pPr>
                          <w:sdt>
                            <w:sdtPr>
                              <w:alias w:val="Title"/>
                              <w:tag w:val=""/>
                              <w:id w:val="400333617"/>
                              <w:dataBinding w:prefixMappings="xmlns:ns0='http://purl.org/dc/elements/1.1/' xmlns:ns1='http://schemas.openxmlformats.org/package/2006/metadata/core-properties' " w:xpath="/ns1:coreProperties[1]/ns0:title[1]" w:storeItemID="{6C3C8BC8-F283-45AE-878A-BAB7291924A1}"/>
                              <w:text/>
                            </w:sdtPr>
                            <w:sdtEndPr/>
                            <w:sdtContent>
                              <w:r w:rsidR="003D6EA7">
                                <w:t>Advice on the National Suicide Prevention Strategy</w:t>
                              </w:r>
                              <w:r w:rsidR="00B93147">
                                <w:t xml:space="preserve"> (consultation draft)</w:t>
                              </w:r>
                            </w:sdtContent>
                          </w:sdt>
                          <w:r w:rsidR="00927BDE" w:rsidRPr="00756397">
                            <w:t xml:space="preserve">  </w:t>
                          </w:r>
                          <w:sdt>
                            <w:sdtPr>
                              <w:alias w:val="Status"/>
                              <w:tag w:val=""/>
                              <w:id w:val="-115520849"/>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927BDE" w:rsidRPr="00756397">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anchor>
          </w:drawing>
        </mc:Choice>
        <mc:Fallback>
          <w:pict>
            <v:shape w14:anchorId="0ADDB1CC" id="Text Box 3933616" o:spid="_x0000_s1031" type="#_x0000_t202" style="position:absolute;margin-left:0;margin-top:6.25pt;width:375.15pt;height:32.25pt;z-index:-251658234;visibility:visible;mso-wrap-style:square;mso-wrap-distance-left:9pt;mso-wrap-distance-top:0;mso-wrap-distance-right:9pt;mso-wrap-distance-bottom:0;mso-position-horizontal:left;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" filled="f" stroked="f" strokeweight=".5pt">
              <v:textbox style="mso-fit-shape-to-text:t" inset="0,0,0,0">
                <w:txbxContent>
                  <w:p w14:paraId="49631B38" w14:textId="054420AE" w:rsidR="00927BDE" w:rsidRPr="00756397" w:rsidRDefault="00F93B6D" w:rsidP="00927BDE">
                    <w:pPr>
                      <w:pStyle w:val="Footer"/>
                    </w:pPr>
                    <w:sdt>
                      <w:sdtPr>
                        <w:alias w:val="Title"/>
                        <w:tag w:val=""/>
                        <w:id w:val="400333617"/>
                        <w:dataBinding w:prefixMappings="xmlns:ns0='http://purl.org/dc/elements/1.1/' xmlns:ns1='http://schemas.openxmlformats.org/package/2006/metadata/core-properties' " w:xpath="/ns1:coreProperties[1]/ns0:title[1]" w:storeItemID="{6C3C8BC8-F283-45AE-878A-BAB7291924A1}"/>
                        <w:text/>
                      </w:sdtPr>
                      <w:sdtEndPr/>
                      <w:sdtContent>
                        <w:r w:rsidR="003D6EA7">
                          <w:t>Advice on the National Suicide Prevention Strategy</w:t>
                        </w:r>
                        <w:r w:rsidR="00B93147">
                          <w:t xml:space="preserve"> (consultation draft)</w:t>
                        </w:r>
                      </w:sdtContent>
                    </w:sdt>
                    <w:r w:rsidR="00927BDE" w:rsidRPr="00756397">
                      <w:t xml:space="preserve">  </w:t>
                    </w:r>
                    <w:sdt>
                      <w:sdtPr>
                        <w:alias w:val="Status"/>
                        <w:tag w:val=""/>
                        <w:id w:val="-115520849"/>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927BDE" w:rsidRPr="00756397">
                          <w:t xml:space="preserve">     </w:t>
                        </w:r>
                      </w:sdtContent>
                    </w:sdt>
                  </w:p>
                </w:txbxContent>
              </v:textbox>
              <w10:wrap type="tight" anchorx="margin"/>
            </v:shape>
          </w:pict>
        </mc:Fallback>
      </mc:AlternateContent>
    </w:r>
    <w:r w:rsidR="00257DE6" w:rsidRPr="00B768A1">
      <w:rPr>
        <w:noProof/>
      </w:rPr>
      <w:drawing>
        <wp:inline distT="0" distB="0" distL="0" distR="0" wp14:anchorId="45DDC4AE" wp14:editId="5CEF3BCC">
          <wp:extent cx="225720" cy="253935"/>
          <wp:effectExtent l="0" t="0" r="3175" b="0"/>
          <wp:docPr id="1845569020" name="Graphic 18455690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6248" name="Graphic 201376248">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225720" cy="253935"/>
                  </a:xfrm>
                  <a:prstGeom prst="rect">
                    <a:avLst/>
                  </a:prstGeom>
                </pic:spPr>
              </pic:pic>
            </a:graphicData>
          </a:graphic>
        </wp:inline>
      </w:drawing>
    </w:r>
    <w:r w:rsidR="00257DE6" w:rsidRPr="00B768A1">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47B00" w14:textId="77777777" w:rsidR="0068069C" w:rsidRPr="00B768A1" w:rsidRDefault="0068069C" w:rsidP="00756397">
    <w:pPr>
      <w:pStyle w:val="Footerwithpurplelinebelow"/>
    </w:pPr>
    <w:r w:rsidRPr="00B768A1">
      <w:rPr>
        <w:noProof/>
      </w:rPr>
      <mc:AlternateContent>
        <mc:Choice Requires="wps">
          <w:drawing>
            <wp:anchor distT="0" distB="0" distL="114300" distR="114300" simplePos="0" relativeHeight="251658245" behindDoc="0" locked="1" layoutInCell="1" allowOverlap="1" wp14:anchorId="287CBB11" wp14:editId="4F89EFA1">
              <wp:simplePos x="0" y="0"/>
              <wp:positionH relativeFrom="page">
                <wp:posOffset>5969635</wp:posOffset>
              </wp:positionH>
              <wp:positionV relativeFrom="page">
                <wp:posOffset>9693910</wp:posOffset>
              </wp:positionV>
              <wp:extent cx="1619885" cy="827405"/>
              <wp:effectExtent l="0" t="0" r="0" b="0"/>
              <wp:wrapNone/>
              <wp:docPr id="383875747" name="Text Box 3838757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19885" cy="827405"/>
                      </a:xfrm>
                      <a:prstGeom prst="rect">
                        <a:avLst/>
                      </a:prstGeom>
                      <a:noFill/>
                      <a:ln w="6350">
                        <a:noFill/>
                      </a:ln>
                    </wps:spPr>
                    <wps:txbx>
                      <w:txbxContent>
                        <w:p w14:paraId="41FCD3F5" w14:textId="11F31832" w:rsidR="0068069C" w:rsidRPr="00756397" w:rsidRDefault="0068069C" w:rsidP="00756397">
                          <w:pPr>
                            <w:pStyle w:val="FooterPageNumber"/>
                          </w:pPr>
                          <w:r w:rsidRPr="00756397">
                            <w:fldChar w:fldCharType="begin"/>
                          </w:r>
                          <w:r w:rsidRPr="00756397">
                            <w:instrText xml:space="preserve"> PAGE   \# "00"  </w:instrText>
                          </w:r>
                          <w:r w:rsidRPr="00756397">
                            <w:fldChar w:fldCharType="separate"/>
                          </w:r>
                          <w:r w:rsidRPr="00756397">
                            <w:t>1</w:t>
                          </w:r>
                          <w:r w:rsidRPr="00756397">
                            <w:fldChar w:fldCharType="end"/>
                          </w:r>
                        </w:p>
                      </w:txbxContent>
                    </wps:txbx>
                    <wps:bodyPr rot="0" spcFirstLastPara="0" vertOverflow="overflow" horzOverflow="overflow" vert="horz" wrap="square" lIns="91440" tIns="0" rIns="90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7CBB11" id="_x0000_t202" coordsize="21600,21600" o:spt="202" path="m,l,21600r21600,l21600,xe">
              <v:stroke joinstyle="miter"/>
              <v:path gradientshapeok="t" o:connecttype="rect"/>
            </v:shapetype>
            <v:shape id="Text Box 383875747" o:spid="_x0000_s1032" type="#_x0000_t202" alt="&quot;&quot;" style="position:absolute;margin-left:470.05pt;margin-top:763.3pt;width:127.55pt;height:65.1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" filled="f" stroked="f" strokeweight=".5pt">
              <v:textbox inset=",0,25mm">
                <w:txbxContent>
                  <w:p w14:paraId="41FCD3F5" w14:textId="11F31832" w:rsidR="0068069C" w:rsidRPr="00756397" w:rsidRDefault="0068069C" w:rsidP="00756397">
                    <w:pPr>
                      <w:pStyle w:val="FooterPageNumber"/>
                    </w:pPr>
                    <w:r w:rsidRPr="00756397">
                      <w:fldChar w:fldCharType="begin"/>
                    </w:r>
                    <w:r w:rsidRPr="00756397">
                      <w:instrText xml:space="preserve"> PAGE   \# "00"  </w:instrText>
                    </w:r>
                    <w:r w:rsidRPr="00756397">
                      <w:fldChar w:fldCharType="separate"/>
                    </w:r>
                    <w:r w:rsidRPr="00756397">
                      <w:t>1</w:t>
                    </w:r>
                    <w:r w:rsidRPr="00756397">
                      <w:fldChar w:fldCharType="end"/>
                    </w:r>
                  </w:p>
                </w:txbxContent>
              </v:textbox>
              <w10:wrap anchorx="page" anchory="page"/>
              <w10:anchorlock/>
            </v:shape>
          </w:pict>
        </mc:Fallback>
      </mc:AlternateContent>
    </w:r>
  </w:p>
  <w:p w14:paraId="5C3FA4F0" w14:textId="7C811824" w:rsidR="0068069C" w:rsidRPr="00B768A1" w:rsidRDefault="00A046F3" w:rsidP="00756397">
    <w:pPr>
      <w:pStyle w:val="Footer"/>
    </w:pPr>
    <w:r w:rsidRPr="00B768A1">
      <w:rPr>
        <w:noProof/>
      </w:rPr>
      <mc:AlternateContent>
        <mc:Choice Requires="wps">
          <w:drawing>
            <wp:inline distT="0" distB="0" distL="0" distR="0" wp14:anchorId="36CC8F2F" wp14:editId="0BE6FEFE">
              <wp:extent cx="4514850" cy="409575"/>
              <wp:effectExtent l="0" t="0" r="0" b="6350"/>
              <wp:docPr id="9" name="Text Box 9"/>
              <wp:cNvGraphicFramePr/>
              <a:graphic xmlns:a="http://schemas.openxmlformats.org/drawingml/2006/main">
                <a:graphicData uri="http://schemas.microsoft.com/office/word/2010/wordprocessingShape">
                  <wps:wsp>
                    <wps:cNvSpPr txBox="1"/>
                    <wps:spPr>
                      <a:xfrm>
                        <a:off x="0" y="0"/>
                        <a:ext cx="4514850" cy="409575"/>
                      </a:xfrm>
                      <a:prstGeom prst="rect">
                        <a:avLst/>
                      </a:prstGeom>
                      <a:noFill/>
                      <a:ln w="6350">
                        <a:noFill/>
                      </a:ln>
                    </wps:spPr>
                    <wps:txbx>
                      <w:txbxContent>
                        <w:p w14:paraId="13704A78" w14:textId="56C29717" w:rsidR="00A046F3" w:rsidRPr="00B768A1" w:rsidRDefault="00F93B6D" w:rsidP="00756397">
                          <w:pPr>
                            <w:pStyle w:val="Footer"/>
                          </w:pPr>
                          <w:sdt>
                            <w:sdtPr>
                              <w:alias w:val="Title"/>
                              <w:tag w:val=""/>
                              <w:id w:val="-1723826540"/>
                              <w:dataBinding w:prefixMappings="xmlns:ns0='http://purl.org/dc/elements/1.1/' xmlns:ns1='http://schemas.openxmlformats.org/package/2006/metadata/core-properties' " w:xpath="/ns1:coreProperties[1]/ns0:title[1]" w:storeItemID="{6C3C8BC8-F283-45AE-878A-BAB7291924A1}"/>
                              <w:text/>
                            </w:sdtPr>
                            <w:sdtEndPr/>
                            <w:sdtContent>
                              <w:r w:rsidR="00B93147">
                                <w:t>Advice on the National Suicide Prevention Strategy (consultation draft)</w:t>
                              </w:r>
                            </w:sdtContent>
                          </w:sdt>
                          <w:r w:rsidR="00A046F3" w:rsidRPr="00B768A1">
                            <w:t xml:space="preserve">  </w:t>
                          </w:r>
                        </w:p>
                        <w:p w14:paraId="55E5A227" w14:textId="77777777" w:rsidR="00A046F3" w:rsidRPr="00B768A1" w:rsidRDefault="00F93B6D" w:rsidP="00756397">
                          <w:pPr>
                            <w:pStyle w:val="Footer"/>
                          </w:pPr>
                          <w:sdt>
                            <w:sdtPr>
                              <w:alias w:val="Status"/>
                              <w:tag w:val=""/>
                              <w:id w:val="1069998029"/>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A046F3">
                                <w:t xml:space="preserve">     </w:t>
                              </w:r>
                            </w:sdtContent>
                          </w:sdt>
                          <w:r w:rsidR="00A046F3" w:rsidRPr="00B768A1">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inline>
          </w:drawing>
        </mc:Choice>
        <mc:Fallback>
          <w:pict>
            <v:shape w14:anchorId="36CC8F2F" id="Text Box 9" o:spid="_x0000_s1033" type="#_x0000_t202" style="width:355.5pt;height:32.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" filled="f" stroked="f" strokeweight=".5pt">
              <v:textbox style="mso-fit-shape-to-text:t" inset="0,0,0,0">
                <w:txbxContent>
                  <w:p w14:paraId="13704A78" w14:textId="56C29717" w:rsidR="00A046F3" w:rsidRPr="00B768A1" w:rsidRDefault="00F93B6D" w:rsidP="00756397">
                    <w:pPr>
                      <w:pStyle w:val="Footer"/>
                    </w:pPr>
                    <w:sdt>
                      <w:sdtPr>
                        <w:alias w:val="Title"/>
                        <w:tag w:val=""/>
                        <w:id w:val="-1723826540"/>
                        <w:dataBinding w:prefixMappings="xmlns:ns0='http://purl.org/dc/elements/1.1/' xmlns:ns1='http://schemas.openxmlformats.org/package/2006/metadata/core-properties' " w:xpath="/ns1:coreProperties[1]/ns0:title[1]" w:storeItemID="{6C3C8BC8-F283-45AE-878A-BAB7291924A1}"/>
                        <w:text/>
                      </w:sdtPr>
                      <w:sdtEndPr/>
                      <w:sdtContent>
                        <w:r w:rsidR="00B93147">
                          <w:t>Advice on the National Suicide Prevention Strategy (consultation draft)</w:t>
                        </w:r>
                      </w:sdtContent>
                    </w:sdt>
                    <w:r w:rsidR="00A046F3" w:rsidRPr="00B768A1">
                      <w:t xml:space="preserve">  </w:t>
                    </w:r>
                  </w:p>
                  <w:p w14:paraId="55E5A227" w14:textId="77777777" w:rsidR="00A046F3" w:rsidRPr="00B768A1" w:rsidRDefault="00F93B6D" w:rsidP="00756397">
                    <w:pPr>
                      <w:pStyle w:val="Footer"/>
                    </w:pPr>
                    <w:sdt>
                      <w:sdtPr>
                        <w:alias w:val="Status"/>
                        <w:tag w:val=""/>
                        <w:id w:val="1069998029"/>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A046F3">
                          <w:t xml:space="preserve">     </w:t>
                        </w:r>
                      </w:sdtContent>
                    </w:sdt>
                    <w:r w:rsidR="00A046F3" w:rsidRPr="00B768A1">
                      <w:t xml:space="preserve"> </w:t>
                    </w:r>
                  </w:p>
                </w:txbxContent>
              </v:textbox>
              <w10:anchorlock/>
            </v:shape>
          </w:pict>
        </mc:Fallback>
      </mc:AlternateContent>
    </w:r>
    <w:r w:rsidR="0068069C" w:rsidRPr="00B768A1">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5A301" w14:textId="77777777" w:rsidR="00BA7FAE" w:rsidRPr="00B768A1" w:rsidRDefault="00BA7FAE" w:rsidP="0075639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59223" w14:textId="77777777" w:rsidR="002B3BB3" w:rsidRPr="00B768A1" w:rsidRDefault="002B3BB3" w:rsidP="00756397">
    <w:pPr>
      <w:pStyle w:val="Footerwithpurplelinebelow"/>
    </w:pPr>
    <w:r w:rsidRPr="00B768A1">
      <w:rPr>
        <w:noProof/>
      </w:rPr>
      <mc:AlternateContent>
        <mc:Choice Requires="wps">
          <w:drawing>
            <wp:anchor distT="0" distB="0" distL="114300" distR="114300" simplePos="0" relativeHeight="251658242" behindDoc="0" locked="1" layoutInCell="1" allowOverlap="1" wp14:anchorId="79C56E6E" wp14:editId="262A7C5B">
              <wp:simplePos x="0" y="0"/>
              <wp:positionH relativeFrom="page">
                <wp:align>right</wp:align>
              </wp:positionH>
              <wp:positionV relativeFrom="page">
                <wp:align>bottom</wp:align>
              </wp:positionV>
              <wp:extent cx="1620000" cy="828000"/>
              <wp:effectExtent l="0" t="0" r="0" b="0"/>
              <wp:wrapNone/>
              <wp:docPr id="603239697" name="Text Box 6032396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20000" cy="828000"/>
                      </a:xfrm>
                      <a:prstGeom prst="rect">
                        <a:avLst/>
                      </a:prstGeom>
                      <a:noFill/>
                      <a:ln w="6350">
                        <a:noFill/>
                      </a:ln>
                    </wps:spPr>
                    <wps:txbx>
                      <w:txbxContent>
                        <w:p w14:paraId="38C31A0F" w14:textId="77777777" w:rsidR="002B3BB3" w:rsidRPr="00756397" w:rsidRDefault="002B3BB3" w:rsidP="00756397">
                          <w:pPr>
                            <w:pStyle w:val="FooterPageNumber"/>
                          </w:pPr>
                          <w:r w:rsidRPr="00756397">
                            <w:fldChar w:fldCharType="begin"/>
                          </w:r>
                          <w:r w:rsidRPr="00756397">
                            <w:instrText xml:space="preserve"> PAGE   \# "00"  </w:instrText>
                          </w:r>
                          <w:r w:rsidRPr="00756397">
                            <w:fldChar w:fldCharType="separate"/>
                          </w:r>
                          <w:r w:rsidRPr="00756397">
                            <w:t>1</w:t>
                          </w:r>
                          <w:r w:rsidRPr="00756397">
                            <w:fldChar w:fldCharType="end"/>
                          </w:r>
                        </w:p>
                      </w:txbxContent>
                    </wps:txbx>
                    <wps:bodyPr rot="0" spcFirstLastPara="0" vertOverflow="overflow" horzOverflow="overflow" vert="horz" wrap="square" lIns="91440" tIns="0" rIns="90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C56E6E" id="_x0000_t202" coordsize="21600,21600" o:spt="202" path="m,l,21600r21600,l21600,xe">
              <v:stroke joinstyle="miter"/>
              <v:path gradientshapeok="t" o:connecttype="rect"/>
            </v:shapetype>
            <v:shape id="Text Box 603239697" o:spid="_x0000_s1034" type="#_x0000_t202" alt="&quot;&quot;" style="position:absolute;margin-left:76.35pt;margin-top:0;width:127.55pt;height:65.2pt;z-index:25165824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" filled="f" stroked="f" strokeweight=".5pt">
              <v:textbox inset=",0,25mm">
                <w:txbxContent>
                  <w:p w14:paraId="38C31A0F" w14:textId="77777777" w:rsidR="002B3BB3" w:rsidRPr="00756397" w:rsidRDefault="002B3BB3" w:rsidP="00756397">
                    <w:pPr>
                      <w:pStyle w:val="FooterPageNumber"/>
                    </w:pPr>
                    <w:r w:rsidRPr="00756397">
                      <w:fldChar w:fldCharType="begin"/>
                    </w:r>
                    <w:r w:rsidRPr="00756397">
                      <w:instrText xml:space="preserve"> PAGE   \# "00"  </w:instrText>
                    </w:r>
                    <w:r w:rsidRPr="00756397">
                      <w:fldChar w:fldCharType="separate"/>
                    </w:r>
                    <w:r w:rsidRPr="00756397">
                      <w:t>1</w:t>
                    </w:r>
                    <w:r w:rsidRPr="00756397">
                      <w:fldChar w:fldCharType="end"/>
                    </w:r>
                  </w:p>
                </w:txbxContent>
              </v:textbox>
              <w10:wrap anchorx="page" anchory="page"/>
              <w10:anchorlock/>
            </v:shape>
          </w:pict>
        </mc:Fallback>
      </mc:AlternateContent>
    </w:r>
  </w:p>
  <w:p w14:paraId="02A4410E" w14:textId="51810522" w:rsidR="00D80D20" w:rsidRPr="00B768A1" w:rsidRDefault="00851782" w:rsidP="00756397">
    <w:pPr>
      <w:pStyle w:val="Footer"/>
    </w:pPr>
    <w:r w:rsidRPr="00B768A1">
      <w:rPr>
        <w:noProof/>
      </w:rPr>
      <mc:AlternateContent>
        <mc:Choice Requires="wps">
          <w:drawing>
            <wp:inline distT="0" distB="0" distL="0" distR="0" wp14:anchorId="5DAEC8F5" wp14:editId="03DAF942">
              <wp:extent cx="4657725" cy="409575"/>
              <wp:effectExtent l="0" t="0" r="9525" b="0"/>
              <wp:docPr id="326377834" name="Text Box 326377834"/>
              <wp:cNvGraphicFramePr/>
              <a:graphic xmlns:a="http://schemas.openxmlformats.org/drawingml/2006/main">
                <a:graphicData uri="http://schemas.microsoft.com/office/word/2010/wordprocessingShape">
                  <wps:wsp>
                    <wps:cNvSpPr txBox="1"/>
                    <wps:spPr>
                      <a:xfrm>
                        <a:off x="0" y="0"/>
                        <a:ext cx="4657725" cy="409575"/>
                      </a:xfrm>
                      <a:prstGeom prst="rect">
                        <a:avLst/>
                      </a:prstGeom>
                      <a:noFill/>
                      <a:ln w="6350">
                        <a:noFill/>
                      </a:ln>
                    </wps:spPr>
                    <wps:txbx>
                      <w:txbxContent>
                        <w:p w14:paraId="50F13B69" w14:textId="0858C318" w:rsidR="00851782" w:rsidRPr="00756397" w:rsidRDefault="00F93B6D" w:rsidP="00756397">
                          <w:pPr>
                            <w:pStyle w:val="Footer"/>
                          </w:pPr>
                          <w:sdt>
                            <w:sdtPr>
                              <w:alias w:val="Title"/>
                              <w:tag w:val=""/>
                              <w:id w:val="-1102341247"/>
                              <w:dataBinding w:prefixMappings="xmlns:ns0='http://purl.org/dc/elements/1.1/' xmlns:ns1='http://schemas.openxmlformats.org/package/2006/metadata/core-properties' " w:xpath="/ns1:coreProperties[1]/ns0:title[1]" w:storeItemID="{6C3C8BC8-F283-45AE-878A-BAB7291924A1}"/>
                              <w:text/>
                            </w:sdtPr>
                            <w:sdtEndPr/>
                            <w:sdtContent>
                              <w:r w:rsidR="00B93147">
                                <w:t>Advice on the National Suicide Prevention Strategy (consultation draft)</w:t>
                              </w:r>
                            </w:sdtContent>
                          </w:sdt>
                          <w:r w:rsidR="00851782" w:rsidRPr="00756397">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inline>
          </w:drawing>
        </mc:Choice>
        <mc:Fallback>
          <w:pict>
            <v:shape w14:anchorId="5DAEC8F5" id="Text Box 326377834" o:spid="_x0000_s1035" type="#_x0000_t202" style="width:366.75pt;height:32.2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" filled="f" stroked="f" strokeweight=".5pt">
              <v:textbox style="mso-fit-shape-to-text:t" inset="0,0,0,0">
                <w:txbxContent>
                  <w:p w14:paraId="50F13B69" w14:textId="0858C318" w:rsidR="00851782" w:rsidRPr="00756397" w:rsidRDefault="00F93B6D" w:rsidP="00756397">
                    <w:pPr>
                      <w:pStyle w:val="Footer"/>
                    </w:pPr>
                    <w:sdt>
                      <w:sdtPr>
                        <w:alias w:val="Title"/>
                        <w:tag w:val=""/>
                        <w:id w:val="-1102341247"/>
                        <w:dataBinding w:prefixMappings="xmlns:ns0='http://purl.org/dc/elements/1.1/' xmlns:ns1='http://schemas.openxmlformats.org/package/2006/metadata/core-properties' " w:xpath="/ns1:coreProperties[1]/ns0:title[1]" w:storeItemID="{6C3C8BC8-F283-45AE-878A-BAB7291924A1}"/>
                        <w:text/>
                      </w:sdtPr>
                      <w:sdtEndPr/>
                      <w:sdtContent>
                        <w:r w:rsidR="00B93147">
                          <w:t>Advice on the National Suicide Prevention Strategy (consultation draft)</w:t>
                        </w:r>
                      </w:sdtContent>
                    </w:sdt>
                    <w:r w:rsidR="00851782" w:rsidRPr="00756397">
                      <w:t xml:space="preserve">  </w:t>
                    </w:r>
                  </w:p>
                </w:txbxContent>
              </v:textbox>
              <w10:anchorlock/>
            </v:shape>
          </w:pict>
        </mc:Fallback>
      </mc:AlternateContent>
    </w:r>
    <w:r w:rsidR="002B3BB3" w:rsidRPr="00B768A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3BEF12" w14:textId="77777777" w:rsidR="005C6BE2" w:rsidRPr="00B768A1" w:rsidRDefault="005C6BE2" w:rsidP="00634A83">
      <w:r>
        <w:pict w14:anchorId="5C4B45C2">
          <v:rect id="_x0000_i1025" style="width:0;height:1.5pt" o:hralign="center" o:hrstd="t" o:hr="t" fillcolor="#a0a0a0" stroked="f"/>
        </w:pict>
      </w:r>
    </w:p>
  </w:footnote>
  <w:footnote w:type="continuationSeparator" w:id="0">
    <w:p w14:paraId="5245095D" w14:textId="77777777" w:rsidR="005C6BE2" w:rsidRPr="00B768A1" w:rsidRDefault="005C6BE2" w:rsidP="00634A83">
      <w:r>
        <w:pict w14:anchorId="4EC00675">
          <v:rect id="_x0000_i1026" style="width:0;height:1.5pt" o:hralign="center" o:hrstd="t" o:hr="t" fillcolor="#a0a0a0" stroked="f"/>
        </w:pict>
      </w:r>
    </w:p>
  </w:footnote>
  <w:footnote w:type="continuationNotice" w:id="1">
    <w:p w14:paraId="35079C5E" w14:textId="77777777" w:rsidR="005C6BE2" w:rsidRPr="00B768A1" w:rsidRDefault="005C6BE2" w:rsidP="00634A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83F2B0" w14:textId="77777777" w:rsidR="000E4CC3" w:rsidRPr="00B768A1" w:rsidRDefault="009443A7" w:rsidP="00634A83">
    <w:pPr>
      <w:pStyle w:val="Headerwithblacklineabove"/>
    </w:pPr>
    <w:r w:rsidRPr="00B768A1">
      <w:rPr>
        <w:noProof/>
      </w:rPr>
      <w:drawing>
        <wp:anchor distT="0" distB="0" distL="114300" distR="114300" simplePos="0" relativeHeight="251658244" behindDoc="1" locked="1" layoutInCell="1" allowOverlap="1" wp14:anchorId="05F5AEEC" wp14:editId="2337DFCC">
          <wp:simplePos x="0" y="0"/>
          <wp:positionH relativeFrom="page">
            <wp:posOffset>184785</wp:posOffset>
          </wp:positionH>
          <wp:positionV relativeFrom="page">
            <wp:posOffset>184785</wp:posOffset>
          </wp:positionV>
          <wp:extent cx="7200000" cy="10332000"/>
          <wp:effectExtent l="0" t="0" r="1270" b="0"/>
          <wp:wrapNone/>
          <wp:docPr id="1915114321" name="Graphic 1915114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5114321" name="Graphic 1915114321">
                    <a:extLst>
                      <a:ext uri="{C183D7F6-B498-43B3-948B-1728B52AA6E4}">
                        <adec:decorative xmlns:adec="http://schemas.microsoft.com/office/drawing/2017/decorative" val="1"/>
                      </a:ext>
                    </a:extLst>
                  </pic:cNvPr>
                  <pic:cNvPicPr preferRelativeResize="0"/>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00000" cy="10332000"/>
                  </a:xfrm>
                  <a:prstGeom prst="rect">
                    <a:avLst/>
                  </a:prstGeom>
                </pic:spPr>
              </pic:pic>
            </a:graphicData>
          </a:graphic>
          <wp14:sizeRelH relativeFrom="page">
            <wp14:pctWidth>0</wp14:pctWidth>
          </wp14:sizeRelH>
          <wp14:sizeRelV relativeFrom="page">
            <wp14:pctHeight>0</wp14:pctHeight>
          </wp14:sizeRelV>
        </wp:anchor>
      </w:drawing>
    </w:r>
    <w:r w:rsidR="00E8225F" w:rsidRPr="00B768A1">
      <w:t>National Suicide Prevention Office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039A4F15" w14:paraId="2F25BBAD" w14:textId="77777777" w:rsidTr="00247E24">
      <w:trPr>
        <w:trHeight w:val="300"/>
      </w:trPr>
      <w:tc>
        <w:tcPr>
          <w:tcW w:w="3020" w:type="dxa"/>
        </w:tcPr>
        <w:p w14:paraId="07791C3D" w14:textId="4E18ED33" w:rsidR="039A4F15" w:rsidRDefault="039A4F15" w:rsidP="00634A83">
          <w:pPr>
            <w:pStyle w:val="Header"/>
          </w:pPr>
        </w:p>
      </w:tc>
      <w:tc>
        <w:tcPr>
          <w:tcW w:w="3020" w:type="dxa"/>
        </w:tcPr>
        <w:p w14:paraId="0946ED26" w14:textId="30D8E6D2" w:rsidR="039A4F15" w:rsidRDefault="039A4F15" w:rsidP="00634A83">
          <w:pPr>
            <w:pStyle w:val="Header"/>
          </w:pPr>
        </w:p>
      </w:tc>
      <w:tc>
        <w:tcPr>
          <w:tcW w:w="3020" w:type="dxa"/>
        </w:tcPr>
        <w:p w14:paraId="1AF7CEC9" w14:textId="7745C5FA" w:rsidR="039A4F15" w:rsidRDefault="039A4F15" w:rsidP="00634A83">
          <w:pPr>
            <w:pStyle w:val="Header"/>
          </w:pPr>
        </w:p>
      </w:tc>
    </w:tr>
  </w:tbl>
  <w:p w14:paraId="390CE751" w14:textId="1B0DE1A9" w:rsidR="00264E6E" w:rsidRDefault="00264E6E" w:rsidP="00634A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84BE48" w14:textId="7B3D7FAE" w:rsidR="00A33C50" w:rsidRPr="00B768A1" w:rsidRDefault="00A33C50" w:rsidP="00634A8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57F69" w14:textId="1B86B295" w:rsidR="006162F5" w:rsidRPr="00B768A1" w:rsidRDefault="006162F5" w:rsidP="00634A8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D02E95" w14:textId="1C479118" w:rsidR="000D4EF5" w:rsidRPr="00594063" w:rsidRDefault="000D4EF5" w:rsidP="000F19F2">
    <w:pPr>
      <w:pStyle w:val="Headerwithpurplelineabove"/>
      <w:pBdr>
        <w:top w:val="none" w:sz="0" w:space="0" w:color="auto"/>
      </w:pBdr>
      <w:spacing w:after="80"/>
      <w:rPr>
        <w:sz w:val="20"/>
        <w:szCs w:val="2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51956D" w14:textId="77777777" w:rsidR="00BA7FAE" w:rsidRPr="00B768A1" w:rsidRDefault="00BA7FAE" w:rsidP="00634A83">
    <w:pPr>
      <w:pStyle w:val="NoSpacing"/>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95DD4C" w14:textId="77777777" w:rsidR="002B3BB3" w:rsidRPr="00B768A1" w:rsidRDefault="002B3BB3" w:rsidP="00634A83">
    <w:pPr>
      <w:pStyle w:val="Header"/>
    </w:pPr>
    <w:r w:rsidRPr="00B768A1">
      <w:t>National Suicide Prevention Office</w:t>
    </w:r>
  </w:p>
</w:hdr>
</file>

<file path=word/intelligence2.xml><?xml version="1.0" encoding="utf-8"?>
<int2:intelligence xmlns:int2="http://schemas.microsoft.com/office/intelligence/2020/intelligence" xmlns:oel="http://schemas.microsoft.com/office/2019/extlst">
  <int2:observations>
    <int2:textHash int2:hashCode="AUnHGz6kytTeNS" int2:id="3D1PYk7V">
      <int2:state int2:value="Rejected" int2:type="AugLoop_Text_Critique"/>
    </int2:textHash>
    <int2:textHash int2:hashCode="4jvqezr3I+i1ZQ" int2:id="5LoJYa4W">
      <int2:state int2:value="Rejected" int2:type="AugLoop_Text_Critique"/>
    </int2:textHash>
    <int2:textHash int2:hashCode="OQxIZFn0UZstOh" int2:id="6MNArxPx">
      <int2:state int2:value="Rejected" int2:type="AugLoop_Text_Critique"/>
    </int2:textHash>
    <int2:textHash int2:hashCode="wyGAfCaiK2mVzr" int2:id="6jZ8EZTx">
      <int2:state int2:value="Rejected" int2:type="AugLoop_Text_Critique"/>
    </int2:textHash>
    <int2:textHash int2:hashCode="hS/iJ4rY67ft7T" int2:id="9ASsjslg">
      <int2:state int2:value="Rejected" int2:type="AugLoop_Text_Critique"/>
    </int2:textHash>
    <int2:textHash int2:hashCode="MvjUm64W8N8ZCu" int2:id="A22lfm7a">
      <int2:state int2:value="Rejected" int2:type="AugLoop_Text_Critique"/>
    </int2:textHash>
    <int2:textHash int2:hashCode="pSoUbGVWx94AV2" int2:id="CcdPMubZ">
      <int2:state int2:value="Rejected" int2:type="AugLoop_Text_Critique"/>
    </int2:textHash>
    <int2:textHash int2:hashCode="ypnpCXlvsG9C54" int2:id="Fe8AL8Yd">
      <int2:state int2:value="Rejected" int2:type="AugLoop_Text_Critique"/>
    </int2:textHash>
    <int2:textHash int2:hashCode="FSN8XbxB/jgPjc" int2:id="GUMDTnjL">
      <int2:state int2:value="Rejected" int2:type="AugLoop_Text_Critique"/>
    </int2:textHash>
    <int2:textHash int2:hashCode="MaXbSilq5PfHxF" int2:id="Mky2QNAz">
      <int2:state int2:value="Rejected" int2:type="AugLoop_Text_Critique"/>
    </int2:textHash>
    <int2:textHash int2:hashCode="vOhNxTCKxTGA4f" int2:id="OiXAXlFP">
      <int2:state int2:value="Rejected" int2:type="AugLoop_Text_Critique"/>
    </int2:textHash>
    <int2:textHash int2:hashCode="r/tHWdbXZf0msT" int2:id="Qe3qqC9p">
      <int2:state int2:value="Rejected" int2:type="AugLoop_Text_Critique"/>
    </int2:textHash>
    <int2:textHash int2:hashCode="0ycoOczezDNu3j" int2:id="VAfBeg7p">
      <int2:state int2:value="Rejected" int2:type="AugLoop_Text_Critique"/>
    </int2:textHash>
    <int2:textHash int2:hashCode="vrVsFzU3XYEZbj" int2:id="WNZIcQA6">
      <int2:state int2:value="Rejected" int2:type="AugLoop_Text_Critique"/>
    </int2:textHash>
    <int2:textHash int2:hashCode="7aM+rWnccGhB0j" int2:id="e6ejZSnW">
      <int2:state int2:value="Rejected" int2:type="AugLoop_Text_Critique"/>
    </int2:textHash>
    <int2:textHash int2:hashCode="i2NjTTLn1CZDSq" int2:id="exf3Kp9K">
      <int2:state int2:value="Rejected" int2:type="AugLoop_Text_Critique"/>
    </int2:textHash>
    <int2:textHash int2:hashCode="K5k3SIcfUZsfuT" int2:id="fCQ6lm6v">
      <int2:state int2:value="Rejected" int2:type="AugLoop_Text_Critique"/>
    </int2:textHash>
    <int2:textHash int2:hashCode="3aSjkBMxxXccKR" int2:id="gbmutzz6">
      <int2:state int2:value="Rejected" int2:type="AugLoop_Text_Critique"/>
    </int2:textHash>
    <int2:textHash int2:hashCode="SkqrSqoy4rc0Sl" int2:id="gtrCThy2">
      <int2:state int2:value="Rejected" int2:type="AugLoop_Text_Critique"/>
    </int2:textHash>
    <int2:textHash int2:hashCode="reLK8ms31eoUEI" int2:id="l57vwF3l">
      <int2:state int2:value="Rejected" int2:type="AugLoop_Text_Critique"/>
    </int2:textHash>
    <int2:textHash int2:hashCode="V+ZO2/JWIbzsYv" int2:id="lFx9dCA8">
      <int2:state int2:value="Rejected" int2:type="AugLoop_Text_Critique"/>
    </int2:textHash>
    <int2:textHash int2:hashCode="LnASpARXfyqPtt" int2:id="qgHWxy9U">
      <int2:state int2:value="Rejected" int2:type="AugLoop_Text_Critique"/>
    </int2:textHash>
    <int2:textHash int2:hashCode="BC3EUS+j05HFFw" int2:id="vcWaWUnc">
      <int2:state int2:value="Rejected" int2:type="AugLoop_Text_Critique"/>
    </int2:textHash>
    <int2:bookmark int2:bookmarkName="_Int_PoyPFbf6" int2:invalidationBookmarkName="" int2:hashCode="m2p42HniTdCppz" int2:id="4ASJ8s5E">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67AED95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3137D"/>
    <w:multiLevelType w:val="hybridMultilevel"/>
    <w:tmpl w:val="8C60A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1E4DC3"/>
    <w:multiLevelType w:val="hybridMultilevel"/>
    <w:tmpl w:val="0A5E02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3EC1E75"/>
    <w:multiLevelType w:val="multilevel"/>
    <w:tmpl w:val="8CE81736"/>
    <w:styleLink w:val="Appendices"/>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54673AB"/>
    <w:multiLevelType w:val="hybridMultilevel"/>
    <w:tmpl w:val="4DA2D17E"/>
    <w:lvl w:ilvl="0" w:tplc="0C090001">
      <w:start w:val="1"/>
      <w:numFmt w:val="bullet"/>
      <w:lvlText w:val=""/>
      <w:lvlJc w:val="left"/>
      <w:pPr>
        <w:ind w:left="975" w:hanging="360"/>
      </w:pPr>
      <w:rPr>
        <w:rFonts w:ascii="Symbol" w:hAnsi="Symbol" w:hint="default"/>
      </w:rPr>
    </w:lvl>
    <w:lvl w:ilvl="1" w:tplc="0C090003" w:tentative="1">
      <w:start w:val="1"/>
      <w:numFmt w:val="bullet"/>
      <w:lvlText w:val="o"/>
      <w:lvlJc w:val="left"/>
      <w:pPr>
        <w:ind w:left="1695" w:hanging="360"/>
      </w:pPr>
      <w:rPr>
        <w:rFonts w:ascii="Courier New" w:hAnsi="Courier New" w:cs="Courier New" w:hint="default"/>
      </w:rPr>
    </w:lvl>
    <w:lvl w:ilvl="2" w:tplc="0C090005" w:tentative="1">
      <w:start w:val="1"/>
      <w:numFmt w:val="bullet"/>
      <w:lvlText w:val=""/>
      <w:lvlJc w:val="left"/>
      <w:pPr>
        <w:ind w:left="2415" w:hanging="360"/>
      </w:pPr>
      <w:rPr>
        <w:rFonts w:ascii="Wingdings" w:hAnsi="Wingdings" w:hint="default"/>
      </w:rPr>
    </w:lvl>
    <w:lvl w:ilvl="3" w:tplc="0C090001" w:tentative="1">
      <w:start w:val="1"/>
      <w:numFmt w:val="bullet"/>
      <w:lvlText w:val=""/>
      <w:lvlJc w:val="left"/>
      <w:pPr>
        <w:ind w:left="3135" w:hanging="360"/>
      </w:pPr>
      <w:rPr>
        <w:rFonts w:ascii="Symbol" w:hAnsi="Symbol" w:hint="default"/>
      </w:rPr>
    </w:lvl>
    <w:lvl w:ilvl="4" w:tplc="0C090003" w:tentative="1">
      <w:start w:val="1"/>
      <w:numFmt w:val="bullet"/>
      <w:lvlText w:val="o"/>
      <w:lvlJc w:val="left"/>
      <w:pPr>
        <w:ind w:left="3855" w:hanging="360"/>
      </w:pPr>
      <w:rPr>
        <w:rFonts w:ascii="Courier New" w:hAnsi="Courier New" w:cs="Courier New" w:hint="default"/>
      </w:rPr>
    </w:lvl>
    <w:lvl w:ilvl="5" w:tplc="0C090005" w:tentative="1">
      <w:start w:val="1"/>
      <w:numFmt w:val="bullet"/>
      <w:lvlText w:val=""/>
      <w:lvlJc w:val="left"/>
      <w:pPr>
        <w:ind w:left="4575" w:hanging="360"/>
      </w:pPr>
      <w:rPr>
        <w:rFonts w:ascii="Wingdings" w:hAnsi="Wingdings" w:hint="default"/>
      </w:rPr>
    </w:lvl>
    <w:lvl w:ilvl="6" w:tplc="0C090001" w:tentative="1">
      <w:start w:val="1"/>
      <w:numFmt w:val="bullet"/>
      <w:lvlText w:val=""/>
      <w:lvlJc w:val="left"/>
      <w:pPr>
        <w:ind w:left="5295" w:hanging="360"/>
      </w:pPr>
      <w:rPr>
        <w:rFonts w:ascii="Symbol" w:hAnsi="Symbol" w:hint="default"/>
      </w:rPr>
    </w:lvl>
    <w:lvl w:ilvl="7" w:tplc="0C090003" w:tentative="1">
      <w:start w:val="1"/>
      <w:numFmt w:val="bullet"/>
      <w:lvlText w:val="o"/>
      <w:lvlJc w:val="left"/>
      <w:pPr>
        <w:ind w:left="6015" w:hanging="360"/>
      </w:pPr>
      <w:rPr>
        <w:rFonts w:ascii="Courier New" w:hAnsi="Courier New" w:cs="Courier New" w:hint="default"/>
      </w:rPr>
    </w:lvl>
    <w:lvl w:ilvl="8" w:tplc="0C090005" w:tentative="1">
      <w:start w:val="1"/>
      <w:numFmt w:val="bullet"/>
      <w:lvlText w:val=""/>
      <w:lvlJc w:val="left"/>
      <w:pPr>
        <w:ind w:left="6735" w:hanging="360"/>
      </w:pPr>
      <w:rPr>
        <w:rFonts w:ascii="Wingdings" w:hAnsi="Wingdings" w:hint="default"/>
      </w:rPr>
    </w:lvl>
  </w:abstractNum>
  <w:abstractNum w:abstractNumId="7" w15:restartNumberingAfterBreak="0">
    <w:nsid w:val="0B3C3F52"/>
    <w:multiLevelType w:val="multilevel"/>
    <w:tmpl w:val="E45E72D4"/>
    <w:lvl w:ilvl="0">
      <w:start w:val="1"/>
      <w:numFmt w:val="decimal"/>
      <w:pStyle w:val="NotesNumbered"/>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right"/>
      <w:pPr>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8" w15:restartNumberingAfterBreak="0">
    <w:nsid w:val="0C0677F2"/>
    <w:multiLevelType w:val="hybridMultilevel"/>
    <w:tmpl w:val="9B2C9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0" w15:restartNumberingAfterBreak="0">
    <w:nsid w:val="0E9F2DBF"/>
    <w:multiLevelType w:val="hybridMultilevel"/>
    <w:tmpl w:val="55309490"/>
    <w:lvl w:ilvl="0" w:tplc="FDD44976">
      <w:start w:val="1"/>
      <w:numFmt w:val="bullet"/>
      <w:lvlText w:val=""/>
      <w:lvlJc w:val="left"/>
      <w:pPr>
        <w:ind w:left="720" w:hanging="360"/>
      </w:pPr>
      <w:rPr>
        <w:rFonts w:ascii="Symbol" w:hAnsi="Symbol"/>
      </w:rPr>
    </w:lvl>
    <w:lvl w:ilvl="1" w:tplc="B0122934">
      <w:start w:val="1"/>
      <w:numFmt w:val="bullet"/>
      <w:lvlText w:val=""/>
      <w:lvlJc w:val="left"/>
      <w:pPr>
        <w:ind w:left="720" w:hanging="360"/>
      </w:pPr>
      <w:rPr>
        <w:rFonts w:ascii="Symbol" w:hAnsi="Symbol"/>
      </w:rPr>
    </w:lvl>
    <w:lvl w:ilvl="2" w:tplc="2E747FA6">
      <w:start w:val="1"/>
      <w:numFmt w:val="bullet"/>
      <w:lvlText w:val=""/>
      <w:lvlJc w:val="left"/>
      <w:pPr>
        <w:ind w:left="720" w:hanging="360"/>
      </w:pPr>
      <w:rPr>
        <w:rFonts w:ascii="Symbol" w:hAnsi="Symbol"/>
      </w:rPr>
    </w:lvl>
    <w:lvl w:ilvl="3" w:tplc="913AF944">
      <w:start w:val="1"/>
      <w:numFmt w:val="bullet"/>
      <w:lvlText w:val=""/>
      <w:lvlJc w:val="left"/>
      <w:pPr>
        <w:ind w:left="720" w:hanging="360"/>
      </w:pPr>
      <w:rPr>
        <w:rFonts w:ascii="Symbol" w:hAnsi="Symbol"/>
      </w:rPr>
    </w:lvl>
    <w:lvl w:ilvl="4" w:tplc="49268B7E">
      <w:start w:val="1"/>
      <w:numFmt w:val="bullet"/>
      <w:lvlText w:val=""/>
      <w:lvlJc w:val="left"/>
      <w:pPr>
        <w:ind w:left="720" w:hanging="360"/>
      </w:pPr>
      <w:rPr>
        <w:rFonts w:ascii="Symbol" w:hAnsi="Symbol"/>
      </w:rPr>
    </w:lvl>
    <w:lvl w:ilvl="5" w:tplc="C8529956">
      <w:start w:val="1"/>
      <w:numFmt w:val="bullet"/>
      <w:lvlText w:val=""/>
      <w:lvlJc w:val="left"/>
      <w:pPr>
        <w:ind w:left="720" w:hanging="360"/>
      </w:pPr>
      <w:rPr>
        <w:rFonts w:ascii="Symbol" w:hAnsi="Symbol"/>
      </w:rPr>
    </w:lvl>
    <w:lvl w:ilvl="6" w:tplc="039CD568">
      <w:start w:val="1"/>
      <w:numFmt w:val="bullet"/>
      <w:lvlText w:val=""/>
      <w:lvlJc w:val="left"/>
      <w:pPr>
        <w:ind w:left="720" w:hanging="360"/>
      </w:pPr>
      <w:rPr>
        <w:rFonts w:ascii="Symbol" w:hAnsi="Symbol"/>
      </w:rPr>
    </w:lvl>
    <w:lvl w:ilvl="7" w:tplc="B986DDBC">
      <w:start w:val="1"/>
      <w:numFmt w:val="bullet"/>
      <w:lvlText w:val=""/>
      <w:lvlJc w:val="left"/>
      <w:pPr>
        <w:ind w:left="720" w:hanging="360"/>
      </w:pPr>
      <w:rPr>
        <w:rFonts w:ascii="Symbol" w:hAnsi="Symbol"/>
      </w:rPr>
    </w:lvl>
    <w:lvl w:ilvl="8" w:tplc="25E044FA">
      <w:start w:val="1"/>
      <w:numFmt w:val="bullet"/>
      <w:lvlText w:val=""/>
      <w:lvlJc w:val="left"/>
      <w:pPr>
        <w:ind w:left="720" w:hanging="360"/>
      </w:pPr>
      <w:rPr>
        <w:rFonts w:ascii="Symbol" w:hAnsi="Symbol"/>
      </w:rPr>
    </w:lvl>
  </w:abstractNum>
  <w:abstractNum w:abstractNumId="11" w15:restartNumberingAfterBreak="0">
    <w:nsid w:val="0F5B4202"/>
    <w:multiLevelType w:val="hybridMultilevel"/>
    <w:tmpl w:val="A1D03D38"/>
    <w:lvl w:ilvl="0" w:tplc="08DEABFE">
      <w:start w:val="1"/>
      <w:numFmt w:val="decimal"/>
      <w:pStyle w:val="Numberlist"/>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3031089"/>
    <w:multiLevelType w:val="hybridMultilevel"/>
    <w:tmpl w:val="0178C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89210F"/>
    <w:multiLevelType w:val="hybridMultilevel"/>
    <w:tmpl w:val="FFFFFFFF"/>
    <w:lvl w:ilvl="0" w:tplc="3006A0C0">
      <w:start w:val="1"/>
      <w:numFmt w:val="bullet"/>
      <w:lvlText w:val=""/>
      <w:lvlJc w:val="left"/>
      <w:pPr>
        <w:ind w:left="720" w:hanging="360"/>
      </w:pPr>
      <w:rPr>
        <w:rFonts w:ascii="Symbol" w:hAnsi="Symbol" w:hint="default"/>
      </w:rPr>
    </w:lvl>
    <w:lvl w:ilvl="1" w:tplc="50702780">
      <w:start w:val="1"/>
      <w:numFmt w:val="bullet"/>
      <w:lvlText w:val="o"/>
      <w:lvlJc w:val="left"/>
      <w:pPr>
        <w:ind w:left="1440" w:hanging="360"/>
      </w:pPr>
      <w:rPr>
        <w:rFonts w:ascii="Courier New" w:hAnsi="Courier New" w:hint="default"/>
      </w:rPr>
    </w:lvl>
    <w:lvl w:ilvl="2" w:tplc="DCE26404">
      <w:start w:val="1"/>
      <w:numFmt w:val="bullet"/>
      <w:lvlText w:val=""/>
      <w:lvlJc w:val="left"/>
      <w:pPr>
        <w:ind w:left="2160" w:hanging="360"/>
      </w:pPr>
      <w:rPr>
        <w:rFonts w:ascii="Wingdings" w:hAnsi="Wingdings" w:hint="default"/>
      </w:rPr>
    </w:lvl>
    <w:lvl w:ilvl="3" w:tplc="7F5EA75E">
      <w:start w:val="1"/>
      <w:numFmt w:val="bullet"/>
      <w:lvlText w:val=""/>
      <w:lvlJc w:val="left"/>
      <w:pPr>
        <w:ind w:left="2880" w:hanging="360"/>
      </w:pPr>
      <w:rPr>
        <w:rFonts w:ascii="Symbol" w:hAnsi="Symbol" w:hint="default"/>
      </w:rPr>
    </w:lvl>
    <w:lvl w:ilvl="4" w:tplc="66C04F4C">
      <w:start w:val="1"/>
      <w:numFmt w:val="bullet"/>
      <w:lvlText w:val="o"/>
      <w:lvlJc w:val="left"/>
      <w:pPr>
        <w:ind w:left="3600" w:hanging="360"/>
      </w:pPr>
      <w:rPr>
        <w:rFonts w:ascii="Courier New" w:hAnsi="Courier New" w:hint="default"/>
      </w:rPr>
    </w:lvl>
    <w:lvl w:ilvl="5" w:tplc="6B0C290A">
      <w:start w:val="1"/>
      <w:numFmt w:val="bullet"/>
      <w:lvlText w:val=""/>
      <w:lvlJc w:val="left"/>
      <w:pPr>
        <w:ind w:left="4320" w:hanging="360"/>
      </w:pPr>
      <w:rPr>
        <w:rFonts w:ascii="Wingdings" w:hAnsi="Wingdings" w:hint="default"/>
      </w:rPr>
    </w:lvl>
    <w:lvl w:ilvl="6" w:tplc="BE3CA300">
      <w:start w:val="1"/>
      <w:numFmt w:val="bullet"/>
      <w:lvlText w:val=""/>
      <w:lvlJc w:val="left"/>
      <w:pPr>
        <w:ind w:left="5040" w:hanging="360"/>
      </w:pPr>
      <w:rPr>
        <w:rFonts w:ascii="Symbol" w:hAnsi="Symbol" w:hint="default"/>
      </w:rPr>
    </w:lvl>
    <w:lvl w:ilvl="7" w:tplc="E5FC73CC">
      <w:start w:val="1"/>
      <w:numFmt w:val="bullet"/>
      <w:lvlText w:val="o"/>
      <w:lvlJc w:val="left"/>
      <w:pPr>
        <w:ind w:left="5760" w:hanging="360"/>
      </w:pPr>
      <w:rPr>
        <w:rFonts w:ascii="Courier New" w:hAnsi="Courier New" w:hint="default"/>
      </w:rPr>
    </w:lvl>
    <w:lvl w:ilvl="8" w:tplc="C0703C5C">
      <w:start w:val="1"/>
      <w:numFmt w:val="bullet"/>
      <w:lvlText w:val=""/>
      <w:lvlJc w:val="left"/>
      <w:pPr>
        <w:ind w:left="6480" w:hanging="360"/>
      </w:pPr>
      <w:rPr>
        <w:rFonts w:ascii="Wingdings" w:hAnsi="Wingdings" w:hint="default"/>
      </w:rPr>
    </w:lvl>
  </w:abstractNum>
  <w:abstractNum w:abstractNumId="14" w15:restartNumberingAfterBreak="0">
    <w:nsid w:val="14430D25"/>
    <w:multiLevelType w:val="hybridMultilevel"/>
    <w:tmpl w:val="D9449112"/>
    <w:lvl w:ilvl="0" w:tplc="CB10E2F0">
      <w:start w:val="1"/>
      <w:numFmt w:val="bullet"/>
      <w:lvlText w:val=""/>
      <w:lvlJc w:val="left"/>
      <w:pPr>
        <w:ind w:left="720" w:hanging="360"/>
      </w:pPr>
      <w:rPr>
        <w:rFonts w:ascii="Symbol" w:hAnsi="Symbol"/>
      </w:rPr>
    </w:lvl>
    <w:lvl w:ilvl="1" w:tplc="A31CE1D8">
      <w:start w:val="1"/>
      <w:numFmt w:val="bullet"/>
      <w:lvlText w:val=""/>
      <w:lvlJc w:val="left"/>
      <w:pPr>
        <w:ind w:left="720" w:hanging="360"/>
      </w:pPr>
      <w:rPr>
        <w:rFonts w:ascii="Symbol" w:hAnsi="Symbol"/>
      </w:rPr>
    </w:lvl>
    <w:lvl w:ilvl="2" w:tplc="B0E4C4F4">
      <w:start w:val="1"/>
      <w:numFmt w:val="bullet"/>
      <w:lvlText w:val=""/>
      <w:lvlJc w:val="left"/>
      <w:pPr>
        <w:ind w:left="720" w:hanging="360"/>
      </w:pPr>
      <w:rPr>
        <w:rFonts w:ascii="Symbol" w:hAnsi="Symbol"/>
      </w:rPr>
    </w:lvl>
    <w:lvl w:ilvl="3" w:tplc="482418BC">
      <w:start w:val="1"/>
      <w:numFmt w:val="bullet"/>
      <w:lvlText w:val=""/>
      <w:lvlJc w:val="left"/>
      <w:pPr>
        <w:ind w:left="720" w:hanging="360"/>
      </w:pPr>
      <w:rPr>
        <w:rFonts w:ascii="Symbol" w:hAnsi="Symbol"/>
      </w:rPr>
    </w:lvl>
    <w:lvl w:ilvl="4" w:tplc="5DBA0300">
      <w:start w:val="1"/>
      <w:numFmt w:val="bullet"/>
      <w:lvlText w:val=""/>
      <w:lvlJc w:val="left"/>
      <w:pPr>
        <w:ind w:left="720" w:hanging="360"/>
      </w:pPr>
      <w:rPr>
        <w:rFonts w:ascii="Symbol" w:hAnsi="Symbol"/>
      </w:rPr>
    </w:lvl>
    <w:lvl w:ilvl="5" w:tplc="76C03D66">
      <w:start w:val="1"/>
      <w:numFmt w:val="bullet"/>
      <w:lvlText w:val=""/>
      <w:lvlJc w:val="left"/>
      <w:pPr>
        <w:ind w:left="720" w:hanging="360"/>
      </w:pPr>
      <w:rPr>
        <w:rFonts w:ascii="Symbol" w:hAnsi="Symbol"/>
      </w:rPr>
    </w:lvl>
    <w:lvl w:ilvl="6" w:tplc="058E5C0E">
      <w:start w:val="1"/>
      <w:numFmt w:val="bullet"/>
      <w:lvlText w:val=""/>
      <w:lvlJc w:val="left"/>
      <w:pPr>
        <w:ind w:left="720" w:hanging="360"/>
      </w:pPr>
      <w:rPr>
        <w:rFonts w:ascii="Symbol" w:hAnsi="Symbol"/>
      </w:rPr>
    </w:lvl>
    <w:lvl w:ilvl="7" w:tplc="F7A4F3E6">
      <w:start w:val="1"/>
      <w:numFmt w:val="bullet"/>
      <w:lvlText w:val=""/>
      <w:lvlJc w:val="left"/>
      <w:pPr>
        <w:ind w:left="720" w:hanging="360"/>
      </w:pPr>
      <w:rPr>
        <w:rFonts w:ascii="Symbol" w:hAnsi="Symbol"/>
      </w:rPr>
    </w:lvl>
    <w:lvl w:ilvl="8" w:tplc="8A2C281E">
      <w:start w:val="1"/>
      <w:numFmt w:val="bullet"/>
      <w:lvlText w:val=""/>
      <w:lvlJc w:val="left"/>
      <w:pPr>
        <w:ind w:left="720" w:hanging="360"/>
      </w:pPr>
      <w:rPr>
        <w:rFonts w:ascii="Symbol" w:hAnsi="Symbol"/>
      </w:rPr>
    </w:lvl>
  </w:abstractNum>
  <w:abstractNum w:abstractNumId="15" w15:restartNumberingAfterBreak="0">
    <w:nsid w:val="169E0A20"/>
    <w:multiLevelType w:val="hybridMultilevel"/>
    <w:tmpl w:val="FFFFFFFF"/>
    <w:lvl w:ilvl="0" w:tplc="584A757A">
      <w:start w:val="1"/>
      <w:numFmt w:val="bullet"/>
      <w:lvlText w:val=""/>
      <w:lvlJc w:val="left"/>
      <w:pPr>
        <w:ind w:left="720" w:hanging="360"/>
      </w:pPr>
      <w:rPr>
        <w:rFonts w:ascii="Symbol" w:hAnsi="Symbol" w:hint="default"/>
      </w:rPr>
    </w:lvl>
    <w:lvl w:ilvl="1" w:tplc="2DB6E410">
      <w:start w:val="1"/>
      <w:numFmt w:val="bullet"/>
      <w:lvlText w:val="o"/>
      <w:lvlJc w:val="left"/>
      <w:pPr>
        <w:ind w:left="1440" w:hanging="360"/>
      </w:pPr>
      <w:rPr>
        <w:rFonts w:ascii="Courier New" w:hAnsi="Courier New" w:hint="default"/>
      </w:rPr>
    </w:lvl>
    <w:lvl w:ilvl="2" w:tplc="F6AA9920">
      <w:start w:val="1"/>
      <w:numFmt w:val="bullet"/>
      <w:lvlText w:val=""/>
      <w:lvlJc w:val="left"/>
      <w:pPr>
        <w:ind w:left="2160" w:hanging="360"/>
      </w:pPr>
      <w:rPr>
        <w:rFonts w:ascii="Wingdings" w:hAnsi="Wingdings" w:hint="default"/>
      </w:rPr>
    </w:lvl>
    <w:lvl w:ilvl="3" w:tplc="F79EF230">
      <w:start w:val="1"/>
      <w:numFmt w:val="bullet"/>
      <w:lvlText w:val=""/>
      <w:lvlJc w:val="left"/>
      <w:pPr>
        <w:ind w:left="2880" w:hanging="360"/>
      </w:pPr>
      <w:rPr>
        <w:rFonts w:ascii="Symbol" w:hAnsi="Symbol" w:hint="default"/>
      </w:rPr>
    </w:lvl>
    <w:lvl w:ilvl="4" w:tplc="D2E654F0">
      <w:start w:val="1"/>
      <w:numFmt w:val="bullet"/>
      <w:lvlText w:val="o"/>
      <w:lvlJc w:val="left"/>
      <w:pPr>
        <w:ind w:left="3600" w:hanging="360"/>
      </w:pPr>
      <w:rPr>
        <w:rFonts w:ascii="Courier New" w:hAnsi="Courier New" w:hint="default"/>
      </w:rPr>
    </w:lvl>
    <w:lvl w:ilvl="5" w:tplc="FCCA7CE2">
      <w:start w:val="1"/>
      <w:numFmt w:val="bullet"/>
      <w:lvlText w:val=""/>
      <w:lvlJc w:val="left"/>
      <w:pPr>
        <w:ind w:left="4320" w:hanging="360"/>
      </w:pPr>
      <w:rPr>
        <w:rFonts w:ascii="Wingdings" w:hAnsi="Wingdings" w:hint="default"/>
      </w:rPr>
    </w:lvl>
    <w:lvl w:ilvl="6" w:tplc="4C8E59A6">
      <w:start w:val="1"/>
      <w:numFmt w:val="bullet"/>
      <w:lvlText w:val=""/>
      <w:lvlJc w:val="left"/>
      <w:pPr>
        <w:ind w:left="5040" w:hanging="360"/>
      </w:pPr>
      <w:rPr>
        <w:rFonts w:ascii="Symbol" w:hAnsi="Symbol" w:hint="default"/>
      </w:rPr>
    </w:lvl>
    <w:lvl w:ilvl="7" w:tplc="B42C8890">
      <w:start w:val="1"/>
      <w:numFmt w:val="bullet"/>
      <w:lvlText w:val="o"/>
      <w:lvlJc w:val="left"/>
      <w:pPr>
        <w:ind w:left="5760" w:hanging="360"/>
      </w:pPr>
      <w:rPr>
        <w:rFonts w:ascii="Courier New" w:hAnsi="Courier New" w:hint="default"/>
      </w:rPr>
    </w:lvl>
    <w:lvl w:ilvl="8" w:tplc="6BBA3A34">
      <w:start w:val="1"/>
      <w:numFmt w:val="bullet"/>
      <w:lvlText w:val=""/>
      <w:lvlJc w:val="left"/>
      <w:pPr>
        <w:ind w:left="6480" w:hanging="360"/>
      </w:pPr>
      <w:rPr>
        <w:rFonts w:ascii="Wingdings" w:hAnsi="Wingdings" w:hint="default"/>
      </w:rPr>
    </w:lvl>
  </w:abstractNum>
  <w:abstractNum w:abstractNumId="16" w15:restartNumberingAfterBreak="0">
    <w:nsid w:val="18D00B0F"/>
    <w:multiLevelType w:val="hybridMultilevel"/>
    <w:tmpl w:val="DCF08B74"/>
    <w:lvl w:ilvl="0" w:tplc="641C1744">
      <w:start w:val="1"/>
      <w:numFmt w:val="bullet"/>
      <w:pStyle w:val="BT-Beigebox-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7"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EFEBDA"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EFEBDA" w:themeColor="text2"/>
        <w:position w:val="2"/>
        <w:sz w:val="20"/>
      </w:rPr>
    </w:lvl>
    <w:lvl w:ilvl="2">
      <w:start w:val="1"/>
      <w:numFmt w:val="bullet"/>
      <w:lvlText w:val="–"/>
      <w:lvlJc w:val="left"/>
      <w:pPr>
        <w:tabs>
          <w:tab w:val="num" w:pos="1361"/>
        </w:tabs>
        <w:ind w:left="1361" w:hanging="340"/>
      </w:pPr>
      <w:rPr>
        <w:rFonts w:ascii="Arial" w:hAnsi="Arial" w:hint="default"/>
        <w:color w:val="EFEBDA"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1B5B1A20"/>
    <w:multiLevelType w:val="hybridMultilevel"/>
    <w:tmpl w:val="EC8C3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C6C0FE4"/>
    <w:multiLevelType w:val="hybridMultilevel"/>
    <w:tmpl w:val="81EEF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C941C6A"/>
    <w:multiLevelType w:val="hybridMultilevel"/>
    <w:tmpl w:val="6E0EA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CCA23E4"/>
    <w:multiLevelType w:val="hybridMultilevel"/>
    <w:tmpl w:val="44863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23" w15:restartNumberingAfterBreak="0">
    <w:nsid w:val="1D73E890"/>
    <w:multiLevelType w:val="hybridMultilevel"/>
    <w:tmpl w:val="FFFFFFFF"/>
    <w:lvl w:ilvl="0" w:tplc="E884B8B8">
      <w:start w:val="1"/>
      <w:numFmt w:val="bullet"/>
      <w:lvlText w:val=""/>
      <w:lvlJc w:val="left"/>
      <w:pPr>
        <w:ind w:left="720" w:hanging="360"/>
      </w:pPr>
      <w:rPr>
        <w:rFonts w:ascii="Symbol" w:hAnsi="Symbol" w:hint="default"/>
      </w:rPr>
    </w:lvl>
    <w:lvl w:ilvl="1" w:tplc="24A2E832">
      <w:start w:val="1"/>
      <w:numFmt w:val="bullet"/>
      <w:lvlText w:val="o"/>
      <w:lvlJc w:val="left"/>
      <w:pPr>
        <w:ind w:left="1440" w:hanging="360"/>
      </w:pPr>
      <w:rPr>
        <w:rFonts w:ascii="Courier New" w:hAnsi="Courier New" w:hint="default"/>
      </w:rPr>
    </w:lvl>
    <w:lvl w:ilvl="2" w:tplc="4AC279C6">
      <w:start w:val="1"/>
      <w:numFmt w:val="bullet"/>
      <w:lvlText w:val=""/>
      <w:lvlJc w:val="left"/>
      <w:pPr>
        <w:ind w:left="2160" w:hanging="360"/>
      </w:pPr>
      <w:rPr>
        <w:rFonts w:ascii="Wingdings" w:hAnsi="Wingdings" w:hint="default"/>
      </w:rPr>
    </w:lvl>
    <w:lvl w:ilvl="3" w:tplc="376EFC0E">
      <w:start w:val="1"/>
      <w:numFmt w:val="bullet"/>
      <w:lvlText w:val=""/>
      <w:lvlJc w:val="left"/>
      <w:pPr>
        <w:ind w:left="2880" w:hanging="360"/>
      </w:pPr>
      <w:rPr>
        <w:rFonts w:ascii="Symbol" w:hAnsi="Symbol" w:hint="default"/>
      </w:rPr>
    </w:lvl>
    <w:lvl w:ilvl="4" w:tplc="46F206B6">
      <w:start w:val="1"/>
      <w:numFmt w:val="bullet"/>
      <w:lvlText w:val="o"/>
      <w:lvlJc w:val="left"/>
      <w:pPr>
        <w:ind w:left="3600" w:hanging="360"/>
      </w:pPr>
      <w:rPr>
        <w:rFonts w:ascii="Courier New" w:hAnsi="Courier New" w:hint="default"/>
      </w:rPr>
    </w:lvl>
    <w:lvl w:ilvl="5" w:tplc="DB9C9DEA">
      <w:start w:val="1"/>
      <w:numFmt w:val="bullet"/>
      <w:lvlText w:val=""/>
      <w:lvlJc w:val="left"/>
      <w:pPr>
        <w:ind w:left="4320" w:hanging="360"/>
      </w:pPr>
      <w:rPr>
        <w:rFonts w:ascii="Wingdings" w:hAnsi="Wingdings" w:hint="default"/>
      </w:rPr>
    </w:lvl>
    <w:lvl w:ilvl="6" w:tplc="B3486928">
      <w:start w:val="1"/>
      <w:numFmt w:val="bullet"/>
      <w:lvlText w:val=""/>
      <w:lvlJc w:val="left"/>
      <w:pPr>
        <w:ind w:left="5040" w:hanging="360"/>
      </w:pPr>
      <w:rPr>
        <w:rFonts w:ascii="Symbol" w:hAnsi="Symbol" w:hint="default"/>
      </w:rPr>
    </w:lvl>
    <w:lvl w:ilvl="7" w:tplc="C33097FC">
      <w:start w:val="1"/>
      <w:numFmt w:val="bullet"/>
      <w:lvlText w:val="o"/>
      <w:lvlJc w:val="left"/>
      <w:pPr>
        <w:ind w:left="5760" w:hanging="360"/>
      </w:pPr>
      <w:rPr>
        <w:rFonts w:ascii="Courier New" w:hAnsi="Courier New" w:hint="default"/>
      </w:rPr>
    </w:lvl>
    <w:lvl w:ilvl="8" w:tplc="2F041EBE">
      <w:start w:val="1"/>
      <w:numFmt w:val="bullet"/>
      <w:lvlText w:val=""/>
      <w:lvlJc w:val="left"/>
      <w:pPr>
        <w:ind w:left="6480" w:hanging="360"/>
      </w:pPr>
      <w:rPr>
        <w:rFonts w:ascii="Wingdings" w:hAnsi="Wingdings" w:hint="default"/>
      </w:rPr>
    </w:lvl>
  </w:abstractNum>
  <w:abstractNum w:abstractNumId="24" w15:restartNumberingAfterBreak="0">
    <w:nsid w:val="1F5C3788"/>
    <w:multiLevelType w:val="hybridMultilevel"/>
    <w:tmpl w:val="48241C78"/>
    <w:lvl w:ilvl="0" w:tplc="71C61FCC">
      <w:start w:val="1"/>
      <w:numFmt w:val="bullet"/>
      <w:lvlText w:val=""/>
      <w:lvlJc w:val="left"/>
      <w:pPr>
        <w:ind w:left="720" w:hanging="360"/>
      </w:pPr>
      <w:rPr>
        <w:rFonts w:ascii="Symbol" w:hAnsi="Symbol"/>
      </w:rPr>
    </w:lvl>
    <w:lvl w:ilvl="1" w:tplc="4184B62A">
      <w:start w:val="1"/>
      <w:numFmt w:val="bullet"/>
      <w:lvlText w:val=""/>
      <w:lvlJc w:val="left"/>
      <w:pPr>
        <w:ind w:left="720" w:hanging="360"/>
      </w:pPr>
      <w:rPr>
        <w:rFonts w:ascii="Symbol" w:hAnsi="Symbol"/>
      </w:rPr>
    </w:lvl>
    <w:lvl w:ilvl="2" w:tplc="07A80FBA">
      <w:start w:val="1"/>
      <w:numFmt w:val="bullet"/>
      <w:lvlText w:val=""/>
      <w:lvlJc w:val="left"/>
      <w:pPr>
        <w:ind w:left="720" w:hanging="360"/>
      </w:pPr>
      <w:rPr>
        <w:rFonts w:ascii="Symbol" w:hAnsi="Symbol"/>
      </w:rPr>
    </w:lvl>
    <w:lvl w:ilvl="3" w:tplc="A130506E">
      <w:start w:val="1"/>
      <w:numFmt w:val="bullet"/>
      <w:lvlText w:val=""/>
      <w:lvlJc w:val="left"/>
      <w:pPr>
        <w:ind w:left="720" w:hanging="360"/>
      </w:pPr>
      <w:rPr>
        <w:rFonts w:ascii="Symbol" w:hAnsi="Symbol"/>
      </w:rPr>
    </w:lvl>
    <w:lvl w:ilvl="4" w:tplc="22EAB92E">
      <w:start w:val="1"/>
      <w:numFmt w:val="bullet"/>
      <w:lvlText w:val=""/>
      <w:lvlJc w:val="left"/>
      <w:pPr>
        <w:ind w:left="720" w:hanging="360"/>
      </w:pPr>
      <w:rPr>
        <w:rFonts w:ascii="Symbol" w:hAnsi="Symbol"/>
      </w:rPr>
    </w:lvl>
    <w:lvl w:ilvl="5" w:tplc="956CC9DE">
      <w:start w:val="1"/>
      <w:numFmt w:val="bullet"/>
      <w:lvlText w:val=""/>
      <w:lvlJc w:val="left"/>
      <w:pPr>
        <w:ind w:left="720" w:hanging="360"/>
      </w:pPr>
      <w:rPr>
        <w:rFonts w:ascii="Symbol" w:hAnsi="Symbol"/>
      </w:rPr>
    </w:lvl>
    <w:lvl w:ilvl="6" w:tplc="DDC0ADEC">
      <w:start w:val="1"/>
      <w:numFmt w:val="bullet"/>
      <w:lvlText w:val=""/>
      <w:lvlJc w:val="left"/>
      <w:pPr>
        <w:ind w:left="720" w:hanging="360"/>
      </w:pPr>
      <w:rPr>
        <w:rFonts w:ascii="Symbol" w:hAnsi="Symbol"/>
      </w:rPr>
    </w:lvl>
    <w:lvl w:ilvl="7" w:tplc="E58CB742">
      <w:start w:val="1"/>
      <w:numFmt w:val="bullet"/>
      <w:lvlText w:val=""/>
      <w:lvlJc w:val="left"/>
      <w:pPr>
        <w:ind w:left="720" w:hanging="360"/>
      </w:pPr>
      <w:rPr>
        <w:rFonts w:ascii="Symbol" w:hAnsi="Symbol"/>
      </w:rPr>
    </w:lvl>
    <w:lvl w:ilvl="8" w:tplc="FBE65062">
      <w:start w:val="1"/>
      <w:numFmt w:val="bullet"/>
      <w:lvlText w:val=""/>
      <w:lvlJc w:val="left"/>
      <w:pPr>
        <w:ind w:left="720" w:hanging="360"/>
      </w:pPr>
      <w:rPr>
        <w:rFonts w:ascii="Symbol" w:hAnsi="Symbol"/>
      </w:rPr>
    </w:lvl>
  </w:abstractNum>
  <w:abstractNum w:abstractNumId="25" w15:restartNumberingAfterBreak="0">
    <w:nsid w:val="2067490B"/>
    <w:multiLevelType w:val="multilevel"/>
    <w:tmpl w:val="ED5ED92A"/>
    <w:name w:val="List bullets"/>
    <w:lvl w:ilvl="0">
      <w:start w:val="1"/>
      <w:numFmt w:val="bullet"/>
      <w:lvlText w:val="•"/>
      <w:lvlJc w:val="left"/>
      <w:pPr>
        <w:ind w:left="227" w:hanging="227"/>
      </w:pPr>
      <w:rPr>
        <w:rFonts w:ascii="Arial" w:hAnsi="Arial" w:hint="default"/>
      </w:rPr>
    </w:lvl>
    <w:lvl w:ilvl="1">
      <w:start w:val="1"/>
      <w:numFmt w:val="bullet"/>
      <w:lvlText w:val="–"/>
      <w:lvlJc w:val="left"/>
      <w:pPr>
        <w:ind w:left="454" w:hanging="227"/>
      </w:pPr>
      <w:rPr>
        <w:rFonts w:ascii="Arial" w:hAnsi="Arial" w:hint="default"/>
      </w:rPr>
    </w:lvl>
    <w:lvl w:ilvl="2">
      <w:start w:val="1"/>
      <w:numFmt w:val="bullet"/>
      <w:lvlText w:val="»"/>
      <w:lvlJc w:val="left"/>
      <w:pPr>
        <w:ind w:left="681" w:hanging="227"/>
      </w:pPr>
      <w:rPr>
        <w:rFonts w:ascii="Arial" w:hAnsi="Arial" w:hint="default"/>
      </w:rPr>
    </w:lvl>
    <w:lvl w:ilvl="3">
      <w:start w:val="1"/>
      <w:numFmt w:val="bullet"/>
      <w:lvlText w:val=""/>
      <w:lvlJc w:val="left"/>
      <w:pPr>
        <w:ind w:left="908" w:hanging="227"/>
      </w:pPr>
      <w:rPr>
        <w:rFonts w:ascii="Symbol" w:hAnsi="Symbol" w:hint="default"/>
      </w:rPr>
    </w:lvl>
    <w:lvl w:ilvl="4">
      <w:start w:val="1"/>
      <w:numFmt w:val="bullet"/>
      <w:lvlText w:val="o"/>
      <w:lvlJc w:val="left"/>
      <w:pPr>
        <w:ind w:left="1135" w:hanging="227"/>
      </w:pPr>
      <w:rPr>
        <w:rFonts w:ascii="Courier New" w:hAnsi="Courier New" w:cs="Courier New" w:hint="default"/>
      </w:rPr>
    </w:lvl>
    <w:lvl w:ilvl="5">
      <w:start w:val="1"/>
      <w:numFmt w:val="bullet"/>
      <w:lvlText w:val=""/>
      <w:lvlJc w:val="left"/>
      <w:pPr>
        <w:ind w:left="1362" w:hanging="227"/>
      </w:pPr>
      <w:rPr>
        <w:rFonts w:ascii="Wingdings" w:hAnsi="Wingdings" w:hint="default"/>
      </w:rPr>
    </w:lvl>
    <w:lvl w:ilvl="6">
      <w:start w:val="1"/>
      <w:numFmt w:val="bullet"/>
      <w:lvlText w:val=""/>
      <w:lvlJc w:val="left"/>
      <w:pPr>
        <w:ind w:left="1589" w:hanging="227"/>
      </w:pPr>
      <w:rPr>
        <w:rFonts w:ascii="Symbol" w:hAnsi="Symbol" w:hint="default"/>
      </w:rPr>
    </w:lvl>
    <w:lvl w:ilvl="7">
      <w:start w:val="1"/>
      <w:numFmt w:val="bullet"/>
      <w:lvlText w:val="o"/>
      <w:lvlJc w:val="left"/>
      <w:pPr>
        <w:ind w:left="1816" w:hanging="227"/>
      </w:pPr>
      <w:rPr>
        <w:rFonts w:ascii="Courier New" w:hAnsi="Courier New" w:cs="Courier New" w:hint="default"/>
      </w:rPr>
    </w:lvl>
    <w:lvl w:ilvl="8">
      <w:start w:val="1"/>
      <w:numFmt w:val="bullet"/>
      <w:lvlText w:val=""/>
      <w:lvlJc w:val="left"/>
      <w:pPr>
        <w:ind w:left="2043" w:hanging="227"/>
      </w:pPr>
      <w:rPr>
        <w:rFonts w:ascii="Wingdings" w:hAnsi="Wingdings" w:hint="default"/>
      </w:rPr>
    </w:lvl>
  </w:abstractNum>
  <w:abstractNum w:abstractNumId="26" w15:restartNumberingAfterBreak="0">
    <w:nsid w:val="20F22080"/>
    <w:multiLevelType w:val="hybridMultilevel"/>
    <w:tmpl w:val="021687DE"/>
    <w:lvl w:ilvl="0" w:tplc="F5DECB4E">
      <w:start w:val="1"/>
      <w:numFmt w:val="bullet"/>
      <w:lvlText w:val=""/>
      <w:lvlJc w:val="left"/>
      <w:pPr>
        <w:ind w:left="720" w:hanging="360"/>
      </w:pPr>
      <w:rPr>
        <w:rFonts w:ascii="Symbol" w:hAnsi="Symbol" w:hint="default"/>
      </w:rPr>
    </w:lvl>
    <w:lvl w:ilvl="1" w:tplc="20E202E6">
      <w:start w:val="1"/>
      <w:numFmt w:val="bullet"/>
      <w:lvlText w:val="o"/>
      <w:lvlJc w:val="left"/>
      <w:pPr>
        <w:ind w:left="1440" w:hanging="360"/>
      </w:pPr>
      <w:rPr>
        <w:rFonts w:ascii="Courier New" w:hAnsi="Courier New" w:hint="default"/>
      </w:rPr>
    </w:lvl>
    <w:lvl w:ilvl="2" w:tplc="ABF8DF1A">
      <w:start w:val="1"/>
      <w:numFmt w:val="bullet"/>
      <w:lvlText w:val=""/>
      <w:lvlJc w:val="left"/>
      <w:pPr>
        <w:ind w:left="2160" w:hanging="360"/>
      </w:pPr>
      <w:rPr>
        <w:rFonts w:ascii="Wingdings" w:hAnsi="Wingdings" w:hint="default"/>
      </w:rPr>
    </w:lvl>
    <w:lvl w:ilvl="3" w:tplc="9976E920">
      <w:start w:val="1"/>
      <w:numFmt w:val="bullet"/>
      <w:lvlText w:val=""/>
      <w:lvlJc w:val="left"/>
      <w:pPr>
        <w:ind w:left="2880" w:hanging="360"/>
      </w:pPr>
      <w:rPr>
        <w:rFonts w:ascii="Symbol" w:hAnsi="Symbol" w:hint="default"/>
      </w:rPr>
    </w:lvl>
    <w:lvl w:ilvl="4" w:tplc="38B616C4">
      <w:start w:val="1"/>
      <w:numFmt w:val="bullet"/>
      <w:lvlText w:val="o"/>
      <w:lvlJc w:val="left"/>
      <w:pPr>
        <w:ind w:left="3600" w:hanging="360"/>
      </w:pPr>
      <w:rPr>
        <w:rFonts w:ascii="Courier New" w:hAnsi="Courier New" w:hint="default"/>
      </w:rPr>
    </w:lvl>
    <w:lvl w:ilvl="5" w:tplc="D0201568">
      <w:start w:val="1"/>
      <w:numFmt w:val="bullet"/>
      <w:lvlText w:val=""/>
      <w:lvlJc w:val="left"/>
      <w:pPr>
        <w:ind w:left="4320" w:hanging="360"/>
      </w:pPr>
      <w:rPr>
        <w:rFonts w:ascii="Wingdings" w:hAnsi="Wingdings" w:hint="default"/>
      </w:rPr>
    </w:lvl>
    <w:lvl w:ilvl="6" w:tplc="B2145E58">
      <w:start w:val="1"/>
      <w:numFmt w:val="bullet"/>
      <w:lvlText w:val=""/>
      <w:lvlJc w:val="left"/>
      <w:pPr>
        <w:ind w:left="5040" w:hanging="360"/>
      </w:pPr>
      <w:rPr>
        <w:rFonts w:ascii="Symbol" w:hAnsi="Symbol" w:hint="default"/>
      </w:rPr>
    </w:lvl>
    <w:lvl w:ilvl="7" w:tplc="B1BABBF4">
      <w:start w:val="1"/>
      <w:numFmt w:val="bullet"/>
      <w:lvlText w:val="o"/>
      <w:lvlJc w:val="left"/>
      <w:pPr>
        <w:ind w:left="5760" w:hanging="360"/>
      </w:pPr>
      <w:rPr>
        <w:rFonts w:ascii="Courier New" w:hAnsi="Courier New" w:hint="default"/>
      </w:rPr>
    </w:lvl>
    <w:lvl w:ilvl="8" w:tplc="FD3C6FC2">
      <w:start w:val="1"/>
      <w:numFmt w:val="bullet"/>
      <w:lvlText w:val=""/>
      <w:lvlJc w:val="left"/>
      <w:pPr>
        <w:ind w:left="6480" w:hanging="360"/>
      </w:pPr>
      <w:rPr>
        <w:rFonts w:ascii="Wingdings" w:hAnsi="Wingdings" w:hint="default"/>
      </w:rPr>
    </w:lvl>
  </w:abstractNum>
  <w:abstractNum w:abstractNumId="27" w15:restartNumberingAfterBreak="0">
    <w:nsid w:val="24BD4E5B"/>
    <w:multiLevelType w:val="hybridMultilevel"/>
    <w:tmpl w:val="FFFFFFFF"/>
    <w:lvl w:ilvl="0" w:tplc="21C4E4A4">
      <w:start w:val="1"/>
      <w:numFmt w:val="bullet"/>
      <w:lvlText w:val=""/>
      <w:lvlJc w:val="left"/>
      <w:pPr>
        <w:ind w:left="720" w:hanging="360"/>
      </w:pPr>
      <w:rPr>
        <w:rFonts w:ascii="Symbol" w:hAnsi="Symbol" w:hint="default"/>
      </w:rPr>
    </w:lvl>
    <w:lvl w:ilvl="1" w:tplc="283A941C">
      <w:start w:val="1"/>
      <w:numFmt w:val="bullet"/>
      <w:lvlText w:val="o"/>
      <w:lvlJc w:val="left"/>
      <w:pPr>
        <w:ind w:left="1440" w:hanging="360"/>
      </w:pPr>
      <w:rPr>
        <w:rFonts w:ascii="Courier New" w:hAnsi="Courier New" w:hint="default"/>
      </w:rPr>
    </w:lvl>
    <w:lvl w:ilvl="2" w:tplc="6DF0F69A">
      <w:start w:val="1"/>
      <w:numFmt w:val="bullet"/>
      <w:lvlText w:val=""/>
      <w:lvlJc w:val="left"/>
      <w:pPr>
        <w:ind w:left="2160" w:hanging="360"/>
      </w:pPr>
      <w:rPr>
        <w:rFonts w:ascii="Wingdings" w:hAnsi="Wingdings" w:hint="default"/>
      </w:rPr>
    </w:lvl>
    <w:lvl w:ilvl="3" w:tplc="011036B2">
      <w:start w:val="1"/>
      <w:numFmt w:val="bullet"/>
      <w:lvlText w:val=""/>
      <w:lvlJc w:val="left"/>
      <w:pPr>
        <w:ind w:left="2880" w:hanging="360"/>
      </w:pPr>
      <w:rPr>
        <w:rFonts w:ascii="Symbol" w:hAnsi="Symbol" w:hint="default"/>
      </w:rPr>
    </w:lvl>
    <w:lvl w:ilvl="4" w:tplc="AF5CD714">
      <w:start w:val="1"/>
      <w:numFmt w:val="bullet"/>
      <w:lvlText w:val="o"/>
      <w:lvlJc w:val="left"/>
      <w:pPr>
        <w:ind w:left="3600" w:hanging="360"/>
      </w:pPr>
      <w:rPr>
        <w:rFonts w:ascii="Courier New" w:hAnsi="Courier New" w:hint="default"/>
      </w:rPr>
    </w:lvl>
    <w:lvl w:ilvl="5" w:tplc="BC1C0BF2">
      <w:start w:val="1"/>
      <w:numFmt w:val="bullet"/>
      <w:lvlText w:val=""/>
      <w:lvlJc w:val="left"/>
      <w:pPr>
        <w:ind w:left="4320" w:hanging="360"/>
      </w:pPr>
      <w:rPr>
        <w:rFonts w:ascii="Wingdings" w:hAnsi="Wingdings" w:hint="default"/>
      </w:rPr>
    </w:lvl>
    <w:lvl w:ilvl="6" w:tplc="B778268E">
      <w:start w:val="1"/>
      <w:numFmt w:val="bullet"/>
      <w:lvlText w:val=""/>
      <w:lvlJc w:val="left"/>
      <w:pPr>
        <w:ind w:left="5040" w:hanging="360"/>
      </w:pPr>
      <w:rPr>
        <w:rFonts w:ascii="Symbol" w:hAnsi="Symbol" w:hint="default"/>
      </w:rPr>
    </w:lvl>
    <w:lvl w:ilvl="7" w:tplc="699AC492">
      <w:start w:val="1"/>
      <w:numFmt w:val="bullet"/>
      <w:lvlText w:val="o"/>
      <w:lvlJc w:val="left"/>
      <w:pPr>
        <w:ind w:left="5760" w:hanging="360"/>
      </w:pPr>
      <w:rPr>
        <w:rFonts w:ascii="Courier New" w:hAnsi="Courier New" w:hint="default"/>
      </w:rPr>
    </w:lvl>
    <w:lvl w:ilvl="8" w:tplc="CFB0220E">
      <w:start w:val="1"/>
      <w:numFmt w:val="bullet"/>
      <w:lvlText w:val=""/>
      <w:lvlJc w:val="left"/>
      <w:pPr>
        <w:ind w:left="6480" w:hanging="360"/>
      </w:pPr>
      <w:rPr>
        <w:rFonts w:ascii="Wingdings" w:hAnsi="Wingdings" w:hint="default"/>
      </w:rPr>
    </w:lvl>
  </w:abstractNum>
  <w:abstractNum w:abstractNumId="28" w15:restartNumberingAfterBreak="0">
    <w:nsid w:val="254F01A4"/>
    <w:multiLevelType w:val="hybridMultilevel"/>
    <w:tmpl w:val="F1F04DAE"/>
    <w:lvl w:ilvl="0" w:tplc="0C090001">
      <w:start w:val="1"/>
      <w:numFmt w:val="bullet"/>
      <w:lvlText w:val=""/>
      <w:lvlJc w:val="left"/>
      <w:pPr>
        <w:ind w:left="615" w:hanging="360"/>
      </w:pPr>
      <w:rPr>
        <w:rFonts w:ascii="Symbol" w:hAnsi="Symbol" w:hint="default"/>
      </w:rPr>
    </w:lvl>
    <w:lvl w:ilvl="1" w:tplc="FFFFFFFF" w:tentative="1">
      <w:start w:val="1"/>
      <w:numFmt w:val="bullet"/>
      <w:lvlText w:val="o"/>
      <w:lvlJc w:val="left"/>
      <w:pPr>
        <w:ind w:left="1335" w:hanging="360"/>
      </w:pPr>
      <w:rPr>
        <w:rFonts w:ascii="Courier New" w:hAnsi="Courier New" w:cs="Courier New" w:hint="default"/>
      </w:rPr>
    </w:lvl>
    <w:lvl w:ilvl="2" w:tplc="FFFFFFFF" w:tentative="1">
      <w:start w:val="1"/>
      <w:numFmt w:val="bullet"/>
      <w:lvlText w:val=""/>
      <w:lvlJc w:val="left"/>
      <w:pPr>
        <w:ind w:left="2055" w:hanging="360"/>
      </w:pPr>
      <w:rPr>
        <w:rFonts w:ascii="Wingdings" w:hAnsi="Wingdings" w:hint="default"/>
      </w:rPr>
    </w:lvl>
    <w:lvl w:ilvl="3" w:tplc="FFFFFFFF" w:tentative="1">
      <w:start w:val="1"/>
      <w:numFmt w:val="bullet"/>
      <w:lvlText w:val=""/>
      <w:lvlJc w:val="left"/>
      <w:pPr>
        <w:ind w:left="2775" w:hanging="360"/>
      </w:pPr>
      <w:rPr>
        <w:rFonts w:ascii="Symbol" w:hAnsi="Symbol" w:hint="default"/>
      </w:rPr>
    </w:lvl>
    <w:lvl w:ilvl="4" w:tplc="FFFFFFFF" w:tentative="1">
      <w:start w:val="1"/>
      <w:numFmt w:val="bullet"/>
      <w:lvlText w:val="o"/>
      <w:lvlJc w:val="left"/>
      <w:pPr>
        <w:ind w:left="3495" w:hanging="360"/>
      </w:pPr>
      <w:rPr>
        <w:rFonts w:ascii="Courier New" w:hAnsi="Courier New" w:cs="Courier New" w:hint="default"/>
      </w:rPr>
    </w:lvl>
    <w:lvl w:ilvl="5" w:tplc="FFFFFFFF" w:tentative="1">
      <w:start w:val="1"/>
      <w:numFmt w:val="bullet"/>
      <w:lvlText w:val=""/>
      <w:lvlJc w:val="left"/>
      <w:pPr>
        <w:ind w:left="4215" w:hanging="360"/>
      </w:pPr>
      <w:rPr>
        <w:rFonts w:ascii="Wingdings" w:hAnsi="Wingdings" w:hint="default"/>
      </w:rPr>
    </w:lvl>
    <w:lvl w:ilvl="6" w:tplc="FFFFFFFF" w:tentative="1">
      <w:start w:val="1"/>
      <w:numFmt w:val="bullet"/>
      <w:lvlText w:val=""/>
      <w:lvlJc w:val="left"/>
      <w:pPr>
        <w:ind w:left="4935" w:hanging="360"/>
      </w:pPr>
      <w:rPr>
        <w:rFonts w:ascii="Symbol" w:hAnsi="Symbol" w:hint="default"/>
      </w:rPr>
    </w:lvl>
    <w:lvl w:ilvl="7" w:tplc="FFFFFFFF" w:tentative="1">
      <w:start w:val="1"/>
      <w:numFmt w:val="bullet"/>
      <w:lvlText w:val="o"/>
      <w:lvlJc w:val="left"/>
      <w:pPr>
        <w:ind w:left="5655" w:hanging="360"/>
      </w:pPr>
      <w:rPr>
        <w:rFonts w:ascii="Courier New" w:hAnsi="Courier New" w:cs="Courier New" w:hint="default"/>
      </w:rPr>
    </w:lvl>
    <w:lvl w:ilvl="8" w:tplc="FFFFFFFF" w:tentative="1">
      <w:start w:val="1"/>
      <w:numFmt w:val="bullet"/>
      <w:lvlText w:val=""/>
      <w:lvlJc w:val="left"/>
      <w:pPr>
        <w:ind w:left="6375" w:hanging="360"/>
      </w:pPr>
      <w:rPr>
        <w:rFonts w:ascii="Wingdings" w:hAnsi="Wingdings" w:hint="default"/>
      </w:rPr>
    </w:lvl>
  </w:abstractNum>
  <w:abstractNum w:abstractNumId="29" w15:restartNumberingAfterBreak="0">
    <w:nsid w:val="2782A99B"/>
    <w:multiLevelType w:val="hybridMultilevel"/>
    <w:tmpl w:val="EB22FCEC"/>
    <w:lvl w:ilvl="0" w:tplc="6CF8D046">
      <w:start w:val="1"/>
      <w:numFmt w:val="bullet"/>
      <w:lvlText w:val=""/>
      <w:lvlJc w:val="left"/>
      <w:pPr>
        <w:ind w:left="720" w:hanging="360"/>
      </w:pPr>
      <w:rPr>
        <w:rFonts w:ascii="Symbol" w:hAnsi="Symbol" w:hint="default"/>
      </w:rPr>
    </w:lvl>
    <w:lvl w:ilvl="1" w:tplc="9ECECD62">
      <w:start w:val="1"/>
      <w:numFmt w:val="bullet"/>
      <w:lvlText w:val="o"/>
      <w:lvlJc w:val="left"/>
      <w:pPr>
        <w:ind w:left="1440" w:hanging="360"/>
      </w:pPr>
      <w:rPr>
        <w:rFonts w:ascii="Courier New" w:hAnsi="Courier New" w:hint="default"/>
      </w:rPr>
    </w:lvl>
    <w:lvl w:ilvl="2" w:tplc="D7E62552">
      <w:start w:val="1"/>
      <w:numFmt w:val="bullet"/>
      <w:lvlText w:val=""/>
      <w:lvlJc w:val="left"/>
      <w:pPr>
        <w:ind w:left="2160" w:hanging="360"/>
      </w:pPr>
      <w:rPr>
        <w:rFonts w:ascii="Wingdings" w:hAnsi="Wingdings" w:hint="default"/>
      </w:rPr>
    </w:lvl>
    <w:lvl w:ilvl="3" w:tplc="1A2AFF2E">
      <w:start w:val="1"/>
      <w:numFmt w:val="bullet"/>
      <w:lvlText w:val=""/>
      <w:lvlJc w:val="left"/>
      <w:pPr>
        <w:ind w:left="2880" w:hanging="360"/>
      </w:pPr>
      <w:rPr>
        <w:rFonts w:ascii="Symbol" w:hAnsi="Symbol" w:hint="default"/>
      </w:rPr>
    </w:lvl>
    <w:lvl w:ilvl="4" w:tplc="509E1A34">
      <w:start w:val="1"/>
      <w:numFmt w:val="bullet"/>
      <w:lvlText w:val="o"/>
      <w:lvlJc w:val="left"/>
      <w:pPr>
        <w:ind w:left="3600" w:hanging="360"/>
      </w:pPr>
      <w:rPr>
        <w:rFonts w:ascii="Courier New" w:hAnsi="Courier New" w:hint="default"/>
      </w:rPr>
    </w:lvl>
    <w:lvl w:ilvl="5" w:tplc="8B1E6CB6">
      <w:start w:val="1"/>
      <w:numFmt w:val="bullet"/>
      <w:lvlText w:val=""/>
      <w:lvlJc w:val="left"/>
      <w:pPr>
        <w:ind w:left="4320" w:hanging="360"/>
      </w:pPr>
      <w:rPr>
        <w:rFonts w:ascii="Wingdings" w:hAnsi="Wingdings" w:hint="default"/>
      </w:rPr>
    </w:lvl>
    <w:lvl w:ilvl="6" w:tplc="1EE8F79C">
      <w:start w:val="1"/>
      <w:numFmt w:val="bullet"/>
      <w:lvlText w:val=""/>
      <w:lvlJc w:val="left"/>
      <w:pPr>
        <w:ind w:left="5040" w:hanging="360"/>
      </w:pPr>
      <w:rPr>
        <w:rFonts w:ascii="Symbol" w:hAnsi="Symbol" w:hint="default"/>
      </w:rPr>
    </w:lvl>
    <w:lvl w:ilvl="7" w:tplc="B05AE416">
      <w:start w:val="1"/>
      <w:numFmt w:val="bullet"/>
      <w:lvlText w:val="o"/>
      <w:lvlJc w:val="left"/>
      <w:pPr>
        <w:ind w:left="5760" w:hanging="360"/>
      </w:pPr>
      <w:rPr>
        <w:rFonts w:ascii="Courier New" w:hAnsi="Courier New" w:hint="default"/>
      </w:rPr>
    </w:lvl>
    <w:lvl w:ilvl="8" w:tplc="D25A56EA">
      <w:start w:val="1"/>
      <w:numFmt w:val="bullet"/>
      <w:lvlText w:val=""/>
      <w:lvlJc w:val="left"/>
      <w:pPr>
        <w:ind w:left="6480" w:hanging="360"/>
      </w:pPr>
      <w:rPr>
        <w:rFonts w:ascii="Wingdings" w:hAnsi="Wingdings" w:hint="default"/>
      </w:rPr>
    </w:lvl>
  </w:abstractNum>
  <w:abstractNum w:abstractNumId="30"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31" w15:restartNumberingAfterBreak="0">
    <w:nsid w:val="27CC752E"/>
    <w:multiLevelType w:val="multilevel"/>
    <w:tmpl w:val="8E0CCAE4"/>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32" w15:restartNumberingAfterBreak="0">
    <w:nsid w:val="287E2CB3"/>
    <w:multiLevelType w:val="hybridMultilevel"/>
    <w:tmpl w:val="1AB28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AEFDFD5"/>
    <w:multiLevelType w:val="hybridMultilevel"/>
    <w:tmpl w:val="9F7858EC"/>
    <w:lvl w:ilvl="0" w:tplc="C1C4FD88">
      <w:start w:val="1"/>
      <w:numFmt w:val="bullet"/>
      <w:lvlText w:val=""/>
      <w:lvlJc w:val="left"/>
      <w:pPr>
        <w:ind w:left="720" w:hanging="360"/>
      </w:pPr>
      <w:rPr>
        <w:rFonts w:ascii="Symbol" w:hAnsi="Symbol" w:hint="default"/>
      </w:rPr>
    </w:lvl>
    <w:lvl w:ilvl="1" w:tplc="10562DE2">
      <w:start w:val="1"/>
      <w:numFmt w:val="bullet"/>
      <w:lvlText w:val="o"/>
      <w:lvlJc w:val="left"/>
      <w:pPr>
        <w:ind w:left="1440" w:hanging="360"/>
      </w:pPr>
      <w:rPr>
        <w:rFonts w:ascii="Courier New" w:hAnsi="Courier New" w:hint="default"/>
      </w:rPr>
    </w:lvl>
    <w:lvl w:ilvl="2" w:tplc="A68CC538">
      <w:start w:val="1"/>
      <w:numFmt w:val="bullet"/>
      <w:lvlText w:val=""/>
      <w:lvlJc w:val="left"/>
      <w:pPr>
        <w:ind w:left="2160" w:hanging="360"/>
      </w:pPr>
      <w:rPr>
        <w:rFonts w:ascii="Wingdings" w:hAnsi="Wingdings" w:hint="default"/>
      </w:rPr>
    </w:lvl>
    <w:lvl w:ilvl="3" w:tplc="A650F228">
      <w:start w:val="1"/>
      <w:numFmt w:val="bullet"/>
      <w:lvlText w:val=""/>
      <w:lvlJc w:val="left"/>
      <w:pPr>
        <w:ind w:left="2880" w:hanging="360"/>
      </w:pPr>
      <w:rPr>
        <w:rFonts w:ascii="Symbol" w:hAnsi="Symbol" w:hint="default"/>
      </w:rPr>
    </w:lvl>
    <w:lvl w:ilvl="4" w:tplc="8F38EE18">
      <w:start w:val="1"/>
      <w:numFmt w:val="bullet"/>
      <w:lvlText w:val="o"/>
      <w:lvlJc w:val="left"/>
      <w:pPr>
        <w:ind w:left="3600" w:hanging="360"/>
      </w:pPr>
      <w:rPr>
        <w:rFonts w:ascii="Courier New" w:hAnsi="Courier New" w:hint="default"/>
      </w:rPr>
    </w:lvl>
    <w:lvl w:ilvl="5" w:tplc="912A5CF4">
      <w:start w:val="1"/>
      <w:numFmt w:val="bullet"/>
      <w:lvlText w:val=""/>
      <w:lvlJc w:val="left"/>
      <w:pPr>
        <w:ind w:left="4320" w:hanging="360"/>
      </w:pPr>
      <w:rPr>
        <w:rFonts w:ascii="Wingdings" w:hAnsi="Wingdings" w:hint="default"/>
      </w:rPr>
    </w:lvl>
    <w:lvl w:ilvl="6" w:tplc="6D5A9550">
      <w:start w:val="1"/>
      <w:numFmt w:val="bullet"/>
      <w:lvlText w:val=""/>
      <w:lvlJc w:val="left"/>
      <w:pPr>
        <w:ind w:left="5040" w:hanging="360"/>
      </w:pPr>
      <w:rPr>
        <w:rFonts w:ascii="Symbol" w:hAnsi="Symbol" w:hint="default"/>
      </w:rPr>
    </w:lvl>
    <w:lvl w:ilvl="7" w:tplc="8758C51C">
      <w:start w:val="1"/>
      <w:numFmt w:val="bullet"/>
      <w:lvlText w:val="o"/>
      <w:lvlJc w:val="left"/>
      <w:pPr>
        <w:ind w:left="5760" w:hanging="360"/>
      </w:pPr>
      <w:rPr>
        <w:rFonts w:ascii="Courier New" w:hAnsi="Courier New" w:hint="default"/>
      </w:rPr>
    </w:lvl>
    <w:lvl w:ilvl="8" w:tplc="742A0A60">
      <w:start w:val="1"/>
      <w:numFmt w:val="bullet"/>
      <w:lvlText w:val=""/>
      <w:lvlJc w:val="left"/>
      <w:pPr>
        <w:ind w:left="6480" w:hanging="360"/>
      </w:pPr>
      <w:rPr>
        <w:rFonts w:ascii="Wingdings" w:hAnsi="Wingdings" w:hint="default"/>
      </w:rPr>
    </w:lvl>
  </w:abstractNum>
  <w:abstractNum w:abstractNumId="34" w15:restartNumberingAfterBreak="0">
    <w:nsid w:val="2CD40665"/>
    <w:multiLevelType w:val="hybridMultilevel"/>
    <w:tmpl w:val="E1E00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D12532C"/>
    <w:multiLevelType w:val="hybridMultilevel"/>
    <w:tmpl w:val="07442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DEE1778"/>
    <w:multiLevelType w:val="hybridMultilevel"/>
    <w:tmpl w:val="9ED25D40"/>
    <w:lvl w:ilvl="0" w:tplc="BFC0AF56">
      <w:start w:val="1"/>
      <w:numFmt w:val="bullet"/>
      <w:lvlText w:val=""/>
      <w:lvlJc w:val="left"/>
      <w:pPr>
        <w:ind w:left="720" w:hanging="360"/>
      </w:pPr>
      <w:rPr>
        <w:rFonts w:ascii="Symbol" w:hAnsi="Symbol" w:hint="default"/>
      </w:rPr>
    </w:lvl>
    <w:lvl w:ilvl="1" w:tplc="1610D5D0">
      <w:start w:val="1"/>
      <w:numFmt w:val="bullet"/>
      <w:lvlText w:val="o"/>
      <w:lvlJc w:val="left"/>
      <w:pPr>
        <w:ind w:left="1440" w:hanging="360"/>
      </w:pPr>
      <w:rPr>
        <w:rFonts w:ascii="Courier New" w:hAnsi="Courier New" w:hint="default"/>
      </w:rPr>
    </w:lvl>
    <w:lvl w:ilvl="2" w:tplc="3392BA48">
      <w:start w:val="1"/>
      <w:numFmt w:val="bullet"/>
      <w:lvlText w:val=""/>
      <w:lvlJc w:val="left"/>
      <w:pPr>
        <w:ind w:left="2160" w:hanging="360"/>
      </w:pPr>
      <w:rPr>
        <w:rFonts w:ascii="Wingdings" w:hAnsi="Wingdings" w:hint="default"/>
      </w:rPr>
    </w:lvl>
    <w:lvl w:ilvl="3" w:tplc="E0944F2A">
      <w:start w:val="1"/>
      <w:numFmt w:val="bullet"/>
      <w:lvlText w:val=""/>
      <w:lvlJc w:val="left"/>
      <w:pPr>
        <w:ind w:left="2880" w:hanging="360"/>
      </w:pPr>
      <w:rPr>
        <w:rFonts w:ascii="Symbol" w:hAnsi="Symbol" w:hint="default"/>
      </w:rPr>
    </w:lvl>
    <w:lvl w:ilvl="4" w:tplc="812AB5B8">
      <w:start w:val="1"/>
      <w:numFmt w:val="bullet"/>
      <w:lvlText w:val="o"/>
      <w:lvlJc w:val="left"/>
      <w:pPr>
        <w:ind w:left="3600" w:hanging="360"/>
      </w:pPr>
      <w:rPr>
        <w:rFonts w:ascii="Courier New" w:hAnsi="Courier New" w:hint="default"/>
      </w:rPr>
    </w:lvl>
    <w:lvl w:ilvl="5" w:tplc="07941B84">
      <w:start w:val="1"/>
      <w:numFmt w:val="bullet"/>
      <w:lvlText w:val=""/>
      <w:lvlJc w:val="left"/>
      <w:pPr>
        <w:ind w:left="4320" w:hanging="360"/>
      </w:pPr>
      <w:rPr>
        <w:rFonts w:ascii="Wingdings" w:hAnsi="Wingdings" w:hint="default"/>
      </w:rPr>
    </w:lvl>
    <w:lvl w:ilvl="6" w:tplc="1064350C">
      <w:start w:val="1"/>
      <w:numFmt w:val="bullet"/>
      <w:lvlText w:val=""/>
      <w:lvlJc w:val="left"/>
      <w:pPr>
        <w:ind w:left="5040" w:hanging="360"/>
      </w:pPr>
      <w:rPr>
        <w:rFonts w:ascii="Symbol" w:hAnsi="Symbol" w:hint="default"/>
      </w:rPr>
    </w:lvl>
    <w:lvl w:ilvl="7" w:tplc="863E6912">
      <w:start w:val="1"/>
      <w:numFmt w:val="bullet"/>
      <w:lvlText w:val="o"/>
      <w:lvlJc w:val="left"/>
      <w:pPr>
        <w:ind w:left="5760" w:hanging="360"/>
      </w:pPr>
      <w:rPr>
        <w:rFonts w:ascii="Courier New" w:hAnsi="Courier New" w:hint="default"/>
      </w:rPr>
    </w:lvl>
    <w:lvl w:ilvl="8" w:tplc="59989428">
      <w:start w:val="1"/>
      <w:numFmt w:val="bullet"/>
      <w:lvlText w:val=""/>
      <w:lvlJc w:val="left"/>
      <w:pPr>
        <w:ind w:left="6480" w:hanging="360"/>
      </w:pPr>
      <w:rPr>
        <w:rFonts w:ascii="Wingdings" w:hAnsi="Wingdings" w:hint="default"/>
      </w:rPr>
    </w:lvl>
  </w:abstractNum>
  <w:abstractNum w:abstractNumId="37" w15:restartNumberingAfterBreak="0">
    <w:nsid w:val="2E53638B"/>
    <w:multiLevelType w:val="hybridMultilevel"/>
    <w:tmpl w:val="21B48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39"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351C28D0"/>
    <w:multiLevelType w:val="hybridMultilevel"/>
    <w:tmpl w:val="D6369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79C11B5"/>
    <w:multiLevelType w:val="hybridMultilevel"/>
    <w:tmpl w:val="CFE2C430"/>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37F864F0"/>
    <w:multiLevelType w:val="hybridMultilevel"/>
    <w:tmpl w:val="1EB0A184"/>
    <w:lvl w:ilvl="0" w:tplc="D10C722A">
      <w:start w:val="1"/>
      <w:numFmt w:val="bullet"/>
      <w:lvlText w:val=""/>
      <w:lvlJc w:val="left"/>
      <w:pPr>
        <w:ind w:left="720" w:hanging="360"/>
      </w:pPr>
      <w:rPr>
        <w:rFonts w:ascii="Symbol" w:hAnsi="Symbol"/>
      </w:rPr>
    </w:lvl>
    <w:lvl w:ilvl="1" w:tplc="5628A714">
      <w:start w:val="1"/>
      <w:numFmt w:val="bullet"/>
      <w:lvlText w:val=""/>
      <w:lvlJc w:val="left"/>
      <w:pPr>
        <w:ind w:left="720" w:hanging="360"/>
      </w:pPr>
      <w:rPr>
        <w:rFonts w:ascii="Symbol" w:hAnsi="Symbol"/>
      </w:rPr>
    </w:lvl>
    <w:lvl w:ilvl="2" w:tplc="595A273A">
      <w:start w:val="1"/>
      <w:numFmt w:val="bullet"/>
      <w:lvlText w:val=""/>
      <w:lvlJc w:val="left"/>
      <w:pPr>
        <w:ind w:left="720" w:hanging="360"/>
      </w:pPr>
      <w:rPr>
        <w:rFonts w:ascii="Symbol" w:hAnsi="Symbol"/>
      </w:rPr>
    </w:lvl>
    <w:lvl w:ilvl="3" w:tplc="30442D9E">
      <w:start w:val="1"/>
      <w:numFmt w:val="bullet"/>
      <w:lvlText w:val=""/>
      <w:lvlJc w:val="left"/>
      <w:pPr>
        <w:ind w:left="720" w:hanging="360"/>
      </w:pPr>
      <w:rPr>
        <w:rFonts w:ascii="Symbol" w:hAnsi="Symbol"/>
      </w:rPr>
    </w:lvl>
    <w:lvl w:ilvl="4" w:tplc="92E020DC">
      <w:start w:val="1"/>
      <w:numFmt w:val="bullet"/>
      <w:lvlText w:val=""/>
      <w:lvlJc w:val="left"/>
      <w:pPr>
        <w:ind w:left="720" w:hanging="360"/>
      </w:pPr>
      <w:rPr>
        <w:rFonts w:ascii="Symbol" w:hAnsi="Symbol"/>
      </w:rPr>
    </w:lvl>
    <w:lvl w:ilvl="5" w:tplc="18A83F3A">
      <w:start w:val="1"/>
      <w:numFmt w:val="bullet"/>
      <w:lvlText w:val=""/>
      <w:lvlJc w:val="left"/>
      <w:pPr>
        <w:ind w:left="720" w:hanging="360"/>
      </w:pPr>
      <w:rPr>
        <w:rFonts w:ascii="Symbol" w:hAnsi="Symbol"/>
      </w:rPr>
    </w:lvl>
    <w:lvl w:ilvl="6" w:tplc="0CBCC94C">
      <w:start w:val="1"/>
      <w:numFmt w:val="bullet"/>
      <w:lvlText w:val=""/>
      <w:lvlJc w:val="left"/>
      <w:pPr>
        <w:ind w:left="720" w:hanging="360"/>
      </w:pPr>
      <w:rPr>
        <w:rFonts w:ascii="Symbol" w:hAnsi="Symbol"/>
      </w:rPr>
    </w:lvl>
    <w:lvl w:ilvl="7" w:tplc="F5F8E852">
      <w:start w:val="1"/>
      <w:numFmt w:val="bullet"/>
      <w:lvlText w:val=""/>
      <w:lvlJc w:val="left"/>
      <w:pPr>
        <w:ind w:left="720" w:hanging="360"/>
      </w:pPr>
      <w:rPr>
        <w:rFonts w:ascii="Symbol" w:hAnsi="Symbol"/>
      </w:rPr>
    </w:lvl>
    <w:lvl w:ilvl="8" w:tplc="0F5817AC">
      <w:start w:val="1"/>
      <w:numFmt w:val="bullet"/>
      <w:lvlText w:val=""/>
      <w:lvlJc w:val="left"/>
      <w:pPr>
        <w:ind w:left="720" w:hanging="360"/>
      </w:pPr>
      <w:rPr>
        <w:rFonts w:ascii="Symbol" w:hAnsi="Symbol"/>
      </w:rPr>
    </w:lvl>
  </w:abstractNum>
  <w:abstractNum w:abstractNumId="43"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4" w15:restartNumberingAfterBreak="0">
    <w:nsid w:val="3872C252"/>
    <w:multiLevelType w:val="hybridMultilevel"/>
    <w:tmpl w:val="FFFFFFFF"/>
    <w:lvl w:ilvl="0" w:tplc="94309390">
      <w:start w:val="1"/>
      <w:numFmt w:val="bullet"/>
      <w:lvlText w:val=""/>
      <w:lvlJc w:val="left"/>
      <w:pPr>
        <w:ind w:left="720" w:hanging="360"/>
      </w:pPr>
      <w:rPr>
        <w:rFonts w:ascii="Symbol" w:hAnsi="Symbol" w:hint="default"/>
      </w:rPr>
    </w:lvl>
    <w:lvl w:ilvl="1" w:tplc="A82E8792">
      <w:start w:val="1"/>
      <w:numFmt w:val="bullet"/>
      <w:lvlText w:val="o"/>
      <w:lvlJc w:val="left"/>
      <w:pPr>
        <w:ind w:left="1440" w:hanging="360"/>
      </w:pPr>
      <w:rPr>
        <w:rFonts w:ascii="Courier New" w:hAnsi="Courier New" w:hint="default"/>
      </w:rPr>
    </w:lvl>
    <w:lvl w:ilvl="2" w:tplc="8CCE2E72">
      <w:start w:val="1"/>
      <w:numFmt w:val="bullet"/>
      <w:lvlText w:val=""/>
      <w:lvlJc w:val="left"/>
      <w:pPr>
        <w:ind w:left="2160" w:hanging="360"/>
      </w:pPr>
      <w:rPr>
        <w:rFonts w:ascii="Wingdings" w:hAnsi="Wingdings" w:hint="default"/>
      </w:rPr>
    </w:lvl>
    <w:lvl w:ilvl="3" w:tplc="2ECA4B0C">
      <w:start w:val="1"/>
      <w:numFmt w:val="bullet"/>
      <w:lvlText w:val=""/>
      <w:lvlJc w:val="left"/>
      <w:pPr>
        <w:ind w:left="2880" w:hanging="360"/>
      </w:pPr>
      <w:rPr>
        <w:rFonts w:ascii="Symbol" w:hAnsi="Symbol" w:hint="default"/>
      </w:rPr>
    </w:lvl>
    <w:lvl w:ilvl="4" w:tplc="8FB4540E">
      <w:start w:val="1"/>
      <w:numFmt w:val="bullet"/>
      <w:lvlText w:val="o"/>
      <w:lvlJc w:val="left"/>
      <w:pPr>
        <w:ind w:left="3600" w:hanging="360"/>
      </w:pPr>
      <w:rPr>
        <w:rFonts w:ascii="Courier New" w:hAnsi="Courier New" w:hint="default"/>
      </w:rPr>
    </w:lvl>
    <w:lvl w:ilvl="5" w:tplc="FBD475A0">
      <w:start w:val="1"/>
      <w:numFmt w:val="bullet"/>
      <w:lvlText w:val=""/>
      <w:lvlJc w:val="left"/>
      <w:pPr>
        <w:ind w:left="4320" w:hanging="360"/>
      </w:pPr>
      <w:rPr>
        <w:rFonts w:ascii="Wingdings" w:hAnsi="Wingdings" w:hint="default"/>
      </w:rPr>
    </w:lvl>
    <w:lvl w:ilvl="6" w:tplc="F7283FD2">
      <w:start w:val="1"/>
      <w:numFmt w:val="bullet"/>
      <w:lvlText w:val=""/>
      <w:lvlJc w:val="left"/>
      <w:pPr>
        <w:ind w:left="5040" w:hanging="360"/>
      </w:pPr>
      <w:rPr>
        <w:rFonts w:ascii="Symbol" w:hAnsi="Symbol" w:hint="default"/>
      </w:rPr>
    </w:lvl>
    <w:lvl w:ilvl="7" w:tplc="C528489C">
      <w:start w:val="1"/>
      <w:numFmt w:val="bullet"/>
      <w:lvlText w:val="o"/>
      <w:lvlJc w:val="left"/>
      <w:pPr>
        <w:ind w:left="5760" w:hanging="360"/>
      </w:pPr>
      <w:rPr>
        <w:rFonts w:ascii="Courier New" w:hAnsi="Courier New" w:hint="default"/>
      </w:rPr>
    </w:lvl>
    <w:lvl w:ilvl="8" w:tplc="1C7AE934">
      <w:start w:val="1"/>
      <w:numFmt w:val="bullet"/>
      <w:lvlText w:val=""/>
      <w:lvlJc w:val="left"/>
      <w:pPr>
        <w:ind w:left="6480" w:hanging="360"/>
      </w:pPr>
      <w:rPr>
        <w:rFonts w:ascii="Wingdings" w:hAnsi="Wingdings" w:hint="default"/>
      </w:rPr>
    </w:lvl>
  </w:abstractNum>
  <w:abstractNum w:abstractNumId="45" w15:restartNumberingAfterBreak="0">
    <w:nsid w:val="38D9A0E5"/>
    <w:multiLevelType w:val="hybridMultilevel"/>
    <w:tmpl w:val="D84C964E"/>
    <w:lvl w:ilvl="0" w:tplc="D26AB2E6">
      <w:start w:val="1"/>
      <w:numFmt w:val="bullet"/>
      <w:lvlText w:val=""/>
      <w:lvlJc w:val="left"/>
      <w:pPr>
        <w:ind w:left="720" w:hanging="360"/>
      </w:pPr>
      <w:rPr>
        <w:rFonts w:ascii="Symbol" w:hAnsi="Symbol" w:hint="default"/>
      </w:rPr>
    </w:lvl>
    <w:lvl w:ilvl="1" w:tplc="A21CB60A">
      <w:start w:val="1"/>
      <w:numFmt w:val="bullet"/>
      <w:lvlText w:val="o"/>
      <w:lvlJc w:val="left"/>
      <w:pPr>
        <w:ind w:left="1440" w:hanging="360"/>
      </w:pPr>
      <w:rPr>
        <w:rFonts w:ascii="Courier New" w:hAnsi="Courier New" w:hint="default"/>
      </w:rPr>
    </w:lvl>
    <w:lvl w:ilvl="2" w:tplc="223CAE5E">
      <w:start w:val="1"/>
      <w:numFmt w:val="bullet"/>
      <w:lvlText w:val=""/>
      <w:lvlJc w:val="left"/>
      <w:pPr>
        <w:ind w:left="2160" w:hanging="360"/>
      </w:pPr>
      <w:rPr>
        <w:rFonts w:ascii="Wingdings" w:hAnsi="Wingdings" w:hint="default"/>
      </w:rPr>
    </w:lvl>
    <w:lvl w:ilvl="3" w:tplc="FB908160">
      <w:start w:val="1"/>
      <w:numFmt w:val="bullet"/>
      <w:lvlText w:val=""/>
      <w:lvlJc w:val="left"/>
      <w:pPr>
        <w:ind w:left="2880" w:hanging="360"/>
      </w:pPr>
      <w:rPr>
        <w:rFonts w:ascii="Symbol" w:hAnsi="Symbol" w:hint="default"/>
      </w:rPr>
    </w:lvl>
    <w:lvl w:ilvl="4" w:tplc="A0183EE6">
      <w:start w:val="1"/>
      <w:numFmt w:val="bullet"/>
      <w:lvlText w:val="o"/>
      <w:lvlJc w:val="left"/>
      <w:pPr>
        <w:ind w:left="3600" w:hanging="360"/>
      </w:pPr>
      <w:rPr>
        <w:rFonts w:ascii="Courier New" w:hAnsi="Courier New" w:hint="default"/>
      </w:rPr>
    </w:lvl>
    <w:lvl w:ilvl="5" w:tplc="7E1ED036">
      <w:start w:val="1"/>
      <w:numFmt w:val="bullet"/>
      <w:lvlText w:val=""/>
      <w:lvlJc w:val="left"/>
      <w:pPr>
        <w:ind w:left="4320" w:hanging="360"/>
      </w:pPr>
      <w:rPr>
        <w:rFonts w:ascii="Wingdings" w:hAnsi="Wingdings" w:hint="default"/>
      </w:rPr>
    </w:lvl>
    <w:lvl w:ilvl="6" w:tplc="2940F426">
      <w:start w:val="1"/>
      <w:numFmt w:val="bullet"/>
      <w:lvlText w:val=""/>
      <w:lvlJc w:val="left"/>
      <w:pPr>
        <w:ind w:left="5040" w:hanging="360"/>
      </w:pPr>
      <w:rPr>
        <w:rFonts w:ascii="Symbol" w:hAnsi="Symbol" w:hint="default"/>
      </w:rPr>
    </w:lvl>
    <w:lvl w:ilvl="7" w:tplc="0F1617F2">
      <w:start w:val="1"/>
      <w:numFmt w:val="bullet"/>
      <w:lvlText w:val="o"/>
      <w:lvlJc w:val="left"/>
      <w:pPr>
        <w:ind w:left="5760" w:hanging="360"/>
      </w:pPr>
      <w:rPr>
        <w:rFonts w:ascii="Courier New" w:hAnsi="Courier New" w:hint="default"/>
      </w:rPr>
    </w:lvl>
    <w:lvl w:ilvl="8" w:tplc="196ED33C">
      <w:start w:val="1"/>
      <w:numFmt w:val="bullet"/>
      <w:lvlText w:val=""/>
      <w:lvlJc w:val="left"/>
      <w:pPr>
        <w:ind w:left="6480" w:hanging="360"/>
      </w:pPr>
      <w:rPr>
        <w:rFonts w:ascii="Wingdings" w:hAnsi="Wingdings" w:hint="default"/>
      </w:rPr>
    </w:lvl>
  </w:abstractNum>
  <w:abstractNum w:abstractNumId="46" w15:restartNumberingAfterBreak="0">
    <w:nsid w:val="395D52A8"/>
    <w:multiLevelType w:val="multilevel"/>
    <w:tmpl w:val="8CE81736"/>
    <w:name w:val="ListNumbering22"/>
    <w:numStyleLink w:val="Appendices"/>
  </w:abstractNum>
  <w:abstractNum w:abstractNumId="47"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EFEBDA"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8"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EFEBDA"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9" w15:restartNumberingAfterBreak="0">
    <w:nsid w:val="3A29743F"/>
    <w:multiLevelType w:val="hybridMultilevel"/>
    <w:tmpl w:val="C4CAFC68"/>
    <w:lvl w:ilvl="0" w:tplc="0C090001">
      <w:start w:val="1"/>
      <w:numFmt w:val="bullet"/>
      <w:lvlText w:val=""/>
      <w:lvlJc w:val="left"/>
      <w:pPr>
        <w:ind w:left="975" w:hanging="360"/>
      </w:pPr>
      <w:rPr>
        <w:rFonts w:ascii="Symbol" w:hAnsi="Symbol" w:hint="default"/>
      </w:rPr>
    </w:lvl>
    <w:lvl w:ilvl="1" w:tplc="0C090003" w:tentative="1">
      <w:start w:val="1"/>
      <w:numFmt w:val="bullet"/>
      <w:lvlText w:val="o"/>
      <w:lvlJc w:val="left"/>
      <w:pPr>
        <w:ind w:left="1695" w:hanging="360"/>
      </w:pPr>
      <w:rPr>
        <w:rFonts w:ascii="Courier New" w:hAnsi="Courier New" w:cs="Courier New" w:hint="default"/>
      </w:rPr>
    </w:lvl>
    <w:lvl w:ilvl="2" w:tplc="0C090005" w:tentative="1">
      <w:start w:val="1"/>
      <w:numFmt w:val="bullet"/>
      <w:lvlText w:val=""/>
      <w:lvlJc w:val="left"/>
      <w:pPr>
        <w:ind w:left="2415" w:hanging="360"/>
      </w:pPr>
      <w:rPr>
        <w:rFonts w:ascii="Wingdings" w:hAnsi="Wingdings" w:hint="default"/>
      </w:rPr>
    </w:lvl>
    <w:lvl w:ilvl="3" w:tplc="0C090001" w:tentative="1">
      <w:start w:val="1"/>
      <w:numFmt w:val="bullet"/>
      <w:lvlText w:val=""/>
      <w:lvlJc w:val="left"/>
      <w:pPr>
        <w:ind w:left="3135" w:hanging="360"/>
      </w:pPr>
      <w:rPr>
        <w:rFonts w:ascii="Symbol" w:hAnsi="Symbol" w:hint="default"/>
      </w:rPr>
    </w:lvl>
    <w:lvl w:ilvl="4" w:tplc="0C090003" w:tentative="1">
      <w:start w:val="1"/>
      <w:numFmt w:val="bullet"/>
      <w:lvlText w:val="o"/>
      <w:lvlJc w:val="left"/>
      <w:pPr>
        <w:ind w:left="3855" w:hanging="360"/>
      </w:pPr>
      <w:rPr>
        <w:rFonts w:ascii="Courier New" w:hAnsi="Courier New" w:cs="Courier New" w:hint="default"/>
      </w:rPr>
    </w:lvl>
    <w:lvl w:ilvl="5" w:tplc="0C090005" w:tentative="1">
      <w:start w:val="1"/>
      <w:numFmt w:val="bullet"/>
      <w:lvlText w:val=""/>
      <w:lvlJc w:val="left"/>
      <w:pPr>
        <w:ind w:left="4575" w:hanging="360"/>
      </w:pPr>
      <w:rPr>
        <w:rFonts w:ascii="Wingdings" w:hAnsi="Wingdings" w:hint="default"/>
      </w:rPr>
    </w:lvl>
    <w:lvl w:ilvl="6" w:tplc="0C090001" w:tentative="1">
      <w:start w:val="1"/>
      <w:numFmt w:val="bullet"/>
      <w:lvlText w:val=""/>
      <w:lvlJc w:val="left"/>
      <w:pPr>
        <w:ind w:left="5295" w:hanging="360"/>
      </w:pPr>
      <w:rPr>
        <w:rFonts w:ascii="Symbol" w:hAnsi="Symbol" w:hint="default"/>
      </w:rPr>
    </w:lvl>
    <w:lvl w:ilvl="7" w:tplc="0C090003" w:tentative="1">
      <w:start w:val="1"/>
      <w:numFmt w:val="bullet"/>
      <w:lvlText w:val="o"/>
      <w:lvlJc w:val="left"/>
      <w:pPr>
        <w:ind w:left="6015" w:hanging="360"/>
      </w:pPr>
      <w:rPr>
        <w:rFonts w:ascii="Courier New" w:hAnsi="Courier New" w:cs="Courier New" w:hint="default"/>
      </w:rPr>
    </w:lvl>
    <w:lvl w:ilvl="8" w:tplc="0C090005" w:tentative="1">
      <w:start w:val="1"/>
      <w:numFmt w:val="bullet"/>
      <w:lvlText w:val=""/>
      <w:lvlJc w:val="left"/>
      <w:pPr>
        <w:ind w:left="6735" w:hanging="360"/>
      </w:pPr>
      <w:rPr>
        <w:rFonts w:ascii="Wingdings" w:hAnsi="Wingdings" w:hint="default"/>
      </w:rPr>
    </w:lvl>
  </w:abstractNum>
  <w:abstractNum w:abstractNumId="50" w15:restartNumberingAfterBreak="0">
    <w:nsid w:val="3AA03FCB"/>
    <w:multiLevelType w:val="hybridMultilevel"/>
    <w:tmpl w:val="10528DC4"/>
    <w:lvl w:ilvl="0" w:tplc="FFFFFFFF">
      <w:start w:val="1"/>
      <w:numFmt w:val="bullet"/>
      <w:pStyle w:val="ListParagraph"/>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AD243EA"/>
    <w:multiLevelType w:val="hybridMultilevel"/>
    <w:tmpl w:val="4AB0C14C"/>
    <w:lvl w:ilvl="0" w:tplc="43627D78">
      <w:start w:val="1"/>
      <w:numFmt w:val="bullet"/>
      <w:pStyle w:val="ListBullet2"/>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52" w15:restartNumberingAfterBreak="0">
    <w:nsid w:val="3BFFA16B"/>
    <w:multiLevelType w:val="hybridMultilevel"/>
    <w:tmpl w:val="FFFFFFFF"/>
    <w:lvl w:ilvl="0" w:tplc="1226A7F0">
      <w:start w:val="1"/>
      <w:numFmt w:val="bullet"/>
      <w:lvlText w:val=""/>
      <w:lvlJc w:val="left"/>
      <w:pPr>
        <w:ind w:left="720" w:hanging="360"/>
      </w:pPr>
      <w:rPr>
        <w:rFonts w:ascii="Symbol" w:hAnsi="Symbol" w:hint="default"/>
      </w:rPr>
    </w:lvl>
    <w:lvl w:ilvl="1" w:tplc="42CAADC0">
      <w:start w:val="1"/>
      <w:numFmt w:val="bullet"/>
      <w:lvlText w:val="o"/>
      <w:lvlJc w:val="left"/>
      <w:pPr>
        <w:ind w:left="1440" w:hanging="360"/>
      </w:pPr>
      <w:rPr>
        <w:rFonts w:ascii="Courier New" w:hAnsi="Courier New" w:hint="default"/>
      </w:rPr>
    </w:lvl>
    <w:lvl w:ilvl="2" w:tplc="0ADAD24A">
      <w:start w:val="1"/>
      <w:numFmt w:val="bullet"/>
      <w:lvlText w:val=""/>
      <w:lvlJc w:val="left"/>
      <w:pPr>
        <w:ind w:left="2160" w:hanging="360"/>
      </w:pPr>
      <w:rPr>
        <w:rFonts w:ascii="Wingdings" w:hAnsi="Wingdings" w:hint="default"/>
      </w:rPr>
    </w:lvl>
    <w:lvl w:ilvl="3" w:tplc="1420599A">
      <w:start w:val="1"/>
      <w:numFmt w:val="bullet"/>
      <w:lvlText w:val=""/>
      <w:lvlJc w:val="left"/>
      <w:pPr>
        <w:ind w:left="2880" w:hanging="360"/>
      </w:pPr>
      <w:rPr>
        <w:rFonts w:ascii="Symbol" w:hAnsi="Symbol" w:hint="default"/>
      </w:rPr>
    </w:lvl>
    <w:lvl w:ilvl="4" w:tplc="DC3EBD7C">
      <w:start w:val="1"/>
      <w:numFmt w:val="bullet"/>
      <w:lvlText w:val="o"/>
      <w:lvlJc w:val="left"/>
      <w:pPr>
        <w:ind w:left="3600" w:hanging="360"/>
      </w:pPr>
      <w:rPr>
        <w:rFonts w:ascii="Courier New" w:hAnsi="Courier New" w:hint="default"/>
      </w:rPr>
    </w:lvl>
    <w:lvl w:ilvl="5" w:tplc="E3305680">
      <w:start w:val="1"/>
      <w:numFmt w:val="bullet"/>
      <w:lvlText w:val=""/>
      <w:lvlJc w:val="left"/>
      <w:pPr>
        <w:ind w:left="4320" w:hanging="360"/>
      </w:pPr>
      <w:rPr>
        <w:rFonts w:ascii="Wingdings" w:hAnsi="Wingdings" w:hint="default"/>
      </w:rPr>
    </w:lvl>
    <w:lvl w:ilvl="6" w:tplc="BCE64582">
      <w:start w:val="1"/>
      <w:numFmt w:val="bullet"/>
      <w:lvlText w:val=""/>
      <w:lvlJc w:val="left"/>
      <w:pPr>
        <w:ind w:left="5040" w:hanging="360"/>
      </w:pPr>
      <w:rPr>
        <w:rFonts w:ascii="Symbol" w:hAnsi="Symbol" w:hint="default"/>
      </w:rPr>
    </w:lvl>
    <w:lvl w:ilvl="7" w:tplc="F880090A">
      <w:start w:val="1"/>
      <w:numFmt w:val="bullet"/>
      <w:lvlText w:val="o"/>
      <w:lvlJc w:val="left"/>
      <w:pPr>
        <w:ind w:left="5760" w:hanging="360"/>
      </w:pPr>
      <w:rPr>
        <w:rFonts w:ascii="Courier New" w:hAnsi="Courier New" w:hint="default"/>
      </w:rPr>
    </w:lvl>
    <w:lvl w:ilvl="8" w:tplc="2CC28760">
      <w:start w:val="1"/>
      <w:numFmt w:val="bullet"/>
      <w:lvlText w:val=""/>
      <w:lvlJc w:val="left"/>
      <w:pPr>
        <w:ind w:left="6480" w:hanging="360"/>
      </w:pPr>
      <w:rPr>
        <w:rFonts w:ascii="Wingdings" w:hAnsi="Wingdings" w:hint="default"/>
      </w:rPr>
    </w:lvl>
  </w:abstractNum>
  <w:abstractNum w:abstractNumId="53" w15:restartNumberingAfterBreak="0">
    <w:nsid w:val="3D854736"/>
    <w:multiLevelType w:val="hybridMultilevel"/>
    <w:tmpl w:val="26341A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3EF03303"/>
    <w:multiLevelType w:val="hybridMultilevel"/>
    <w:tmpl w:val="4B380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EFEBDA"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6" w15:restartNumberingAfterBreak="0">
    <w:nsid w:val="42385E2F"/>
    <w:multiLevelType w:val="hybridMultilevel"/>
    <w:tmpl w:val="10804EF2"/>
    <w:lvl w:ilvl="0" w:tplc="F9944BAE">
      <w:start w:val="1"/>
      <w:numFmt w:val="bullet"/>
      <w:lvlText w:val=""/>
      <w:lvlJc w:val="left"/>
      <w:pPr>
        <w:ind w:left="720" w:hanging="360"/>
      </w:pPr>
      <w:rPr>
        <w:rFonts w:ascii="Symbol" w:hAnsi="Symbol" w:hint="default"/>
      </w:rPr>
    </w:lvl>
    <w:lvl w:ilvl="1" w:tplc="C0B0DBC0">
      <w:start w:val="1"/>
      <w:numFmt w:val="bullet"/>
      <w:lvlText w:val="o"/>
      <w:lvlJc w:val="left"/>
      <w:pPr>
        <w:ind w:left="1440" w:hanging="360"/>
      </w:pPr>
      <w:rPr>
        <w:rFonts w:ascii="Courier New" w:hAnsi="Courier New" w:hint="default"/>
      </w:rPr>
    </w:lvl>
    <w:lvl w:ilvl="2" w:tplc="F0520016">
      <w:start w:val="1"/>
      <w:numFmt w:val="bullet"/>
      <w:lvlText w:val=""/>
      <w:lvlJc w:val="left"/>
      <w:pPr>
        <w:ind w:left="2160" w:hanging="360"/>
      </w:pPr>
      <w:rPr>
        <w:rFonts w:ascii="Wingdings" w:hAnsi="Wingdings" w:hint="default"/>
      </w:rPr>
    </w:lvl>
    <w:lvl w:ilvl="3" w:tplc="C1E89106">
      <w:start w:val="1"/>
      <w:numFmt w:val="bullet"/>
      <w:lvlText w:val=""/>
      <w:lvlJc w:val="left"/>
      <w:pPr>
        <w:ind w:left="2880" w:hanging="360"/>
      </w:pPr>
      <w:rPr>
        <w:rFonts w:ascii="Symbol" w:hAnsi="Symbol" w:hint="default"/>
      </w:rPr>
    </w:lvl>
    <w:lvl w:ilvl="4" w:tplc="25162B02">
      <w:start w:val="1"/>
      <w:numFmt w:val="bullet"/>
      <w:lvlText w:val="o"/>
      <w:lvlJc w:val="left"/>
      <w:pPr>
        <w:ind w:left="3600" w:hanging="360"/>
      </w:pPr>
      <w:rPr>
        <w:rFonts w:ascii="Courier New" w:hAnsi="Courier New" w:hint="default"/>
      </w:rPr>
    </w:lvl>
    <w:lvl w:ilvl="5" w:tplc="4320955A">
      <w:start w:val="1"/>
      <w:numFmt w:val="bullet"/>
      <w:lvlText w:val=""/>
      <w:lvlJc w:val="left"/>
      <w:pPr>
        <w:ind w:left="4320" w:hanging="360"/>
      </w:pPr>
      <w:rPr>
        <w:rFonts w:ascii="Wingdings" w:hAnsi="Wingdings" w:hint="default"/>
      </w:rPr>
    </w:lvl>
    <w:lvl w:ilvl="6" w:tplc="24E25D24">
      <w:start w:val="1"/>
      <w:numFmt w:val="bullet"/>
      <w:lvlText w:val=""/>
      <w:lvlJc w:val="left"/>
      <w:pPr>
        <w:ind w:left="5040" w:hanging="360"/>
      </w:pPr>
      <w:rPr>
        <w:rFonts w:ascii="Symbol" w:hAnsi="Symbol" w:hint="default"/>
      </w:rPr>
    </w:lvl>
    <w:lvl w:ilvl="7" w:tplc="B60091B2">
      <w:start w:val="1"/>
      <w:numFmt w:val="bullet"/>
      <w:lvlText w:val="o"/>
      <w:lvlJc w:val="left"/>
      <w:pPr>
        <w:ind w:left="5760" w:hanging="360"/>
      </w:pPr>
      <w:rPr>
        <w:rFonts w:ascii="Courier New" w:hAnsi="Courier New" w:hint="default"/>
      </w:rPr>
    </w:lvl>
    <w:lvl w:ilvl="8" w:tplc="F97E0892">
      <w:start w:val="1"/>
      <w:numFmt w:val="bullet"/>
      <w:lvlText w:val=""/>
      <w:lvlJc w:val="left"/>
      <w:pPr>
        <w:ind w:left="6480" w:hanging="360"/>
      </w:pPr>
      <w:rPr>
        <w:rFonts w:ascii="Wingdings" w:hAnsi="Wingdings" w:hint="default"/>
      </w:rPr>
    </w:lvl>
  </w:abstractNum>
  <w:abstractNum w:abstractNumId="57"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58" w15:restartNumberingAfterBreak="0">
    <w:nsid w:val="48790E4C"/>
    <w:multiLevelType w:val="hybridMultilevel"/>
    <w:tmpl w:val="1E46C4D6"/>
    <w:lvl w:ilvl="0" w:tplc="D2349F9C">
      <w:start w:val="1"/>
      <w:numFmt w:val="bullet"/>
      <w:lvlText w:val=""/>
      <w:lvlJc w:val="left"/>
      <w:pPr>
        <w:ind w:left="720" w:hanging="360"/>
      </w:pPr>
      <w:rPr>
        <w:rFonts w:ascii="Symbol" w:hAnsi="Symbol" w:hint="default"/>
      </w:rPr>
    </w:lvl>
    <w:lvl w:ilvl="1" w:tplc="BE0A2D0A">
      <w:start w:val="1"/>
      <w:numFmt w:val="bullet"/>
      <w:lvlText w:val="o"/>
      <w:lvlJc w:val="left"/>
      <w:pPr>
        <w:ind w:left="1440" w:hanging="360"/>
      </w:pPr>
      <w:rPr>
        <w:rFonts w:ascii="Courier New" w:hAnsi="Courier New" w:hint="default"/>
      </w:rPr>
    </w:lvl>
    <w:lvl w:ilvl="2" w:tplc="6632F4EA">
      <w:start w:val="1"/>
      <w:numFmt w:val="bullet"/>
      <w:lvlText w:val=""/>
      <w:lvlJc w:val="left"/>
      <w:pPr>
        <w:ind w:left="2160" w:hanging="360"/>
      </w:pPr>
      <w:rPr>
        <w:rFonts w:ascii="Wingdings" w:hAnsi="Wingdings" w:hint="default"/>
      </w:rPr>
    </w:lvl>
    <w:lvl w:ilvl="3" w:tplc="479EEA44">
      <w:start w:val="1"/>
      <w:numFmt w:val="bullet"/>
      <w:lvlText w:val=""/>
      <w:lvlJc w:val="left"/>
      <w:pPr>
        <w:ind w:left="2880" w:hanging="360"/>
      </w:pPr>
      <w:rPr>
        <w:rFonts w:ascii="Symbol" w:hAnsi="Symbol" w:hint="default"/>
      </w:rPr>
    </w:lvl>
    <w:lvl w:ilvl="4" w:tplc="EFAC2CC6">
      <w:start w:val="1"/>
      <w:numFmt w:val="bullet"/>
      <w:lvlText w:val="o"/>
      <w:lvlJc w:val="left"/>
      <w:pPr>
        <w:ind w:left="3600" w:hanging="360"/>
      </w:pPr>
      <w:rPr>
        <w:rFonts w:ascii="Courier New" w:hAnsi="Courier New" w:hint="default"/>
      </w:rPr>
    </w:lvl>
    <w:lvl w:ilvl="5" w:tplc="1A406C54">
      <w:start w:val="1"/>
      <w:numFmt w:val="bullet"/>
      <w:lvlText w:val=""/>
      <w:lvlJc w:val="left"/>
      <w:pPr>
        <w:ind w:left="4320" w:hanging="360"/>
      </w:pPr>
      <w:rPr>
        <w:rFonts w:ascii="Wingdings" w:hAnsi="Wingdings" w:hint="default"/>
      </w:rPr>
    </w:lvl>
    <w:lvl w:ilvl="6" w:tplc="5F3C1596">
      <w:start w:val="1"/>
      <w:numFmt w:val="bullet"/>
      <w:lvlText w:val=""/>
      <w:lvlJc w:val="left"/>
      <w:pPr>
        <w:ind w:left="5040" w:hanging="360"/>
      </w:pPr>
      <w:rPr>
        <w:rFonts w:ascii="Symbol" w:hAnsi="Symbol" w:hint="default"/>
      </w:rPr>
    </w:lvl>
    <w:lvl w:ilvl="7" w:tplc="815C4418">
      <w:start w:val="1"/>
      <w:numFmt w:val="bullet"/>
      <w:lvlText w:val="o"/>
      <w:lvlJc w:val="left"/>
      <w:pPr>
        <w:ind w:left="5760" w:hanging="360"/>
      </w:pPr>
      <w:rPr>
        <w:rFonts w:ascii="Courier New" w:hAnsi="Courier New" w:hint="default"/>
      </w:rPr>
    </w:lvl>
    <w:lvl w:ilvl="8" w:tplc="ACD4B268">
      <w:start w:val="1"/>
      <w:numFmt w:val="bullet"/>
      <w:lvlText w:val=""/>
      <w:lvlJc w:val="left"/>
      <w:pPr>
        <w:ind w:left="6480" w:hanging="360"/>
      </w:pPr>
      <w:rPr>
        <w:rFonts w:ascii="Wingdings" w:hAnsi="Wingdings" w:hint="default"/>
      </w:rPr>
    </w:lvl>
  </w:abstractNum>
  <w:abstractNum w:abstractNumId="59" w15:restartNumberingAfterBreak="0">
    <w:nsid w:val="4AA27F2E"/>
    <w:multiLevelType w:val="multilevel"/>
    <w:tmpl w:val="21AAD6BC"/>
    <w:name w:val="Bullets"/>
    <w:lvl w:ilvl="0">
      <w:start w:val="1"/>
      <w:numFmt w:val="bullet"/>
      <w:lvlText w:val=""/>
      <w:lvlJc w:val="left"/>
      <w:pPr>
        <w:ind w:left="340" w:hanging="340"/>
      </w:pPr>
      <w:rPr>
        <w:rFonts w:ascii="Wingdings" w:hAnsi="Wingdings" w:hint="default"/>
      </w:rPr>
    </w:lvl>
    <w:lvl w:ilvl="1">
      <w:start w:val="1"/>
      <w:numFmt w:val="bullet"/>
      <w:lvlText w:val=""/>
      <w:lvlJc w:val="left"/>
      <w:pPr>
        <w:ind w:left="680" w:hanging="340"/>
      </w:pPr>
      <w:rPr>
        <w:rFonts w:ascii="Wingdings" w:hAnsi="Wingdings" w:hint="default"/>
      </w:rPr>
    </w:lvl>
    <w:lvl w:ilvl="2">
      <w:start w:val="1"/>
      <w:numFmt w:val="bullet"/>
      <w:lvlText w:val="–"/>
      <w:lvlJc w:val="left"/>
      <w:pPr>
        <w:ind w:left="1020" w:hanging="340"/>
      </w:pPr>
      <w:rPr>
        <w:rFonts w:ascii="Century Gothic" w:hAnsi="Century Gothic" w:hint="default"/>
      </w:rPr>
    </w:lvl>
    <w:lvl w:ilvl="3">
      <w:start w:val="1"/>
      <w:numFmt w:val="bullet"/>
      <w:lvlText w:val=""/>
      <w:lvlJc w:val="left"/>
      <w:pPr>
        <w:tabs>
          <w:tab w:val="num" w:pos="1758"/>
        </w:tabs>
        <w:ind w:left="1360" w:hanging="340"/>
      </w:pPr>
      <w:rPr>
        <w:rFonts w:ascii="Symbol" w:hAnsi="Symbol" w:hint="default"/>
      </w:rPr>
    </w:lvl>
    <w:lvl w:ilvl="4">
      <w:start w:val="1"/>
      <w:numFmt w:val="bullet"/>
      <w:lvlText w:val="o"/>
      <w:lvlJc w:val="left"/>
      <w:pPr>
        <w:tabs>
          <w:tab w:val="num" w:pos="2155"/>
        </w:tabs>
        <w:ind w:left="1700" w:hanging="340"/>
      </w:pPr>
      <w:rPr>
        <w:rFonts w:ascii="Courier New" w:hAnsi="Courier New" w:cs="Courier New" w:hint="default"/>
      </w:rPr>
    </w:lvl>
    <w:lvl w:ilvl="5">
      <w:start w:val="1"/>
      <w:numFmt w:val="bullet"/>
      <w:lvlText w:val=""/>
      <w:lvlJc w:val="left"/>
      <w:pPr>
        <w:tabs>
          <w:tab w:val="num" w:pos="2552"/>
        </w:tabs>
        <w:ind w:left="2040" w:hanging="340"/>
      </w:pPr>
      <w:rPr>
        <w:rFonts w:ascii="Wingdings" w:hAnsi="Wingdings" w:hint="default"/>
      </w:rPr>
    </w:lvl>
    <w:lvl w:ilvl="6">
      <w:start w:val="1"/>
      <w:numFmt w:val="bullet"/>
      <w:lvlText w:val=""/>
      <w:lvlJc w:val="left"/>
      <w:pPr>
        <w:tabs>
          <w:tab w:val="num" w:pos="2949"/>
        </w:tabs>
        <w:ind w:left="2380" w:hanging="340"/>
      </w:pPr>
      <w:rPr>
        <w:rFonts w:ascii="Symbol" w:hAnsi="Symbol" w:hint="default"/>
      </w:rPr>
    </w:lvl>
    <w:lvl w:ilvl="7">
      <w:start w:val="1"/>
      <w:numFmt w:val="bullet"/>
      <w:lvlText w:val="o"/>
      <w:lvlJc w:val="left"/>
      <w:pPr>
        <w:tabs>
          <w:tab w:val="num" w:pos="3346"/>
        </w:tabs>
        <w:ind w:left="2720" w:hanging="340"/>
      </w:pPr>
      <w:rPr>
        <w:rFonts w:ascii="Courier New" w:hAnsi="Courier New" w:cs="Courier New" w:hint="default"/>
      </w:rPr>
    </w:lvl>
    <w:lvl w:ilvl="8">
      <w:start w:val="1"/>
      <w:numFmt w:val="bullet"/>
      <w:lvlText w:val=""/>
      <w:lvlJc w:val="left"/>
      <w:pPr>
        <w:tabs>
          <w:tab w:val="num" w:pos="3743"/>
        </w:tabs>
        <w:ind w:left="3060" w:hanging="340"/>
      </w:pPr>
      <w:rPr>
        <w:rFonts w:ascii="Wingdings" w:hAnsi="Wingdings" w:hint="default"/>
      </w:rPr>
    </w:lvl>
  </w:abstractNum>
  <w:abstractNum w:abstractNumId="60" w15:restartNumberingAfterBreak="0">
    <w:nsid w:val="4C46644A"/>
    <w:multiLevelType w:val="hybridMultilevel"/>
    <w:tmpl w:val="49D84A6E"/>
    <w:lvl w:ilvl="0" w:tplc="0C090001">
      <w:start w:val="1"/>
      <w:numFmt w:val="bullet"/>
      <w:lvlText w:val=""/>
      <w:lvlJc w:val="left"/>
      <w:pPr>
        <w:ind w:left="975" w:hanging="360"/>
      </w:pPr>
      <w:rPr>
        <w:rFonts w:ascii="Symbol" w:hAnsi="Symbol" w:hint="default"/>
      </w:rPr>
    </w:lvl>
    <w:lvl w:ilvl="1" w:tplc="0C090003" w:tentative="1">
      <w:start w:val="1"/>
      <w:numFmt w:val="bullet"/>
      <w:lvlText w:val="o"/>
      <w:lvlJc w:val="left"/>
      <w:pPr>
        <w:ind w:left="1695" w:hanging="360"/>
      </w:pPr>
      <w:rPr>
        <w:rFonts w:ascii="Courier New" w:hAnsi="Courier New" w:cs="Courier New" w:hint="default"/>
      </w:rPr>
    </w:lvl>
    <w:lvl w:ilvl="2" w:tplc="0C090005" w:tentative="1">
      <w:start w:val="1"/>
      <w:numFmt w:val="bullet"/>
      <w:lvlText w:val=""/>
      <w:lvlJc w:val="left"/>
      <w:pPr>
        <w:ind w:left="2415" w:hanging="360"/>
      </w:pPr>
      <w:rPr>
        <w:rFonts w:ascii="Wingdings" w:hAnsi="Wingdings" w:hint="default"/>
      </w:rPr>
    </w:lvl>
    <w:lvl w:ilvl="3" w:tplc="0C090001" w:tentative="1">
      <w:start w:val="1"/>
      <w:numFmt w:val="bullet"/>
      <w:lvlText w:val=""/>
      <w:lvlJc w:val="left"/>
      <w:pPr>
        <w:ind w:left="3135" w:hanging="360"/>
      </w:pPr>
      <w:rPr>
        <w:rFonts w:ascii="Symbol" w:hAnsi="Symbol" w:hint="default"/>
      </w:rPr>
    </w:lvl>
    <w:lvl w:ilvl="4" w:tplc="0C090003" w:tentative="1">
      <w:start w:val="1"/>
      <w:numFmt w:val="bullet"/>
      <w:lvlText w:val="o"/>
      <w:lvlJc w:val="left"/>
      <w:pPr>
        <w:ind w:left="3855" w:hanging="360"/>
      </w:pPr>
      <w:rPr>
        <w:rFonts w:ascii="Courier New" w:hAnsi="Courier New" w:cs="Courier New" w:hint="default"/>
      </w:rPr>
    </w:lvl>
    <w:lvl w:ilvl="5" w:tplc="0C090005" w:tentative="1">
      <w:start w:val="1"/>
      <w:numFmt w:val="bullet"/>
      <w:lvlText w:val=""/>
      <w:lvlJc w:val="left"/>
      <w:pPr>
        <w:ind w:left="4575" w:hanging="360"/>
      </w:pPr>
      <w:rPr>
        <w:rFonts w:ascii="Wingdings" w:hAnsi="Wingdings" w:hint="default"/>
      </w:rPr>
    </w:lvl>
    <w:lvl w:ilvl="6" w:tplc="0C090001" w:tentative="1">
      <w:start w:val="1"/>
      <w:numFmt w:val="bullet"/>
      <w:lvlText w:val=""/>
      <w:lvlJc w:val="left"/>
      <w:pPr>
        <w:ind w:left="5295" w:hanging="360"/>
      </w:pPr>
      <w:rPr>
        <w:rFonts w:ascii="Symbol" w:hAnsi="Symbol" w:hint="default"/>
      </w:rPr>
    </w:lvl>
    <w:lvl w:ilvl="7" w:tplc="0C090003" w:tentative="1">
      <w:start w:val="1"/>
      <w:numFmt w:val="bullet"/>
      <w:lvlText w:val="o"/>
      <w:lvlJc w:val="left"/>
      <w:pPr>
        <w:ind w:left="6015" w:hanging="360"/>
      </w:pPr>
      <w:rPr>
        <w:rFonts w:ascii="Courier New" w:hAnsi="Courier New" w:cs="Courier New" w:hint="default"/>
      </w:rPr>
    </w:lvl>
    <w:lvl w:ilvl="8" w:tplc="0C090005" w:tentative="1">
      <w:start w:val="1"/>
      <w:numFmt w:val="bullet"/>
      <w:lvlText w:val=""/>
      <w:lvlJc w:val="left"/>
      <w:pPr>
        <w:ind w:left="6735" w:hanging="360"/>
      </w:pPr>
      <w:rPr>
        <w:rFonts w:ascii="Wingdings" w:hAnsi="Wingdings" w:hint="default"/>
      </w:rPr>
    </w:lvl>
  </w:abstractNum>
  <w:abstractNum w:abstractNumId="61" w15:restartNumberingAfterBreak="0">
    <w:nsid w:val="4CE10ECE"/>
    <w:multiLevelType w:val="hybridMultilevel"/>
    <w:tmpl w:val="6EA4F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DE21CFC"/>
    <w:multiLevelType w:val="hybridMultilevel"/>
    <w:tmpl w:val="4E7AF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0ED6D02"/>
    <w:multiLevelType w:val="hybridMultilevel"/>
    <w:tmpl w:val="B1A0EE94"/>
    <w:lvl w:ilvl="0" w:tplc="44EC63BA">
      <w:start w:val="1"/>
      <w:numFmt w:val="bullet"/>
      <w:lvlText w:val=""/>
      <w:lvlJc w:val="left"/>
      <w:pPr>
        <w:ind w:left="720" w:hanging="360"/>
      </w:pPr>
      <w:rPr>
        <w:rFonts w:ascii="Symbol" w:hAnsi="Symbol" w:hint="default"/>
      </w:rPr>
    </w:lvl>
    <w:lvl w:ilvl="1" w:tplc="2D0A2828">
      <w:start w:val="1"/>
      <w:numFmt w:val="bullet"/>
      <w:lvlText w:val="o"/>
      <w:lvlJc w:val="left"/>
      <w:pPr>
        <w:ind w:left="1440" w:hanging="360"/>
      </w:pPr>
      <w:rPr>
        <w:rFonts w:ascii="Courier New" w:hAnsi="Courier New" w:hint="default"/>
      </w:rPr>
    </w:lvl>
    <w:lvl w:ilvl="2" w:tplc="125A537C">
      <w:start w:val="1"/>
      <w:numFmt w:val="bullet"/>
      <w:lvlText w:val=""/>
      <w:lvlJc w:val="left"/>
      <w:pPr>
        <w:ind w:left="2160" w:hanging="360"/>
      </w:pPr>
      <w:rPr>
        <w:rFonts w:ascii="Wingdings" w:hAnsi="Wingdings" w:hint="default"/>
      </w:rPr>
    </w:lvl>
    <w:lvl w:ilvl="3" w:tplc="470E735C">
      <w:start w:val="1"/>
      <w:numFmt w:val="bullet"/>
      <w:lvlText w:val=""/>
      <w:lvlJc w:val="left"/>
      <w:pPr>
        <w:ind w:left="2880" w:hanging="360"/>
      </w:pPr>
      <w:rPr>
        <w:rFonts w:ascii="Symbol" w:hAnsi="Symbol" w:hint="default"/>
      </w:rPr>
    </w:lvl>
    <w:lvl w:ilvl="4" w:tplc="08DE6B2C">
      <w:start w:val="1"/>
      <w:numFmt w:val="bullet"/>
      <w:lvlText w:val="o"/>
      <w:lvlJc w:val="left"/>
      <w:pPr>
        <w:ind w:left="3600" w:hanging="360"/>
      </w:pPr>
      <w:rPr>
        <w:rFonts w:ascii="Courier New" w:hAnsi="Courier New" w:hint="default"/>
      </w:rPr>
    </w:lvl>
    <w:lvl w:ilvl="5" w:tplc="18305F42">
      <w:start w:val="1"/>
      <w:numFmt w:val="bullet"/>
      <w:lvlText w:val=""/>
      <w:lvlJc w:val="left"/>
      <w:pPr>
        <w:ind w:left="4320" w:hanging="360"/>
      </w:pPr>
      <w:rPr>
        <w:rFonts w:ascii="Wingdings" w:hAnsi="Wingdings" w:hint="default"/>
      </w:rPr>
    </w:lvl>
    <w:lvl w:ilvl="6" w:tplc="BA967AB0">
      <w:start w:val="1"/>
      <w:numFmt w:val="bullet"/>
      <w:lvlText w:val=""/>
      <w:lvlJc w:val="left"/>
      <w:pPr>
        <w:ind w:left="5040" w:hanging="360"/>
      </w:pPr>
      <w:rPr>
        <w:rFonts w:ascii="Symbol" w:hAnsi="Symbol" w:hint="default"/>
      </w:rPr>
    </w:lvl>
    <w:lvl w:ilvl="7" w:tplc="2C725524">
      <w:start w:val="1"/>
      <w:numFmt w:val="bullet"/>
      <w:lvlText w:val="o"/>
      <w:lvlJc w:val="left"/>
      <w:pPr>
        <w:ind w:left="5760" w:hanging="360"/>
      </w:pPr>
      <w:rPr>
        <w:rFonts w:ascii="Courier New" w:hAnsi="Courier New" w:hint="default"/>
      </w:rPr>
    </w:lvl>
    <w:lvl w:ilvl="8" w:tplc="BEA2F4A4">
      <w:start w:val="1"/>
      <w:numFmt w:val="bullet"/>
      <w:lvlText w:val=""/>
      <w:lvlJc w:val="left"/>
      <w:pPr>
        <w:ind w:left="6480" w:hanging="360"/>
      </w:pPr>
      <w:rPr>
        <w:rFonts w:ascii="Wingdings" w:hAnsi="Wingdings" w:hint="default"/>
      </w:rPr>
    </w:lvl>
  </w:abstractNum>
  <w:abstractNum w:abstractNumId="64" w15:restartNumberingAfterBreak="0">
    <w:nsid w:val="51D93FC6"/>
    <w:multiLevelType w:val="hybridMultilevel"/>
    <w:tmpl w:val="8FF882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66" w15:restartNumberingAfterBreak="0">
    <w:nsid w:val="533157A3"/>
    <w:multiLevelType w:val="multilevel"/>
    <w:tmpl w:val="4BDCB4EA"/>
    <w:name w:val="NumberedHeadings"/>
    <w:lvl w:ilvl="0">
      <w:start w:val="1"/>
      <w:numFmt w:val="decimal"/>
      <w:lvlText w:val="%1."/>
      <w:lvlJc w:val="left"/>
      <w:pPr>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ind w:left="794" w:hanging="794"/>
      </w:pPr>
      <w:rPr>
        <w:rFonts w:hint="default"/>
      </w:rPr>
    </w:lvl>
    <w:lvl w:ilvl="3">
      <w:start w:val="1"/>
      <w:numFmt w:val="none"/>
      <w:lvlText w:val=""/>
      <w:lvlJc w:val="left"/>
      <w:pPr>
        <w:ind w:left="0" w:firstLine="0"/>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67" w15:restartNumberingAfterBreak="0">
    <w:nsid w:val="535B1912"/>
    <w:multiLevelType w:val="hybridMultilevel"/>
    <w:tmpl w:val="BF744606"/>
    <w:lvl w:ilvl="0" w:tplc="6096E5BA">
      <w:start w:val="9"/>
      <w:numFmt w:val="bullet"/>
      <w:lvlText w:val="-"/>
      <w:lvlJc w:val="left"/>
      <w:pPr>
        <w:ind w:left="615" w:hanging="360"/>
      </w:pPr>
      <w:rPr>
        <w:rFonts w:ascii="Century Gothic" w:eastAsia="Times New Roman" w:hAnsi="Century Gothic" w:cs="Times New Roman" w:hint="default"/>
      </w:rPr>
    </w:lvl>
    <w:lvl w:ilvl="1" w:tplc="0C090003" w:tentative="1">
      <w:start w:val="1"/>
      <w:numFmt w:val="bullet"/>
      <w:lvlText w:val="o"/>
      <w:lvlJc w:val="left"/>
      <w:pPr>
        <w:ind w:left="1335" w:hanging="360"/>
      </w:pPr>
      <w:rPr>
        <w:rFonts w:ascii="Courier New" w:hAnsi="Courier New" w:cs="Courier New" w:hint="default"/>
      </w:rPr>
    </w:lvl>
    <w:lvl w:ilvl="2" w:tplc="0C090005" w:tentative="1">
      <w:start w:val="1"/>
      <w:numFmt w:val="bullet"/>
      <w:lvlText w:val=""/>
      <w:lvlJc w:val="left"/>
      <w:pPr>
        <w:ind w:left="2055" w:hanging="360"/>
      </w:pPr>
      <w:rPr>
        <w:rFonts w:ascii="Wingdings" w:hAnsi="Wingdings" w:hint="default"/>
      </w:rPr>
    </w:lvl>
    <w:lvl w:ilvl="3" w:tplc="0C090001" w:tentative="1">
      <w:start w:val="1"/>
      <w:numFmt w:val="bullet"/>
      <w:lvlText w:val=""/>
      <w:lvlJc w:val="left"/>
      <w:pPr>
        <w:ind w:left="2775" w:hanging="360"/>
      </w:pPr>
      <w:rPr>
        <w:rFonts w:ascii="Symbol" w:hAnsi="Symbol" w:hint="default"/>
      </w:rPr>
    </w:lvl>
    <w:lvl w:ilvl="4" w:tplc="0C090003" w:tentative="1">
      <w:start w:val="1"/>
      <w:numFmt w:val="bullet"/>
      <w:lvlText w:val="o"/>
      <w:lvlJc w:val="left"/>
      <w:pPr>
        <w:ind w:left="3495" w:hanging="360"/>
      </w:pPr>
      <w:rPr>
        <w:rFonts w:ascii="Courier New" w:hAnsi="Courier New" w:cs="Courier New" w:hint="default"/>
      </w:rPr>
    </w:lvl>
    <w:lvl w:ilvl="5" w:tplc="0C090005" w:tentative="1">
      <w:start w:val="1"/>
      <w:numFmt w:val="bullet"/>
      <w:lvlText w:val=""/>
      <w:lvlJc w:val="left"/>
      <w:pPr>
        <w:ind w:left="4215" w:hanging="360"/>
      </w:pPr>
      <w:rPr>
        <w:rFonts w:ascii="Wingdings" w:hAnsi="Wingdings" w:hint="default"/>
      </w:rPr>
    </w:lvl>
    <w:lvl w:ilvl="6" w:tplc="0C090001" w:tentative="1">
      <w:start w:val="1"/>
      <w:numFmt w:val="bullet"/>
      <w:lvlText w:val=""/>
      <w:lvlJc w:val="left"/>
      <w:pPr>
        <w:ind w:left="4935" w:hanging="360"/>
      </w:pPr>
      <w:rPr>
        <w:rFonts w:ascii="Symbol" w:hAnsi="Symbol" w:hint="default"/>
      </w:rPr>
    </w:lvl>
    <w:lvl w:ilvl="7" w:tplc="0C090003" w:tentative="1">
      <w:start w:val="1"/>
      <w:numFmt w:val="bullet"/>
      <w:lvlText w:val="o"/>
      <w:lvlJc w:val="left"/>
      <w:pPr>
        <w:ind w:left="5655" w:hanging="360"/>
      </w:pPr>
      <w:rPr>
        <w:rFonts w:ascii="Courier New" w:hAnsi="Courier New" w:cs="Courier New" w:hint="default"/>
      </w:rPr>
    </w:lvl>
    <w:lvl w:ilvl="8" w:tplc="0C090005" w:tentative="1">
      <w:start w:val="1"/>
      <w:numFmt w:val="bullet"/>
      <w:lvlText w:val=""/>
      <w:lvlJc w:val="left"/>
      <w:pPr>
        <w:ind w:left="6375" w:hanging="360"/>
      </w:pPr>
      <w:rPr>
        <w:rFonts w:ascii="Wingdings" w:hAnsi="Wingdings" w:hint="default"/>
      </w:rPr>
    </w:lvl>
  </w:abstractNum>
  <w:abstractNum w:abstractNumId="68" w15:restartNumberingAfterBreak="0">
    <w:nsid w:val="53C4605E"/>
    <w:multiLevelType w:val="hybridMultilevel"/>
    <w:tmpl w:val="0FBCDCE0"/>
    <w:styleLink w:val="CurrentList1"/>
    <w:lvl w:ilvl="0" w:tplc="40EE5C44">
      <w:start w:val="1"/>
      <w:numFmt w:val="bullet"/>
      <w:lvlText w:val=""/>
      <w:lvlJc w:val="left"/>
      <w:pPr>
        <w:ind w:left="720" w:hanging="360"/>
      </w:pPr>
      <w:rPr>
        <w:rFonts w:ascii="Symbol" w:hAnsi="Symbol" w:hint="default"/>
      </w:rPr>
    </w:lvl>
    <w:lvl w:ilvl="1" w:tplc="049632EC">
      <w:start w:val="1"/>
      <w:numFmt w:val="bullet"/>
      <w:lvlText w:val="o"/>
      <w:lvlJc w:val="left"/>
      <w:pPr>
        <w:ind w:left="1440" w:hanging="360"/>
      </w:pPr>
      <w:rPr>
        <w:rFonts w:ascii="Courier New" w:hAnsi="Courier New" w:hint="default"/>
      </w:rPr>
    </w:lvl>
    <w:lvl w:ilvl="2" w:tplc="EDA6A738">
      <w:start w:val="1"/>
      <w:numFmt w:val="bullet"/>
      <w:lvlText w:val=""/>
      <w:lvlJc w:val="left"/>
      <w:pPr>
        <w:ind w:left="2160" w:hanging="360"/>
      </w:pPr>
      <w:rPr>
        <w:rFonts w:ascii="Wingdings" w:hAnsi="Wingdings" w:hint="default"/>
      </w:rPr>
    </w:lvl>
    <w:lvl w:ilvl="3" w:tplc="9550939A">
      <w:start w:val="1"/>
      <w:numFmt w:val="bullet"/>
      <w:lvlText w:val=""/>
      <w:lvlJc w:val="left"/>
      <w:pPr>
        <w:ind w:left="2880" w:hanging="360"/>
      </w:pPr>
      <w:rPr>
        <w:rFonts w:ascii="Symbol" w:hAnsi="Symbol" w:hint="default"/>
      </w:rPr>
    </w:lvl>
    <w:lvl w:ilvl="4" w:tplc="17824D9C">
      <w:start w:val="1"/>
      <w:numFmt w:val="bullet"/>
      <w:lvlText w:val="o"/>
      <w:lvlJc w:val="left"/>
      <w:pPr>
        <w:ind w:left="3600" w:hanging="360"/>
      </w:pPr>
      <w:rPr>
        <w:rFonts w:ascii="Courier New" w:hAnsi="Courier New" w:hint="default"/>
      </w:rPr>
    </w:lvl>
    <w:lvl w:ilvl="5" w:tplc="B380A676">
      <w:start w:val="1"/>
      <w:numFmt w:val="bullet"/>
      <w:lvlText w:val=""/>
      <w:lvlJc w:val="left"/>
      <w:pPr>
        <w:ind w:left="4320" w:hanging="360"/>
      </w:pPr>
      <w:rPr>
        <w:rFonts w:ascii="Wingdings" w:hAnsi="Wingdings" w:hint="default"/>
      </w:rPr>
    </w:lvl>
    <w:lvl w:ilvl="6" w:tplc="7146F544">
      <w:start w:val="1"/>
      <w:numFmt w:val="bullet"/>
      <w:lvlText w:val=""/>
      <w:lvlJc w:val="left"/>
      <w:pPr>
        <w:ind w:left="5040" w:hanging="360"/>
      </w:pPr>
      <w:rPr>
        <w:rFonts w:ascii="Symbol" w:hAnsi="Symbol" w:hint="default"/>
      </w:rPr>
    </w:lvl>
    <w:lvl w:ilvl="7" w:tplc="F6C81714">
      <w:start w:val="1"/>
      <w:numFmt w:val="bullet"/>
      <w:lvlText w:val="o"/>
      <w:lvlJc w:val="left"/>
      <w:pPr>
        <w:ind w:left="5760" w:hanging="360"/>
      </w:pPr>
      <w:rPr>
        <w:rFonts w:ascii="Courier New" w:hAnsi="Courier New" w:hint="default"/>
      </w:rPr>
    </w:lvl>
    <w:lvl w:ilvl="8" w:tplc="E1C614C6">
      <w:start w:val="1"/>
      <w:numFmt w:val="bullet"/>
      <w:lvlText w:val=""/>
      <w:lvlJc w:val="left"/>
      <w:pPr>
        <w:ind w:left="6480" w:hanging="360"/>
      </w:pPr>
      <w:rPr>
        <w:rFonts w:ascii="Wingdings" w:hAnsi="Wingdings" w:hint="default"/>
      </w:rPr>
    </w:lvl>
  </w:abstractNum>
  <w:abstractNum w:abstractNumId="69" w15:restartNumberingAfterBreak="0">
    <w:nsid w:val="56606927"/>
    <w:multiLevelType w:val="hybridMultilevel"/>
    <w:tmpl w:val="89282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8A2056A"/>
    <w:multiLevelType w:val="hybridMultilevel"/>
    <w:tmpl w:val="C02CF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8E71828"/>
    <w:multiLevelType w:val="hybridMultilevel"/>
    <w:tmpl w:val="FFFFFFFF"/>
    <w:lvl w:ilvl="0" w:tplc="6B32BFC4">
      <w:start w:val="1"/>
      <w:numFmt w:val="bullet"/>
      <w:lvlText w:val=""/>
      <w:lvlJc w:val="left"/>
      <w:pPr>
        <w:ind w:left="720" w:hanging="360"/>
      </w:pPr>
      <w:rPr>
        <w:rFonts w:ascii="Symbol" w:hAnsi="Symbol" w:hint="default"/>
      </w:rPr>
    </w:lvl>
    <w:lvl w:ilvl="1" w:tplc="71D6A060">
      <w:start w:val="1"/>
      <w:numFmt w:val="bullet"/>
      <w:lvlText w:val="o"/>
      <w:lvlJc w:val="left"/>
      <w:pPr>
        <w:ind w:left="1440" w:hanging="360"/>
      </w:pPr>
      <w:rPr>
        <w:rFonts w:ascii="Courier New" w:hAnsi="Courier New" w:hint="default"/>
      </w:rPr>
    </w:lvl>
    <w:lvl w:ilvl="2" w:tplc="F8B0180C">
      <w:start w:val="1"/>
      <w:numFmt w:val="bullet"/>
      <w:lvlText w:val=""/>
      <w:lvlJc w:val="left"/>
      <w:pPr>
        <w:ind w:left="2160" w:hanging="360"/>
      </w:pPr>
      <w:rPr>
        <w:rFonts w:ascii="Wingdings" w:hAnsi="Wingdings" w:hint="default"/>
      </w:rPr>
    </w:lvl>
    <w:lvl w:ilvl="3" w:tplc="062069AA">
      <w:start w:val="1"/>
      <w:numFmt w:val="bullet"/>
      <w:lvlText w:val=""/>
      <w:lvlJc w:val="left"/>
      <w:pPr>
        <w:ind w:left="2880" w:hanging="360"/>
      </w:pPr>
      <w:rPr>
        <w:rFonts w:ascii="Symbol" w:hAnsi="Symbol" w:hint="default"/>
      </w:rPr>
    </w:lvl>
    <w:lvl w:ilvl="4" w:tplc="25046356">
      <w:start w:val="1"/>
      <w:numFmt w:val="bullet"/>
      <w:lvlText w:val="o"/>
      <w:lvlJc w:val="left"/>
      <w:pPr>
        <w:ind w:left="3600" w:hanging="360"/>
      </w:pPr>
      <w:rPr>
        <w:rFonts w:ascii="Courier New" w:hAnsi="Courier New" w:hint="default"/>
      </w:rPr>
    </w:lvl>
    <w:lvl w:ilvl="5" w:tplc="59DCC288">
      <w:start w:val="1"/>
      <w:numFmt w:val="bullet"/>
      <w:lvlText w:val=""/>
      <w:lvlJc w:val="left"/>
      <w:pPr>
        <w:ind w:left="4320" w:hanging="360"/>
      </w:pPr>
      <w:rPr>
        <w:rFonts w:ascii="Wingdings" w:hAnsi="Wingdings" w:hint="default"/>
      </w:rPr>
    </w:lvl>
    <w:lvl w:ilvl="6" w:tplc="6D0CD036">
      <w:start w:val="1"/>
      <w:numFmt w:val="bullet"/>
      <w:lvlText w:val=""/>
      <w:lvlJc w:val="left"/>
      <w:pPr>
        <w:ind w:left="5040" w:hanging="360"/>
      </w:pPr>
      <w:rPr>
        <w:rFonts w:ascii="Symbol" w:hAnsi="Symbol" w:hint="default"/>
      </w:rPr>
    </w:lvl>
    <w:lvl w:ilvl="7" w:tplc="42868BBA">
      <w:start w:val="1"/>
      <w:numFmt w:val="bullet"/>
      <w:lvlText w:val="o"/>
      <w:lvlJc w:val="left"/>
      <w:pPr>
        <w:ind w:left="5760" w:hanging="360"/>
      </w:pPr>
      <w:rPr>
        <w:rFonts w:ascii="Courier New" w:hAnsi="Courier New" w:hint="default"/>
      </w:rPr>
    </w:lvl>
    <w:lvl w:ilvl="8" w:tplc="C4904CD2">
      <w:start w:val="1"/>
      <w:numFmt w:val="bullet"/>
      <w:lvlText w:val=""/>
      <w:lvlJc w:val="left"/>
      <w:pPr>
        <w:ind w:left="6480" w:hanging="360"/>
      </w:pPr>
      <w:rPr>
        <w:rFonts w:ascii="Wingdings" w:hAnsi="Wingdings" w:hint="default"/>
      </w:rPr>
    </w:lvl>
  </w:abstractNum>
  <w:abstractNum w:abstractNumId="72"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3"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74"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5"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76" w15:restartNumberingAfterBreak="0">
    <w:nsid w:val="5E7322F1"/>
    <w:multiLevelType w:val="hybridMultilevel"/>
    <w:tmpl w:val="84369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09C1B95"/>
    <w:multiLevelType w:val="hybridMultilevel"/>
    <w:tmpl w:val="A6D6F836"/>
    <w:lvl w:ilvl="0" w:tplc="3A86B29C">
      <w:numFmt w:val="bullet"/>
      <w:lvlText w:val="-"/>
      <w:lvlJc w:val="left"/>
      <w:pPr>
        <w:ind w:left="615" w:hanging="360"/>
      </w:pPr>
      <w:rPr>
        <w:rFonts w:ascii="Calibri" w:eastAsia="Calibri" w:hAnsi="Calibri" w:cs="Calibri" w:hint="default"/>
      </w:rPr>
    </w:lvl>
    <w:lvl w:ilvl="1" w:tplc="0C090003" w:tentative="1">
      <w:start w:val="1"/>
      <w:numFmt w:val="bullet"/>
      <w:lvlText w:val="o"/>
      <w:lvlJc w:val="left"/>
      <w:pPr>
        <w:ind w:left="1335" w:hanging="360"/>
      </w:pPr>
      <w:rPr>
        <w:rFonts w:ascii="Courier New" w:hAnsi="Courier New" w:cs="Courier New" w:hint="default"/>
      </w:rPr>
    </w:lvl>
    <w:lvl w:ilvl="2" w:tplc="0C090005" w:tentative="1">
      <w:start w:val="1"/>
      <w:numFmt w:val="bullet"/>
      <w:lvlText w:val=""/>
      <w:lvlJc w:val="left"/>
      <w:pPr>
        <w:ind w:left="2055" w:hanging="360"/>
      </w:pPr>
      <w:rPr>
        <w:rFonts w:ascii="Wingdings" w:hAnsi="Wingdings" w:hint="default"/>
      </w:rPr>
    </w:lvl>
    <w:lvl w:ilvl="3" w:tplc="0C090001" w:tentative="1">
      <w:start w:val="1"/>
      <w:numFmt w:val="bullet"/>
      <w:lvlText w:val=""/>
      <w:lvlJc w:val="left"/>
      <w:pPr>
        <w:ind w:left="2775" w:hanging="360"/>
      </w:pPr>
      <w:rPr>
        <w:rFonts w:ascii="Symbol" w:hAnsi="Symbol" w:hint="default"/>
      </w:rPr>
    </w:lvl>
    <w:lvl w:ilvl="4" w:tplc="0C090003" w:tentative="1">
      <w:start w:val="1"/>
      <w:numFmt w:val="bullet"/>
      <w:lvlText w:val="o"/>
      <w:lvlJc w:val="left"/>
      <w:pPr>
        <w:ind w:left="3495" w:hanging="360"/>
      </w:pPr>
      <w:rPr>
        <w:rFonts w:ascii="Courier New" w:hAnsi="Courier New" w:cs="Courier New" w:hint="default"/>
      </w:rPr>
    </w:lvl>
    <w:lvl w:ilvl="5" w:tplc="0C090005" w:tentative="1">
      <w:start w:val="1"/>
      <w:numFmt w:val="bullet"/>
      <w:lvlText w:val=""/>
      <w:lvlJc w:val="left"/>
      <w:pPr>
        <w:ind w:left="4215" w:hanging="360"/>
      </w:pPr>
      <w:rPr>
        <w:rFonts w:ascii="Wingdings" w:hAnsi="Wingdings" w:hint="default"/>
      </w:rPr>
    </w:lvl>
    <w:lvl w:ilvl="6" w:tplc="0C090001" w:tentative="1">
      <w:start w:val="1"/>
      <w:numFmt w:val="bullet"/>
      <w:lvlText w:val=""/>
      <w:lvlJc w:val="left"/>
      <w:pPr>
        <w:ind w:left="4935" w:hanging="360"/>
      </w:pPr>
      <w:rPr>
        <w:rFonts w:ascii="Symbol" w:hAnsi="Symbol" w:hint="default"/>
      </w:rPr>
    </w:lvl>
    <w:lvl w:ilvl="7" w:tplc="0C090003" w:tentative="1">
      <w:start w:val="1"/>
      <w:numFmt w:val="bullet"/>
      <w:lvlText w:val="o"/>
      <w:lvlJc w:val="left"/>
      <w:pPr>
        <w:ind w:left="5655" w:hanging="360"/>
      </w:pPr>
      <w:rPr>
        <w:rFonts w:ascii="Courier New" w:hAnsi="Courier New" w:cs="Courier New" w:hint="default"/>
      </w:rPr>
    </w:lvl>
    <w:lvl w:ilvl="8" w:tplc="0C090005" w:tentative="1">
      <w:start w:val="1"/>
      <w:numFmt w:val="bullet"/>
      <w:lvlText w:val=""/>
      <w:lvlJc w:val="left"/>
      <w:pPr>
        <w:ind w:left="6375" w:hanging="360"/>
      </w:pPr>
      <w:rPr>
        <w:rFonts w:ascii="Wingdings" w:hAnsi="Wingdings" w:hint="default"/>
      </w:rPr>
    </w:lvl>
  </w:abstractNum>
  <w:abstractNum w:abstractNumId="78" w15:restartNumberingAfterBreak="0">
    <w:nsid w:val="60E245F6"/>
    <w:multiLevelType w:val="hybridMultilevel"/>
    <w:tmpl w:val="FFFFFFFF"/>
    <w:lvl w:ilvl="0" w:tplc="6E22A7FA">
      <w:start w:val="1"/>
      <w:numFmt w:val="bullet"/>
      <w:lvlText w:val=""/>
      <w:lvlJc w:val="left"/>
      <w:pPr>
        <w:ind w:left="720" w:hanging="360"/>
      </w:pPr>
      <w:rPr>
        <w:rFonts w:ascii="Symbol" w:hAnsi="Symbol" w:hint="default"/>
      </w:rPr>
    </w:lvl>
    <w:lvl w:ilvl="1" w:tplc="9DD2F786">
      <w:start w:val="1"/>
      <w:numFmt w:val="bullet"/>
      <w:lvlText w:val="o"/>
      <w:lvlJc w:val="left"/>
      <w:pPr>
        <w:ind w:left="1440" w:hanging="360"/>
      </w:pPr>
      <w:rPr>
        <w:rFonts w:ascii="Courier New" w:hAnsi="Courier New" w:hint="default"/>
      </w:rPr>
    </w:lvl>
    <w:lvl w:ilvl="2" w:tplc="7DD60E2C">
      <w:start w:val="1"/>
      <w:numFmt w:val="bullet"/>
      <w:lvlText w:val=""/>
      <w:lvlJc w:val="left"/>
      <w:pPr>
        <w:ind w:left="2160" w:hanging="360"/>
      </w:pPr>
      <w:rPr>
        <w:rFonts w:ascii="Wingdings" w:hAnsi="Wingdings" w:hint="default"/>
      </w:rPr>
    </w:lvl>
    <w:lvl w:ilvl="3" w:tplc="1F127BE0">
      <w:start w:val="1"/>
      <w:numFmt w:val="bullet"/>
      <w:lvlText w:val=""/>
      <w:lvlJc w:val="left"/>
      <w:pPr>
        <w:ind w:left="2880" w:hanging="360"/>
      </w:pPr>
      <w:rPr>
        <w:rFonts w:ascii="Symbol" w:hAnsi="Symbol" w:hint="default"/>
      </w:rPr>
    </w:lvl>
    <w:lvl w:ilvl="4" w:tplc="A9BE4CB6">
      <w:start w:val="1"/>
      <w:numFmt w:val="bullet"/>
      <w:lvlText w:val="o"/>
      <w:lvlJc w:val="left"/>
      <w:pPr>
        <w:ind w:left="3600" w:hanging="360"/>
      </w:pPr>
      <w:rPr>
        <w:rFonts w:ascii="Courier New" w:hAnsi="Courier New" w:hint="default"/>
      </w:rPr>
    </w:lvl>
    <w:lvl w:ilvl="5" w:tplc="76DA13AE">
      <w:start w:val="1"/>
      <w:numFmt w:val="bullet"/>
      <w:lvlText w:val=""/>
      <w:lvlJc w:val="left"/>
      <w:pPr>
        <w:ind w:left="4320" w:hanging="360"/>
      </w:pPr>
      <w:rPr>
        <w:rFonts w:ascii="Wingdings" w:hAnsi="Wingdings" w:hint="default"/>
      </w:rPr>
    </w:lvl>
    <w:lvl w:ilvl="6" w:tplc="4BCC6892">
      <w:start w:val="1"/>
      <w:numFmt w:val="bullet"/>
      <w:lvlText w:val=""/>
      <w:lvlJc w:val="left"/>
      <w:pPr>
        <w:ind w:left="5040" w:hanging="360"/>
      </w:pPr>
      <w:rPr>
        <w:rFonts w:ascii="Symbol" w:hAnsi="Symbol" w:hint="default"/>
      </w:rPr>
    </w:lvl>
    <w:lvl w:ilvl="7" w:tplc="1862C1DE">
      <w:start w:val="1"/>
      <w:numFmt w:val="bullet"/>
      <w:lvlText w:val="o"/>
      <w:lvlJc w:val="left"/>
      <w:pPr>
        <w:ind w:left="5760" w:hanging="360"/>
      </w:pPr>
      <w:rPr>
        <w:rFonts w:ascii="Courier New" w:hAnsi="Courier New" w:hint="default"/>
      </w:rPr>
    </w:lvl>
    <w:lvl w:ilvl="8" w:tplc="0F2A1E1C">
      <w:start w:val="1"/>
      <w:numFmt w:val="bullet"/>
      <w:lvlText w:val=""/>
      <w:lvlJc w:val="left"/>
      <w:pPr>
        <w:ind w:left="6480" w:hanging="360"/>
      </w:pPr>
      <w:rPr>
        <w:rFonts w:ascii="Wingdings" w:hAnsi="Wingdings" w:hint="default"/>
      </w:rPr>
    </w:lvl>
  </w:abstractNum>
  <w:abstractNum w:abstractNumId="79" w15:restartNumberingAfterBreak="0">
    <w:nsid w:val="610C6383"/>
    <w:multiLevelType w:val="hybridMultilevel"/>
    <w:tmpl w:val="C3A29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1DE50ED"/>
    <w:multiLevelType w:val="multilevel"/>
    <w:tmpl w:val="972048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2245266"/>
    <w:multiLevelType w:val="multilevel"/>
    <w:tmpl w:val="A666319E"/>
    <w:lvl w:ilvl="0">
      <w:start w:val="1"/>
      <w:numFmt w:val="lowerLetter"/>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bullet"/>
      <w:lvlText w:val="o"/>
      <w:lvlJc w:val="left"/>
      <w:pPr>
        <w:ind w:left="1080" w:hanging="360"/>
      </w:pPr>
      <w:rPr>
        <w:rFonts w:ascii="Courier New" w:hAnsi="Courier New" w:cs="Courier New"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 w15:restartNumberingAfterBreak="0">
    <w:nsid w:val="62D61ECB"/>
    <w:multiLevelType w:val="hybridMultilevel"/>
    <w:tmpl w:val="081A2C7E"/>
    <w:lvl w:ilvl="0" w:tplc="66288192">
      <w:start w:val="1"/>
      <w:numFmt w:val="bullet"/>
      <w:lvlText w:val=""/>
      <w:lvlJc w:val="left"/>
      <w:pPr>
        <w:ind w:left="720" w:hanging="360"/>
      </w:pPr>
      <w:rPr>
        <w:rFonts w:ascii="Symbol" w:hAnsi="Symbol" w:hint="default"/>
      </w:rPr>
    </w:lvl>
    <w:lvl w:ilvl="1" w:tplc="253009BC">
      <w:start w:val="1"/>
      <w:numFmt w:val="bullet"/>
      <w:lvlText w:val="o"/>
      <w:lvlJc w:val="left"/>
      <w:pPr>
        <w:ind w:left="1440" w:hanging="360"/>
      </w:pPr>
      <w:rPr>
        <w:rFonts w:ascii="Courier New" w:hAnsi="Courier New" w:hint="default"/>
      </w:rPr>
    </w:lvl>
    <w:lvl w:ilvl="2" w:tplc="ADBA5860">
      <w:start w:val="1"/>
      <w:numFmt w:val="bullet"/>
      <w:lvlText w:val=""/>
      <w:lvlJc w:val="left"/>
      <w:pPr>
        <w:ind w:left="2160" w:hanging="360"/>
      </w:pPr>
      <w:rPr>
        <w:rFonts w:ascii="Wingdings" w:hAnsi="Wingdings" w:hint="default"/>
      </w:rPr>
    </w:lvl>
    <w:lvl w:ilvl="3" w:tplc="F4FC2F22">
      <w:start w:val="1"/>
      <w:numFmt w:val="bullet"/>
      <w:lvlText w:val=""/>
      <w:lvlJc w:val="left"/>
      <w:pPr>
        <w:ind w:left="2880" w:hanging="360"/>
      </w:pPr>
      <w:rPr>
        <w:rFonts w:ascii="Symbol" w:hAnsi="Symbol" w:hint="default"/>
      </w:rPr>
    </w:lvl>
    <w:lvl w:ilvl="4" w:tplc="9AEA7938">
      <w:start w:val="1"/>
      <w:numFmt w:val="bullet"/>
      <w:lvlText w:val="o"/>
      <w:lvlJc w:val="left"/>
      <w:pPr>
        <w:ind w:left="3600" w:hanging="360"/>
      </w:pPr>
      <w:rPr>
        <w:rFonts w:ascii="Courier New" w:hAnsi="Courier New" w:hint="default"/>
      </w:rPr>
    </w:lvl>
    <w:lvl w:ilvl="5" w:tplc="DA3E2896">
      <w:start w:val="1"/>
      <w:numFmt w:val="bullet"/>
      <w:lvlText w:val=""/>
      <w:lvlJc w:val="left"/>
      <w:pPr>
        <w:ind w:left="4320" w:hanging="360"/>
      </w:pPr>
      <w:rPr>
        <w:rFonts w:ascii="Wingdings" w:hAnsi="Wingdings" w:hint="default"/>
      </w:rPr>
    </w:lvl>
    <w:lvl w:ilvl="6" w:tplc="61429220">
      <w:start w:val="1"/>
      <w:numFmt w:val="bullet"/>
      <w:lvlText w:val=""/>
      <w:lvlJc w:val="left"/>
      <w:pPr>
        <w:ind w:left="5040" w:hanging="360"/>
      </w:pPr>
      <w:rPr>
        <w:rFonts w:ascii="Symbol" w:hAnsi="Symbol" w:hint="default"/>
      </w:rPr>
    </w:lvl>
    <w:lvl w:ilvl="7" w:tplc="7D2EB2D6">
      <w:start w:val="1"/>
      <w:numFmt w:val="bullet"/>
      <w:lvlText w:val="o"/>
      <w:lvlJc w:val="left"/>
      <w:pPr>
        <w:ind w:left="5760" w:hanging="360"/>
      </w:pPr>
      <w:rPr>
        <w:rFonts w:ascii="Courier New" w:hAnsi="Courier New" w:hint="default"/>
      </w:rPr>
    </w:lvl>
    <w:lvl w:ilvl="8" w:tplc="5D528696">
      <w:start w:val="1"/>
      <w:numFmt w:val="bullet"/>
      <w:lvlText w:val=""/>
      <w:lvlJc w:val="left"/>
      <w:pPr>
        <w:ind w:left="6480" w:hanging="360"/>
      </w:pPr>
      <w:rPr>
        <w:rFonts w:ascii="Wingdings" w:hAnsi="Wingdings" w:hint="default"/>
      </w:rPr>
    </w:lvl>
  </w:abstractNum>
  <w:abstractNum w:abstractNumId="83"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EFEBDA" w:themeColor="text2"/>
      </w:rPr>
    </w:lvl>
    <w:lvl w:ilvl="1">
      <w:start w:val="1"/>
      <w:numFmt w:val="bullet"/>
      <w:lvlText w:val="–"/>
      <w:lvlJc w:val="left"/>
      <w:pPr>
        <w:ind w:left="539" w:hanging="227"/>
      </w:pPr>
      <w:rPr>
        <w:rFonts w:ascii="Arial" w:hAnsi="Arial" w:hint="default"/>
        <w:color w:val="EFEBDA"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84" w15:restartNumberingAfterBreak="0">
    <w:nsid w:val="64902F28"/>
    <w:multiLevelType w:val="hybridMultilevel"/>
    <w:tmpl w:val="A26EF5AC"/>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EFEBDA" w:themeColor="text2"/>
        <w:sz w:val="32"/>
      </w:rPr>
    </w:lvl>
    <w:lvl w:ilvl="1">
      <w:start w:val="1"/>
      <w:numFmt w:val="decimal"/>
      <w:lvlText w:val="%2."/>
      <w:lvlJc w:val="left"/>
      <w:pPr>
        <w:tabs>
          <w:tab w:val="num" w:pos="992"/>
        </w:tabs>
        <w:ind w:left="992" w:hanging="992"/>
      </w:pPr>
      <w:rPr>
        <w:rFonts w:hint="default"/>
        <w:b w:val="0"/>
        <w:i w:val="0"/>
        <w:color w:val="EFEBDA" w:themeColor="text2"/>
        <w:sz w:val="24"/>
      </w:rPr>
    </w:lvl>
    <w:lvl w:ilvl="2">
      <w:start w:val="1"/>
      <w:numFmt w:val="decimal"/>
      <w:lvlText w:val="%2.%3"/>
      <w:lvlJc w:val="left"/>
      <w:pPr>
        <w:tabs>
          <w:tab w:val="num" w:pos="992"/>
        </w:tabs>
        <w:ind w:left="992" w:hanging="992"/>
      </w:pPr>
      <w:rPr>
        <w:rFonts w:hint="default"/>
        <w:b/>
        <w:i w:val="0"/>
        <w:color w:val="231C24" w:themeColor="text1"/>
        <w:sz w:val="24"/>
      </w:rPr>
    </w:lvl>
    <w:lvl w:ilvl="3">
      <w:start w:val="1"/>
      <w:numFmt w:val="decimal"/>
      <w:lvlText w:val="%2.%3.%4"/>
      <w:lvlJc w:val="left"/>
      <w:pPr>
        <w:tabs>
          <w:tab w:val="num" w:pos="992"/>
        </w:tabs>
        <w:ind w:left="992" w:hanging="992"/>
      </w:pPr>
      <w:rPr>
        <w:rFonts w:hint="default"/>
        <w:b w:val="0"/>
        <w:i w:val="0"/>
        <w:color w:val="231C24" w:themeColor="text1"/>
        <w:sz w:val="24"/>
      </w:rPr>
    </w:lvl>
    <w:lvl w:ilvl="4">
      <w:start w:val="1"/>
      <w:numFmt w:val="decimal"/>
      <w:lvlText w:val="%2.%3.%4.%5"/>
      <w:lvlJc w:val="left"/>
      <w:pPr>
        <w:tabs>
          <w:tab w:val="num" w:pos="992"/>
        </w:tabs>
        <w:ind w:left="992" w:hanging="992"/>
      </w:pPr>
      <w:rPr>
        <w:rFonts w:hint="default"/>
        <w:color w:val="231C24"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86" w15:restartNumberingAfterBreak="0">
    <w:nsid w:val="6783498D"/>
    <w:multiLevelType w:val="hybridMultilevel"/>
    <w:tmpl w:val="A32C594E"/>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68F2524E"/>
    <w:multiLevelType w:val="hybridMultilevel"/>
    <w:tmpl w:val="88DCC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6902421D"/>
    <w:multiLevelType w:val="hybridMultilevel"/>
    <w:tmpl w:val="0E788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695A6178"/>
    <w:multiLevelType w:val="hybridMultilevel"/>
    <w:tmpl w:val="16204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6A592317"/>
    <w:multiLevelType w:val="multilevel"/>
    <w:tmpl w:val="B472FC08"/>
    <w:lvl w:ilvl="0">
      <w:start w:val="1"/>
      <w:numFmt w:val="upperLetter"/>
      <w:pStyle w:val="AppendixHeading"/>
      <w:suff w:val="nothing"/>
      <w:lvlText w:val="Appendix %1"/>
      <w:lvlJc w:val="left"/>
      <w:pPr>
        <w:ind w:left="0" w:firstLine="0"/>
      </w:p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1" w15:restartNumberingAfterBreak="0">
    <w:nsid w:val="6BF01BF6"/>
    <w:multiLevelType w:val="hybridMultilevel"/>
    <w:tmpl w:val="AC1A0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6C7506BE"/>
    <w:multiLevelType w:val="multilevel"/>
    <w:tmpl w:val="DCA08C24"/>
    <w:lvl w:ilvl="0">
      <w:start w:val="1"/>
      <w:numFmt w:val="decimal"/>
      <w:pStyle w:val="ListNumber"/>
      <w:lvlText w:val="%1."/>
      <w:lvlJc w:val="left"/>
      <w:pPr>
        <w:ind w:left="482" w:hanging="482"/>
      </w:pPr>
      <w:rPr>
        <w:rFonts w:hint="default"/>
      </w:rPr>
    </w:lvl>
    <w:lvl w:ilvl="1">
      <w:start w:val="1"/>
      <w:numFmt w:val="lowerLetter"/>
      <w:pStyle w:val="ListNumber2"/>
      <w:lvlText w:val="%2."/>
      <w:lvlJc w:val="left"/>
      <w:pPr>
        <w:ind w:left="964" w:hanging="482"/>
      </w:pPr>
      <w:rPr>
        <w:rFonts w:hint="default"/>
      </w:rPr>
    </w:lvl>
    <w:lvl w:ilvl="2">
      <w:start w:val="1"/>
      <w:numFmt w:val="lowerRoman"/>
      <w:pStyle w:val="ListNumber3"/>
      <w:lvlText w:val="%3."/>
      <w:lvlJc w:val="left"/>
      <w:pPr>
        <w:ind w:left="1446" w:hanging="482"/>
      </w:pPr>
      <w:rPr>
        <w:rFonts w:hint="default"/>
      </w:rPr>
    </w:lvl>
    <w:lvl w:ilvl="3">
      <w:start w:val="1"/>
      <w:numFmt w:val="decimal"/>
      <w:lvlText w:val="%4."/>
      <w:lvlJc w:val="left"/>
      <w:pPr>
        <w:ind w:left="1928" w:hanging="482"/>
      </w:pPr>
      <w:rPr>
        <w:rFonts w:hint="default"/>
      </w:rPr>
    </w:lvl>
    <w:lvl w:ilvl="4">
      <w:start w:val="1"/>
      <w:numFmt w:val="lowerLetter"/>
      <w:lvlText w:val="%5."/>
      <w:lvlJc w:val="left"/>
      <w:pPr>
        <w:ind w:left="2410" w:hanging="482"/>
      </w:pPr>
      <w:rPr>
        <w:rFonts w:hint="default"/>
      </w:rPr>
    </w:lvl>
    <w:lvl w:ilvl="5">
      <w:start w:val="1"/>
      <w:numFmt w:val="lowerRoman"/>
      <w:lvlText w:val="%6."/>
      <w:lvlJc w:val="right"/>
      <w:pPr>
        <w:ind w:left="2892" w:hanging="482"/>
      </w:pPr>
      <w:rPr>
        <w:rFonts w:hint="default"/>
      </w:rPr>
    </w:lvl>
    <w:lvl w:ilvl="6">
      <w:start w:val="1"/>
      <w:numFmt w:val="decimal"/>
      <w:lvlText w:val="%7."/>
      <w:lvlJc w:val="left"/>
      <w:pPr>
        <w:ind w:left="3374" w:hanging="482"/>
      </w:pPr>
      <w:rPr>
        <w:rFonts w:hint="default"/>
      </w:rPr>
    </w:lvl>
    <w:lvl w:ilvl="7">
      <w:start w:val="1"/>
      <w:numFmt w:val="lowerLetter"/>
      <w:lvlText w:val="%8."/>
      <w:lvlJc w:val="left"/>
      <w:pPr>
        <w:ind w:left="3856" w:hanging="482"/>
      </w:pPr>
      <w:rPr>
        <w:rFonts w:hint="default"/>
      </w:rPr>
    </w:lvl>
    <w:lvl w:ilvl="8">
      <w:start w:val="1"/>
      <w:numFmt w:val="lowerRoman"/>
      <w:lvlText w:val="%9."/>
      <w:lvlJc w:val="right"/>
      <w:pPr>
        <w:ind w:left="4338" w:hanging="482"/>
      </w:pPr>
      <w:rPr>
        <w:rFonts w:hint="default"/>
      </w:rPr>
    </w:lvl>
  </w:abstractNum>
  <w:abstractNum w:abstractNumId="93" w15:restartNumberingAfterBreak="0">
    <w:nsid w:val="7024676E"/>
    <w:multiLevelType w:val="hybridMultilevel"/>
    <w:tmpl w:val="6824B54C"/>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4" w15:restartNumberingAfterBreak="0">
    <w:nsid w:val="702B0276"/>
    <w:multiLevelType w:val="hybridMultilevel"/>
    <w:tmpl w:val="FB464DA8"/>
    <w:lvl w:ilvl="0" w:tplc="9A9E1774">
      <w:start w:val="1"/>
      <w:numFmt w:val="decimal"/>
      <w:pStyle w:val="Subheading1withnumb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5" w15:restartNumberingAfterBreak="0">
    <w:nsid w:val="70F7D048"/>
    <w:multiLevelType w:val="hybridMultilevel"/>
    <w:tmpl w:val="AB2AE9EE"/>
    <w:lvl w:ilvl="0" w:tplc="DD7A2280">
      <w:start w:val="1"/>
      <w:numFmt w:val="bullet"/>
      <w:lvlText w:val=""/>
      <w:lvlJc w:val="left"/>
      <w:pPr>
        <w:ind w:left="720" w:hanging="360"/>
      </w:pPr>
      <w:rPr>
        <w:rFonts w:ascii="Symbol" w:hAnsi="Symbol" w:hint="default"/>
      </w:rPr>
    </w:lvl>
    <w:lvl w:ilvl="1" w:tplc="FD042FE6">
      <w:start w:val="1"/>
      <w:numFmt w:val="bullet"/>
      <w:lvlText w:val="o"/>
      <w:lvlJc w:val="left"/>
      <w:pPr>
        <w:ind w:left="1440" w:hanging="360"/>
      </w:pPr>
      <w:rPr>
        <w:rFonts w:ascii="Courier New" w:hAnsi="Courier New" w:hint="default"/>
      </w:rPr>
    </w:lvl>
    <w:lvl w:ilvl="2" w:tplc="E34A42F0">
      <w:start w:val="1"/>
      <w:numFmt w:val="bullet"/>
      <w:lvlText w:val=""/>
      <w:lvlJc w:val="left"/>
      <w:pPr>
        <w:ind w:left="2160" w:hanging="360"/>
      </w:pPr>
      <w:rPr>
        <w:rFonts w:ascii="Wingdings" w:hAnsi="Wingdings" w:hint="default"/>
      </w:rPr>
    </w:lvl>
    <w:lvl w:ilvl="3" w:tplc="477CE9C8">
      <w:start w:val="1"/>
      <w:numFmt w:val="bullet"/>
      <w:lvlText w:val=""/>
      <w:lvlJc w:val="left"/>
      <w:pPr>
        <w:ind w:left="2880" w:hanging="360"/>
      </w:pPr>
      <w:rPr>
        <w:rFonts w:ascii="Symbol" w:hAnsi="Symbol" w:hint="default"/>
      </w:rPr>
    </w:lvl>
    <w:lvl w:ilvl="4" w:tplc="3F8656BA">
      <w:start w:val="1"/>
      <w:numFmt w:val="bullet"/>
      <w:lvlText w:val="o"/>
      <w:lvlJc w:val="left"/>
      <w:pPr>
        <w:ind w:left="3600" w:hanging="360"/>
      </w:pPr>
      <w:rPr>
        <w:rFonts w:ascii="Courier New" w:hAnsi="Courier New" w:hint="default"/>
      </w:rPr>
    </w:lvl>
    <w:lvl w:ilvl="5" w:tplc="7ED43064">
      <w:start w:val="1"/>
      <w:numFmt w:val="bullet"/>
      <w:lvlText w:val=""/>
      <w:lvlJc w:val="left"/>
      <w:pPr>
        <w:ind w:left="4320" w:hanging="360"/>
      </w:pPr>
      <w:rPr>
        <w:rFonts w:ascii="Wingdings" w:hAnsi="Wingdings" w:hint="default"/>
      </w:rPr>
    </w:lvl>
    <w:lvl w:ilvl="6" w:tplc="F5C673C4">
      <w:start w:val="1"/>
      <w:numFmt w:val="bullet"/>
      <w:lvlText w:val=""/>
      <w:lvlJc w:val="left"/>
      <w:pPr>
        <w:ind w:left="5040" w:hanging="360"/>
      </w:pPr>
      <w:rPr>
        <w:rFonts w:ascii="Symbol" w:hAnsi="Symbol" w:hint="default"/>
      </w:rPr>
    </w:lvl>
    <w:lvl w:ilvl="7" w:tplc="879029DC">
      <w:start w:val="1"/>
      <w:numFmt w:val="bullet"/>
      <w:lvlText w:val="o"/>
      <w:lvlJc w:val="left"/>
      <w:pPr>
        <w:ind w:left="5760" w:hanging="360"/>
      </w:pPr>
      <w:rPr>
        <w:rFonts w:ascii="Courier New" w:hAnsi="Courier New" w:hint="default"/>
      </w:rPr>
    </w:lvl>
    <w:lvl w:ilvl="8" w:tplc="4322D52E">
      <w:start w:val="1"/>
      <w:numFmt w:val="bullet"/>
      <w:lvlText w:val=""/>
      <w:lvlJc w:val="left"/>
      <w:pPr>
        <w:ind w:left="6480" w:hanging="360"/>
      </w:pPr>
      <w:rPr>
        <w:rFonts w:ascii="Wingdings" w:hAnsi="Wingdings" w:hint="default"/>
      </w:rPr>
    </w:lvl>
  </w:abstractNum>
  <w:abstractNum w:abstractNumId="96" w15:restartNumberingAfterBreak="0">
    <w:nsid w:val="724474AD"/>
    <w:multiLevelType w:val="hybridMultilevel"/>
    <w:tmpl w:val="DCFC51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73DF11E3"/>
    <w:multiLevelType w:val="hybridMultilevel"/>
    <w:tmpl w:val="E1A64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1C24"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99"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EFEBDA"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EFEBDA" w:themeColor="text2"/>
        <w:position w:val="2"/>
        <w:sz w:val="20"/>
      </w:rPr>
    </w:lvl>
    <w:lvl w:ilvl="2">
      <w:start w:val="1"/>
      <w:numFmt w:val="bullet"/>
      <w:lvlText w:val="–"/>
      <w:lvlJc w:val="left"/>
      <w:pPr>
        <w:tabs>
          <w:tab w:val="num" w:pos="1361"/>
        </w:tabs>
        <w:ind w:left="1361" w:hanging="340"/>
      </w:pPr>
      <w:rPr>
        <w:rFonts w:ascii="Arial" w:hAnsi="Arial" w:hint="default"/>
        <w:color w:val="EFEBDA"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0" w15:restartNumberingAfterBreak="0">
    <w:nsid w:val="762C3FD2"/>
    <w:multiLevelType w:val="hybridMultilevel"/>
    <w:tmpl w:val="1C900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76CA7164"/>
    <w:multiLevelType w:val="hybridMultilevel"/>
    <w:tmpl w:val="CB749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789ED59D"/>
    <w:multiLevelType w:val="hybridMultilevel"/>
    <w:tmpl w:val="09DCA8CC"/>
    <w:lvl w:ilvl="0" w:tplc="43382162">
      <w:start w:val="1"/>
      <w:numFmt w:val="bullet"/>
      <w:lvlText w:val=""/>
      <w:lvlJc w:val="left"/>
      <w:pPr>
        <w:ind w:left="720" w:hanging="360"/>
      </w:pPr>
      <w:rPr>
        <w:rFonts w:ascii="Symbol" w:hAnsi="Symbol" w:hint="default"/>
      </w:rPr>
    </w:lvl>
    <w:lvl w:ilvl="1" w:tplc="2850F1FC">
      <w:start w:val="1"/>
      <w:numFmt w:val="bullet"/>
      <w:lvlText w:val="o"/>
      <w:lvlJc w:val="left"/>
      <w:pPr>
        <w:ind w:left="1440" w:hanging="360"/>
      </w:pPr>
      <w:rPr>
        <w:rFonts w:ascii="Courier New" w:hAnsi="Courier New" w:hint="default"/>
      </w:rPr>
    </w:lvl>
    <w:lvl w:ilvl="2" w:tplc="E76816F0">
      <w:start w:val="1"/>
      <w:numFmt w:val="bullet"/>
      <w:lvlText w:val=""/>
      <w:lvlJc w:val="left"/>
      <w:pPr>
        <w:ind w:left="2160" w:hanging="360"/>
      </w:pPr>
      <w:rPr>
        <w:rFonts w:ascii="Wingdings" w:hAnsi="Wingdings" w:hint="default"/>
      </w:rPr>
    </w:lvl>
    <w:lvl w:ilvl="3" w:tplc="3E7EDCAE">
      <w:start w:val="1"/>
      <w:numFmt w:val="bullet"/>
      <w:lvlText w:val=""/>
      <w:lvlJc w:val="left"/>
      <w:pPr>
        <w:ind w:left="2880" w:hanging="360"/>
      </w:pPr>
      <w:rPr>
        <w:rFonts w:ascii="Symbol" w:hAnsi="Symbol" w:hint="default"/>
      </w:rPr>
    </w:lvl>
    <w:lvl w:ilvl="4" w:tplc="7E76D662">
      <w:start w:val="1"/>
      <w:numFmt w:val="bullet"/>
      <w:lvlText w:val="o"/>
      <w:lvlJc w:val="left"/>
      <w:pPr>
        <w:ind w:left="3600" w:hanging="360"/>
      </w:pPr>
      <w:rPr>
        <w:rFonts w:ascii="Courier New" w:hAnsi="Courier New" w:hint="default"/>
      </w:rPr>
    </w:lvl>
    <w:lvl w:ilvl="5" w:tplc="FB54849A">
      <w:start w:val="1"/>
      <w:numFmt w:val="bullet"/>
      <w:lvlText w:val=""/>
      <w:lvlJc w:val="left"/>
      <w:pPr>
        <w:ind w:left="4320" w:hanging="360"/>
      </w:pPr>
      <w:rPr>
        <w:rFonts w:ascii="Wingdings" w:hAnsi="Wingdings" w:hint="default"/>
      </w:rPr>
    </w:lvl>
    <w:lvl w:ilvl="6" w:tplc="82940E9C">
      <w:start w:val="1"/>
      <w:numFmt w:val="bullet"/>
      <w:lvlText w:val=""/>
      <w:lvlJc w:val="left"/>
      <w:pPr>
        <w:ind w:left="5040" w:hanging="360"/>
      </w:pPr>
      <w:rPr>
        <w:rFonts w:ascii="Symbol" w:hAnsi="Symbol" w:hint="default"/>
      </w:rPr>
    </w:lvl>
    <w:lvl w:ilvl="7" w:tplc="B7F27372">
      <w:start w:val="1"/>
      <w:numFmt w:val="bullet"/>
      <w:lvlText w:val="o"/>
      <w:lvlJc w:val="left"/>
      <w:pPr>
        <w:ind w:left="5760" w:hanging="360"/>
      </w:pPr>
      <w:rPr>
        <w:rFonts w:ascii="Courier New" w:hAnsi="Courier New" w:hint="default"/>
      </w:rPr>
    </w:lvl>
    <w:lvl w:ilvl="8" w:tplc="535ED2E4">
      <w:start w:val="1"/>
      <w:numFmt w:val="bullet"/>
      <w:lvlText w:val=""/>
      <w:lvlJc w:val="left"/>
      <w:pPr>
        <w:ind w:left="6480" w:hanging="360"/>
      </w:pPr>
      <w:rPr>
        <w:rFonts w:ascii="Wingdings" w:hAnsi="Wingdings" w:hint="default"/>
      </w:rPr>
    </w:lvl>
  </w:abstractNum>
  <w:abstractNum w:abstractNumId="103" w15:restartNumberingAfterBreak="0">
    <w:nsid w:val="78B4566D"/>
    <w:multiLevelType w:val="hybridMultilevel"/>
    <w:tmpl w:val="4FD047B0"/>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4"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EFEBDA"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05" w15:restartNumberingAfterBreak="0">
    <w:nsid w:val="7EEB0D0D"/>
    <w:multiLevelType w:val="hybridMultilevel"/>
    <w:tmpl w:val="B0AE85E0"/>
    <w:lvl w:ilvl="0" w:tplc="84F67446">
      <w:start w:val="1"/>
      <w:numFmt w:val="bullet"/>
      <w:lvlText w:val=""/>
      <w:lvlJc w:val="left"/>
      <w:pPr>
        <w:ind w:left="720" w:hanging="360"/>
      </w:pPr>
      <w:rPr>
        <w:rFonts w:ascii="Symbol" w:hAnsi="Symbol" w:hint="default"/>
      </w:rPr>
    </w:lvl>
    <w:lvl w:ilvl="1" w:tplc="070A5C26">
      <w:start w:val="1"/>
      <w:numFmt w:val="bullet"/>
      <w:lvlText w:val="o"/>
      <w:lvlJc w:val="left"/>
      <w:pPr>
        <w:ind w:left="1440" w:hanging="360"/>
      </w:pPr>
      <w:rPr>
        <w:rFonts w:ascii="Courier New" w:hAnsi="Courier New" w:hint="default"/>
      </w:rPr>
    </w:lvl>
    <w:lvl w:ilvl="2" w:tplc="8172544E">
      <w:start w:val="1"/>
      <w:numFmt w:val="bullet"/>
      <w:lvlText w:val=""/>
      <w:lvlJc w:val="left"/>
      <w:pPr>
        <w:ind w:left="2160" w:hanging="360"/>
      </w:pPr>
      <w:rPr>
        <w:rFonts w:ascii="Wingdings" w:hAnsi="Wingdings" w:hint="default"/>
      </w:rPr>
    </w:lvl>
    <w:lvl w:ilvl="3" w:tplc="B17A1CD2">
      <w:start w:val="1"/>
      <w:numFmt w:val="bullet"/>
      <w:lvlText w:val=""/>
      <w:lvlJc w:val="left"/>
      <w:pPr>
        <w:ind w:left="2880" w:hanging="360"/>
      </w:pPr>
      <w:rPr>
        <w:rFonts w:ascii="Symbol" w:hAnsi="Symbol" w:hint="default"/>
      </w:rPr>
    </w:lvl>
    <w:lvl w:ilvl="4" w:tplc="E84C3A4C">
      <w:start w:val="1"/>
      <w:numFmt w:val="bullet"/>
      <w:lvlText w:val="o"/>
      <w:lvlJc w:val="left"/>
      <w:pPr>
        <w:ind w:left="3600" w:hanging="360"/>
      </w:pPr>
      <w:rPr>
        <w:rFonts w:ascii="Courier New" w:hAnsi="Courier New" w:hint="default"/>
      </w:rPr>
    </w:lvl>
    <w:lvl w:ilvl="5" w:tplc="F6607374">
      <w:start w:val="1"/>
      <w:numFmt w:val="bullet"/>
      <w:lvlText w:val=""/>
      <w:lvlJc w:val="left"/>
      <w:pPr>
        <w:ind w:left="4320" w:hanging="360"/>
      </w:pPr>
      <w:rPr>
        <w:rFonts w:ascii="Wingdings" w:hAnsi="Wingdings" w:hint="default"/>
      </w:rPr>
    </w:lvl>
    <w:lvl w:ilvl="6" w:tplc="96E42802">
      <w:start w:val="1"/>
      <w:numFmt w:val="bullet"/>
      <w:lvlText w:val=""/>
      <w:lvlJc w:val="left"/>
      <w:pPr>
        <w:ind w:left="5040" w:hanging="360"/>
      </w:pPr>
      <w:rPr>
        <w:rFonts w:ascii="Symbol" w:hAnsi="Symbol" w:hint="default"/>
      </w:rPr>
    </w:lvl>
    <w:lvl w:ilvl="7" w:tplc="40DA72CA">
      <w:start w:val="1"/>
      <w:numFmt w:val="bullet"/>
      <w:lvlText w:val="o"/>
      <w:lvlJc w:val="left"/>
      <w:pPr>
        <w:ind w:left="5760" w:hanging="360"/>
      </w:pPr>
      <w:rPr>
        <w:rFonts w:ascii="Courier New" w:hAnsi="Courier New" w:hint="default"/>
      </w:rPr>
    </w:lvl>
    <w:lvl w:ilvl="8" w:tplc="4710AEB0">
      <w:start w:val="1"/>
      <w:numFmt w:val="bullet"/>
      <w:lvlText w:val=""/>
      <w:lvlJc w:val="left"/>
      <w:pPr>
        <w:ind w:left="6480" w:hanging="360"/>
      </w:pPr>
      <w:rPr>
        <w:rFonts w:ascii="Wingdings" w:hAnsi="Wingdings" w:hint="default"/>
      </w:rPr>
    </w:lvl>
  </w:abstractNum>
  <w:abstractNum w:abstractNumId="106" w15:restartNumberingAfterBreak="0">
    <w:nsid w:val="7F9A1AAF"/>
    <w:multiLevelType w:val="hybridMultilevel"/>
    <w:tmpl w:val="B4E2F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82700584">
    <w:abstractNumId w:val="44"/>
  </w:num>
  <w:num w:numId="2" w16cid:durableId="797182346">
    <w:abstractNumId w:val="56"/>
  </w:num>
  <w:num w:numId="3" w16cid:durableId="102460013">
    <w:abstractNumId w:val="26"/>
  </w:num>
  <w:num w:numId="4" w16cid:durableId="1774937877">
    <w:abstractNumId w:val="33"/>
  </w:num>
  <w:num w:numId="5" w16cid:durableId="705570750">
    <w:abstractNumId w:val="82"/>
  </w:num>
  <w:num w:numId="6" w16cid:durableId="1020620166">
    <w:abstractNumId w:val="102"/>
  </w:num>
  <w:num w:numId="7" w16cid:durableId="306515602">
    <w:abstractNumId w:val="105"/>
  </w:num>
  <w:num w:numId="8" w16cid:durableId="473834210">
    <w:abstractNumId w:val="58"/>
  </w:num>
  <w:num w:numId="9" w16cid:durableId="2075469317">
    <w:abstractNumId w:val="63"/>
  </w:num>
  <w:num w:numId="10" w16cid:durableId="1332485093">
    <w:abstractNumId w:val="78"/>
  </w:num>
  <w:num w:numId="11" w16cid:durableId="1193610249">
    <w:abstractNumId w:val="95"/>
  </w:num>
  <w:num w:numId="12" w16cid:durableId="1257134858">
    <w:abstractNumId w:val="29"/>
  </w:num>
  <w:num w:numId="13" w16cid:durableId="1801220727">
    <w:abstractNumId w:val="45"/>
  </w:num>
  <w:num w:numId="14" w16cid:durableId="1969819277">
    <w:abstractNumId w:val="36"/>
  </w:num>
  <w:num w:numId="15" w16cid:durableId="1084111178">
    <w:abstractNumId w:val="71"/>
  </w:num>
  <w:num w:numId="16" w16cid:durableId="945382206">
    <w:abstractNumId w:val="5"/>
  </w:num>
  <w:num w:numId="17" w16cid:durableId="1449544078">
    <w:abstractNumId w:val="30"/>
  </w:num>
  <w:num w:numId="18" w16cid:durableId="19861240">
    <w:abstractNumId w:val="75"/>
  </w:num>
  <w:num w:numId="19" w16cid:durableId="1078596515">
    <w:abstractNumId w:val="22"/>
  </w:num>
  <w:num w:numId="20" w16cid:durableId="2078478693">
    <w:abstractNumId w:val="57"/>
  </w:num>
  <w:num w:numId="21" w16cid:durableId="1303652749">
    <w:abstractNumId w:val="3"/>
  </w:num>
  <w:num w:numId="22" w16cid:durableId="374743720">
    <w:abstractNumId w:val="7"/>
  </w:num>
  <w:num w:numId="23" w16cid:durableId="1614825801">
    <w:abstractNumId w:val="92"/>
  </w:num>
  <w:num w:numId="24" w16cid:durableId="1555971251">
    <w:abstractNumId w:val="90"/>
  </w:num>
  <w:num w:numId="25" w16cid:durableId="1440756934">
    <w:abstractNumId w:val="50"/>
  </w:num>
  <w:num w:numId="26" w16cid:durableId="917520976">
    <w:abstractNumId w:val="1"/>
  </w:num>
  <w:num w:numId="27" w16cid:durableId="1862817544">
    <w:abstractNumId w:val="64"/>
  </w:num>
  <w:num w:numId="28" w16cid:durableId="311180719">
    <w:abstractNumId w:val="11"/>
  </w:num>
  <w:num w:numId="29" w16cid:durableId="1717851401">
    <w:abstractNumId w:val="86"/>
  </w:num>
  <w:num w:numId="30" w16cid:durableId="1761104050">
    <w:abstractNumId w:val="68"/>
  </w:num>
  <w:num w:numId="31" w16cid:durableId="2039885582">
    <w:abstractNumId w:val="81"/>
  </w:num>
  <w:num w:numId="32" w16cid:durableId="730007157">
    <w:abstractNumId w:val="21"/>
  </w:num>
  <w:num w:numId="33" w16cid:durableId="305013743">
    <w:abstractNumId w:val="32"/>
  </w:num>
  <w:num w:numId="34" w16cid:durableId="369501582">
    <w:abstractNumId w:val="96"/>
  </w:num>
  <w:num w:numId="35" w16cid:durableId="2030528262">
    <w:abstractNumId w:val="103"/>
  </w:num>
  <w:num w:numId="36" w16cid:durableId="576980716">
    <w:abstractNumId w:val="84"/>
  </w:num>
  <w:num w:numId="37" w16cid:durableId="1506751166">
    <w:abstractNumId w:val="97"/>
  </w:num>
  <w:num w:numId="38" w16cid:durableId="1922986238">
    <w:abstractNumId w:val="62"/>
  </w:num>
  <w:num w:numId="39" w16cid:durableId="1576208936">
    <w:abstractNumId w:val="41"/>
  </w:num>
  <w:num w:numId="40" w16cid:durableId="1123353521">
    <w:abstractNumId w:val="89"/>
  </w:num>
  <w:num w:numId="41" w16cid:durableId="657731209">
    <w:abstractNumId w:val="18"/>
  </w:num>
  <w:num w:numId="42" w16cid:durableId="1556241218">
    <w:abstractNumId w:val="88"/>
  </w:num>
  <w:num w:numId="43" w16cid:durableId="729577229">
    <w:abstractNumId w:val="93"/>
  </w:num>
  <w:num w:numId="44" w16cid:durableId="1786970692">
    <w:abstractNumId w:val="16"/>
  </w:num>
  <w:num w:numId="45" w16cid:durableId="2096241601">
    <w:abstractNumId w:val="0"/>
  </w:num>
  <w:num w:numId="46" w16cid:durableId="691954895">
    <w:abstractNumId w:val="52"/>
  </w:num>
  <w:num w:numId="47" w16cid:durableId="36321648">
    <w:abstractNumId w:val="106"/>
  </w:num>
  <w:num w:numId="48" w16cid:durableId="838232049">
    <w:abstractNumId w:val="79"/>
  </w:num>
  <w:num w:numId="49" w16cid:durableId="1738014814">
    <w:abstractNumId w:val="37"/>
  </w:num>
  <w:num w:numId="50" w16cid:durableId="1397779829">
    <w:abstractNumId w:val="2"/>
  </w:num>
  <w:num w:numId="51" w16cid:durableId="1923684297">
    <w:abstractNumId w:val="19"/>
  </w:num>
  <w:num w:numId="52" w16cid:durableId="837615943">
    <w:abstractNumId w:val="100"/>
  </w:num>
  <w:num w:numId="53" w16cid:durableId="779110758">
    <w:abstractNumId w:val="61"/>
  </w:num>
  <w:num w:numId="54" w16cid:durableId="407966918">
    <w:abstractNumId w:val="69"/>
  </w:num>
  <w:num w:numId="55" w16cid:durableId="80758953">
    <w:abstractNumId w:val="51"/>
  </w:num>
  <w:num w:numId="56" w16cid:durableId="584993009">
    <w:abstractNumId w:val="27"/>
  </w:num>
  <w:num w:numId="57" w16cid:durableId="35356277">
    <w:abstractNumId w:val="15"/>
  </w:num>
  <w:num w:numId="58" w16cid:durableId="617293695">
    <w:abstractNumId w:val="23"/>
  </w:num>
  <w:num w:numId="59" w16cid:durableId="2140341734">
    <w:abstractNumId w:val="13"/>
  </w:num>
  <w:num w:numId="60" w16cid:durableId="458450303">
    <w:abstractNumId w:val="101"/>
  </w:num>
  <w:num w:numId="61" w16cid:durableId="1637418533">
    <w:abstractNumId w:val="87"/>
  </w:num>
  <w:num w:numId="62" w16cid:durableId="16078012">
    <w:abstractNumId w:val="91"/>
  </w:num>
  <w:num w:numId="63" w16cid:durableId="1806971233">
    <w:abstractNumId w:val="12"/>
  </w:num>
  <w:num w:numId="64" w16cid:durableId="1100762662">
    <w:abstractNumId w:val="76"/>
  </w:num>
  <w:num w:numId="65" w16cid:durableId="680619099">
    <w:abstractNumId w:val="34"/>
  </w:num>
  <w:num w:numId="66" w16cid:durableId="909772150">
    <w:abstractNumId w:val="40"/>
  </w:num>
  <w:num w:numId="67" w16cid:durableId="1526945878">
    <w:abstractNumId w:val="20"/>
  </w:num>
  <w:num w:numId="68" w16cid:durableId="207961827">
    <w:abstractNumId w:val="53"/>
  </w:num>
  <w:num w:numId="69" w16cid:durableId="2098674658">
    <w:abstractNumId w:val="8"/>
  </w:num>
  <w:num w:numId="70" w16cid:durableId="1505559036">
    <w:abstractNumId w:val="70"/>
  </w:num>
  <w:num w:numId="71" w16cid:durableId="448623828">
    <w:abstractNumId w:val="35"/>
  </w:num>
  <w:num w:numId="72" w16cid:durableId="1009605463">
    <w:abstractNumId w:val="54"/>
  </w:num>
  <w:num w:numId="73" w16cid:durableId="726732673">
    <w:abstractNumId w:val="94"/>
  </w:num>
  <w:num w:numId="74" w16cid:durableId="967587552">
    <w:abstractNumId w:val="49"/>
  </w:num>
  <w:num w:numId="75" w16cid:durableId="1980113608">
    <w:abstractNumId w:val="67"/>
  </w:num>
  <w:num w:numId="76" w16cid:durableId="8412398">
    <w:abstractNumId w:val="28"/>
  </w:num>
  <w:num w:numId="77" w16cid:durableId="1781414982">
    <w:abstractNumId w:val="31"/>
  </w:num>
  <w:num w:numId="78" w16cid:durableId="775825812">
    <w:abstractNumId w:val="94"/>
  </w:num>
  <w:num w:numId="79" w16cid:durableId="1383365630">
    <w:abstractNumId w:val="94"/>
  </w:num>
  <w:num w:numId="80" w16cid:durableId="990449919">
    <w:abstractNumId w:val="0"/>
  </w:num>
  <w:num w:numId="81" w16cid:durableId="1555265534">
    <w:abstractNumId w:val="10"/>
  </w:num>
  <w:num w:numId="82" w16cid:durableId="836263835">
    <w:abstractNumId w:val="14"/>
  </w:num>
  <w:num w:numId="83" w16cid:durableId="1478644686">
    <w:abstractNumId w:val="80"/>
  </w:num>
  <w:num w:numId="84" w16cid:durableId="1015578078">
    <w:abstractNumId w:val="80"/>
    <w:lvlOverride w:ilvl="1">
      <w:lvl w:ilvl="1">
        <w:numFmt w:val="bullet"/>
        <w:lvlText w:val=""/>
        <w:lvlJc w:val="left"/>
        <w:pPr>
          <w:tabs>
            <w:tab w:val="num" w:pos="1440"/>
          </w:tabs>
          <w:ind w:left="1440" w:hanging="360"/>
        </w:pPr>
        <w:rPr>
          <w:rFonts w:ascii="Symbol" w:hAnsi="Symbol" w:hint="default"/>
          <w:sz w:val="20"/>
        </w:rPr>
      </w:lvl>
    </w:lvlOverride>
  </w:num>
  <w:num w:numId="85" w16cid:durableId="354575170">
    <w:abstractNumId w:val="24"/>
  </w:num>
  <w:num w:numId="86" w16cid:durableId="1218469959">
    <w:abstractNumId w:val="42"/>
  </w:num>
  <w:num w:numId="87" w16cid:durableId="2026709580">
    <w:abstractNumId w:val="50"/>
  </w:num>
  <w:num w:numId="88" w16cid:durableId="1664384738">
    <w:abstractNumId w:val="60"/>
  </w:num>
  <w:num w:numId="89" w16cid:durableId="65760535">
    <w:abstractNumId w:val="6"/>
  </w:num>
  <w:num w:numId="90" w16cid:durableId="1546061058">
    <w:abstractNumId w:val="77"/>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isplayBackgroundShape/>
  <w:embedSystemFonts/>
  <w:stylePaneFormatFilter w:val="B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1"/>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 superscript&lt;/Style&gt;&lt;LeftDelim&gt;{&lt;/LeftDelim&gt;&lt;RightDelim&gt;}&lt;/RightDelim&gt;&lt;FontName&gt;Calibri&lt;/FontName&gt;&lt;FontSize&gt;8&lt;/FontSize&gt;&lt;ReflistTitle&gt;References&lt;/ReflistTitle&gt;&lt;StartingRefnum&gt;1&lt;/StartingRefnum&gt;&lt;FirstLineIndent&gt;0&lt;/FirstLineIndent&gt;&lt;HangingIndent&gt;396&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rsettzd2isasdweewww55s9lffasxav0d0ft&quot;&gt;National Suicide Prevention Strategy - Library&lt;record-ids&gt;&lt;item&gt;6&lt;/item&gt;&lt;item&gt;9&lt;/item&gt;&lt;item&gt;11&lt;/item&gt;&lt;item&gt;16&lt;/item&gt;&lt;item&gt;18&lt;/item&gt;&lt;item&gt;20&lt;/item&gt;&lt;item&gt;28&lt;/item&gt;&lt;item&gt;31&lt;/item&gt;&lt;item&gt;32&lt;/item&gt;&lt;item&gt;35&lt;/item&gt;&lt;item&gt;36&lt;/item&gt;&lt;item&gt;38&lt;/item&gt;&lt;item&gt;43&lt;/item&gt;&lt;item&gt;44&lt;/item&gt;&lt;item&gt;45&lt;/item&gt;&lt;item&gt;46&lt;/item&gt;&lt;item&gt;48&lt;/item&gt;&lt;item&gt;49&lt;/item&gt;&lt;item&gt;67&lt;/item&gt;&lt;item&gt;75&lt;/item&gt;&lt;item&gt;82&lt;/item&gt;&lt;item&gt;85&lt;/item&gt;&lt;item&gt;98&lt;/item&gt;&lt;item&gt;100&lt;/item&gt;&lt;item&gt;110&lt;/item&gt;&lt;item&gt;118&lt;/item&gt;&lt;item&gt;122&lt;/item&gt;&lt;item&gt;123&lt;/item&gt;&lt;item&gt;124&lt;/item&gt;&lt;item&gt;125&lt;/item&gt;&lt;item&gt;127&lt;/item&gt;&lt;item&gt;129&lt;/item&gt;&lt;item&gt;130&lt;/item&gt;&lt;item&gt;131&lt;/item&gt;&lt;item&gt;132&lt;/item&gt;&lt;item&gt;133&lt;/item&gt;&lt;item&gt;134&lt;/item&gt;&lt;item&gt;135&lt;/item&gt;&lt;item&gt;136&lt;/item&gt;&lt;item&gt;137&lt;/item&gt;&lt;item&gt;142&lt;/item&gt;&lt;item&gt;144&lt;/item&gt;&lt;item&gt;145&lt;/item&gt;&lt;item&gt;146&lt;/item&gt;&lt;item&gt;147&lt;/item&gt;&lt;item&gt;149&lt;/item&gt;&lt;item&gt;151&lt;/item&gt;&lt;item&gt;152&lt;/item&gt;&lt;item&gt;155&lt;/item&gt;&lt;item&gt;157&lt;/item&gt;&lt;item&gt;158&lt;/item&gt;&lt;item&gt;159&lt;/item&gt;&lt;item&gt;161&lt;/item&gt;&lt;item&gt;163&lt;/item&gt;&lt;item&gt;164&lt;/item&gt;&lt;item&gt;165&lt;/item&gt;&lt;item&gt;166&lt;/item&gt;&lt;item&gt;170&lt;/item&gt;&lt;item&gt;171&lt;/item&gt;&lt;item&gt;172&lt;/item&gt;&lt;item&gt;173&lt;/item&gt;&lt;item&gt;175&lt;/item&gt;&lt;item&gt;181&lt;/item&gt;&lt;item&gt;182&lt;/item&gt;&lt;item&gt;183&lt;/item&gt;&lt;item&gt;184&lt;/item&gt;&lt;item&gt;185&lt;/item&gt;&lt;item&gt;186&lt;/item&gt;&lt;item&gt;193&lt;/item&gt;&lt;item&gt;196&lt;/item&gt;&lt;item&gt;198&lt;/item&gt;&lt;item&gt;199&lt;/item&gt;&lt;item&gt;203&lt;/item&gt;&lt;item&gt;211&lt;/item&gt;&lt;item&gt;215&lt;/item&gt;&lt;item&gt;216&lt;/item&gt;&lt;item&gt;217&lt;/item&gt;&lt;item&gt;218&lt;/item&gt;&lt;item&gt;219&lt;/item&gt;&lt;item&gt;220&lt;/item&gt;&lt;item&gt;225&lt;/item&gt;&lt;item&gt;226&lt;/item&gt;&lt;item&gt;227&lt;/item&gt;&lt;item&gt;229&lt;/item&gt;&lt;item&gt;230&lt;/item&gt;&lt;item&gt;234&lt;/item&gt;&lt;item&gt;236&lt;/item&gt;&lt;item&gt;237&lt;/item&gt;&lt;item&gt;238&lt;/item&gt;&lt;item&gt;243&lt;/item&gt;&lt;item&gt;244&lt;/item&gt;&lt;item&gt;245&lt;/item&gt;&lt;item&gt;246&lt;/item&gt;&lt;item&gt;248&lt;/item&gt;&lt;item&gt;250&lt;/item&gt;&lt;item&gt;252&lt;/item&gt;&lt;item&gt;254&lt;/item&gt;&lt;item&gt;255&lt;/item&gt;&lt;item&gt;256&lt;/item&gt;&lt;item&gt;257&lt;/item&gt;&lt;item&gt;258&lt;/item&gt;&lt;item&gt;263&lt;/item&gt;&lt;item&gt;264&lt;/item&gt;&lt;item&gt;267&lt;/item&gt;&lt;item&gt;268&lt;/item&gt;&lt;item&gt;270&lt;/item&gt;&lt;item&gt;271&lt;/item&gt;&lt;item&gt;274&lt;/item&gt;&lt;item&gt;275&lt;/item&gt;&lt;item&gt;276&lt;/item&gt;&lt;item&gt;277&lt;/item&gt;&lt;item&gt;279&lt;/item&gt;&lt;item&gt;280&lt;/item&gt;&lt;item&gt;281&lt;/item&gt;&lt;item&gt;283&lt;/item&gt;&lt;item&gt;284&lt;/item&gt;&lt;item&gt;286&lt;/item&gt;&lt;item&gt;287&lt;/item&gt;&lt;item&gt;292&lt;/item&gt;&lt;item&gt;296&lt;/item&gt;&lt;item&gt;303&lt;/item&gt;&lt;item&gt;307&lt;/item&gt;&lt;item&gt;308&lt;/item&gt;&lt;item&gt;309&lt;/item&gt;&lt;item&gt;311&lt;/item&gt;&lt;item&gt;314&lt;/item&gt;&lt;item&gt;315&lt;/item&gt;&lt;item&gt;317&lt;/item&gt;&lt;item&gt;318&lt;/item&gt;&lt;item&gt;319&lt;/item&gt;&lt;item&gt;324&lt;/item&gt;&lt;item&gt;325&lt;/item&gt;&lt;item&gt;326&lt;/item&gt;&lt;item&gt;328&lt;/item&gt;&lt;item&gt;341&lt;/item&gt;&lt;item&gt;342&lt;/item&gt;&lt;item&gt;345&lt;/item&gt;&lt;item&gt;350&lt;/item&gt;&lt;item&gt;351&lt;/item&gt;&lt;item&gt;352&lt;/item&gt;&lt;item&gt;353&lt;/item&gt;&lt;item&gt;363&lt;/item&gt;&lt;item&gt;372&lt;/item&gt;&lt;item&gt;375&lt;/item&gt;&lt;item&gt;376&lt;/item&gt;&lt;item&gt;377&lt;/item&gt;&lt;item&gt;378&lt;/item&gt;&lt;item&gt;386&lt;/item&gt;&lt;item&gt;387&lt;/item&gt;&lt;item&gt;388&lt;/item&gt;&lt;item&gt;389&lt;/item&gt;&lt;item&gt;392&lt;/item&gt;&lt;item&gt;393&lt;/item&gt;&lt;item&gt;397&lt;/item&gt;&lt;item&gt;399&lt;/item&gt;&lt;item&gt;401&lt;/item&gt;&lt;item&gt;403&lt;/item&gt;&lt;item&gt;404&lt;/item&gt;&lt;item&gt;413&lt;/item&gt;&lt;item&gt;427&lt;/item&gt;&lt;item&gt;428&lt;/item&gt;&lt;item&gt;434&lt;/item&gt;&lt;item&gt;435&lt;/item&gt;&lt;item&gt;437&lt;/item&gt;&lt;item&gt;440&lt;/item&gt;&lt;item&gt;442&lt;/item&gt;&lt;item&gt;444&lt;/item&gt;&lt;item&gt;448&lt;/item&gt;&lt;item&gt;449&lt;/item&gt;&lt;item&gt;450&lt;/item&gt;&lt;item&gt;452&lt;/item&gt;&lt;item&gt;453&lt;/item&gt;&lt;item&gt;455&lt;/item&gt;&lt;item&gt;456&lt;/item&gt;&lt;item&gt;457&lt;/item&gt;&lt;item&gt;458&lt;/item&gt;&lt;item&gt;459&lt;/item&gt;&lt;item&gt;461&lt;/item&gt;&lt;item&gt;462&lt;/item&gt;&lt;item&gt;463&lt;/item&gt;&lt;item&gt;465&lt;/item&gt;&lt;item&gt;469&lt;/item&gt;&lt;item&gt;476&lt;/item&gt;&lt;item&gt;477&lt;/item&gt;&lt;item&gt;481&lt;/item&gt;&lt;item&gt;492&lt;/item&gt;&lt;item&gt;504&lt;/item&gt;&lt;item&gt;507&lt;/item&gt;&lt;item&gt;512&lt;/item&gt;&lt;item&gt;517&lt;/item&gt;&lt;item&gt;532&lt;/item&gt;&lt;item&gt;537&lt;/item&gt;&lt;item&gt;546&lt;/item&gt;&lt;item&gt;554&lt;/item&gt;&lt;item&gt;558&lt;/item&gt;&lt;item&gt;562&lt;/item&gt;&lt;item&gt;576&lt;/item&gt;&lt;item&gt;580&lt;/item&gt;&lt;item&gt;581&lt;/item&gt;&lt;item&gt;585&lt;/item&gt;&lt;item&gt;586&lt;/item&gt;&lt;item&gt;587&lt;/item&gt;&lt;item&gt;592&lt;/item&gt;&lt;item&gt;600&lt;/item&gt;&lt;item&gt;606&lt;/item&gt;&lt;item&gt;642&lt;/item&gt;&lt;item&gt;650&lt;/item&gt;&lt;item&gt;652&lt;/item&gt;&lt;item&gt;654&lt;/item&gt;&lt;item&gt;656&lt;/item&gt;&lt;item&gt;657&lt;/item&gt;&lt;item&gt;660&lt;/item&gt;&lt;item&gt;689&lt;/item&gt;&lt;item&gt;692&lt;/item&gt;&lt;item&gt;696&lt;/item&gt;&lt;item&gt;715&lt;/item&gt;&lt;item&gt;737&lt;/item&gt;&lt;item&gt;753&lt;/item&gt;&lt;item&gt;787&lt;/item&gt;&lt;item&gt;864&lt;/item&gt;&lt;item&gt;884&lt;/item&gt;&lt;item&gt;915&lt;/item&gt;&lt;item&gt;916&lt;/item&gt;&lt;item&gt;952&lt;/item&gt;&lt;item&gt;957&lt;/item&gt;&lt;item&gt;960&lt;/item&gt;&lt;item&gt;970&lt;/item&gt;&lt;item&gt;971&lt;/item&gt;&lt;item&gt;973&lt;/item&gt;&lt;item&gt;977&lt;/item&gt;&lt;item&gt;979&lt;/item&gt;&lt;item&gt;980&lt;/item&gt;&lt;item&gt;981&lt;/item&gt;&lt;item&gt;982&lt;/item&gt;&lt;item&gt;983&lt;/item&gt;&lt;item&gt;984&lt;/item&gt;&lt;item&gt;985&lt;/item&gt;&lt;item&gt;986&lt;/item&gt;&lt;item&gt;987&lt;/item&gt;&lt;item&gt;988&lt;/item&gt;&lt;item&gt;989&lt;/item&gt;&lt;item&gt;990&lt;/item&gt;&lt;item&gt;991&lt;/item&gt;&lt;item&gt;992&lt;/item&gt;&lt;item&gt;993&lt;/item&gt;&lt;item&gt;994&lt;/item&gt;&lt;item&gt;995&lt;/item&gt;&lt;item&gt;996&lt;/item&gt;&lt;item&gt;997&lt;/item&gt;&lt;item&gt;998&lt;/item&gt;&lt;item&gt;999&lt;/item&gt;&lt;item&gt;1000&lt;/item&gt;&lt;item&gt;1001&lt;/item&gt;&lt;item&gt;1002&lt;/item&gt;&lt;item&gt;1003&lt;/item&gt;&lt;item&gt;1004&lt;/item&gt;&lt;item&gt;1005&lt;/item&gt;&lt;item&gt;1006&lt;/item&gt;&lt;item&gt;1007&lt;/item&gt;&lt;item&gt;1008&lt;/item&gt;&lt;item&gt;1009&lt;/item&gt;&lt;item&gt;1010&lt;/item&gt;&lt;item&gt;1011&lt;/item&gt;&lt;item&gt;1012&lt;/item&gt;&lt;item&gt;1013&lt;/item&gt;&lt;item&gt;1014&lt;/item&gt;&lt;item&gt;1015&lt;/item&gt;&lt;item&gt;1016&lt;/item&gt;&lt;item&gt;1017&lt;/item&gt;&lt;item&gt;1018&lt;/item&gt;&lt;item&gt;1019&lt;/item&gt;&lt;item&gt;1020&lt;/item&gt;&lt;item&gt;1021&lt;/item&gt;&lt;item&gt;1022&lt;/item&gt;&lt;item&gt;1023&lt;/item&gt;&lt;item&gt;1024&lt;/item&gt;&lt;item&gt;1025&lt;/item&gt;&lt;item&gt;1026&lt;/item&gt;&lt;item&gt;1027&lt;/item&gt;&lt;item&gt;1028&lt;/item&gt;&lt;item&gt;1029&lt;/item&gt;&lt;item&gt;1030&lt;/item&gt;&lt;item&gt;1031&lt;/item&gt;&lt;item&gt;1032&lt;/item&gt;&lt;item&gt;1033&lt;/item&gt;&lt;item&gt;1034&lt;/item&gt;&lt;item&gt;1035&lt;/item&gt;&lt;item&gt;1036&lt;/item&gt;&lt;item&gt;1037&lt;/item&gt;&lt;item&gt;1038&lt;/item&gt;&lt;item&gt;1040&lt;/item&gt;&lt;item&gt;1041&lt;/item&gt;&lt;item&gt;1042&lt;/item&gt;&lt;item&gt;1043&lt;/item&gt;&lt;item&gt;1048&lt;/item&gt;&lt;item&gt;1049&lt;/item&gt;&lt;item&gt;1050&lt;/item&gt;&lt;item&gt;1051&lt;/item&gt;&lt;item&gt;1052&lt;/item&gt;&lt;item&gt;1053&lt;/item&gt;&lt;item&gt;1055&lt;/item&gt;&lt;item&gt;1056&lt;/item&gt;&lt;item&gt;1057&lt;/item&gt;&lt;item&gt;1058&lt;/item&gt;&lt;item&gt;1059&lt;/item&gt;&lt;item&gt;1060&lt;/item&gt;&lt;item&gt;1061&lt;/item&gt;&lt;item&gt;1062&lt;/item&gt;&lt;item&gt;1063&lt;/item&gt;&lt;item&gt;1065&lt;/item&gt;&lt;item&gt;1067&lt;/item&gt;&lt;item&gt;1068&lt;/item&gt;&lt;item&gt;1069&lt;/item&gt;&lt;item&gt;1070&lt;/item&gt;&lt;item&gt;1071&lt;/item&gt;&lt;item&gt;1072&lt;/item&gt;&lt;item&gt;1073&lt;/item&gt;&lt;item&gt;1075&lt;/item&gt;&lt;item&gt;1076&lt;/item&gt;&lt;item&gt;1077&lt;/item&gt;&lt;item&gt;1078&lt;/item&gt;&lt;item&gt;1079&lt;/item&gt;&lt;item&gt;1080&lt;/item&gt;&lt;item&gt;1081&lt;/item&gt;&lt;item&gt;1082&lt;/item&gt;&lt;item&gt;1083&lt;/item&gt;&lt;item&gt;1084&lt;/item&gt;&lt;item&gt;1085&lt;/item&gt;&lt;item&gt;1086&lt;/item&gt;&lt;item&gt;1087&lt;/item&gt;&lt;item&gt;1088&lt;/item&gt;&lt;item&gt;1089&lt;/item&gt;&lt;item&gt;1090&lt;/item&gt;&lt;item&gt;1091&lt;/item&gt;&lt;item&gt;1092&lt;/item&gt;&lt;item&gt;1093&lt;/item&gt;&lt;item&gt;1094&lt;/item&gt;&lt;item&gt;1095&lt;/item&gt;&lt;item&gt;1096&lt;/item&gt;&lt;item&gt;1097&lt;/item&gt;&lt;item&gt;1098&lt;/item&gt;&lt;item&gt;1099&lt;/item&gt;&lt;item&gt;1100&lt;/item&gt;&lt;item&gt;1101&lt;/item&gt;&lt;item&gt;1102&lt;/item&gt;&lt;item&gt;1103&lt;/item&gt;&lt;item&gt;1104&lt;/item&gt;&lt;item&gt;1105&lt;/item&gt;&lt;item&gt;1106&lt;/item&gt;&lt;item&gt;1107&lt;/item&gt;&lt;item&gt;1108&lt;/item&gt;&lt;item&gt;1109&lt;/item&gt;&lt;item&gt;1110&lt;/item&gt;&lt;item&gt;1111&lt;/item&gt;&lt;item&gt;1112&lt;/item&gt;&lt;item&gt;1113&lt;/item&gt;&lt;item&gt;1114&lt;/item&gt;&lt;item&gt;1115&lt;/item&gt;&lt;item&gt;1116&lt;/item&gt;&lt;item&gt;1117&lt;/item&gt;&lt;item&gt;1118&lt;/item&gt;&lt;item&gt;1119&lt;/item&gt;&lt;item&gt;1120&lt;/item&gt;&lt;item&gt;1121&lt;/item&gt;&lt;item&gt;1122&lt;/item&gt;&lt;item&gt;1123&lt;/item&gt;&lt;item&gt;1124&lt;/item&gt;&lt;item&gt;1125&lt;/item&gt;&lt;item&gt;1126&lt;/item&gt;&lt;item&gt;1127&lt;/item&gt;&lt;item&gt;1129&lt;/item&gt;&lt;item&gt;1136&lt;/item&gt;&lt;item&gt;1139&lt;/item&gt;&lt;item&gt;1140&lt;/item&gt;&lt;item&gt;1141&lt;/item&gt;&lt;item&gt;1142&lt;/item&gt;&lt;item&gt;1143&lt;/item&gt;&lt;/record-ids&gt;&lt;/item&gt;&lt;/Libraries&gt;"/>
    <w:docVar w:name="MasterDoc" w:val="True"/>
    <w:docVar w:name="Para" w:val="_x000d_"/>
  </w:docVars>
  <w:rsids>
    <w:rsidRoot w:val="00F62CF6"/>
    <w:rsid w:val="0000000F"/>
    <w:rsid w:val="000000D3"/>
    <w:rsid w:val="00000194"/>
    <w:rsid w:val="00000203"/>
    <w:rsid w:val="0000035A"/>
    <w:rsid w:val="000004D5"/>
    <w:rsid w:val="000004E6"/>
    <w:rsid w:val="00000684"/>
    <w:rsid w:val="00000808"/>
    <w:rsid w:val="00000AE8"/>
    <w:rsid w:val="00000DE5"/>
    <w:rsid w:val="00000F63"/>
    <w:rsid w:val="00001077"/>
    <w:rsid w:val="0000115F"/>
    <w:rsid w:val="0000123E"/>
    <w:rsid w:val="0000127A"/>
    <w:rsid w:val="0000156D"/>
    <w:rsid w:val="000015E2"/>
    <w:rsid w:val="000018B5"/>
    <w:rsid w:val="00001A24"/>
    <w:rsid w:val="00001D43"/>
    <w:rsid w:val="00001D5A"/>
    <w:rsid w:val="00001D9B"/>
    <w:rsid w:val="00001E46"/>
    <w:rsid w:val="00002153"/>
    <w:rsid w:val="000025D1"/>
    <w:rsid w:val="00002685"/>
    <w:rsid w:val="000027B2"/>
    <w:rsid w:val="00002A38"/>
    <w:rsid w:val="00002CC7"/>
    <w:rsid w:val="00002D0A"/>
    <w:rsid w:val="00002E97"/>
    <w:rsid w:val="0000301F"/>
    <w:rsid w:val="00003186"/>
    <w:rsid w:val="000035F6"/>
    <w:rsid w:val="0000362B"/>
    <w:rsid w:val="00003927"/>
    <w:rsid w:val="00003A51"/>
    <w:rsid w:val="00003C0B"/>
    <w:rsid w:val="00003DE8"/>
    <w:rsid w:val="00003F0D"/>
    <w:rsid w:val="00003F5B"/>
    <w:rsid w:val="00004101"/>
    <w:rsid w:val="0000419B"/>
    <w:rsid w:val="00004327"/>
    <w:rsid w:val="0000437D"/>
    <w:rsid w:val="000043F2"/>
    <w:rsid w:val="00004546"/>
    <w:rsid w:val="0000464C"/>
    <w:rsid w:val="00004695"/>
    <w:rsid w:val="00004810"/>
    <w:rsid w:val="00004A28"/>
    <w:rsid w:val="00004A5B"/>
    <w:rsid w:val="00004A68"/>
    <w:rsid w:val="00004A85"/>
    <w:rsid w:val="00004AB7"/>
    <w:rsid w:val="00004BD6"/>
    <w:rsid w:val="00004C12"/>
    <w:rsid w:val="00004DA7"/>
    <w:rsid w:val="00004ED1"/>
    <w:rsid w:val="00004EEE"/>
    <w:rsid w:val="00004F03"/>
    <w:rsid w:val="00004FA4"/>
    <w:rsid w:val="00005612"/>
    <w:rsid w:val="000057C2"/>
    <w:rsid w:val="00005905"/>
    <w:rsid w:val="00005949"/>
    <w:rsid w:val="00005968"/>
    <w:rsid w:val="00005A62"/>
    <w:rsid w:val="00005C3A"/>
    <w:rsid w:val="00005E4E"/>
    <w:rsid w:val="00005E91"/>
    <w:rsid w:val="00005EA6"/>
    <w:rsid w:val="00006005"/>
    <w:rsid w:val="00006144"/>
    <w:rsid w:val="000061E2"/>
    <w:rsid w:val="00006233"/>
    <w:rsid w:val="00006244"/>
    <w:rsid w:val="000063CA"/>
    <w:rsid w:val="00006410"/>
    <w:rsid w:val="00006593"/>
    <w:rsid w:val="00006642"/>
    <w:rsid w:val="0000673C"/>
    <w:rsid w:val="000068CA"/>
    <w:rsid w:val="0000691C"/>
    <w:rsid w:val="00006A1B"/>
    <w:rsid w:val="00006BB6"/>
    <w:rsid w:val="00006C0E"/>
    <w:rsid w:val="00006EAD"/>
    <w:rsid w:val="00006F6F"/>
    <w:rsid w:val="00006FBB"/>
    <w:rsid w:val="00007030"/>
    <w:rsid w:val="00007085"/>
    <w:rsid w:val="000070B6"/>
    <w:rsid w:val="0000714A"/>
    <w:rsid w:val="0000736B"/>
    <w:rsid w:val="0000744E"/>
    <w:rsid w:val="000075DB"/>
    <w:rsid w:val="000079ED"/>
    <w:rsid w:val="00007A49"/>
    <w:rsid w:val="00007B8C"/>
    <w:rsid w:val="00007BE4"/>
    <w:rsid w:val="00007BF4"/>
    <w:rsid w:val="00007C10"/>
    <w:rsid w:val="00007C2B"/>
    <w:rsid w:val="00007C2E"/>
    <w:rsid w:val="00007D90"/>
    <w:rsid w:val="00007E2E"/>
    <w:rsid w:val="00007FF5"/>
    <w:rsid w:val="0000F163"/>
    <w:rsid w:val="00010106"/>
    <w:rsid w:val="00010151"/>
    <w:rsid w:val="0001017D"/>
    <w:rsid w:val="000105A9"/>
    <w:rsid w:val="00010777"/>
    <w:rsid w:val="000109B2"/>
    <w:rsid w:val="000109CE"/>
    <w:rsid w:val="00010A05"/>
    <w:rsid w:val="00010A62"/>
    <w:rsid w:val="00010B8F"/>
    <w:rsid w:val="00010BE5"/>
    <w:rsid w:val="00010BE8"/>
    <w:rsid w:val="00010D39"/>
    <w:rsid w:val="00010F2C"/>
    <w:rsid w:val="00011550"/>
    <w:rsid w:val="000117B0"/>
    <w:rsid w:val="0001184C"/>
    <w:rsid w:val="00011BC1"/>
    <w:rsid w:val="00011C29"/>
    <w:rsid w:val="00011CE1"/>
    <w:rsid w:val="00011E5A"/>
    <w:rsid w:val="00011EDA"/>
    <w:rsid w:val="00011EFA"/>
    <w:rsid w:val="00011F46"/>
    <w:rsid w:val="000120F2"/>
    <w:rsid w:val="0001216C"/>
    <w:rsid w:val="000121F4"/>
    <w:rsid w:val="0001237F"/>
    <w:rsid w:val="00012404"/>
    <w:rsid w:val="0001247F"/>
    <w:rsid w:val="00012489"/>
    <w:rsid w:val="000125A5"/>
    <w:rsid w:val="00012747"/>
    <w:rsid w:val="00012786"/>
    <w:rsid w:val="000127F4"/>
    <w:rsid w:val="000128A5"/>
    <w:rsid w:val="0001297B"/>
    <w:rsid w:val="00012A2E"/>
    <w:rsid w:val="00012AFB"/>
    <w:rsid w:val="00012BD0"/>
    <w:rsid w:val="00012CC6"/>
    <w:rsid w:val="00012D2F"/>
    <w:rsid w:val="00012E64"/>
    <w:rsid w:val="000130B5"/>
    <w:rsid w:val="000130E2"/>
    <w:rsid w:val="000131F9"/>
    <w:rsid w:val="00013355"/>
    <w:rsid w:val="00013426"/>
    <w:rsid w:val="000134B1"/>
    <w:rsid w:val="0001360B"/>
    <w:rsid w:val="0001364D"/>
    <w:rsid w:val="00013665"/>
    <w:rsid w:val="0001387C"/>
    <w:rsid w:val="000138B7"/>
    <w:rsid w:val="00013AC8"/>
    <w:rsid w:val="00013C37"/>
    <w:rsid w:val="00013C91"/>
    <w:rsid w:val="00013E50"/>
    <w:rsid w:val="00013ED2"/>
    <w:rsid w:val="00013FDA"/>
    <w:rsid w:val="00014161"/>
    <w:rsid w:val="00014185"/>
    <w:rsid w:val="0001491F"/>
    <w:rsid w:val="00014ABA"/>
    <w:rsid w:val="00014AD2"/>
    <w:rsid w:val="00014B29"/>
    <w:rsid w:val="00014B76"/>
    <w:rsid w:val="00014CB8"/>
    <w:rsid w:val="00014EE9"/>
    <w:rsid w:val="000151C9"/>
    <w:rsid w:val="000152AC"/>
    <w:rsid w:val="000152E5"/>
    <w:rsid w:val="000159CF"/>
    <w:rsid w:val="00015A13"/>
    <w:rsid w:val="00015BF7"/>
    <w:rsid w:val="00015C70"/>
    <w:rsid w:val="00015C8F"/>
    <w:rsid w:val="00015DA1"/>
    <w:rsid w:val="00015DC6"/>
    <w:rsid w:val="00015F10"/>
    <w:rsid w:val="00015F3C"/>
    <w:rsid w:val="00016095"/>
    <w:rsid w:val="000160DB"/>
    <w:rsid w:val="00016113"/>
    <w:rsid w:val="00016384"/>
    <w:rsid w:val="000163BC"/>
    <w:rsid w:val="00016408"/>
    <w:rsid w:val="00016516"/>
    <w:rsid w:val="00016540"/>
    <w:rsid w:val="00016611"/>
    <w:rsid w:val="00016697"/>
    <w:rsid w:val="000168BC"/>
    <w:rsid w:val="00016B17"/>
    <w:rsid w:val="00016CBE"/>
    <w:rsid w:val="00016DB3"/>
    <w:rsid w:val="00016FAE"/>
    <w:rsid w:val="00016FBA"/>
    <w:rsid w:val="00017449"/>
    <w:rsid w:val="00017585"/>
    <w:rsid w:val="000177C3"/>
    <w:rsid w:val="0001786F"/>
    <w:rsid w:val="000178FE"/>
    <w:rsid w:val="00017927"/>
    <w:rsid w:val="00017B8C"/>
    <w:rsid w:val="00017BBB"/>
    <w:rsid w:val="00017C1D"/>
    <w:rsid w:val="00017E78"/>
    <w:rsid w:val="00020010"/>
    <w:rsid w:val="00020166"/>
    <w:rsid w:val="000202BE"/>
    <w:rsid w:val="000203AE"/>
    <w:rsid w:val="00020425"/>
    <w:rsid w:val="0002048A"/>
    <w:rsid w:val="000205FA"/>
    <w:rsid w:val="000207AE"/>
    <w:rsid w:val="000209CF"/>
    <w:rsid w:val="00020A7A"/>
    <w:rsid w:val="00020B9D"/>
    <w:rsid w:val="00020CE3"/>
    <w:rsid w:val="00020DC1"/>
    <w:rsid w:val="00020F2A"/>
    <w:rsid w:val="000213D9"/>
    <w:rsid w:val="00021665"/>
    <w:rsid w:val="00021A70"/>
    <w:rsid w:val="00021B06"/>
    <w:rsid w:val="00021B62"/>
    <w:rsid w:val="00021E0B"/>
    <w:rsid w:val="00021EA8"/>
    <w:rsid w:val="00021ECC"/>
    <w:rsid w:val="000220AE"/>
    <w:rsid w:val="000220C2"/>
    <w:rsid w:val="00022404"/>
    <w:rsid w:val="000227C5"/>
    <w:rsid w:val="000229E5"/>
    <w:rsid w:val="00022A15"/>
    <w:rsid w:val="00022A8B"/>
    <w:rsid w:val="00022C51"/>
    <w:rsid w:val="00022F08"/>
    <w:rsid w:val="00022FC9"/>
    <w:rsid w:val="00022FF7"/>
    <w:rsid w:val="00023020"/>
    <w:rsid w:val="00023067"/>
    <w:rsid w:val="0002306D"/>
    <w:rsid w:val="00023091"/>
    <w:rsid w:val="00023098"/>
    <w:rsid w:val="00023116"/>
    <w:rsid w:val="0002313E"/>
    <w:rsid w:val="00023402"/>
    <w:rsid w:val="000235E5"/>
    <w:rsid w:val="00023619"/>
    <w:rsid w:val="00023688"/>
    <w:rsid w:val="00023874"/>
    <w:rsid w:val="00023991"/>
    <w:rsid w:val="00023ABB"/>
    <w:rsid w:val="00023B77"/>
    <w:rsid w:val="00023DA6"/>
    <w:rsid w:val="00023EB2"/>
    <w:rsid w:val="00023EC1"/>
    <w:rsid w:val="0002408F"/>
    <w:rsid w:val="000240F6"/>
    <w:rsid w:val="00024103"/>
    <w:rsid w:val="000241E6"/>
    <w:rsid w:val="0002433F"/>
    <w:rsid w:val="0002434B"/>
    <w:rsid w:val="000244E5"/>
    <w:rsid w:val="0002454D"/>
    <w:rsid w:val="00024900"/>
    <w:rsid w:val="0002492E"/>
    <w:rsid w:val="0002497D"/>
    <w:rsid w:val="00024AD1"/>
    <w:rsid w:val="00024B79"/>
    <w:rsid w:val="00024B8C"/>
    <w:rsid w:val="00024C1C"/>
    <w:rsid w:val="00024C2D"/>
    <w:rsid w:val="00024CA2"/>
    <w:rsid w:val="00024DE5"/>
    <w:rsid w:val="00024E08"/>
    <w:rsid w:val="00024F9A"/>
    <w:rsid w:val="0002504C"/>
    <w:rsid w:val="0002507D"/>
    <w:rsid w:val="000250A2"/>
    <w:rsid w:val="000251B2"/>
    <w:rsid w:val="000251B4"/>
    <w:rsid w:val="000251BB"/>
    <w:rsid w:val="000251D8"/>
    <w:rsid w:val="00025436"/>
    <w:rsid w:val="0002555D"/>
    <w:rsid w:val="00025597"/>
    <w:rsid w:val="000255D6"/>
    <w:rsid w:val="00025770"/>
    <w:rsid w:val="00025ABB"/>
    <w:rsid w:val="00025AFC"/>
    <w:rsid w:val="00025B36"/>
    <w:rsid w:val="00025B6A"/>
    <w:rsid w:val="00026169"/>
    <w:rsid w:val="000261BE"/>
    <w:rsid w:val="0002639A"/>
    <w:rsid w:val="000263C0"/>
    <w:rsid w:val="000264B2"/>
    <w:rsid w:val="00026522"/>
    <w:rsid w:val="0002654F"/>
    <w:rsid w:val="000265EA"/>
    <w:rsid w:val="000266C0"/>
    <w:rsid w:val="0002681F"/>
    <w:rsid w:val="00026874"/>
    <w:rsid w:val="000269B2"/>
    <w:rsid w:val="00026A9D"/>
    <w:rsid w:val="00026ACF"/>
    <w:rsid w:val="00026DC0"/>
    <w:rsid w:val="00026DC2"/>
    <w:rsid w:val="00026E0E"/>
    <w:rsid w:val="00026F6C"/>
    <w:rsid w:val="0002703A"/>
    <w:rsid w:val="0002715C"/>
    <w:rsid w:val="00027262"/>
    <w:rsid w:val="000273C5"/>
    <w:rsid w:val="0002746C"/>
    <w:rsid w:val="0002762F"/>
    <w:rsid w:val="0002767C"/>
    <w:rsid w:val="0002773F"/>
    <w:rsid w:val="000277E7"/>
    <w:rsid w:val="00027847"/>
    <w:rsid w:val="00027B29"/>
    <w:rsid w:val="00027C1B"/>
    <w:rsid w:val="00027E29"/>
    <w:rsid w:val="00027EB5"/>
    <w:rsid w:val="00027ED3"/>
    <w:rsid w:val="0002F9A9"/>
    <w:rsid w:val="00030001"/>
    <w:rsid w:val="00030015"/>
    <w:rsid w:val="00030298"/>
    <w:rsid w:val="00030306"/>
    <w:rsid w:val="00030575"/>
    <w:rsid w:val="00030798"/>
    <w:rsid w:val="000307C2"/>
    <w:rsid w:val="000307F6"/>
    <w:rsid w:val="000308B8"/>
    <w:rsid w:val="0003098F"/>
    <w:rsid w:val="000309C6"/>
    <w:rsid w:val="00030A38"/>
    <w:rsid w:val="00030AAB"/>
    <w:rsid w:val="00030CC1"/>
    <w:rsid w:val="00030D89"/>
    <w:rsid w:val="00030E3C"/>
    <w:rsid w:val="000311AF"/>
    <w:rsid w:val="0003154D"/>
    <w:rsid w:val="00031677"/>
    <w:rsid w:val="000317BC"/>
    <w:rsid w:val="00031965"/>
    <w:rsid w:val="000319FE"/>
    <w:rsid w:val="00031AB4"/>
    <w:rsid w:val="00031C78"/>
    <w:rsid w:val="00031D3C"/>
    <w:rsid w:val="00031E5D"/>
    <w:rsid w:val="00031F32"/>
    <w:rsid w:val="000320D2"/>
    <w:rsid w:val="000321A4"/>
    <w:rsid w:val="0003236F"/>
    <w:rsid w:val="00032429"/>
    <w:rsid w:val="00032645"/>
    <w:rsid w:val="0003277C"/>
    <w:rsid w:val="00032813"/>
    <w:rsid w:val="00032913"/>
    <w:rsid w:val="00032993"/>
    <w:rsid w:val="00032A99"/>
    <w:rsid w:val="00033173"/>
    <w:rsid w:val="000331F0"/>
    <w:rsid w:val="00033277"/>
    <w:rsid w:val="000332DB"/>
    <w:rsid w:val="000332EC"/>
    <w:rsid w:val="00033372"/>
    <w:rsid w:val="000336BC"/>
    <w:rsid w:val="000336FE"/>
    <w:rsid w:val="000337A3"/>
    <w:rsid w:val="00033867"/>
    <w:rsid w:val="000338D9"/>
    <w:rsid w:val="00033AA0"/>
    <w:rsid w:val="00033D04"/>
    <w:rsid w:val="00033DF8"/>
    <w:rsid w:val="000341D1"/>
    <w:rsid w:val="0003437E"/>
    <w:rsid w:val="00034393"/>
    <w:rsid w:val="000343D3"/>
    <w:rsid w:val="00034779"/>
    <w:rsid w:val="000348DA"/>
    <w:rsid w:val="00034C0C"/>
    <w:rsid w:val="00034C88"/>
    <w:rsid w:val="00034DDD"/>
    <w:rsid w:val="00034E7A"/>
    <w:rsid w:val="00034EF7"/>
    <w:rsid w:val="0003511F"/>
    <w:rsid w:val="0003524A"/>
    <w:rsid w:val="00035377"/>
    <w:rsid w:val="00035386"/>
    <w:rsid w:val="000353BF"/>
    <w:rsid w:val="0003552E"/>
    <w:rsid w:val="0003558B"/>
    <w:rsid w:val="00035693"/>
    <w:rsid w:val="00035791"/>
    <w:rsid w:val="000357FB"/>
    <w:rsid w:val="00035821"/>
    <w:rsid w:val="000358E4"/>
    <w:rsid w:val="00035925"/>
    <w:rsid w:val="00035AC9"/>
    <w:rsid w:val="00035AFC"/>
    <w:rsid w:val="00035BF1"/>
    <w:rsid w:val="00035C80"/>
    <w:rsid w:val="00035D40"/>
    <w:rsid w:val="00035DA7"/>
    <w:rsid w:val="00035E48"/>
    <w:rsid w:val="00036121"/>
    <w:rsid w:val="00036184"/>
    <w:rsid w:val="00036236"/>
    <w:rsid w:val="00036286"/>
    <w:rsid w:val="000362F6"/>
    <w:rsid w:val="00036327"/>
    <w:rsid w:val="000364C4"/>
    <w:rsid w:val="000366D8"/>
    <w:rsid w:val="00036C15"/>
    <w:rsid w:val="00036CFE"/>
    <w:rsid w:val="00036D45"/>
    <w:rsid w:val="00036D9D"/>
    <w:rsid w:val="00036E15"/>
    <w:rsid w:val="00036E86"/>
    <w:rsid w:val="00036F17"/>
    <w:rsid w:val="00036F20"/>
    <w:rsid w:val="00036F41"/>
    <w:rsid w:val="00036F84"/>
    <w:rsid w:val="00037238"/>
    <w:rsid w:val="00037421"/>
    <w:rsid w:val="000374E9"/>
    <w:rsid w:val="00037596"/>
    <w:rsid w:val="000375D3"/>
    <w:rsid w:val="0003783B"/>
    <w:rsid w:val="000378A9"/>
    <w:rsid w:val="000378FB"/>
    <w:rsid w:val="0003793C"/>
    <w:rsid w:val="00037B7B"/>
    <w:rsid w:val="00037B89"/>
    <w:rsid w:val="00037BEA"/>
    <w:rsid w:val="00037DC7"/>
    <w:rsid w:val="00037DCD"/>
    <w:rsid w:val="00037F6C"/>
    <w:rsid w:val="0004000F"/>
    <w:rsid w:val="0004025F"/>
    <w:rsid w:val="0004033B"/>
    <w:rsid w:val="0004039F"/>
    <w:rsid w:val="00040422"/>
    <w:rsid w:val="000404E1"/>
    <w:rsid w:val="0004056B"/>
    <w:rsid w:val="00040723"/>
    <w:rsid w:val="000408AB"/>
    <w:rsid w:val="000408B7"/>
    <w:rsid w:val="00040C04"/>
    <w:rsid w:val="00040D02"/>
    <w:rsid w:val="00040E81"/>
    <w:rsid w:val="00040EB4"/>
    <w:rsid w:val="00040F53"/>
    <w:rsid w:val="00040FDE"/>
    <w:rsid w:val="0004105F"/>
    <w:rsid w:val="000410CA"/>
    <w:rsid w:val="000411A2"/>
    <w:rsid w:val="0004144C"/>
    <w:rsid w:val="00041476"/>
    <w:rsid w:val="0004148C"/>
    <w:rsid w:val="00041498"/>
    <w:rsid w:val="000414FE"/>
    <w:rsid w:val="00041613"/>
    <w:rsid w:val="00041916"/>
    <w:rsid w:val="0004196B"/>
    <w:rsid w:val="000419B1"/>
    <w:rsid w:val="00041A50"/>
    <w:rsid w:val="00041ABC"/>
    <w:rsid w:val="00041BB1"/>
    <w:rsid w:val="00041DA9"/>
    <w:rsid w:val="00041F12"/>
    <w:rsid w:val="00042076"/>
    <w:rsid w:val="00042176"/>
    <w:rsid w:val="0004218E"/>
    <w:rsid w:val="000423BD"/>
    <w:rsid w:val="000423E6"/>
    <w:rsid w:val="00042440"/>
    <w:rsid w:val="00042571"/>
    <w:rsid w:val="000425C1"/>
    <w:rsid w:val="000425EB"/>
    <w:rsid w:val="00042903"/>
    <w:rsid w:val="00042D1D"/>
    <w:rsid w:val="00042D47"/>
    <w:rsid w:val="00042F51"/>
    <w:rsid w:val="000430A6"/>
    <w:rsid w:val="000431B6"/>
    <w:rsid w:val="00043270"/>
    <w:rsid w:val="00043500"/>
    <w:rsid w:val="00043518"/>
    <w:rsid w:val="000435E6"/>
    <w:rsid w:val="00043700"/>
    <w:rsid w:val="000437CF"/>
    <w:rsid w:val="000438A2"/>
    <w:rsid w:val="0004393C"/>
    <w:rsid w:val="00043941"/>
    <w:rsid w:val="00043AC7"/>
    <w:rsid w:val="00043AE9"/>
    <w:rsid w:val="00043C13"/>
    <w:rsid w:val="00043CAF"/>
    <w:rsid w:val="00043D89"/>
    <w:rsid w:val="00043E5C"/>
    <w:rsid w:val="00043F14"/>
    <w:rsid w:val="00043FC5"/>
    <w:rsid w:val="000441F4"/>
    <w:rsid w:val="0004426D"/>
    <w:rsid w:val="00044289"/>
    <w:rsid w:val="00044292"/>
    <w:rsid w:val="000443B3"/>
    <w:rsid w:val="0004476A"/>
    <w:rsid w:val="000447D2"/>
    <w:rsid w:val="0004486C"/>
    <w:rsid w:val="00044885"/>
    <w:rsid w:val="00044ABD"/>
    <w:rsid w:val="00044ADA"/>
    <w:rsid w:val="00044D20"/>
    <w:rsid w:val="00044D44"/>
    <w:rsid w:val="00044FC7"/>
    <w:rsid w:val="00045234"/>
    <w:rsid w:val="000452A7"/>
    <w:rsid w:val="000452F7"/>
    <w:rsid w:val="000453CB"/>
    <w:rsid w:val="000458D6"/>
    <w:rsid w:val="00045976"/>
    <w:rsid w:val="00045993"/>
    <w:rsid w:val="00045B92"/>
    <w:rsid w:val="00045F05"/>
    <w:rsid w:val="00045F6C"/>
    <w:rsid w:val="0004634F"/>
    <w:rsid w:val="0004650B"/>
    <w:rsid w:val="0004675A"/>
    <w:rsid w:val="000467A7"/>
    <w:rsid w:val="00046C60"/>
    <w:rsid w:val="00046C74"/>
    <w:rsid w:val="00046D74"/>
    <w:rsid w:val="00046F3A"/>
    <w:rsid w:val="00046FB5"/>
    <w:rsid w:val="00046FC8"/>
    <w:rsid w:val="00047259"/>
    <w:rsid w:val="00047543"/>
    <w:rsid w:val="00047953"/>
    <w:rsid w:val="00047982"/>
    <w:rsid w:val="00047A36"/>
    <w:rsid w:val="00047A91"/>
    <w:rsid w:val="00047C58"/>
    <w:rsid w:val="00047D06"/>
    <w:rsid w:val="00047DD7"/>
    <w:rsid w:val="0004E66D"/>
    <w:rsid w:val="000503A2"/>
    <w:rsid w:val="000503B8"/>
    <w:rsid w:val="0005040A"/>
    <w:rsid w:val="0005041D"/>
    <w:rsid w:val="00050559"/>
    <w:rsid w:val="0005061B"/>
    <w:rsid w:val="00050713"/>
    <w:rsid w:val="000507E1"/>
    <w:rsid w:val="00050971"/>
    <w:rsid w:val="00050CE4"/>
    <w:rsid w:val="00050E52"/>
    <w:rsid w:val="00050FB3"/>
    <w:rsid w:val="000511FA"/>
    <w:rsid w:val="000514F5"/>
    <w:rsid w:val="0005158A"/>
    <w:rsid w:val="000515EE"/>
    <w:rsid w:val="00051603"/>
    <w:rsid w:val="00051857"/>
    <w:rsid w:val="00051A4C"/>
    <w:rsid w:val="00051A78"/>
    <w:rsid w:val="00051B09"/>
    <w:rsid w:val="00051BFC"/>
    <w:rsid w:val="00051C3A"/>
    <w:rsid w:val="00051D5C"/>
    <w:rsid w:val="00051DD1"/>
    <w:rsid w:val="00051E66"/>
    <w:rsid w:val="00051EEF"/>
    <w:rsid w:val="0005237A"/>
    <w:rsid w:val="000523C0"/>
    <w:rsid w:val="00052454"/>
    <w:rsid w:val="0005249A"/>
    <w:rsid w:val="0005252A"/>
    <w:rsid w:val="0005257D"/>
    <w:rsid w:val="000525C4"/>
    <w:rsid w:val="00052724"/>
    <w:rsid w:val="0005277B"/>
    <w:rsid w:val="00052850"/>
    <w:rsid w:val="00052AF7"/>
    <w:rsid w:val="00052B20"/>
    <w:rsid w:val="00052CB3"/>
    <w:rsid w:val="00052D6F"/>
    <w:rsid w:val="00052DC2"/>
    <w:rsid w:val="0005310E"/>
    <w:rsid w:val="00053388"/>
    <w:rsid w:val="00053394"/>
    <w:rsid w:val="000534FC"/>
    <w:rsid w:val="00053588"/>
    <w:rsid w:val="000536C6"/>
    <w:rsid w:val="000536F3"/>
    <w:rsid w:val="00053799"/>
    <w:rsid w:val="00053A8F"/>
    <w:rsid w:val="00053AD0"/>
    <w:rsid w:val="00053B47"/>
    <w:rsid w:val="00053C58"/>
    <w:rsid w:val="00053D1A"/>
    <w:rsid w:val="00053E60"/>
    <w:rsid w:val="00053EFD"/>
    <w:rsid w:val="0005402E"/>
    <w:rsid w:val="0005408B"/>
    <w:rsid w:val="000540B2"/>
    <w:rsid w:val="000542EB"/>
    <w:rsid w:val="0005430E"/>
    <w:rsid w:val="000543CD"/>
    <w:rsid w:val="000545E0"/>
    <w:rsid w:val="000546D3"/>
    <w:rsid w:val="00054742"/>
    <w:rsid w:val="00054A45"/>
    <w:rsid w:val="00054A5D"/>
    <w:rsid w:val="00054AB9"/>
    <w:rsid w:val="00054C6B"/>
    <w:rsid w:val="00054DA3"/>
    <w:rsid w:val="00054E4E"/>
    <w:rsid w:val="00054F5C"/>
    <w:rsid w:val="00055047"/>
    <w:rsid w:val="0005510D"/>
    <w:rsid w:val="00055430"/>
    <w:rsid w:val="000554B6"/>
    <w:rsid w:val="000554C9"/>
    <w:rsid w:val="000555A4"/>
    <w:rsid w:val="000555AA"/>
    <w:rsid w:val="00055601"/>
    <w:rsid w:val="000557E5"/>
    <w:rsid w:val="00055931"/>
    <w:rsid w:val="000559A9"/>
    <w:rsid w:val="000559FB"/>
    <w:rsid w:val="00055AEB"/>
    <w:rsid w:val="00055C72"/>
    <w:rsid w:val="00055D6D"/>
    <w:rsid w:val="00056024"/>
    <w:rsid w:val="000561ED"/>
    <w:rsid w:val="000561F0"/>
    <w:rsid w:val="0005626A"/>
    <w:rsid w:val="00056414"/>
    <w:rsid w:val="00056551"/>
    <w:rsid w:val="00056911"/>
    <w:rsid w:val="00056C91"/>
    <w:rsid w:val="00056D29"/>
    <w:rsid w:val="00056EC2"/>
    <w:rsid w:val="00056F90"/>
    <w:rsid w:val="00056FF1"/>
    <w:rsid w:val="00056FFD"/>
    <w:rsid w:val="0005714E"/>
    <w:rsid w:val="000571E9"/>
    <w:rsid w:val="00057485"/>
    <w:rsid w:val="0005748F"/>
    <w:rsid w:val="000574CC"/>
    <w:rsid w:val="000574E4"/>
    <w:rsid w:val="0005757B"/>
    <w:rsid w:val="00057651"/>
    <w:rsid w:val="0005785C"/>
    <w:rsid w:val="0005793E"/>
    <w:rsid w:val="00057F2C"/>
    <w:rsid w:val="00060032"/>
    <w:rsid w:val="00060048"/>
    <w:rsid w:val="00060287"/>
    <w:rsid w:val="0006050B"/>
    <w:rsid w:val="0006079A"/>
    <w:rsid w:val="00060824"/>
    <w:rsid w:val="000608CE"/>
    <w:rsid w:val="00060972"/>
    <w:rsid w:val="000609EE"/>
    <w:rsid w:val="00060B9F"/>
    <w:rsid w:val="00060C7B"/>
    <w:rsid w:val="00060D13"/>
    <w:rsid w:val="000610B3"/>
    <w:rsid w:val="000612AE"/>
    <w:rsid w:val="00061302"/>
    <w:rsid w:val="0006139A"/>
    <w:rsid w:val="00061449"/>
    <w:rsid w:val="000615C6"/>
    <w:rsid w:val="00061619"/>
    <w:rsid w:val="0006168A"/>
    <w:rsid w:val="00061780"/>
    <w:rsid w:val="00061816"/>
    <w:rsid w:val="00061827"/>
    <w:rsid w:val="00061884"/>
    <w:rsid w:val="00061A9C"/>
    <w:rsid w:val="00061C9C"/>
    <w:rsid w:val="00061D1E"/>
    <w:rsid w:val="00061D71"/>
    <w:rsid w:val="00061D82"/>
    <w:rsid w:val="00061DB1"/>
    <w:rsid w:val="00061DE2"/>
    <w:rsid w:val="00062045"/>
    <w:rsid w:val="0006211C"/>
    <w:rsid w:val="00062277"/>
    <w:rsid w:val="000623FF"/>
    <w:rsid w:val="000624EC"/>
    <w:rsid w:val="00062540"/>
    <w:rsid w:val="00062575"/>
    <w:rsid w:val="0006263D"/>
    <w:rsid w:val="000626BA"/>
    <w:rsid w:val="000627BB"/>
    <w:rsid w:val="00062891"/>
    <w:rsid w:val="00062AC7"/>
    <w:rsid w:val="00062B0E"/>
    <w:rsid w:val="00062C7C"/>
    <w:rsid w:val="00062DAA"/>
    <w:rsid w:val="00062E7D"/>
    <w:rsid w:val="00062F2E"/>
    <w:rsid w:val="000630BB"/>
    <w:rsid w:val="0006311D"/>
    <w:rsid w:val="00063127"/>
    <w:rsid w:val="00063273"/>
    <w:rsid w:val="000632A1"/>
    <w:rsid w:val="00063440"/>
    <w:rsid w:val="000634B5"/>
    <w:rsid w:val="0006368E"/>
    <w:rsid w:val="00063731"/>
    <w:rsid w:val="000637A9"/>
    <w:rsid w:val="00063939"/>
    <w:rsid w:val="00063B39"/>
    <w:rsid w:val="00063BBD"/>
    <w:rsid w:val="00063C7F"/>
    <w:rsid w:val="00063D08"/>
    <w:rsid w:val="00063DA8"/>
    <w:rsid w:val="00063E04"/>
    <w:rsid w:val="00063E61"/>
    <w:rsid w:val="00063FE0"/>
    <w:rsid w:val="00064295"/>
    <w:rsid w:val="00064304"/>
    <w:rsid w:val="0006457C"/>
    <w:rsid w:val="0006465F"/>
    <w:rsid w:val="00064688"/>
    <w:rsid w:val="000647AD"/>
    <w:rsid w:val="00064CFB"/>
    <w:rsid w:val="00065075"/>
    <w:rsid w:val="000650D6"/>
    <w:rsid w:val="00065114"/>
    <w:rsid w:val="00065329"/>
    <w:rsid w:val="000654B8"/>
    <w:rsid w:val="000654CB"/>
    <w:rsid w:val="0006550E"/>
    <w:rsid w:val="0006557A"/>
    <w:rsid w:val="000658D0"/>
    <w:rsid w:val="00065989"/>
    <w:rsid w:val="00065B40"/>
    <w:rsid w:val="00065B7B"/>
    <w:rsid w:val="00065CE6"/>
    <w:rsid w:val="00065EB4"/>
    <w:rsid w:val="0006611F"/>
    <w:rsid w:val="000662FD"/>
    <w:rsid w:val="000663EE"/>
    <w:rsid w:val="00066463"/>
    <w:rsid w:val="0006651A"/>
    <w:rsid w:val="000667ED"/>
    <w:rsid w:val="00066819"/>
    <w:rsid w:val="0006681D"/>
    <w:rsid w:val="00066843"/>
    <w:rsid w:val="000669D5"/>
    <w:rsid w:val="00066A25"/>
    <w:rsid w:val="00066A4B"/>
    <w:rsid w:val="00066CDF"/>
    <w:rsid w:val="00066DD0"/>
    <w:rsid w:val="00066F5F"/>
    <w:rsid w:val="00066FD9"/>
    <w:rsid w:val="000670CB"/>
    <w:rsid w:val="0006710B"/>
    <w:rsid w:val="00067129"/>
    <w:rsid w:val="0006727A"/>
    <w:rsid w:val="0006752F"/>
    <w:rsid w:val="000677AF"/>
    <w:rsid w:val="000677CC"/>
    <w:rsid w:val="0006783A"/>
    <w:rsid w:val="00067A55"/>
    <w:rsid w:val="00067AB0"/>
    <w:rsid w:val="00067BBC"/>
    <w:rsid w:val="00067EFC"/>
    <w:rsid w:val="00067F9B"/>
    <w:rsid w:val="00067FC5"/>
    <w:rsid w:val="0006F6A2"/>
    <w:rsid w:val="00070291"/>
    <w:rsid w:val="00070449"/>
    <w:rsid w:val="0007046C"/>
    <w:rsid w:val="000705FD"/>
    <w:rsid w:val="000706F3"/>
    <w:rsid w:val="00070708"/>
    <w:rsid w:val="0007097C"/>
    <w:rsid w:val="00070AA9"/>
    <w:rsid w:val="00070C27"/>
    <w:rsid w:val="00070C9C"/>
    <w:rsid w:val="00070CB3"/>
    <w:rsid w:val="000710E4"/>
    <w:rsid w:val="00071287"/>
    <w:rsid w:val="000712F4"/>
    <w:rsid w:val="000713B9"/>
    <w:rsid w:val="000713C4"/>
    <w:rsid w:val="000714E7"/>
    <w:rsid w:val="0007157C"/>
    <w:rsid w:val="00071603"/>
    <w:rsid w:val="0007166A"/>
    <w:rsid w:val="000717BC"/>
    <w:rsid w:val="00071907"/>
    <w:rsid w:val="00071996"/>
    <w:rsid w:val="00071A40"/>
    <w:rsid w:val="00071A72"/>
    <w:rsid w:val="00071C78"/>
    <w:rsid w:val="00071E2A"/>
    <w:rsid w:val="00071EAB"/>
    <w:rsid w:val="00071F76"/>
    <w:rsid w:val="00072014"/>
    <w:rsid w:val="000720A4"/>
    <w:rsid w:val="00072275"/>
    <w:rsid w:val="00072344"/>
    <w:rsid w:val="0007237F"/>
    <w:rsid w:val="000723B0"/>
    <w:rsid w:val="0007247D"/>
    <w:rsid w:val="000724CB"/>
    <w:rsid w:val="00072818"/>
    <w:rsid w:val="000729A9"/>
    <w:rsid w:val="00072D9F"/>
    <w:rsid w:val="00072F3A"/>
    <w:rsid w:val="00072F4E"/>
    <w:rsid w:val="00072F9E"/>
    <w:rsid w:val="00073024"/>
    <w:rsid w:val="00073058"/>
    <w:rsid w:val="00073252"/>
    <w:rsid w:val="0007333F"/>
    <w:rsid w:val="0007348F"/>
    <w:rsid w:val="00073626"/>
    <w:rsid w:val="00073893"/>
    <w:rsid w:val="000738E8"/>
    <w:rsid w:val="000739D2"/>
    <w:rsid w:val="00073B00"/>
    <w:rsid w:val="00073B0B"/>
    <w:rsid w:val="00073C12"/>
    <w:rsid w:val="00073C43"/>
    <w:rsid w:val="00073E9E"/>
    <w:rsid w:val="00073F1F"/>
    <w:rsid w:val="0007410F"/>
    <w:rsid w:val="000741B7"/>
    <w:rsid w:val="00074249"/>
    <w:rsid w:val="00074336"/>
    <w:rsid w:val="00074522"/>
    <w:rsid w:val="0007453F"/>
    <w:rsid w:val="000745D0"/>
    <w:rsid w:val="000747B0"/>
    <w:rsid w:val="00074926"/>
    <w:rsid w:val="00074B13"/>
    <w:rsid w:val="00074B1D"/>
    <w:rsid w:val="00074B5B"/>
    <w:rsid w:val="00074C24"/>
    <w:rsid w:val="00074EE3"/>
    <w:rsid w:val="00074EF6"/>
    <w:rsid w:val="00074FA7"/>
    <w:rsid w:val="00074FBD"/>
    <w:rsid w:val="00075002"/>
    <w:rsid w:val="00075167"/>
    <w:rsid w:val="00075184"/>
    <w:rsid w:val="000752DD"/>
    <w:rsid w:val="00075522"/>
    <w:rsid w:val="000755C1"/>
    <w:rsid w:val="00075613"/>
    <w:rsid w:val="0007584B"/>
    <w:rsid w:val="00075967"/>
    <w:rsid w:val="00075B28"/>
    <w:rsid w:val="00075CAC"/>
    <w:rsid w:val="00075D3E"/>
    <w:rsid w:val="00075D7E"/>
    <w:rsid w:val="00075EDB"/>
    <w:rsid w:val="00076276"/>
    <w:rsid w:val="00076324"/>
    <w:rsid w:val="00076436"/>
    <w:rsid w:val="0007647C"/>
    <w:rsid w:val="000764DD"/>
    <w:rsid w:val="0007678B"/>
    <w:rsid w:val="00076883"/>
    <w:rsid w:val="00076887"/>
    <w:rsid w:val="000769C2"/>
    <w:rsid w:val="00076C7A"/>
    <w:rsid w:val="00076C7D"/>
    <w:rsid w:val="00076CA3"/>
    <w:rsid w:val="00076CEC"/>
    <w:rsid w:val="00076CFA"/>
    <w:rsid w:val="00076D1E"/>
    <w:rsid w:val="00076D8F"/>
    <w:rsid w:val="00076F17"/>
    <w:rsid w:val="000770EF"/>
    <w:rsid w:val="000770FE"/>
    <w:rsid w:val="00077122"/>
    <w:rsid w:val="000771FF"/>
    <w:rsid w:val="000772A5"/>
    <w:rsid w:val="00077346"/>
    <w:rsid w:val="00077489"/>
    <w:rsid w:val="0007752F"/>
    <w:rsid w:val="00077636"/>
    <w:rsid w:val="00077651"/>
    <w:rsid w:val="000776AE"/>
    <w:rsid w:val="000776BC"/>
    <w:rsid w:val="000777C2"/>
    <w:rsid w:val="00077828"/>
    <w:rsid w:val="00077835"/>
    <w:rsid w:val="000778A5"/>
    <w:rsid w:val="00077954"/>
    <w:rsid w:val="00077BEC"/>
    <w:rsid w:val="00077E9F"/>
    <w:rsid w:val="00080082"/>
    <w:rsid w:val="00080131"/>
    <w:rsid w:val="0008028F"/>
    <w:rsid w:val="00080297"/>
    <w:rsid w:val="00080359"/>
    <w:rsid w:val="000803C9"/>
    <w:rsid w:val="0008046F"/>
    <w:rsid w:val="000806B8"/>
    <w:rsid w:val="00080791"/>
    <w:rsid w:val="00080794"/>
    <w:rsid w:val="000807A4"/>
    <w:rsid w:val="00080878"/>
    <w:rsid w:val="0008093E"/>
    <w:rsid w:val="000809F5"/>
    <w:rsid w:val="00080B70"/>
    <w:rsid w:val="00080E52"/>
    <w:rsid w:val="00080F66"/>
    <w:rsid w:val="00081069"/>
    <w:rsid w:val="00081155"/>
    <w:rsid w:val="00081169"/>
    <w:rsid w:val="00081202"/>
    <w:rsid w:val="00081340"/>
    <w:rsid w:val="000813FA"/>
    <w:rsid w:val="00081456"/>
    <w:rsid w:val="00081466"/>
    <w:rsid w:val="0008146E"/>
    <w:rsid w:val="000819AC"/>
    <w:rsid w:val="000819EC"/>
    <w:rsid w:val="00081C1B"/>
    <w:rsid w:val="00081CBF"/>
    <w:rsid w:val="00081D7A"/>
    <w:rsid w:val="00081DAF"/>
    <w:rsid w:val="00081E59"/>
    <w:rsid w:val="00081F1D"/>
    <w:rsid w:val="00082362"/>
    <w:rsid w:val="00082701"/>
    <w:rsid w:val="0008278B"/>
    <w:rsid w:val="00082827"/>
    <w:rsid w:val="000828AD"/>
    <w:rsid w:val="0008293D"/>
    <w:rsid w:val="00082BE0"/>
    <w:rsid w:val="00082C8F"/>
    <w:rsid w:val="00082CAC"/>
    <w:rsid w:val="00082CAF"/>
    <w:rsid w:val="00082F56"/>
    <w:rsid w:val="00082F62"/>
    <w:rsid w:val="0008317B"/>
    <w:rsid w:val="000831F7"/>
    <w:rsid w:val="000834DE"/>
    <w:rsid w:val="0008354C"/>
    <w:rsid w:val="00083B7C"/>
    <w:rsid w:val="00083BA0"/>
    <w:rsid w:val="00083CBE"/>
    <w:rsid w:val="00083D81"/>
    <w:rsid w:val="00083F86"/>
    <w:rsid w:val="000841DA"/>
    <w:rsid w:val="000843B4"/>
    <w:rsid w:val="000846AC"/>
    <w:rsid w:val="00084998"/>
    <w:rsid w:val="00084B0E"/>
    <w:rsid w:val="00084CEA"/>
    <w:rsid w:val="00084F3E"/>
    <w:rsid w:val="000851F7"/>
    <w:rsid w:val="0008548A"/>
    <w:rsid w:val="000854E3"/>
    <w:rsid w:val="00085664"/>
    <w:rsid w:val="00085762"/>
    <w:rsid w:val="0008578C"/>
    <w:rsid w:val="00085D32"/>
    <w:rsid w:val="00085F69"/>
    <w:rsid w:val="00085FEA"/>
    <w:rsid w:val="00086193"/>
    <w:rsid w:val="0008625E"/>
    <w:rsid w:val="000863A2"/>
    <w:rsid w:val="00086400"/>
    <w:rsid w:val="0008678B"/>
    <w:rsid w:val="000867A5"/>
    <w:rsid w:val="0008684C"/>
    <w:rsid w:val="00086967"/>
    <w:rsid w:val="00086ACC"/>
    <w:rsid w:val="00086B91"/>
    <w:rsid w:val="00086B9C"/>
    <w:rsid w:val="00086C42"/>
    <w:rsid w:val="00086C5B"/>
    <w:rsid w:val="00086C8D"/>
    <w:rsid w:val="00086D67"/>
    <w:rsid w:val="00086DBB"/>
    <w:rsid w:val="00086E8A"/>
    <w:rsid w:val="000871E9"/>
    <w:rsid w:val="00087270"/>
    <w:rsid w:val="000872F2"/>
    <w:rsid w:val="00087395"/>
    <w:rsid w:val="00087443"/>
    <w:rsid w:val="0008745F"/>
    <w:rsid w:val="000874D9"/>
    <w:rsid w:val="0008769C"/>
    <w:rsid w:val="0008776A"/>
    <w:rsid w:val="000878A1"/>
    <w:rsid w:val="00087A85"/>
    <w:rsid w:val="00087A8F"/>
    <w:rsid w:val="00087A92"/>
    <w:rsid w:val="00087CC7"/>
    <w:rsid w:val="00087CE5"/>
    <w:rsid w:val="00087FEB"/>
    <w:rsid w:val="000900B5"/>
    <w:rsid w:val="00090137"/>
    <w:rsid w:val="000902EA"/>
    <w:rsid w:val="000904E0"/>
    <w:rsid w:val="00090626"/>
    <w:rsid w:val="00090665"/>
    <w:rsid w:val="0009096B"/>
    <w:rsid w:val="00090C31"/>
    <w:rsid w:val="00090C34"/>
    <w:rsid w:val="00090C84"/>
    <w:rsid w:val="00090D68"/>
    <w:rsid w:val="00090EC5"/>
    <w:rsid w:val="00090FA0"/>
    <w:rsid w:val="00091161"/>
    <w:rsid w:val="0009116C"/>
    <w:rsid w:val="0009129D"/>
    <w:rsid w:val="00091483"/>
    <w:rsid w:val="00091513"/>
    <w:rsid w:val="0009156E"/>
    <w:rsid w:val="000915DA"/>
    <w:rsid w:val="00091652"/>
    <w:rsid w:val="000918E5"/>
    <w:rsid w:val="00091AA7"/>
    <w:rsid w:val="00091B3D"/>
    <w:rsid w:val="00091D0C"/>
    <w:rsid w:val="00091E67"/>
    <w:rsid w:val="00092059"/>
    <w:rsid w:val="00092179"/>
    <w:rsid w:val="000922DB"/>
    <w:rsid w:val="0009236C"/>
    <w:rsid w:val="000924BC"/>
    <w:rsid w:val="00092738"/>
    <w:rsid w:val="0009298B"/>
    <w:rsid w:val="00092A43"/>
    <w:rsid w:val="00092ACC"/>
    <w:rsid w:val="00092B25"/>
    <w:rsid w:val="00092E30"/>
    <w:rsid w:val="000930B4"/>
    <w:rsid w:val="0009320E"/>
    <w:rsid w:val="0009322C"/>
    <w:rsid w:val="0009327A"/>
    <w:rsid w:val="000932A7"/>
    <w:rsid w:val="00093380"/>
    <w:rsid w:val="00093506"/>
    <w:rsid w:val="00093551"/>
    <w:rsid w:val="00093625"/>
    <w:rsid w:val="00093626"/>
    <w:rsid w:val="00093770"/>
    <w:rsid w:val="000939AC"/>
    <w:rsid w:val="00093AB0"/>
    <w:rsid w:val="00093D9E"/>
    <w:rsid w:val="00093DAD"/>
    <w:rsid w:val="00093DB2"/>
    <w:rsid w:val="00093E08"/>
    <w:rsid w:val="00094018"/>
    <w:rsid w:val="000944AB"/>
    <w:rsid w:val="000944BB"/>
    <w:rsid w:val="0009485D"/>
    <w:rsid w:val="00094C04"/>
    <w:rsid w:val="00094C9A"/>
    <w:rsid w:val="00094E23"/>
    <w:rsid w:val="00094F91"/>
    <w:rsid w:val="00094FB5"/>
    <w:rsid w:val="0009541A"/>
    <w:rsid w:val="000955F1"/>
    <w:rsid w:val="00095607"/>
    <w:rsid w:val="00095681"/>
    <w:rsid w:val="000958ED"/>
    <w:rsid w:val="00095CCB"/>
    <w:rsid w:val="00095EDE"/>
    <w:rsid w:val="00096260"/>
    <w:rsid w:val="0009630A"/>
    <w:rsid w:val="00096327"/>
    <w:rsid w:val="0009636C"/>
    <w:rsid w:val="00096491"/>
    <w:rsid w:val="000964AC"/>
    <w:rsid w:val="00096559"/>
    <w:rsid w:val="0009677D"/>
    <w:rsid w:val="00096B0F"/>
    <w:rsid w:val="00097097"/>
    <w:rsid w:val="00097178"/>
    <w:rsid w:val="000971A5"/>
    <w:rsid w:val="00097206"/>
    <w:rsid w:val="00097219"/>
    <w:rsid w:val="0009747A"/>
    <w:rsid w:val="0009765A"/>
    <w:rsid w:val="000977DF"/>
    <w:rsid w:val="0009788F"/>
    <w:rsid w:val="00097AE8"/>
    <w:rsid w:val="00097B1A"/>
    <w:rsid w:val="000A0183"/>
    <w:rsid w:val="000A043A"/>
    <w:rsid w:val="000A04DE"/>
    <w:rsid w:val="000A05FF"/>
    <w:rsid w:val="000A0678"/>
    <w:rsid w:val="000A067C"/>
    <w:rsid w:val="000A0772"/>
    <w:rsid w:val="000A07B8"/>
    <w:rsid w:val="000A07D4"/>
    <w:rsid w:val="000A0905"/>
    <w:rsid w:val="000A0C57"/>
    <w:rsid w:val="000A0D39"/>
    <w:rsid w:val="000A0E36"/>
    <w:rsid w:val="000A1068"/>
    <w:rsid w:val="000A1136"/>
    <w:rsid w:val="000A16A1"/>
    <w:rsid w:val="000A171D"/>
    <w:rsid w:val="000A1A10"/>
    <w:rsid w:val="000A1ACB"/>
    <w:rsid w:val="000A1E8B"/>
    <w:rsid w:val="000A2093"/>
    <w:rsid w:val="000A21FA"/>
    <w:rsid w:val="000A22B2"/>
    <w:rsid w:val="000A22E5"/>
    <w:rsid w:val="000A243E"/>
    <w:rsid w:val="000A248A"/>
    <w:rsid w:val="000A24B9"/>
    <w:rsid w:val="000A2509"/>
    <w:rsid w:val="000A2597"/>
    <w:rsid w:val="000A2674"/>
    <w:rsid w:val="000A2784"/>
    <w:rsid w:val="000A28F0"/>
    <w:rsid w:val="000A29B2"/>
    <w:rsid w:val="000A2A00"/>
    <w:rsid w:val="000A2A5F"/>
    <w:rsid w:val="000A2A7C"/>
    <w:rsid w:val="000A2A84"/>
    <w:rsid w:val="000A2ADA"/>
    <w:rsid w:val="000A2CE2"/>
    <w:rsid w:val="000A2E16"/>
    <w:rsid w:val="000A2E58"/>
    <w:rsid w:val="000A2ED2"/>
    <w:rsid w:val="000A2EDB"/>
    <w:rsid w:val="000A3174"/>
    <w:rsid w:val="000A31A1"/>
    <w:rsid w:val="000A33FB"/>
    <w:rsid w:val="000A343A"/>
    <w:rsid w:val="000A349B"/>
    <w:rsid w:val="000A3A24"/>
    <w:rsid w:val="000A3B81"/>
    <w:rsid w:val="000A3CD1"/>
    <w:rsid w:val="000A3E00"/>
    <w:rsid w:val="000A3E31"/>
    <w:rsid w:val="000A3E89"/>
    <w:rsid w:val="000A3EC3"/>
    <w:rsid w:val="000A4186"/>
    <w:rsid w:val="000A41DA"/>
    <w:rsid w:val="000A423B"/>
    <w:rsid w:val="000A428B"/>
    <w:rsid w:val="000A4348"/>
    <w:rsid w:val="000A4359"/>
    <w:rsid w:val="000A4483"/>
    <w:rsid w:val="000A459A"/>
    <w:rsid w:val="000A4681"/>
    <w:rsid w:val="000A471D"/>
    <w:rsid w:val="000A47D0"/>
    <w:rsid w:val="000A4B32"/>
    <w:rsid w:val="000A4C48"/>
    <w:rsid w:val="000A4CC2"/>
    <w:rsid w:val="000A4DD8"/>
    <w:rsid w:val="000A5062"/>
    <w:rsid w:val="000A513C"/>
    <w:rsid w:val="000A54A9"/>
    <w:rsid w:val="000A5530"/>
    <w:rsid w:val="000A55C9"/>
    <w:rsid w:val="000A55E9"/>
    <w:rsid w:val="000A56C0"/>
    <w:rsid w:val="000A56C3"/>
    <w:rsid w:val="000A571D"/>
    <w:rsid w:val="000A57E9"/>
    <w:rsid w:val="000A58D6"/>
    <w:rsid w:val="000A5984"/>
    <w:rsid w:val="000A5A13"/>
    <w:rsid w:val="000A5B8F"/>
    <w:rsid w:val="000A5B91"/>
    <w:rsid w:val="000A5D11"/>
    <w:rsid w:val="000A5E48"/>
    <w:rsid w:val="000A5FA3"/>
    <w:rsid w:val="000A6006"/>
    <w:rsid w:val="000A6047"/>
    <w:rsid w:val="000A6167"/>
    <w:rsid w:val="000A61CD"/>
    <w:rsid w:val="000A6296"/>
    <w:rsid w:val="000A62F8"/>
    <w:rsid w:val="000A63B4"/>
    <w:rsid w:val="000A6457"/>
    <w:rsid w:val="000A64C4"/>
    <w:rsid w:val="000A64D2"/>
    <w:rsid w:val="000A65C4"/>
    <w:rsid w:val="000A65D9"/>
    <w:rsid w:val="000A66EF"/>
    <w:rsid w:val="000A6775"/>
    <w:rsid w:val="000A6A4C"/>
    <w:rsid w:val="000A6C38"/>
    <w:rsid w:val="000A6D0A"/>
    <w:rsid w:val="000A6D74"/>
    <w:rsid w:val="000A6E49"/>
    <w:rsid w:val="000A70B8"/>
    <w:rsid w:val="000A70D0"/>
    <w:rsid w:val="000A7115"/>
    <w:rsid w:val="000A7217"/>
    <w:rsid w:val="000A7300"/>
    <w:rsid w:val="000A7344"/>
    <w:rsid w:val="000A73BB"/>
    <w:rsid w:val="000A7411"/>
    <w:rsid w:val="000A7609"/>
    <w:rsid w:val="000A762E"/>
    <w:rsid w:val="000A76F9"/>
    <w:rsid w:val="000A78D7"/>
    <w:rsid w:val="000A78F0"/>
    <w:rsid w:val="000A7A27"/>
    <w:rsid w:val="000A7AED"/>
    <w:rsid w:val="000A7B16"/>
    <w:rsid w:val="000A7BDA"/>
    <w:rsid w:val="000A7C4D"/>
    <w:rsid w:val="000A7C5F"/>
    <w:rsid w:val="000A7CEF"/>
    <w:rsid w:val="000A7DE0"/>
    <w:rsid w:val="000A7F50"/>
    <w:rsid w:val="000B0031"/>
    <w:rsid w:val="000B0076"/>
    <w:rsid w:val="000B00ED"/>
    <w:rsid w:val="000B015F"/>
    <w:rsid w:val="000B02C8"/>
    <w:rsid w:val="000B034C"/>
    <w:rsid w:val="000B035E"/>
    <w:rsid w:val="000B039F"/>
    <w:rsid w:val="000B071D"/>
    <w:rsid w:val="000B07C0"/>
    <w:rsid w:val="000B0962"/>
    <w:rsid w:val="000B0B31"/>
    <w:rsid w:val="000B0D82"/>
    <w:rsid w:val="000B0FA9"/>
    <w:rsid w:val="000B0FED"/>
    <w:rsid w:val="000B11B0"/>
    <w:rsid w:val="000B1282"/>
    <w:rsid w:val="000B12B4"/>
    <w:rsid w:val="000B1308"/>
    <w:rsid w:val="000B130E"/>
    <w:rsid w:val="000B1342"/>
    <w:rsid w:val="000B13CC"/>
    <w:rsid w:val="000B142C"/>
    <w:rsid w:val="000B157B"/>
    <w:rsid w:val="000B16B1"/>
    <w:rsid w:val="000B1707"/>
    <w:rsid w:val="000B17B7"/>
    <w:rsid w:val="000B185A"/>
    <w:rsid w:val="000B1991"/>
    <w:rsid w:val="000B1AD7"/>
    <w:rsid w:val="000B1AF3"/>
    <w:rsid w:val="000B1C5A"/>
    <w:rsid w:val="000B1E96"/>
    <w:rsid w:val="000B1FDE"/>
    <w:rsid w:val="000B20E6"/>
    <w:rsid w:val="000B21B8"/>
    <w:rsid w:val="000B21FA"/>
    <w:rsid w:val="000B22AA"/>
    <w:rsid w:val="000B241B"/>
    <w:rsid w:val="000B25AB"/>
    <w:rsid w:val="000B2660"/>
    <w:rsid w:val="000B2851"/>
    <w:rsid w:val="000B2BE3"/>
    <w:rsid w:val="000B2C49"/>
    <w:rsid w:val="000B2F1E"/>
    <w:rsid w:val="000B30EC"/>
    <w:rsid w:val="000B3377"/>
    <w:rsid w:val="000B3384"/>
    <w:rsid w:val="000B3483"/>
    <w:rsid w:val="000B35AA"/>
    <w:rsid w:val="000B3646"/>
    <w:rsid w:val="000B3851"/>
    <w:rsid w:val="000B38FB"/>
    <w:rsid w:val="000B3B35"/>
    <w:rsid w:val="000B3B90"/>
    <w:rsid w:val="000B3CCE"/>
    <w:rsid w:val="000B3E45"/>
    <w:rsid w:val="000B4015"/>
    <w:rsid w:val="000B4154"/>
    <w:rsid w:val="000B41C2"/>
    <w:rsid w:val="000B41CD"/>
    <w:rsid w:val="000B4271"/>
    <w:rsid w:val="000B44E0"/>
    <w:rsid w:val="000B4517"/>
    <w:rsid w:val="000B4606"/>
    <w:rsid w:val="000B471C"/>
    <w:rsid w:val="000B488F"/>
    <w:rsid w:val="000B48C8"/>
    <w:rsid w:val="000B48D8"/>
    <w:rsid w:val="000B4BEA"/>
    <w:rsid w:val="000B4C87"/>
    <w:rsid w:val="000B4D92"/>
    <w:rsid w:val="000B4EA5"/>
    <w:rsid w:val="000B507D"/>
    <w:rsid w:val="000B50D2"/>
    <w:rsid w:val="000B51BB"/>
    <w:rsid w:val="000B52A3"/>
    <w:rsid w:val="000B5387"/>
    <w:rsid w:val="000B5540"/>
    <w:rsid w:val="000B5579"/>
    <w:rsid w:val="000B5868"/>
    <w:rsid w:val="000B5998"/>
    <w:rsid w:val="000B59CB"/>
    <w:rsid w:val="000B5AC1"/>
    <w:rsid w:val="000B5AD5"/>
    <w:rsid w:val="000B5B10"/>
    <w:rsid w:val="000B5BAC"/>
    <w:rsid w:val="000B5BBA"/>
    <w:rsid w:val="000B5C7E"/>
    <w:rsid w:val="000B5DBE"/>
    <w:rsid w:val="000B61B6"/>
    <w:rsid w:val="000B6301"/>
    <w:rsid w:val="000B636C"/>
    <w:rsid w:val="000B63D3"/>
    <w:rsid w:val="000B640B"/>
    <w:rsid w:val="000B64EF"/>
    <w:rsid w:val="000B65EE"/>
    <w:rsid w:val="000B664F"/>
    <w:rsid w:val="000B6881"/>
    <w:rsid w:val="000B6910"/>
    <w:rsid w:val="000B6A08"/>
    <w:rsid w:val="000B6A64"/>
    <w:rsid w:val="000B6C76"/>
    <w:rsid w:val="000B6CB7"/>
    <w:rsid w:val="000B6DC2"/>
    <w:rsid w:val="000B707F"/>
    <w:rsid w:val="000B754E"/>
    <w:rsid w:val="000B7587"/>
    <w:rsid w:val="000B75D4"/>
    <w:rsid w:val="000B7B2F"/>
    <w:rsid w:val="000B7C9F"/>
    <w:rsid w:val="000B7CFF"/>
    <w:rsid w:val="000B7D1B"/>
    <w:rsid w:val="000B7D28"/>
    <w:rsid w:val="000B7ECB"/>
    <w:rsid w:val="000B7F87"/>
    <w:rsid w:val="000C000A"/>
    <w:rsid w:val="000C0230"/>
    <w:rsid w:val="000C036C"/>
    <w:rsid w:val="000C043D"/>
    <w:rsid w:val="000C05A1"/>
    <w:rsid w:val="000C075E"/>
    <w:rsid w:val="000C0872"/>
    <w:rsid w:val="000C0A72"/>
    <w:rsid w:val="000C0CC2"/>
    <w:rsid w:val="000C0D45"/>
    <w:rsid w:val="000C11AD"/>
    <w:rsid w:val="000C1285"/>
    <w:rsid w:val="000C13CC"/>
    <w:rsid w:val="000C1465"/>
    <w:rsid w:val="000C164C"/>
    <w:rsid w:val="000C1F85"/>
    <w:rsid w:val="000C1F9C"/>
    <w:rsid w:val="000C1FE8"/>
    <w:rsid w:val="000C1FF3"/>
    <w:rsid w:val="000C2351"/>
    <w:rsid w:val="000C269E"/>
    <w:rsid w:val="000C27BC"/>
    <w:rsid w:val="000C2BFF"/>
    <w:rsid w:val="000C2C0A"/>
    <w:rsid w:val="000C2CA3"/>
    <w:rsid w:val="000C2CDE"/>
    <w:rsid w:val="000C2E8E"/>
    <w:rsid w:val="000C2FD4"/>
    <w:rsid w:val="000C318C"/>
    <w:rsid w:val="000C320A"/>
    <w:rsid w:val="000C3210"/>
    <w:rsid w:val="000C32D2"/>
    <w:rsid w:val="000C32F5"/>
    <w:rsid w:val="000C3390"/>
    <w:rsid w:val="000C347A"/>
    <w:rsid w:val="000C3648"/>
    <w:rsid w:val="000C3676"/>
    <w:rsid w:val="000C368F"/>
    <w:rsid w:val="000C37F0"/>
    <w:rsid w:val="000C3827"/>
    <w:rsid w:val="000C38AA"/>
    <w:rsid w:val="000C39B0"/>
    <w:rsid w:val="000C39D6"/>
    <w:rsid w:val="000C3AA7"/>
    <w:rsid w:val="000C3BD4"/>
    <w:rsid w:val="000C3CD3"/>
    <w:rsid w:val="000C3DED"/>
    <w:rsid w:val="000C3EC1"/>
    <w:rsid w:val="000C400F"/>
    <w:rsid w:val="000C4032"/>
    <w:rsid w:val="000C41BB"/>
    <w:rsid w:val="000C4397"/>
    <w:rsid w:val="000C43A9"/>
    <w:rsid w:val="000C440C"/>
    <w:rsid w:val="000C4490"/>
    <w:rsid w:val="000C44AD"/>
    <w:rsid w:val="000C4972"/>
    <w:rsid w:val="000C4AFB"/>
    <w:rsid w:val="000C4B1A"/>
    <w:rsid w:val="000C4CBC"/>
    <w:rsid w:val="000C4DAF"/>
    <w:rsid w:val="000C4F88"/>
    <w:rsid w:val="000C50CB"/>
    <w:rsid w:val="000C5572"/>
    <w:rsid w:val="000C5622"/>
    <w:rsid w:val="000C58A7"/>
    <w:rsid w:val="000C5B68"/>
    <w:rsid w:val="000C5B95"/>
    <w:rsid w:val="000C5C44"/>
    <w:rsid w:val="000C5D88"/>
    <w:rsid w:val="000C5F11"/>
    <w:rsid w:val="000C5F16"/>
    <w:rsid w:val="000C5FDE"/>
    <w:rsid w:val="000C620E"/>
    <w:rsid w:val="000C6299"/>
    <w:rsid w:val="000C6450"/>
    <w:rsid w:val="000C64B3"/>
    <w:rsid w:val="000C698E"/>
    <w:rsid w:val="000C6A2C"/>
    <w:rsid w:val="000C6A7E"/>
    <w:rsid w:val="000C6C68"/>
    <w:rsid w:val="000C6C6D"/>
    <w:rsid w:val="000C6C8E"/>
    <w:rsid w:val="000C6E37"/>
    <w:rsid w:val="000C6E6E"/>
    <w:rsid w:val="000C6F24"/>
    <w:rsid w:val="000C6F30"/>
    <w:rsid w:val="000C6F46"/>
    <w:rsid w:val="000C6F88"/>
    <w:rsid w:val="000C7009"/>
    <w:rsid w:val="000C71FB"/>
    <w:rsid w:val="000C723A"/>
    <w:rsid w:val="000C733C"/>
    <w:rsid w:val="000C7569"/>
    <w:rsid w:val="000C757E"/>
    <w:rsid w:val="000C75F0"/>
    <w:rsid w:val="000C7668"/>
    <w:rsid w:val="000C76A8"/>
    <w:rsid w:val="000C77EC"/>
    <w:rsid w:val="000C782D"/>
    <w:rsid w:val="000C78B9"/>
    <w:rsid w:val="000C7930"/>
    <w:rsid w:val="000C7B5C"/>
    <w:rsid w:val="000C7BB4"/>
    <w:rsid w:val="000C7F7D"/>
    <w:rsid w:val="000D0176"/>
    <w:rsid w:val="000D01DB"/>
    <w:rsid w:val="000D0387"/>
    <w:rsid w:val="000D0410"/>
    <w:rsid w:val="000D0471"/>
    <w:rsid w:val="000D04B1"/>
    <w:rsid w:val="000D052B"/>
    <w:rsid w:val="000D064C"/>
    <w:rsid w:val="000D06E7"/>
    <w:rsid w:val="000D06EC"/>
    <w:rsid w:val="000D074D"/>
    <w:rsid w:val="000D0825"/>
    <w:rsid w:val="000D0859"/>
    <w:rsid w:val="000D09DE"/>
    <w:rsid w:val="000D0A74"/>
    <w:rsid w:val="000D0B5D"/>
    <w:rsid w:val="000D0EBE"/>
    <w:rsid w:val="000D0FEC"/>
    <w:rsid w:val="000D1014"/>
    <w:rsid w:val="000D1221"/>
    <w:rsid w:val="000D122A"/>
    <w:rsid w:val="000D12D5"/>
    <w:rsid w:val="000D131E"/>
    <w:rsid w:val="000D1436"/>
    <w:rsid w:val="000D17A8"/>
    <w:rsid w:val="000D1A88"/>
    <w:rsid w:val="000D1ADA"/>
    <w:rsid w:val="000D1BDE"/>
    <w:rsid w:val="000D1DA0"/>
    <w:rsid w:val="000D2090"/>
    <w:rsid w:val="000D20C0"/>
    <w:rsid w:val="000D2421"/>
    <w:rsid w:val="000D2495"/>
    <w:rsid w:val="000D24C0"/>
    <w:rsid w:val="000D2501"/>
    <w:rsid w:val="000D25C7"/>
    <w:rsid w:val="000D26F0"/>
    <w:rsid w:val="000D2753"/>
    <w:rsid w:val="000D28C2"/>
    <w:rsid w:val="000D2934"/>
    <w:rsid w:val="000D2B3D"/>
    <w:rsid w:val="000D2CFD"/>
    <w:rsid w:val="000D2ED4"/>
    <w:rsid w:val="000D2F14"/>
    <w:rsid w:val="000D307C"/>
    <w:rsid w:val="000D3116"/>
    <w:rsid w:val="000D319F"/>
    <w:rsid w:val="000D3420"/>
    <w:rsid w:val="000D35C5"/>
    <w:rsid w:val="000D36F9"/>
    <w:rsid w:val="000D37CE"/>
    <w:rsid w:val="000D387B"/>
    <w:rsid w:val="000D3881"/>
    <w:rsid w:val="000D38DC"/>
    <w:rsid w:val="000D3B2B"/>
    <w:rsid w:val="000D3C0D"/>
    <w:rsid w:val="000D3CAE"/>
    <w:rsid w:val="000D3E4B"/>
    <w:rsid w:val="000D3F47"/>
    <w:rsid w:val="000D3F5A"/>
    <w:rsid w:val="000D412F"/>
    <w:rsid w:val="000D4171"/>
    <w:rsid w:val="000D41A9"/>
    <w:rsid w:val="000D41F4"/>
    <w:rsid w:val="000D42B5"/>
    <w:rsid w:val="000D44D7"/>
    <w:rsid w:val="000D4504"/>
    <w:rsid w:val="000D4572"/>
    <w:rsid w:val="000D468E"/>
    <w:rsid w:val="000D4706"/>
    <w:rsid w:val="000D4797"/>
    <w:rsid w:val="000D4946"/>
    <w:rsid w:val="000D4999"/>
    <w:rsid w:val="000D4B14"/>
    <w:rsid w:val="000D4C0B"/>
    <w:rsid w:val="000D4C6B"/>
    <w:rsid w:val="000D4CCC"/>
    <w:rsid w:val="000D4DFA"/>
    <w:rsid w:val="000D4E57"/>
    <w:rsid w:val="000D4EF5"/>
    <w:rsid w:val="000D4EFB"/>
    <w:rsid w:val="000D50F1"/>
    <w:rsid w:val="000D52CF"/>
    <w:rsid w:val="000D5372"/>
    <w:rsid w:val="000D5677"/>
    <w:rsid w:val="000D5941"/>
    <w:rsid w:val="000D5967"/>
    <w:rsid w:val="000D5D76"/>
    <w:rsid w:val="000D5F69"/>
    <w:rsid w:val="000D5FB8"/>
    <w:rsid w:val="000D5FFD"/>
    <w:rsid w:val="000D6176"/>
    <w:rsid w:val="000D6475"/>
    <w:rsid w:val="000D6482"/>
    <w:rsid w:val="000D64FF"/>
    <w:rsid w:val="000D6614"/>
    <w:rsid w:val="000D6659"/>
    <w:rsid w:val="000D66AF"/>
    <w:rsid w:val="000D66D4"/>
    <w:rsid w:val="000D6A12"/>
    <w:rsid w:val="000D6AF6"/>
    <w:rsid w:val="000D6E29"/>
    <w:rsid w:val="000D6F0D"/>
    <w:rsid w:val="000D6F10"/>
    <w:rsid w:val="000D6F3B"/>
    <w:rsid w:val="000D7128"/>
    <w:rsid w:val="000D72B6"/>
    <w:rsid w:val="000D7373"/>
    <w:rsid w:val="000D73A1"/>
    <w:rsid w:val="000D73BF"/>
    <w:rsid w:val="000D73C9"/>
    <w:rsid w:val="000D748D"/>
    <w:rsid w:val="000D75CC"/>
    <w:rsid w:val="000D7644"/>
    <w:rsid w:val="000D7745"/>
    <w:rsid w:val="000D7753"/>
    <w:rsid w:val="000D7774"/>
    <w:rsid w:val="000D7819"/>
    <w:rsid w:val="000D7AC2"/>
    <w:rsid w:val="000D7AEE"/>
    <w:rsid w:val="000D7B5D"/>
    <w:rsid w:val="000D7C35"/>
    <w:rsid w:val="000D7C51"/>
    <w:rsid w:val="000D7CD9"/>
    <w:rsid w:val="000D7F5B"/>
    <w:rsid w:val="000D7F6B"/>
    <w:rsid w:val="000E0068"/>
    <w:rsid w:val="000E00B4"/>
    <w:rsid w:val="000E0102"/>
    <w:rsid w:val="000E0171"/>
    <w:rsid w:val="000E01D2"/>
    <w:rsid w:val="000E028D"/>
    <w:rsid w:val="000E0312"/>
    <w:rsid w:val="000E03E0"/>
    <w:rsid w:val="000E0518"/>
    <w:rsid w:val="000E063B"/>
    <w:rsid w:val="000E0641"/>
    <w:rsid w:val="000E064B"/>
    <w:rsid w:val="000E0793"/>
    <w:rsid w:val="000E09C5"/>
    <w:rsid w:val="000E0D83"/>
    <w:rsid w:val="000E0DB5"/>
    <w:rsid w:val="000E1182"/>
    <w:rsid w:val="000E1223"/>
    <w:rsid w:val="000E1231"/>
    <w:rsid w:val="000E12DE"/>
    <w:rsid w:val="000E12E0"/>
    <w:rsid w:val="000E13A3"/>
    <w:rsid w:val="000E16B1"/>
    <w:rsid w:val="000E1777"/>
    <w:rsid w:val="000E19E9"/>
    <w:rsid w:val="000E1C00"/>
    <w:rsid w:val="000E1C36"/>
    <w:rsid w:val="000E1F2E"/>
    <w:rsid w:val="000E20A9"/>
    <w:rsid w:val="000E2176"/>
    <w:rsid w:val="000E2485"/>
    <w:rsid w:val="000E2691"/>
    <w:rsid w:val="000E26A6"/>
    <w:rsid w:val="000E271F"/>
    <w:rsid w:val="000E28C4"/>
    <w:rsid w:val="000E2941"/>
    <w:rsid w:val="000E2BFA"/>
    <w:rsid w:val="000E2C19"/>
    <w:rsid w:val="000E2E35"/>
    <w:rsid w:val="000E2F22"/>
    <w:rsid w:val="000E345A"/>
    <w:rsid w:val="000E3557"/>
    <w:rsid w:val="000E3598"/>
    <w:rsid w:val="000E35D0"/>
    <w:rsid w:val="000E35EE"/>
    <w:rsid w:val="000E38AA"/>
    <w:rsid w:val="000E39A1"/>
    <w:rsid w:val="000E3BFB"/>
    <w:rsid w:val="000E3E18"/>
    <w:rsid w:val="000E3F53"/>
    <w:rsid w:val="000E3F98"/>
    <w:rsid w:val="000E3FAE"/>
    <w:rsid w:val="000E400B"/>
    <w:rsid w:val="000E40DB"/>
    <w:rsid w:val="000E4141"/>
    <w:rsid w:val="000E41C2"/>
    <w:rsid w:val="000E4378"/>
    <w:rsid w:val="000E4452"/>
    <w:rsid w:val="000E45F2"/>
    <w:rsid w:val="000E4680"/>
    <w:rsid w:val="000E46BA"/>
    <w:rsid w:val="000E46DF"/>
    <w:rsid w:val="000E48E7"/>
    <w:rsid w:val="000E4946"/>
    <w:rsid w:val="000E4AE8"/>
    <w:rsid w:val="000E4C5B"/>
    <w:rsid w:val="000E4C70"/>
    <w:rsid w:val="000E4CC3"/>
    <w:rsid w:val="000E4D74"/>
    <w:rsid w:val="000E4E23"/>
    <w:rsid w:val="000E5431"/>
    <w:rsid w:val="000E56E4"/>
    <w:rsid w:val="000E5891"/>
    <w:rsid w:val="000E58D6"/>
    <w:rsid w:val="000E5C19"/>
    <w:rsid w:val="000E5DD3"/>
    <w:rsid w:val="000E5E78"/>
    <w:rsid w:val="000E5EF1"/>
    <w:rsid w:val="000E6042"/>
    <w:rsid w:val="000E65D6"/>
    <w:rsid w:val="000E65FE"/>
    <w:rsid w:val="000E68BF"/>
    <w:rsid w:val="000E68C1"/>
    <w:rsid w:val="000E6A90"/>
    <w:rsid w:val="000E6AB1"/>
    <w:rsid w:val="000E6CC6"/>
    <w:rsid w:val="000E6CD5"/>
    <w:rsid w:val="000E6D38"/>
    <w:rsid w:val="000E6D5E"/>
    <w:rsid w:val="000E705B"/>
    <w:rsid w:val="000E712E"/>
    <w:rsid w:val="000E7166"/>
    <w:rsid w:val="000E7171"/>
    <w:rsid w:val="000E7181"/>
    <w:rsid w:val="000E766D"/>
    <w:rsid w:val="000E76DD"/>
    <w:rsid w:val="000E79F7"/>
    <w:rsid w:val="000E7A3F"/>
    <w:rsid w:val="000E7BEC"/>
    <w:rsid w:val="000E7C10"/>
    <w:rsid w:val="000E7C5F"/>
    <w:rsid w:val="000E7E77"/>
    <w:rsid w:val="000E7FB8"/>
    <w:rsid w:val="000E8984"/>
    <w:rsid w:val="000EF676"/>
    <w:rsid w:val="000F002C"/>
    <w:rsid w:val="000F0228"/>
    <w:rsid w:val="000F031B"/>
    <w:rsid w:val="000F0385"/>
    <w:rsid w:val="000F0457"/>
    <w:rsid w:val="000F073C"/>
    <w:rsid w:val="000F084F"/>
    <w:rsid w:val="000F0977"/>
    <w:rsid w:val="000F0AB0"/>
    <w:rsid w:val="000F0CD5"/>
    <w:rsid w:val="000F0E73"/>
    <w:rsid w:val="000F0EBA"/>
    <w:rsid w:val="000F0FB7"/>
    <w:rsid w:val="000F1017"/>
    <w:rsid w:val="000F1238"/>
    <w:rsid w:val="000F12A1"/>
    <w:rsid w:val="000F12F9"/>
    <w:rsid w:val="000F148F"/>
    <w:rsid w:val="000F149D"/>
    <w:rsid w:val="000F1573"/>
    <w:rsid w:val="000F19F2"/>
    <w:rsid w:val="000F1B6F"/>
    <w:rsid w:val="000F1BB3"/>
    <w:rsid w:val="000F1C12"/>
    <w:rsid w:val="000F1C35"/>
    <w:rsid w:val="000F1D53"/>
    <w:rsid w:val="000F1D67"/>
    <w:rsid w:val="000F20C0"/>
    <w:rsid w:val="000F215C"/>
    <w:rsid w:val="000F2279"/>
    <w:rsid w:val="000F22F4"/>
    <w:rsid w:val="000F24A2"/>
    <w:rsid w:val="000F2682"/>
    <w:rsid w:val="000F2821"/>
    <w:rsid w:val="000F2965"/>
    <w:rsid w:val="000F2B6A"/>
    <w:rsid w:val="000F2BEC"/>
    <w:rsid w:val="000F2C0B"/>
    <w:rsid w:val="000F2CAB"/>
    <w:rsid w:val="000F2EF8"/>
    <w:rsid w:val="000F31BC"/>
    <w:rsid w:val="000F3362"/>
    <w:rsid w:val="000F36A7"/>
    <w:rsid w:val="000F380A"/>
    <w:rsid w:val="000F3A4B"/>
    <w:rsid w:val="000F3AB5"/>
    <w:rsid w:val="000F3ADC"/>
    <w:rsid w:val="000F3B4A"/>
    <w:rsid w:val="000F3C0C"/>
    <w:rsid w:val="000F3C57"/>
    <w:rsid w:val="000F3C71"/>
    <w:rsid w:val="000F3CA5"/>
    <w:rsid w:val="000F3D13"/>
    <w:rsid w:val="000F3D5C"/>
    <w:rsid w:val="000F3F13"/>
    <w:rsid w:val="000F3FA3"/>
    <w:rsid w:val="000F4149"/>
    <w:rsid w:val="000F436A"/>
    <w:rsid w:val="000F43D7"/>
    <w:rsid w:val="000F471B"/>
    <w:rsid w:val="000F4753"/>
    <w:rsid w:val="000F47F5"/>
    <w:rsid w:val="000F48BF"/>
    <w:rsid w:val="000F4AD3"/>
    <w:rsid w:val="000F4BBA"/>
    <w:rsid w:val="000F4D11"/>
    <w:rsid w:val="000F4D26"/>
    <w:rsid w:val="000F4FB1"/>
    <w:rsid w:val="000F504F"/>
    <w:rsid w:val="000F5123"/>
    <w:rsid w:val="000F52F9"/>
    <w:rsid w:val="000F5323"/>
    <w:rsid w:val="000F5623"/>
    <w:rsid w:val="000F585F"/>
    <w:rsid w:val="000F5987"/>
    <w:rsid w:val="000F59FB"/>
    <w:rsid w:val="000F5A3D"/>
    <w:rsid w:val="000F5B8D"/>
    <w:rsid w:val="000F5C0B"/>
    <w:rsid w:val="000F5C9F"/>
    <w:rsid w:val="000F5D84"/>
    <w:rsid w:val="000F5D8C"/>
    <w:rsid w:val="000F5DEC"/>
    <w:rsid w:val="000F5E55"/>
    <w:rsid w:val="000F5F87"/>
    <w:rsid w:val="000F5FEF"/>
    <w:rsid w:val="000F6093"/>
    <w:rsid w:val="000F6111"/>
    <w:rsid w:val="000F6249"/>
    <w:rsid w:val="000F63D8"/>
    <w:rsid w:val="000F63EF"/>
    <w:rsid w:val="000F65BE"/>
    <w:rsid w:val="000F66FA"/>
    <w:rsid w:val="000F67F1"/>
    <w:rsid w:val="000F6909"/>
    <w:rsid w:val="000F6A90"/>
    <w:rsid w:val="000F6AAD"/>
    <w:rsid w:val="000F6E63"/>
    <w:rsid w:val="000F6ED7"/>
    <w:rsid w:val="000F7022"/>
    <w:rsid w:val="000F7034"/>
    <w:rsid w:val="000F70F0"/>
    <w:rsid w:val="000F70F5"/>
    <w:rsid w:val="000F7466"/>
    <w:rsid w:val="000F76F0"/>
    <w:rsid w:val="000F7749"/>
    <w:rsid w:val="000F7975"/>
    <w:rsid w:val="000F7A09"/>
    <w:rsid w:val="000F7BB5"/>
    <w:rsid w:val="000F7C2D"/>
    <w:rsid w:val="000F7EFF"/>
    <w:rsid w:val="00100012"/>
    <w:rsid w:val="001000AD"/>
    <w:rsid w:val="0010026F"/>
    <w:rsid w:val="00100281"/>
    <w:rsid w:val="001003DF"/>
    <w:rsid w:val="001005D3"/>
    <w:rsid w:val="00100609"/>
    <w:rsid w:val="00100799"/>
    <w:rsid w:val="001008C4"/>
    <w:rsid w:val="00100A31"/>
    <w:rsid w:val="00100E42"/>
    <w:rsid w:val="00100EBC"/>
    <w:rsid w:val="001010B0"/>
    <w:rsid w:val="001011A3"/>
    <w:rsid w:val="00101215"/>
    <w:rsid w:val="00101454"/>
    <w:rsid w:val="001017CF"/>
    <w:rsid w:val="001019EA"/>
    <w:rsid w:val="00101A91"/>
    <w:rsid w:val="00101D84"/>
    <w:rsid w:val="00101DC0"/>
    <w:rsid w:val="00101E39"/>
    <w:rsid w:val="0010209A"/>
    <w:rsid w:val="001020E3"/>
    <w:rsid w:val="00102352"/>
    <w:rsid w:val="001023F4"/>
    <w:rsid w:val="00102459"/>
    <w:rsid w:val="00102462"/>
    <w:rsid w:val="001025F7"/>
    <w:rsid w:val="00102747"/>
    <w:rsid w:val="0010290D"/>
    <w:rsid w:val="00102A2A"/>
    <w:rsid w:val="00102BAC"/>
    <w:rsid w:val="00103086"/>
    <w:rsid w:val="001030F4"/>
    <w:rsid w:val="001031FF"/>
    <w:rsid w:val="00103222"/>
    <w:rsid w:val="001032B7"/>
    <w:rsid w:val="001032CA"/>
    <w:rsid w:val="00103619"/>
    <w:rsid w:val="0010378C"/>
    <w:rsid w:val="00103829"/>
    <w:rsid w:val="00103867"/>
    <w:rsid w:val="00103B07"/>
    <w:rsid w:val="00103BC7"/>
    <w:rsid w:val="00103D8F"/>
    <w:rsid w:val="00103E4E"/>
    <w:rsid w:val="00103ECE"/>
    <w:rsid w:val="00103FAB"/>
    <w:rsid w:val="0010406B"/>
    <w:rsid w:val="0010408A"/>
    <w:rsid w:val="001041CD"/>
    <w:rsid w:val="00104206"/>
    <w:rsid w:val="0010429F"/>
    <w:rsid w:val="001042E1"/>
    <w:rsid w:val="00104343"/>
    <w:rsid w:val="001043DD"/>
    <w:rsid w:val="00104434"/>
    <w:rsid w:val="00104444"/>
    <w:rsid w:val="0010455D"/>
    <w:rsid w:val="00104561"/>
    <w:rsid w:val="0010479F"/>
    <w:rsid w:val="001047B5"/>
    <w:rsid w:val="001047EC"/>
    <w:rsid w:val="001047ED"/>
    <w:rsid w:val="001049D5"/>
    <w:rsid w:val="00104A0B"/>
    <w:rsid w:val="00104E1A"/>
    <w:rsid w:val="00104EF6"/>
    <w:rsid w:val="00104F3D"/>
    <w:rsid w:val="00104F3F"/>
    <w:rsid w:val="00104F63"/>
    <w:rsid w:val="0010500E"/>
    <w:rsid w:val="0010505E"/>
    <w:rsid w:val="00105187"/>
    <w:rsid w:val="001052EA"/>
    <w:rsid w:val="00105322"/>
    <w:rsid w:val="00105386"/>
    <w:rsid w:val="001054E5"/>
    <w:rsid w:val="0010561B"/>
    <w:rsid w:val="0010597B"/>
    <w:rsid w:val="00105BDE"/>
    <w:rsid w:val="00105DC2"/>
    <w:rsid w:val="00105E45"/>
    <w:rsid w:val="00105FBE"/>
    <w:rsid w:val="00105FCA"/>
    <w:rsid w:val="001060A0"/>
    <w:rsid w:val="001064B6"/>
    <w:rsid w:val="001065A2"/>
    <w:rsid w:val="001067AB"/>
    <w:rsid w:val="0010682A"/>
    <w:rsid w:val="001068E2"/>
    <w:rsid w:val="00106A5C"/>
    <w:rsid w:val="00106B6D"/>
    <w:rsid w:val="00106CAB"/>
    <w:rsid w:val="00106D0A"/>
    <w:rsid w:val="00106DD7"/>
    <w:rsid w:val="00106E7E"/>
    <w:rsid w:val="00106F57"/>
    <w:rsid w:val="00106FA6"/>
    <w:rsid w:val="00107082"/>
    <w:rsid w:val="001070B1"/>
    <w:rsid w:val="0010711F"/>
    <w:rsid w:val="0010713F"/>
    <w:rsid w:val="001071A0"/>
    <w:rsid w:val="0010721F"/>
    <w:rsid w:val="00107359"/>
    <w:rsid w:val="0010735F"/>
    <w:rsid w:val="00107647"/>
    <w:rsid w:val="001076A9"/>
    <w:rsid w:val="00107A00"/>
    <w:rsid w:val="00107C0C"/>
    <w:rsid w:val="00107C3D"/>
    <w:rsid w:val="00107C71"/>
    <w:rsid w:val="00107C8F"/>
    <w:rsid w:val="00107DB1"/>
    <w:rsid w:val="00107F5B"/>
    <w:rsid w:val="001100A3"/>
    <w:rsid w:val="001101D2"/>
    <w:rsid w:val="00110328"/>
    <w:rsid w:val="0011038E"/>
    <w:rsid w:val="00110554"/>
    <w:rsid w:val="001105ED"/>
    <w:rsid w:val="00110691"/>
    <w:rsid w:val="00110783"/>
    <w:rsid w:val="00110795"/>
    <w:rsid w:val="0011087C"/>
    <w:rsid w:val="00110992"/>
    <w:rsid w:val="00110A2A"/>
    <w:rsid w:val="00110A2B"/>
    <w:rsid w:val="00110A9E"/>
    <w:rsid w:val="00110C14"/>
    <w:rsid w:val="00110CC9"/>
    <w:rsid w:val="00110D62"/>
    <w:rsid w:val="00110E45"/>
    <w:rsid w:val="00110E4E"/>
    <w:rsid w:val="00110F4C"/>
    <w:rsid w:val="00110F6F"/>
    <w:rsid w:val="00110FC7"/>
    <w:rsid w:val="00110FF2"/>
    <w:rsid w:val="00111100"/>
    <w:rsid w:val="0011118B"/>
    <w:rsid w:val="0011129F"/>
    <w:rsid w:val="0011131E"/>
    <w:rsid w:val="0011132C"/>
    <w:rsid w:val="001114CF"/>
    <w:rsid w:val="001114F6"/>
    <w:rsid w:val="00111528"/>
    <w:rsid w:val="001115D2"/>
    <w:rsid w:val="0011160A"/>
    <w:rsid w:val="001116B1"/>
    <w:rsid w:val="00111752"/>
    <w:rsid w:val="00111BCC"/>
    <w:rsid w:val="001120B8"/>
    <w:rsid w:val="00112143"/>
    <w:rsid w:val="0011231F"/>
    <w:rsid w:val="001124FB"/>
    <w:rsid w:val="00112572"/>
    <w:rsid w:val="00112A68"/>
    <w:rsid w:val="00112B06"/>
    <w:rsid w:val="00112CD7"/>
    <w:rsid w:val="00112D2A"/>
    <w:rsid w:val="00112D9A"/>
    <w:rsid w:val="00112DA8"/>
    <w:rsid w:val="00112DCF"/>
    <w:rsid w:val="00112E55"/>
    <w:rsid w:val="00112E5A"/>
    <w:rsid w:val="00112EDB"/>
    <w:rsid w:val="0011322D"/>
    <w:rsid w:val="0011327A"/>
    <w:rsid w:val="001132B4"/>
    <w:rsid w:val="001133D3"/>
    <w:rsid w:val="00113472"/>
    <w:rsid w:val="0011364A"/>
    <w:rsid w:val="00113661"/>
    <w:rsid w:val="00113680"/>
    <w:rsid w:val="001136B3"/>
    <w:rsid w:val="0011371C"/>
    <w:rsid w:val="0011374C"/>
    <w:rsid w:val="0011383F"/>
    <w:rsid w:val="001138E6"/>
    <w:rsid w:val="00113A10"/>
    <w:rsid w:val="00113A48"/>
    <w:rsid w:val="00113A7A"/>
    <w:rsid w:val="00113F43"/>
    <w:rsid w:val="0011409C"/>
    <w:rsid w:val="001140E6"/>
    <w:rsid w:val="0011429D"/>
    <w:rsid w:val="00114377"/>
    <w:rsid w:val="00114429"/>
    <w:rsid w:val="00114738"/>
    <w:rsid w:val="00114754"/>
    <w:rsid w:val="001148C1"/>
    <w:rsid w:val="001149F9"/>
    <w:rsid w:val="00114C81"/>
    <w:rsid w:val="00114C8B"/>
    <w:rsid w:val="00114DA1"/>
    <w:rsid w:val="00114F15"/>
    <w:rsid w:val="00114FD9"/>
    <w:rsid w:val="00115042"/>
    <w:rsid w:val="001150CD"/>
    <w:rsid w:val="00115260"/>
    <w:rsid w:val="001153AA"/>
    <w:rsid w:val="001155D2"/>
    <w:rsid w:val="001156B1"/>
    <w:rsid w:val="001156E1"/>
    <w:rsid w:val="00115A1F"/>
    <w:rsid w:val="00115AA3"/>
    <w:rsid w:val="00115AA9"/>
    <w:rsid w:val="00115AB9"/>
    <w:rsid w:val="00115C12"/>
    <w:rsid w:val="00115ECF"/>
    <w:rsid w:val="00115FA3"/>
    <w:rsid w:val="0011603F"/>
    <w:rsid w:val="00116200"/>
    <w:rsid w:val="00116264"/>
    <w:rsid w:val="001165B5"/>
    <w:rsid w:val="0011689F"/>
    <w:rsid w:val="00116926"/>
    <w:rsid w:val="001169C3"/>
    <w:rsid w:val="00116AF1"/>
    <w:rsid w:val="0011700A"/>
    <w:rsid w:val="00117073"/>
    <w:rsid w:val="001170AE"/>
    <w:rsid w:val="00117144"/>
    <w:rsid w:val="001171FE"/>
    <w:rsid w:val="00117209"/>
    <w:rsid w:val="001172BA"/>
    <w:rsid w:val="001172D0"/>
    <w:rsid w:val="00117508"/>
    <w:rsid w:val="0011750C"/>
    <w:rsid w:val="001176AC"/>
    <w:rsid w:val="0011777D"/>
    <w:rsid w:val="00117886"/>
    <w:rsid w:val="0011798D"/>
    <w:rsid w:val="00117A0F"/>
    <w:rsid w:val="00117A88"/>
    <w:rsid w:val="00117CE0"/>
    <w:rsid w:val="00117D45"/>
    <w:rsid w:val="00117DC5"/>
    <w:rsid w:val="00117E0A"/>
    <w:rsid w:val="00117EA4"/>
    <w:rsid w:val="00117EBE"/>
    <w:rsid w:val="0012007A"/>
    <w:rsid w:val="00120092"/>
    <w:rsid w:val="00120111"/>
    <w:rsid w:val="001201C8"/>
    <w:rsid w:val="0012041B"/>
    <w:rsid w:val="0012046F"/>
    <w:rsid w:val="00120534"/>
    <w:rsid w:val="001205CC"/>
    <w:rsid w:val="001206D9"/>
    <w:rsid w:val="00120722"/>
    <w:rsid w:val="001207B3"/>
    <w:rsid w:val="0012088C"/>
    <w:rsid w:val="0012094A"/>
    <w:rsid w:val="00120D12"/>
    <w:rsid w:val="00120D59"/>
    <w:rsid w:val="001210E9"/>
    <w:rsid w:val="001211CF"/>
    <w:rsid w:val="001215D3"/>
    <w:rsid w:val="0012174E"/>
    <w:rsid w:val="001217B1"/>
    <w:rsid w:val="001217CF"/>
    <w:rsid w:val="00121A89"/>
    <w:rsid w:val="00121B30"/>
    <w:rsid w:val="00121C7C"/>
    <w:rsid w:val="00121D58"/>
    <w:rsid w:val="00121DD2"/>
    <w:rsid w:val="0012207C"/>
    <w:rsid w:val="00122146"/>
    <w:rsid w:val="00122275"/>
    <w:rsid w:val="001226C6"/>
    <w:rsid w:val="00122800"/>
    <w:rsid w:val="00122AB8"/>
    <w:rsid w:val="00122C39"/>
    <w:rsid w:val="00122C85"/>
    <w:rsid w:val="00122D80"/>
    <w:rsid w:val="00122EC8"/>
    <w:rsid w:val="00122FB0"/>
    <w:rsid w:val="001230A0"/>
    <w:rsid w:val="001230FA"/>
    <w:rsid w:val="0012317E"/>
    <w:rsid w:val="00123185"/>
    <w:rsid w:val="001231EB"/>
    <w:rsid w:val="001233A5"/>
    <w:rsid w:val="001233AA"/>
    <w:rsid w:val="001235A7"/>
    <w:rsid w:val="001236AA"/>
    <w:rsid w:val="001237DB"/>
    <w:rsid w:val="00123C68"/>
    <w:rsid w:val="00123CC3"/>
    <w:rsid w:val="00123D35"/>
    <w:rsid w:val="00123D4F"/>
    <w:rsid w:val="00123F4C"/>
    <w:rsid w:val="001244D8"/>
    <w:rsid w:val="00124610"/>
    <w:rsid w:val="00124682"/>
    <w:rsid w:val="0012469F"/>
    <w:rsid w:val="001247D0"/>
    <w:rsid w:val="001247FF"/>
    <w:rsid w:val="00124ABA"/>
    <w:rsid w:val="00124BA3"/>
    <w:rsid w:val="00124BAB"/>
    <w:rsid w:val="00124BB5"/>
    <w:rsid w:val="00124BD7"/>
    <w:rsid w:val="00124C8E"/>
    <w:rsid w:val="00124D17"/>
    <w:rsid w:val="00124D8C"/>
    <w:rsid w:val="00124E53"/>
    <w:rsid w:val="00124EFA"/>
    <w:rsid w:val="00124F5D"/>
    <w:rsid w:val="00124FD9"/>
    <w:rsid w:val="0012510A"/>
    <w:rsid w:val="00125247"/>
    <w:rsid w:val="00125260"/>
    <w:rsid w:val="001252A0"/>
    <w:rsid w:val="001252B3"/>
    <w:rsid w:val="001252D4"/>
    <w:rsid w:val="001253D6"/>
    <w:rsid w:val="00125447"/>
    <w:rsid w:val="00125466"/>
    <w:rsid w:val="001254B1"/>
    <w:rsid w:val="0012576C"/>
    <w:rsid w:val="00125881"/>
    <w:rsid w:val="001259D2"/>
    <w:rsid w:val="001259E6"/>
    <w:rsid w:val="00125C32"/>
    <w:rsid w:val="00125EC8"/>
    <w:rsid w:val="00125FB9"/>
    <w:rsid w:val="0012604F"/>
    <w:rsid w:val="00126329"/>
    <w:rsid w:val="00126463"/>
    <w:rsid w:val="0012649E"/>
    <w:rsid w:val="00126748"/>
    <w:rsid w:val="0012675F"/>
    <w:rsid w:val="00126777"/>
    <w:rsid w:val="001267C9"/>
    <w:rsid w:val="001268C6"/>
    <w:rsid w:val="00126943"/>
    <w:rsid w:val="00126AD2"/>
    <w:rsid w:val="00126B34"/>
    <w:rsid w:val="00126F54"/>
    <w:rsid w:val="00126F8F"/>
    <w:rsid w:val="001272E6"/>
    <w:rsid w:val="001273F4"/>
    <w:rsid w:val="001274C1"/>
    <w:rsid w:val="00127669"/>
    <w:rsid w:val="001276FA"/>
    <w:rsid w:val="001276FD"/>
    <w:rsid w:val="00127741"/>
    <w:rsid w:val="001277B7"/>
    <w:rsid w:val="00127871"/>
    <w:rsid w:val="00127B80"/>
    <w:rsid w:val="00127C27"/>
    <w:rsid w:val="00127CD3"/>
    <w:rsid w:val="00127D35"/>
    <w:rsid w:val="00127E46"/>
    <w:rsid w:val="00127E8E"/>
    <w:rsid w:val="00127F2C"/>
    <w:rsid w:val="00127F66"/>
    <w:rsid w:val="00130028"/>
    <w:rsid w:val="00130201"/>
    <w:rsid w:val="001302BC"/>
    <w:rsid w:val="001303FB"/>
    <w:rsid w:val="0013044E"/>
    <w:rsid w:val="00130473"/>
    <w:rsid w:val="001306D1"/>
    <w:rsid w:val="00130864"/>
    <w:rsid w:val="00130AA5"/>
    <w:rsid w:val="00130AF0"/>
    <w:rsid w:val="00130B14"/>
    <w:rsid w:val="00130B72"/>
    <w:rsid w:val="00130B87"/>
    <w:rsid w:val="00130C7F"/>
    <w:rsid w:val="00130F53"/>
    <w:rsid w:val="0013109B"/>
    <w:rsid w:val="00131223"/>
    <w:rsid w:val="001316A5"/>
    <w:rsid w:val="0013170A"/>
    <w:rsid w:val="0013175C"/>
    <w:rsid w:val="00131C05"/>
    <w:rsid w:val="00131DCB"/>
    <w:rsid w:val="00131DDE"/>
    <w:rsid w:val="00131FE4"/>
    <w:rsid w:val="001320DB"/>
    <w:rsid w:val="001321D9"/>
    <w:rsid w:val="0013234E"/>
    <w:rsid w:val="0013242B"/>
    <w:rsid w:val="00132534"/>
    <w:rsid w:val="0013260D"/>
    <w:rsid w:val="00132760"/>
    <w:rsid w:val="00132806"/>
    <w:rsid w:val="00132828"/>
    <w:rsid w:val="00132890"/>
    <w:rsid w:val="001328DC"/>
    <w:rsid w:val="00132902"/>
    <w:rsid w:val="00132A09"/>
    <w:rsid w:val="00132AA6"/>
    <w:rsid w:val="00132C97"/>
    <w:rsid w:val="00132CC4"/>
    <w:rsid w:val="00132ECF"/>
    <w:rsid w:val="00133144"/>
    <w:rsid w:val="00133191"/>
    <w:rsid w:val="0013319C"/>
    <w:rsid w:val="001331B0"/>
    <w:rsid w:val="0013337B"/>
    <w:rsid w:val="0013339D"/>
    <w:rsid w:val="00133487"/>
    <w:rsid w:val="00133726"/>
    <w:rsid w:val="00133798"/>
    <w:rsid w:val="00133892"/>
    <w:rsid w:val="00133897"/>
    <w:rsid w:val="001338B8"/>
    <w:rsid w:val="00133934"/>
    <w:rsid w:val="00133A67"/>
    <w:rsid w:val="00133B1F"/>
    <w:rsid w:val="00133CEB"/>
    <w:rsid w:val="00133D59"/>
    <w:rsid w:val="00133D90"/>
    <w:rsid w:val="00133F34"/>
    <w:rsid w:val="00134091"/>
    <w:rsid w:val="001342F4"/>
    <w:rsid w:val="001343E2"/>
    <w:rsid w:val="00134AF3"/>
    <w:rsid w:val="00134C33"/>
    <w:rsid w:val="00134DA4"/>
    <w:rsid w:val="00134E12"/>
    <w:rsid w:val="00134EE0"/>
    <w:rsid w:val="00134F5D"/>
    <w:rsid w:val="00135026"/>
    <w:rsid w:val="001350EC"/>
    <w:rsid w:val="001351C2"/>
    <w:rsid w:val="001351E7"/>
    <w:rsid w:val="0013543C"/>
    <w:rsid w:val="00135572"/>
    <w:rsid w:val="00135605"/>
    <w:rsid w:val="001356CC"/>
    <w:rsid w:val="00135757"/>
    <w:rsid w:val="0013576D"/>
    <w:rsid w:val="00135788"/>
    <w:rsid w:val="00135A21"/>
    <w:rsid w:val="00135C0A"/>
    <w:rsid w:val="00135C6A"/>
    <w:rsid w:val="00135CF1"/>
    <w:rsid w:val="00135E02"/>
    <w:rsid w:val="00135EE9"/>
    <w:rsid w:val="0013605D"/>
    <w:rsid w:val="0013609B"/>
    <w:rsid w:val="00136198"/>
    <w:rsid w:val="001362DE"/>
    <w:rsid w:val="00136409"/>
    <w:rsid w:val="00136652"/>
    <w:rsid w:val="00136807"/>
    <w:rsid w:val="00136E55"/>
    <w:rsid w:val="00136F1D"/>
    <w:rsid w:val="00136F67"/>
    <w:rsid w:val="00137107"/>
    <w:rsid w:val="00137141"/>
    <w:rsid w:val="0013714A"/>
    <w:rsid w:val="00137228"/>
    <w:rsid w:val="00137A24"/>
    <w:rsid w:val="00137EB5"/>
    <w:rsid w:val="00137EF2"/>
    <w:rsid w:val="00140096"/>
    <w:rsid w:val="001401E1"/>
    <w:rsid w:val="001405A2"/>
    <w:rsid w:val="001406CA"/>
    <w:rsid w:val="00140817"/>
    <w:rsid w:val="0014097D"/>
    <w:rsid w:val="001409D7"/>
    <w:rsid w:val="00140E3C"/>
    <w:rsid w:val="001410F5"/>
    <w:rsid w:val="00141270"/>
    <w:rsid w:val="0014134A"/>
    <w:rsid w:val="00141361"/>
    <w:rsid w:val="00141391"/>
    <w:rsid w:val="001416A3"/>
    <w:rsid w:val="001416FB"/>
    <w:rsid w:val="001417FF"/>
    <w:rsid w:val="00141986"/>
    <w:rsid w:val="00141990"/>
    <w:rsid w:val="001419AD"/>
    <w:rsid w:val="00141A07"/>
    <w:rsid w:val="00141D8E"/>
    <w:rsid w:val="00141F62"/>
    <w:rsid w:val="00141FBB"/>
    <w:rsid w:val="00142273"/>
    <w:rsid w:val="00142797"/>
    <w:rsid w:val="00142866"/>
    <w:rsid w:val="00142974"/>
    <w:rsid w:val="00142C68"/>
    <w:rsid w:val="00142CB4"/>
    <w:rsid w:val="00142D2D"/>
    <w:rsid w:val="00142DD3"/>
    <w:rsid w:val="00143151"/>
    <w:rsid w:val="001431B9"/>
    <w:rsid w:val="001432AE"/>
    <w:rsid w:val="0014333B"/>
    <w:rsid w:val="001433F0"/>
    <w:rsid w:val="0014357E"/>
    <w:rsid w:val="00143638"/>
    <w:rsid w:val="0014373B"/>
    <w:rsid w:val="00143770"/>
    <w:rsid w:val="001439B5"/>
    <w:rsid w:val="00143A53"/>
    <w:rsid w:val="00143B50"/>
    <w:rsid w:val="00143BAB"/>
    <w:rsid w:val="00143D20"/>
    <w:rsid w:val="00143F25"/>
    <w:rsid w:val="00144086"/>
    <w:rsid w:val="00144146"/>
    <w:rsid w:val="001443C9"/>
    <w:rsid w:val="001443EC"/>
    <w:rsid w:val="0014444F"/>
    <w:rsid w:val="00144533"/>
    <w:rsid w:val="00144559"/>
    <w:rsid w:val="0014470C"/>
    <w:rsid w:val="00144787"/>
    <w:rsid w:val="001448BB"/>
    <w:rsid w:val="001448C5"/>
    <w:rsid w:val="00144A27"/>
    <w:rsid w:val="00144BDB"/>
    <w:rsid w:val="00144C87"/>
    <w:rsid w:val="00144CC7"/>
    <w:rsid w:val="00144DF6"/>
    <w:rsid w:val="0014508D"/>
    <w:rsid w:val="00145262"/>
    <w:rsid w:val="00145402"/>
    <w:rsid w:val="0014544F"/>
    <w:rsid w:val="00145503"/>
    <w:rsid w:val="0014557B"/>
    <w:rsid w:val="001455B3"/>
    <w:rsid w:val="00145631"/>
    <w:rsid w:val="0014577D"/>
    <w:rsid w:val="00145F09"/>
    <w:rsid w:val="00145F74"/>
    <w:rsid w:val="00145FB6"/>
    <w:rsid w:val="00146109"/>
    <w:rsid w:val="00146293"/>
    <w:rsid w:val="0014661A"/>
    <w:rsid w:val="001466B7"/>
    <w:rsid w:val="001466E2"/>
    <w:rsid w:val="00146709"/>
    <w:rsid w:val="001467DA"/>
    <w:rsid w:val="0014682C"/>
    <w:rsid w:val="00146947"/>
    <w:rsid w:val="001469BB"/>
    <w:rsid w:val="00146A7E"/>
    <w:rsid w:val="00146B32"/>
    <w:rsid w:val="00146B5F"/>
    <w:rsid w:val="00146B69"/>
    <w:rsid w:val="00146B6C"/>
    <w:rsid w:val="00146C65"/>
    <w:rsid w:val="00146D4B"/>
    <w:rsid w:val="00146E3F"/>
    <w:rsid w:val="00146E94"/>
    <w:rsid w:val="00146EF6"/>
    <w:rsid w:val="0014700F"/>
    <w:rsid w:val="00147141"/>
    <w:rsid w:val="00147195"/>
    <w:rsid w:val="00147225"/>
    <w:rsid w:val="0014722D"/>
    <w:rsid w:val="001472B2"/>
    <w:rsid w:val="0014752F"/>
    <w:rsid w:val="001479E8"/>
    <w:rsid w:val="00147BBA"/>
    <w:rsid w:val="00147E75"/>
    <w:rsid w:val="00147E8D"/>
    <w:rsid w:val="00147F22"/>
    <w:rsid w:val="00147F27"/>
    <w:rsid w:val="00147F79"/>
    <w:rsid w:val="00150016"/>
    <w:rsid w:val="00150214"/>
    <w:rsid w:val="00150221"/>
    <w:rsid w:val="00150274"/>
    <w:rsid w:val="00150307"/>
    <w:rsid w:val="00150374"/>
    <w:rsid w:val="0015085F"/>
    <w:rsid w:val="00150A58"/>
    <w:rsid w:val="00150AB7"/>
    <w:rsid w:val="00150C4C"/>
    <w:rsid w:val="00150CA2"/>
    <w:rsid w:val="00150CE6"/>
    <w:rsid w:val="00150D0F"/>
    <w:rsid w:val="001510A5"/>
    <w:rsid w:val="001510D5"/>
    <w:rsid w:val="00151757"/>
    <w:rsid w:val="001519C8"/>
    <w:rsid w:val="00151B2A"/>
    <w:rsid w:val="00151E2C"/>
    <w:rsid w:val="00151F1D"/>
    <w:rsid w:val="00152381"/>
    <w:rsid w:val="001523CA"/>
    <w:rsid w:val="00152533"/>
    <w:rsid w:val="00152671"/>
    <w:rsid w:val="001526AB"/>
    <w:rsid w:val="00152748"/>
    <w:rsid w:val="00152A21"/>
    <w:rsid w:val="00152A6A"/>
    <w:rsid w:val="00152B7D"/>
    <w:rsid w:val="00152D1F"/>
    <w:rsid w:val="001532AD"/>
    <w:rsid w:val="001533A2"/>
    <w:rsid w:val="0015349B"/>
    <w:rsid w:val="001534C0"/>
    <w:rsid w:val="001536AC"/>
    <w:rsid w:val="001536B2"/>
    <w:rsid w:val="0015370E"/>
    <w:rsid w:val="00153737"/>
    <w:rsid w:val="00153805"/>
    <w:rsid w:val="00153915"/>
    <w:rsid w:val="00153968"/>
    <w:rsid w:val="00153A2B"/>
    <w:rsid w:val="00153B4D"/>
    <w:rsid w:val="00153C8D"/>
    <w:rsid w:val="00153C94"/>
    <w:rsid w:val="001540BB"/>
    <w:rsid w:val="00154164"/>
    <w:rsid w:val="00154254"/>
    <w:rsid w:val="00154321"/>
    <w:rsid w:val="00154570"/>
    <w:rsid w:val="001546B9"/>
    <w:rsid w:val="001549C7"/>
    <w:rsid w:val="001549F1"/>
    <w:rsid w:val="00154A32"/>
    <w:rsid w:val="00154EFF"/>
    <w:rsid w:val="001550FC"/>
    <w:rsid w:val="00155192"/>
    <w:rsid w:val="0015527C"/>
    <w:rsid w:val="00155447"/>
    <w:rsid w:val="00155472"/>
    <w:rsid w:val="0015567F"/>
    <w:rsid w:val="00155A38"/>
    <w:rsid w:val="00155B41"/>
    <w:rsid w:val="00155B79"/>
    <w:rsid w:val="00155B7D"/>
    <w:rsid w:val="00155BAA"/>
    <w:rsid w:val="00155E35"/>
    <w:rsid w:val="00155E92"/>
    <w:rsid w:val="0015629C"/>
    <w:rsid w:val="001563E0"/>
    <w:rsid w:val="00156406"/>
    <w:rsid w:val="0015656B"/>
    <w:rsid w:val="0015669A"/>
    <w:rsid w:val="00156786"/>
    <w:rsid w:val="00156802"/>
    <w:rsid w:val="00156A4B"/>
    <w:rsid w:val="00156BA6"/>
    <w:rsid w:val="00156BC1"/>
    <w:rsid w:val="00156C07"/>
    <w:rsid w:val="00156C49"/>
    <w:rsid w:val="00156C78"/>
    <w:rsid w:val="00156CF9"/>
    <w:rsid w:val="00156F2E"/>
    <w:rsid w:val="001571C1"/>
    <w:rsid w:val="00157344"/>
    <w:rsid w:val="001574CB"/>
    <w:rsid w:val="001575AB"/>
    <w:rsid w:val="001575C8"/>
    <w:rsid w:val="001576B9"/>
    <w:rsid w:val="001576CD"/>
    <w:rsid w:val="001576D0"/>
    <w:rsid w:val="0015782E"/>
    <w:rsid w:val="001578E6"/>
    <w:rsid w:val="00157BB5"/>
    <w:rsid w:val="00157C19"/>
    <w:rsid w:val="00157D8A"/>
    <w:rsid w:val="00157F04"/>
    <w:rsid w:val="00157F25"/>
    <w:rsid w:val="00157FA7"/>
    <w:rsid w:val="0015C67E"/>
    <w:rsid w:val="00160110"/>
    <w:rsid w:val="001602B1"/>
    <w:rsid w:val="00160789"/>
    <w:rsid w:val="0016082F"/>
    <w:rsid w:val="00160899"/>
    <w:rsid w:val="00160940"/>
    <w:rsid w:val="0016096F"/>
    <w:rsid w:val="00160AE6"/>
    <w:rsid w:val="00160B45"/>
    <w:rsid w:val="00160C09"/>
    <w:rsid w:val="00160D3F"/>
    <w:rsid w:val="00160E12"/>
    <w:rsid w:val="00160EA5"/>
    <w:rsid w:val="00160FC9"/>
    <w:rsid w:val="00161183"/>
    <w:rsid w:val="001611A3"/>
    <w:rsid w:val="0016135A"/>
    <w:rsid w:val="00161430"/>
    <w:rsid w:val="0016147A"/>
    <w:rsid w:val="001615B3"/>
    <w:rsid w:val="0016163F"/>
    <w:rsid w:val="0016171E"/>
    <w:rsid w:val="0016174A"/>
    <w:rsid w:val="001619C6"/>
    <w:rsid w:val="00161CE9"/>
    <w:rsid w:val="00161DEE"/>
    <w:rsid w:val="00161FF5"/>
    <w:rsid w:val="0016215A"/>
    <w:rsid w:val="00162167"/>
    <w:rsid w:val="00162287"/>
    <w:rsid w:val="001622E6"/>
    <w:rsid w:val="0016231B"/>
    <w:rsid w:val="001624C7"/>
    <w:rsid w:val="001624D4"/>
    <w:rsid w:val="001624D7"/>
    <w:rsid w:val="00162508"/>
    <w:rsid w:val="00162684"/>
    <w:rsid w:val="001626CA"/>
    <w:rsid w:val="001626E8"/>
    <w:rsid w:val="0016271B"/>
    <w:rsid w:val="0016271E"/>
    <w:rsid w:val="001628C3"/>
    <w:rsid w:val="00162A9E"/>
    <w:rsid w:val="00162BD9"/>
    <w:rsid w:val="00162C90"/>
    <w:rsid w:val="00162D43"/>
    <w:rsid w:val="00162EBC"/>
    <w:rsid w:val="00162ECA"/>
    <w:rsid w:val="00162F66"/>
    <w:rsid w:val="00163175"/>
    <w:rsid w:val="00163258"/>
    <w:rsid w:val="00163290"/>
    <w:rsid w:val="0016331C"/>
    <w:rsid w:val="0016332A"/>
    <w:rsid w:val="00163334"/>
    <w:rsid w:val="0016336A"/>
    <w:rsid w:val="001638DB"/>
    <w:rsid w:val="00163A3B"/>
    <w:rsid w:val="00163A5B"/>
    <w:rsid w:val="00163C85"/>
    <w:rsid w:val="00163E3A"/>
    <w:rsid w:val="00163FAB"/>
    <w:rsid w:val="00164012"/>
    <w:rsid w:val="00164024"/>
    <w:rsid w:val="001640DC"/>
    <w:rsid w:val="00164273"/>
    <w:rsid w:val="001642C4"/>
    <w:rsid w:val="001643AD"/>
    <w:rsid w:val="001644F0"/>
    <w:rsid w:val="00164716"/>
    <w:rsid w:val="00164A8C"/>
    <w:rsid w:val="00164B6F"/>
    <w:rsid w:val="00164BD0"/>
    <w:rsid w:val="00164C61"/>
    <w:rsid w:val="00164EC4"/>
    <w:rsid w:val="001650DF"/>
    <w:rsid w:val="001651F4"/>
    <w:rsid w:val="0016524C"/>
    <w:rsid w:val="001652F5"/>
    <w:rsid w:val="001653F3"/>
    <w:rsid w:val="0016548E"/>
    <w:rsid w:val="00165583"/>
    <w:rsid w:val="0016565D"/>
    <w:rsid w:val="00165674"/>
    <w:rsid w:val="00165743"/>
    <w:rsid w:val="00165988"/>
    <w:rsid w:val="0016598C"/>
    <w:rsid w:val="001659A4"/>
    <w:rsid w:val="00165C01"/>
    <w:rsid w:val="00165D88"/>
    <w:rsid w:val="00165DB5"/>
    <w:rsid w:val="00165FFA"/>
    <w:rsid w:val="00166075"/>
    <w:rsid w:val="00166097"/>
    <w:rsid w:val="00166126"/>
    <w:rsid w:val="00166183"/>
    <w:rsid w:val="00166258"/>
    <w:rsid w:val="00166524"/>
    <w:rsid w:val="00166607"/>
    <w:rsid w:val="0016678C"/>
    <w:rsid w:val="001667A7"/>
    <w:rsid w:val="001667B6"/>
    <w:rsid w:val="001667C9"/>
    <w:rsid w:val="00166888"/>
    <w:rsid w:val="001668DB"/>
    <w:rsid w:val="0016694C"/>
    <w:rsid w:val="00166AFD"/>
    <w:rsid w:val="00166B84"/>
    <w:rsid w:val="00166DB6"/>
    <w:rsid w:val="00166E6D"/>
    <w:rsid w:val="00167022"/>
    <w:rsid w:val="0016724E"/>
    <w:rsid w:val="00167262"/>
    <w:rsid w:val="0016729F"/>
    <w:rsid w:val="001673DA"/>
    <w:rsid w:val="001674E0"/>
    <w:rsid w:val="00167576"/>
    <w:rsid w:val="00167698"/>
    <w:rsid w:val="001676AB"/>
    <w:rsid w:val="001676C6"/>
    <w:rsid w:val="001676D5"/>
    <w:rsid w:val="00167948"/>
    <w:rsid w:val="00167B60"/>
    <w:rsid w:val="00167BE7"/>
    <w:rsid w:val="00167D46"/>
    <w:rsid w:val="00167EC4"/>
    <w:rsid w:val="00167F08"/>
    <w:rsid w:val="00167F1E"/>
    <w:rsid w:val="00167F3A"/>
    <w:rsid w:val="001702B0"/>
    <w:rsid w:val="00170390"/>
    <w:rsid w:val="001703E4"/>
    <w:rsid w:val="00170701"/>
    <w:rsid w:val="00170858"/>
    <w:rsid w:val="00170886"/>
    <w:rsid w:val="00170972"/>
    <w:rsid w:val="001709C2"/>
    <w:rsid w:val="00170A5C"/>
    <w:rsid w:val="00170A95"/>
    <w:rsid w:val="00170B19"/>
    <w:rsid w:val="00170BC0"/>
    <w:rsid w:val="00170CD1"/>
    <w:rsid w:val="00170D15"/>
    <w:rsid w:val="00170D2C"/>
    <w:rsid w:val="00170D3F"/>
    <w:rsid w:val="00170F45"/>
    <w:rsid w:val="001710A0"/>
    <w:rsid w:val="001710DC"/>
    <w:rsid w:val="00171198"/>
    <w:rsid w:val="00171224"/>
    <w:rsid w:val="00171298"/>
    <w:rsid w:val="00171344"/>
    <w:rsid w:val="00171407"/>
    <w:rsid w:val="00171560"/>
    <w:rsid w:val="00171755"/>
    <w:rsid w:val="001717CB"/>
    <w:rsid w:val="001718C0"/>
    <w:rsid w:val="001718C4"/>
    <w:rsid w:val="001718CB"/>
    <w:rsid w:val="00171935"/>
    <w:rsid w:val="00171EA9"/>
    <w:rsid w:val="00171F44"/>
    <w:rsid w:val="00172463"/>
    <w:rsid w:val="00172481"/>
    <w:rsid w:val="0017249F"/>
    <w:rsid w:val="001724DF"/>
    <w:rsid w:val="0017254A"/>
    <w:rsid w:val="001726D4"/>
    <w:rsid w:val="00172841"/>
    <w:rsid w:val="001728B5"/>
    <w:rsid w:val="00172AE3"/>
    <w:rsid w:val="00172B0F"/>
    <w:rsid w:val="00172BC4"/>
    <w:rsid w:val="00172BED"/>
    <w:rsid w:val="00172C51"/>
    <w:rsid w:val="00172C66"/>
    <w:rsid w:val="00172C70"/>
    <w:rsid w:val="00172CD5"/>
    <w:rsid w:val="00172D0A"/>
    <w:rsid w:val="00172D98"/>
    <w:rsid w:val="00173268"/>
    <w:rsid w:val="0017338C"/>
    <w:rsid w:val="0017349E"/>
    <w:rsid w:val="001735C8"/>
    <w:rsid w:val="0017390D"/>
    <w:rsid w:val="0017390E"/>
    <w:rsid w:val="00173973"/>
    <w:rsid w:val="001739AB"/>
    <w:rsid w:val="001739FB"/>
    <w:rsid w:val="00173F2E"/>
    <w:rsid w:val="00174052"/>
    <w:rsid w:val="00174135"/>
    <w:rsid w:val="00174164"/>
    <w:rsid w:val="001742D3"/>
    <w:rsid w:val="001742E5"/>
    <w:rsid w:val="00174307"/>
    <w:rsid w:val="00174336"/>
    <w:rsid w:val="001744EC"/>
    <w:rsid w:val="0017452E"/>
    <w:rsid w:val="001745BF"/>
    <w:rsid w:val="001745CE"/>
    <w:rsid w:val="001747A5"/>
    <w:rsid w:val="001748E5"/>
    <w:rsid w:val="001749AA"/>
    <w:rsid w:val="00174BD1"/>
    <w:rsid w:val="00174C11"/>
    <w:rsid w:val="00174CD6"/>
    <w:rsid w:val="00174E99"/>
    <w:rsid w:val="00174F27"/>
    <w:rsid w:val="001750A0"/>
    <w:rsid w:val="001750FE"/>
    <w:rsid w:val="00175198"/>
    <w:rsid w:val="001752C3"/>
    <w:rsid w:val="00175354"/>
    <w:rsid w:val="001755D6"/>
    <w:rsid w:val="00175679"/>
    <w:rsid w:val="001757D6"/>
    <w:rsid w:val="00175933"/>
    <w:rsid w:val="00175ACD"/>
    <w:rsid w:val="00175C81"/>
    <w:rsid w:val="00175C84"/>
    <w:rsid w:val="00175CBB"/>
    <w:rsid w:val="00175F8C"/>
    <w:rsid w:val="00175FF0"/>
    <w:rsid w:val="001760EE"/>
    <w:rsid w:val="001763C4"/>
    <w:rsid w:val="00176440"/>
    <w:rsid w:val="0017657C"/>
    <w:rsid w:val="001766D2"/>
    <w:rsid w:val="001766E5"/>
    <w:rsid w:val="00176748"/>
    <w:rsid w:val="001767E0"/>
    <w:rsid w:val="001768FA"/>
    <w:rsid w:val="00176946"/>
    <w:rsid w:val="00176D62"/>
    <w:rsid w:val="00176D7C"/>
    <w:rsid w:val="00176D85"/>
    <w:rsid w:val="00176F42"/>
    <w:rsid w:val="00177370"/>
    <w:rsid w:val="0017749D"/>
    <w:rsid w:val="001774CE"/>
    <w:rsid w:val="00177571"/>
    <w:rsid w:val="001776C4"/>
    <w:rsid w:val="0017770F"/>
    <w:rsid w:val="00177800"/>
    <w:rsid w:val="001778A7"/>
    <w:rsid w:val="00177A7F"/>
    <w:rsid w:val="00177AC8"/>
    <w:rsid w:val="00177AD0"/>
    <w:rsid w:val="00177AD5"/>
    <w:rsid w:val="00177B42"/>
    <w:rsid w:val="00177D22"/>
    <w:rsid w:val="00177D9C"/>
    <w:rsid w:val="00180245"/>
    <w:rsid w:val="0018035A"/>
    <w:rsid w:val="001803AB"/>
    <w:rsid w:val="001803DD"/>
    <w:rsid w:val="00180571"/>
    <w:rsid w:val="001807CB"/>
    <w:rsid w:val="001808D4"/>
    <w:rsid w:val="001809CE"/>
    <w:rsid w:val="00180A10"/>
    <w:rsid w:val="00180AFB"/>
    <w:rsid w:val="00180BDA"/>
    <w:rsid w:val="00180C4F"/>
    <w:rsid w:val="00180DC8"/>
    <w:rsid w:val="00180E8D"/>
    <w:rsid w:val="00181009"/>
    <w:rsid w:val="00181064"/>
    <w:rsid w:val="001811A2"/>
    <w:rsid w:val="001811E1"/>
    <w:rsid w:val="001813B0"/>
    <w:rsid w:val="001813DC"/>
    <w:rsid w:val="001815ED"/>
    <w:rsid w:val="00181672"/>
    <w:rsid w:val="00181750"/>
    <w:rsid w:val="001818D8"/>
    <w:rsid w:val="00181939"/>
    <w:rsid w:val="001819AD"/>
    <w:rsid w:val="001819BA"/>
    <w:rsid w:val="00181A42"/>
    <w:rsid w:val="00181B1A"/>
    <w:rsid w:val="00181B47"/>
    <w:rsid w:val="00181C68"/>
    <w:rsid w:val="00181EDE"/>
    <w:rsid w:val="00182037"/>
    <w:rsid w:val="0018209B"/>
    <w:rsid w:val="001822F3"/>
    <w:rsid w:val="0018239D"/>
    <w:rsid w:val="00182496"/>
    <w:rsid w:val="00182753"/>
    <w:rsid w:val="001827CC"/>
    <w:rsid w:val="00182A11"/>
    <w:rsid w:val="00182C6C"/>
    <w:rsid w:val="00182D04"/>
    <w:rsid w:val="00182E0C"/>
    <w:rsid w:val="001831E1"/>
    <w:rsid w:val="001832C9"/>
    <w:rsid w:val="00183310"/>
    <w:rsid w:val="00183370"/>
    <w:rsid w:val="00183456"/>
    <w:rsid w:val="0018377E"/>
    <w:rsid w:val="001838BD"/>
    <w:rsid w:val="00183B4C"/>
    <w:rsid w:val="00183E4C"/>
    <w:rsid w:val="00183EEC"/>
    <w:rsid w:val="001840F2"/>
    <w:rsid w:val="0018426D"/>
    <w:rsid w:val="0018437F"/>
    <w:rsid w:val="001843E2"/>
    <w:rsid w:val="00184490"/>
    <w:rsid w:val="001844C6"/>
    <w:rsid w:val="001845EF"/>
    <w:rsid w:val="001846A2"/>
    <w:rsid w:val="001846A7"/>
    <w:rsid w:val="001846E6"/>
    <w:rsid w:val="001846F6"/>
    <w:rsid w:val="0018478A"/>
    <w:rsid w:val="00184A20"/>
    <w:rsid w:val="00184B03"/>
    <w:rsid w:val="00184B56"/>
    <w:rsid w:val="00184BA0"/>
    <w:rsid w:val="00184BC5"/>
    <w:rsid w:val="00184D40"/>
    <w:rsid w:val="00184FAE"/>
    <w:rsid w:val="00185059"/>
    <w:rsid w:val="0018513D"/>
    <w:rsid w:val="00185379"/>
    <w:rsid w:val="0018541D"/>
    <w:rsid w:val="00185878"/>
    <w:rsid w:val="00185879"/>
    <w:rsid w:val="00185A1B"/>
    <w:rsid w:val="00185AC7"/>
    <w:rsid w:val="00185CA6"/>
    <w:rsid w:val="00185D0B"/>
    <w:rsid w:val="00185D33"/>
    <w:rsid w:val="00185D3D"/>
    <w:rsid w:val="00185D73"/>
    <w:rsid w:val="00185F70"/>
    <w:rsid w:val="00185F78"/>
    <w:rsid w:val="0018614E"/>
    <w:rsid w:val="00186172"/>
    <w:rsid w:val="00186186"/>
    <w:rsid w:val="0018632A"/>
    <w:rsid w:val="0018651E"/>
    <w:rsid w:val="0018652A"/>
    <w:rsid w:val="001865DD"/>
    <w:rsid w:val="001867A6"/>
    <w:rsid w:val="0018687D"/>
    <w:rsid w:val="001868C2"/>
    <w:rsid w:val="001869CF"/>
    <w:rsid w:val="00186C32"/>
    <w:rsid w:val="00186FD4"/>
    <w:rsid w:val="00187105"/>
    <w:rsid w:val="00187419"/>
    <w:rsid w:val="001874D7"/>
    <w:rsid w:val="001876F3"/>
    <w:rsid w:val="001877B1"/>
    <w:rsid w:val="00187A1B"/>
    <w:rsid w:val="00187B9E"/>
    <w:rsid w:val="00187F1F"/>
    <w:rsid w:val="00187F2A"/>
    <w:rsid w:val="0019006B"/>
    <w:rsid w:val="001900AF"/>
    <w:rsid w:val="0019019A"/>
    <w:rsid w:val="0019019B"/>
    <w:rsid w:val="0019026D"/>
    <w:rsid w:val="00190339"/>
    <w:rsid w:val="001903B6"/>
    <w:rsid w:val="00190506"/>
    <w:rsid w:val="00190518"/>
    <w:rsid w:val="0019062F"/>
    <w:rsid w:val="001909DA"/>
    <w:rsid w:val="00190CC3"/>
    <w:rsid w:val="00190D4E"/>
    <w:rsid w:val="00190E22"/>
    <w:rsid w:val="00190F11"/>
    <w:rsid w:val="00190F13"/>
    <w:rsid w:val="00190F74"/>
    <w:rsid w:val="001910A0"/>
    <w:rsid w:val="001910A2"/>
    <w:rsid w:val="001910F1"/>
    <w:rsid w:val="00191188"/>
    <w:rsid w:val="001911BB"/>
    <w:rsid w:val="001911BE"/>
    <w:rsid w:val="00191215"/>
    <w:rsid w:val="00191308"/>
    <w:rsid w:val="001914C4"/>
    <w:rsid w:val="001918BD"/>
    <w:rsid w:val="00191C3F"/>
    <w:rsid w:val="00191CA5"/>
    <w:rsid w:val="00191D7B"/>
    <w:rsid w:val="00191DCE"/>
    <w:rsid w:val="00191FF0"/>
    <w:rsid w:val="0019206C"/>
    <w:rsid w:val="001920EA"/>
    <w:rsid w:val="00192149"/>
    <w:rsid w:val="001922C7"/>
    <w:rsid w:val="0019253C"/>
    <w:rsid w:val="0019282C"/>
    <w:rsid w:val="00192C95"/>
    <w:rsid w:val="00192DEE"/>
    <w:rsid w:val="00192EDC"/>
    <w:rsid w:val="00192F5C"/>
    <w:rsid w:val="00193130"/>
    <w:rsid w:val="0019323A"/>
    <w:rsid w:val="001934BA"/>
    <w:rsid w:val="001934C5"/>
    <w:rsid w:val="001938F7"/>
    <w:rsid w:val="0019398D"/>
    <w:rsid w:val="00193C11"/>
    <w:rsid w:val="00193C1F"/>
    <w:rsid w:val="00193F3C"/>
    <w:rsid w:val="00194013"/>
    <w:rsid w:val="001940F7"/>
    <w:rsid w:val="001942E7"/>
    <w:rsid w:val="001945C8"/>
    <w:rsid w:val="0019485A"/>
    <w:rsid w:val="00194882"/>
    <w:rsid w:val="00194AAE"/>
    <w:rsid w:val="00194ACD"/>
    <w:rsid w:val="00194ADC"/>
    <w:rsid w:val="00194B3B"/>
    <w:rsid w:val="00194B60"/>
    <w:rsid w:val="00194D1F"/>
    <w:rsid w:val="00194D32"/>
    <w:rsid w:val="00194FFD"/>
    <w:rsid w:val="00195069"/>
    <w:rsid w:val="00195218"/>
    <w:rsid w:val="00195276"/>
    <w:rsid w:val="001952F4"/>
    <w:rsid w:val="00195484"/>
    <w:rsid w:val="00195592"/>
    <w:rsid w:val="0019566C"/>
    <w:rsid w:val="001956F0"/>
    <w:rsid w:val="001958A1"/>
    <w:rsid w:val="001959F0"/>
    <w:rsid w:val="00195A13"/>
    <w:rsid w:val="00195A4D"/>
    <w:rsid w:val="00195B4A"/>
    <w:rsid w:val="00195CB2"/>
    <w:rsid w:val="00195CC5"/>
    <w:rsid w:val="00195D19"/>
    <w:rsid w:val="00195E3E"/>
    <w:rsid w:val="00195E4D"/>
    <w:rsid w:val="00195E9A"/>
    <w:rsid w:val="00195F4F"/>
    <w:rsid w:val="00196104"/>
    <w:rsid w:val="00196463"/>
    <w:rsid w:val="00196530"/>
    <w:rsid w:val="00196682"/>
    <w:rsid w:val="0019668E"/>
    <w:rsid w:val="0019675A"/>
    <w:rsid w:val="00196968"/>
    <w:rsid w:val="00196AD5"/>
    <w:rsid w:val="00196B38"/>
    <w:rsid w:val="00196B71"/>
    <w:rsid w:val="00196B86"/>
    <w:rsid w:val="00196CD6"/>
    <w:rsid w:val="00196D21"/>
    <w:rsid w:val="00196D81"/>
    <w:rsid w:val="00196DF7"/>
    <w:rsid w:val="00197150"/>
    <w:rsid w:val="00197242"/>
    <w:rsid w:val="001972F4"/>
    <w:rsid w:val="001973C7"/>
    <w:rsid w:val="0019741D"/>
    <w:rsid w:val="00197558"/>
    <w:rsid w:val="0019756C"/>
    <w:rsid w:val="001975A3"/>
    <w:rsid w:val="00197A94"/>
    <w:rsid w:val="00197AD4"/>
    <w:rsid w:val="00197B03"/>
    <w:rsid w:val="00197C85"/>
    <w:rsid w:val="00197CC0"/>
    <w:rsid w:val="00197D54"/>
    <w:rsid w:val="00197E50"/>
    <w:rsid w:val="001A01F7"/>
    <w:rsid w:val="001A023A"/>
    <w:rsid w:val="001A05FD"/>
    <w:rsid w:val="001A06D1"/>
    <w:rsid w:val="001A073E"/>
    <w:rsid w:val="001A076D"/>
    <w:rsid w:val="001A07AB"/>
    <w:rsid w:val="001A07C5"/>
    <w:rsid w:val="001A09EE"/>
    <w:rsid w:val="001A0B5A"/>
    <w:rsid w:val="001A0C01"/>
    <w:rsid w:val="001A0EDB"/>
    <w:rsid w:val="001A0F2F"/>
    <w:rsid w:val="001A0FC3"/>
    <w:rsid w:val="001A1094"/>
    <w:rsid w:val="001A1148"/>
    <w:rsid w:val="001A1203"/>
    <w:rsid w:val="001A14BA"/>
    <w:rsid w:val="001A1519"/>
    <w:rsid w:val="001A1891"/>
    <w:rsid w:val="001A1981"/>
    <w:rsid w:val="001A1ABF"/>
    <w:rsid w:val="001A1B12"/>
    <w:rsid w:val="001A1D17"/>
    <w:rsid w:val="001A1D87"/>
    <w:rsid w:val="001A1E2B"/>
    <w:rsid w:val="001A1E73"/>
    <w:rsid w:val="001A1F98"/>
    <w:rsid w:val="001A2109"/>
    <w:rsid w:val="001A22A2"/>
    <w:rsid w:val="001A22C0"/>
    <w:rsid w:val="001A25A6"/>
    <w:rsid w:val="001A26B9"/>
    <w:rsid w:val="001A26C4"/>
    <w:rsid w:val="001A26E0"/>
    <w:rsid w:val="001A288E"/>
    <w:rsid w:val="001A2A72"/>
    <w:rsid w:val="001A3032"/>
    <w:rsid w:val="001A323B"/>
    <w:rsid w:val="001A3311"/>
    <w:rsid w:val="001A3352"/>
    <w:rsid w:val="001A33E5"/>
    <w:rsid w:val="001A3416"/>
    <w:rsid w:val="001A3553"/>
    <w:rsid w:val="001A3625"/>
    <w:rsid w:val="001A3695"/>
    <w:rsid w:val="001A373D"/>
    <w:rsid w:val="001A37C5"/>
    <w:rsid w:val="001A39F1"/>
    <w:rsid w:val="001A3BB7"/>
    <w:rsid w:val="001A3E40"/>
    <w:rsid w:val="001A4065"/>
    <w:rsid w:val="001A4368"/>
    <w:rsid w:val="001A440F"/>
    <w:rsid w:val="001A4442"/>
    <w:rsid w:val="001A44B5"/>
    <w:rsid w:val="001A4773"/>
    <w:rsid w:val="001A488B"/>
    <w:rsid w:val="001A49A3"/>
    <w:rsid w:val="001A4BC8"/>
    <w:rsid w:val="001A4BEB"/>
    <w:rsid w:val="001A4C98"/>
    <w:rsid w:val="001A4CD2"/>
    <w:rsid w:val="001A4CE5"/>
    <w:rsid w:val="001A4DDC"/>
    <w:rsid w:val="001A4E32"/>
    <w:rsid w:val="001A50BE"/>
    <w:rsid w:val="001A50CA"/>
    <w:rsid w:val="001A5118"/>
    <w:rsid w:val="001A526F"/>
    <w:rsid w:val="001A5437"/>
    <w:rsid w:val="001A55BB"/>
    <w:rsid w:val="001A565C"/>
    <w:rsid w:val="001A57BD"/>
    <w:rsid w:val="001A57BE"/>
    <w:rsid w:val="001A57C7"/>
    <w:rsid w:val="001A59BB"/>
    <w:rsid w:val="001A59D2"/>
    <w:rsid w:val="001A5A2C"/>
    <w:rsid w:val="001A5A3C"/>
    <w:rsid w:val="001A5A5B"/>
    <w:rsid w:val="001A5D11"/>
    <w:rsid w:val="001A5D8D"/>
    <w:rsid w:val="001A5F80"/>
    <w:rsid w:val="001A60A0"/>
    <w:rsid w:val="001A61EA"/>
    <w:rsid w:val="001A63B0"/>
    <w:rsid w:val="001A64A6"/>
    <w:rsid w:val="001A6636"/>
    <w:rsid w:val="001A6788"/>
    <w:rsid w:val="001A67C2"/>
    <w:rsid w:val="001A6867"/>
    <w:rsid w:val="001A68A0"/>
    <w:rsid w:val="001A6B09"/>
    <w:rsid w:val="001A6BA3"/>
    <w:rsid w:val="001A6EA8"/>
    <w:rsid w:val="001A70F2"/>
    <w:rsid w:val="001A7153"/>
    <w:rsid w:val="001A7158"/>
    <w:rsid w:val="001A719C"/>
    <w:rsid w:val="001A7327"/>
    <w:rsid w:val="001A743A"/>
    <w:rsid w:val="001A74D7"/>
    <w:rsid w:val="001A7521"/>
    <w:rsid w:val="001A7570"/>
    <w:rsid w:val="001A7825"/>
    <w:rsid w:val="001A7830"/>
    <w:rsid w:val="001A78AC"/>
    <w:rsid w:val="001A790C"/>
    <w:rsid w:val="001A7934"/>
    <w:rsid w:val="001A7A42"/>
    <w:rsid w:val="001A7ADD"/>
    <w:rsid w:val="001A7CA7"/>
    <w:rsid w:val="001A7D62"/>
    <w:rsid w:val="001A7DCA"/>
    <w:rsid w:val="001A7E48"/>
    <w:rsid w:val="001B017B"/>
    <w:rsid w:val="001B01BC"/>
    <w:rsid w:val="001B03FF"/>
    <w:rsid w:val="001B0407"/>
    <w:rsid w:val="001B0418"/>
    <w:rsid w:val="001B0493"/>
    <w:rsid w:val="001B0599"/>
    <w:rsid w:val="001B066C"/>
    <w:rsid w:val="001B08FF"/>
    <w:rsid w:val="001B09D6"/>
    <w:rsid w:val="001B0B5F"/>
    <w:rsid w:val="001B0C0C"/>
    <w:rsid w:val="001B0C31"/>
    <w:rsid w:val="001B0C3C"/>
    <w:rsid w:val="001B0E53"/>
    <w:rsid w:val="001B0E93"/>
    <w:rsid w:val="001B10A4"/>
    <w:rsid w:val="001B10A9"/>
    <w:rsid w:val="001B12F1"/>
    <w:rsid w:val="001B13D3"/>
    <w:rsid w:val="001B1563"/>
    <w:rsid w:val="001B16DF"/>
    <w:rsid w:val="001B1738"/>
    <w:rsid w:val="001B177D"/>
    <w:rsid w:val="001B190E"/>
    <w:rsid w:val="001B1992"/>
    <w:rsid w:val="001B1A4F"/>
    <w:rsid w:val="001B1A69"/>
    <w:rsid w:val="001B1B2B"/>
    <w:rsid w:val="001B1F18"/>
    <w:rsid w:val="001B1F93"/>
    <w:rsid w:val="001B1FE9"/>
    <w:rsid w:val="001B2025"/>
    <w:rsid w:val="001B2218"/>
    <w:rsid w:val="001B2240"/>
    <w:rsid w:val="001B22BD"/>
    <w:rsid w:val="001B22C1"/>
    <w:rsid w:val="001B23C7"/>
    <w:rsid w:val="001B23ED"/>
    <w:rsid w:val="001B240D"/>
    <w:rsid w:val="001B244E"/>
    <w:rsid w:val="001B2454"/>
    <w:rsid w:val="001B2482"/>
    <w:rsid w:val="001B26AC"/>
    <w:rsid w:val="001B273C"/>
    <w:rsid w:val="001B2AD7"/>
    <w:rsid w:val="001B2B51"/>
    <w:rsid w:val="001B2BAF"/>
    <w:rsid w:val="001B2BC8"/>
    <w:rsid w:val="001B2D43"/>
    <w:rsid w:val="001B2D49"/>
    <w:rsid w:val="001B2FEF"/>
    <w:rsid w:val="001B3040"/>
    <w:rsid w:val="001B31F9"/>
    <w:rsid w:val="001B32BE"/>
    <w:rsid w:val="001B32D1"/>
    <w:rsid w:val="001B330C"/>
    <w:rsid w:val="001B3322"/>
    <w:rsid w:val="001B3383"/>
    <w:rsid w:val="001B357E"/>
    <w:rsid w:val="001B3592"/>
    <w:rsid w:val="001B366E"/>
    <w:rsid w:val="001B3741"/>
    <w:rsid w:val="001B37D6"/>
    <w:rsid w:val="001B39AC"/>
    <w:rsid w:val="001B3C97"/>
    <w:rsid w:val="001B3DEC"/>
    <w:rsid w:val="001B3F9F"/>
    <w:rsid w:val="001B4121"/>
    <w:rsid w:val="001B41FA"/>
    <w:rsid w:val="001B42E5"/>
    <w:rsid w:val="001B43D8"/>
    <w:rsid w:val="001B4BBA"/>
    <w:rsid w:val="001B4BFB"/>
    <w:rsid w:val="001B4BFD"/>
    <w:rsid w:val="001B4C5A"/>
    <w:rsid w:val="001B4EF9"/>
    <w:rsid w:val="001B509B"/>
    <w:rsid w:val="001B5253"/>
    <w:rsid w:val="001B528C"/>
    <w:rsid w:val="001B52CB"/>
    <w:rsid w:val="001B52D8"/>
    <w:rsid w:val="001B538A"/>
    <w:rsid w:val="001B5520"/>
    <w:rsid w:val="001B5542"/>
    <w:rsid w:val="001B563E"/>
    <w:rsid w:val="001B56B3"/>
    <w:rsid w:val="001B5BFF"/>
    <w:rsid w:val="001B5C61"/>
    <w:rsid w:val="001B5E6C"/>
    <w:rsid w:val="001B606D"/>
    <w:rsid w:val="001B636C"/>
    <w:rsid w:val="001B6390"/>
    <w:rsid w:val="001B6518"/>
    <w:rsid w:val="001B6771"/>
    <w:rsid w:val="001B682A"/>
    <w:rsid w:val="001B6853"/>
    <w:rsid w:val="001B6880"/>
    <w:rsid w:val="001B68DF"/>
    <w:rsid w:val="001B6946"/>
    <w:rsid w:val="001B6A68"/>
    <w:rsid w:val="001B6B59"/>
    <w:rsid w:val="001B6C10"/>
    <w:rsid w:val="001B6D41"/>
    <w:rsid w:val="001B6DF3"/>
    <w:rsid w:val="001B6E2B"/>
    <w:rsid w:val="001B6E7E"/>
    <w:rsid w:val="001B72AA"/>
    <w:rsid w:val="001B72F5"/>
    <w:rsid w:val="001B7459"/>
    <w:rsid w:val="001B747E"/>
    <w:rsid w:val="001B758B"/>
    <w:rsid w:val="001B7694"/>
    <w:rsid w:val="001B7698"/>
    <w:rsid w:val="001B7877"/>
    <w:rsid w:val="001B7883"/>
    <w:rsid w:val="001B798C"/>
    <w:rsid w:val="001B7B42"/>
    <w:rsid w:val="001B7BC5"/>
    <w:rsid w:val="001B7E26"/>
    <w:rsid w:val="001B7E65"/>
    <w:rsid w:val="001B7F65"/>
    <w:rsid w:val="001B7FDB"/>
    <w:rsid w:val="001C0135"/>
    <w:rsid w:val="001C015E"/>
    <w:rsid w:val="001C01B3"/>
    <w:rsid w:val="001C0245"/>
    <w:rsid w:val="001C0861"/>
    <w:rsid w:val="001C0A14"/>
    <w:rsid w:val="001C0A80"/>
    <w:rsid w:val="001C0CB5"/>
    <w:rsid w:val="001C0D1B"/>
    <w:rsid w:val="001C0DC6"/>
    <w:rsid w:val="001C0DCA"/>
    <w:rsid w:val="001C108E"/>
    <w:rsid w:val="001C1092"/>
    <w:rsid w:val="001C10D7"/>
    <w:rsid w:val="001C11A5"/>
    <w:rsid w:val="001C1307"/>
    <w:rsid w:val="001C13BF"/>
    <w:rsid w:val="001C145F"/>
    <w:rsid w:val="001C1522"/>
    <w:rsid w:val="001C1533"/>
    <w:rsid w:val="001C1539"/>
    <w:rsid w:val="001C158E"/>
    <w:rsid w:val="001C17D2"/>
    <w:rsid w:val="001C19B6"/>
    <w:rsid w:val="001C1D70"/>
    <w:rsid w:val="001C1E14"/>
    <w:rsid w:val="001C1F20"/>
    <w:rsid w:val="001C1F4B"/>
    <w:rsid w:val="001C2166"/>
    <w:rsid w:val="001C228D"/>
    <w:rsid w:val="001C22CE"/>
    <w:rsid w:val="001C2374"/>
    <w:rsid w:val="001C23EF"/>
    <w:rsid w:val="001C2489"/>
    <w:rsid w:val="001C2495"/>
    <w:rsid w:val="001C2510"/>
    <w:rsid w:val="001C25DD"/>
    <w:rsid w:val="001C2626"/>
    <w:rsid w:val="001C2788"/>
    <w:rsid w:val="001C27FC"/>
    <w:rsid w:val="001C2855"/>
    <w:rsid w:val="001C285B"/>
    <w:rsid w:val="001C2A0D"/>
    <w:rsid w:val="001C2A37"/>
    <w:rsid w:val="001C2A57"/>
    <w:rsid w:val="001C2C2C"/>
    <w:rsid w:val="001C2DF4"/>
    <w:rsid w:val="001C2E4C"/>
    <w:rsid w:val="001C2EFB"/>
    <w:rsid w:val="001C2FA6"/>
    <w:rsid w:val="001C31C0"/>
    <w:rsid w:val="001C3294"/>
    <w:rsid w:val="001C32D8"/>
    <w:rsid w:val="001C3373"/>
    <w:rsid w:val="001C3907"/>
    <w:rsid w:val="001C3AF7"/>
    <w:rsid w:val="001C3BC2"/>
    <w:rsid w:val="001C3DF9"/>
    <w:rsid w:val="001C40E3"/>
    <w:rsid w:val="001C4171"/>
    <w:rsid w:val="001C420A"/>
    <w:rsid w:val="001C423F"/>
    <w:rsid w:val="001C44BC"/>
    <w:rsid w:val="001C45D3"/>
    <w:rsid w:val="001C45F3"/>
    <w:rsid w:val="001C4657"/>
    <w:rsid w:val="001C46E0"/>
    <w:rsid w:val="001C48A9"/>
    <w:rsid w:val="001C4A5A"/>
    <w:rsid w:val="001C4BD7"/>
    <w:rsid w:val="001C4D8A"/>
    <w:rsid w:val="001C4E45"/>
    <w:rsid w:val="001C4E9B"/>
    <w:rsid w:val="001C4EA7"/>
    <w:rsid w:val="001C4F1A"/>
    <w:rsid w:val="001C502E"/>
    <w:rsid w:val="001C50C2"/>
    <w:rsid w:val="001C53CE"/>
    <w:rsid w:val="001C544A"/>
    <w:rsid w:val="001C5592"/>
    <w:rsid w:val="001C5773"/>
    <w:rsid w:val="001C5807"/>
    <w:rsid w:val="001C5888"/>
    <w:rsid w:val="001C5961"/>
    <w:rsid w:val="001C596D"/>
    <w:rsid w:val="001C5995"/>
    <w:rsid w:val="001C5A6F"/>
    <w:rsid w:val="001C5AF9"/>
    <w:rsid w:val="001C5C64"/>
    <w:rsid w:val="001C5DEB"/>
    <w:rsid w:val="001C5E98"/>
    <w:rsid w:val="001C5EE7"/>
    <w:rsid w:val="001C5FFF"/>
    <w:rsid w:val="001C61AB"/>
    <w:rsid w:val="001C6239"/>
    <w:rsid w:val="001C65EF"/>
    <w:rsid w:val="001C66AF"/>
    <w:rsid w:val="001C682B"/>
    <w:rsid w:val="001C694A"/>
    <w:rsid w:val="001C6A46"/>
    <w:rsid w:val="001C6C26"/>
    <w:rsid w:val="001C6E80"/>
    <w:rsid w:val="001C6ED7"/>
    <w:rsid w:val="001C70A6"/>
    <w:rsid w:val="001C70DD"/>
    <w:rsid w:val="001C720B"/>
    <w:rsid w:val="001C7429"/>
    <w:rsid w:val="001C747B"/>
    <w:rsid w:val="001C7565"/>
    <w:rsid w:val="001C7576"/>
    <w:rsid w:val="001C7871"/>
    <w:rsid w:val="001C7874"/>
    <w:rsid w:val="001C7875"/>
    <w:rsid w:val="001C78A5"/>
    <w:rsid w:val="001C79D5"/>
    <w:rsid w:val="001C79DD"/>
    <w:rsid w:val="001C79F3"/>
    <w:rsid w:val="001C7A7B"/>
    <w:rsid w:val="001C7AE2"/>
    <w:rsid w:val="001C7C99"/>
    <w:rsid w:val="001C7ED8"/>
    <w:rsid w:val="001D01EF"/>
    <w:rsid w:val="001D0374"/>
    <w:rsid w:val="001D04B7"/>
    <w:rsid w:val="001D0501"/>
    <w:rsid w:val="001D061D"/>
    <w:rsid w:val="001D0836"/>
    <w:rsid w:val="001D0954"/>
    <w:rsid w:val="001D0AC4"/>
    <w:rsid w:val="001D0CFA"/>
    <w:rsid w:val="001D0E03"/>
    <w:rsid w:val="001D0E16"/>
    <w:rsid w:val="001D1058"/>
    <w:rsid w:val="001D10F0"/>
    <w:rsid w:val="001D116F"/>
    <w:rsid w:val="001D13AD"/>
    <w:rsid w:val="001D161B"/>
    <w:rsid w:val="001D1922"/>
    <w:rsid w:val="001D1E5F"/>
    <w:rsid w:val="001D1F78"/>
    <w:rsid w:val="001D2006"/>
    <w:rsid w:val="001D2235"/>
    <w:rsid w:val="001D223D"/>
    <w:rsid w:val="001D23D4"/>
    <w:rsid w:val="001D24AF"/>
    <w:rsid w:val="001D2575"/>
    <w:rsid w:val="001D292B"/>
    <w:rsid w:val="001D2CF7"/>
    <w:rsid w:val="001D2D53"/>
    <w:rsid w:val="001D2D7C"/>
    <w:rsid w:val="001D2D88"/>
    <w:rsid w:val="001D2DF6"/>
    <w:rsid w:val="001D2E91"/>
    <w:rsid w:val="001D2FE7"/>
    <w:rsid w:val="001D3042"/>
    <w:rsid w:val="001D33EC"/>
    <w:rsid w:val="001D34D5"/>
    <w:rsid w:val="001D35F8"/>
    <w:rsid w:val="001D389E"/>
    <w:rsid w:val="001D38F8"/>
    <w:rsid w:val="001D39F8"/>
    <w:rsid w:val="001D3B02"/>
    <w:rsid w:val="001D3B84"/>
    <w:rsid w:val="001D3BF7"/>
    <w:rsid w:val="001D3BFD"/>
    <w:rsid w:val="001D3EC1"/>
    <w:rsid w:val="001D3FE3"/>
    <w:rsid w:val="001D424A"/>
    <w:rsid w:val="001D42B9"/>
    <w:rsid w:val="001D42D5"/>
    <w:rsid w:val="001D43BB"/>
    <w:rsid w:val="001D451A"/>
    <w:rsid w:val="001D4650"/>
    <w:rsid w:val="001D4722"/>
    <w:rsid w:val="001D4810"/>
    <w:rsid w:val="001D485D"/>
    <w:rsid w:val="001D49BC"/>
    <w:rsid w:val="001D4BFF"/>
    <w:rsid w:val="001D4C06"/>
    <w:rsid w:val="001D4C5C"/>
    <w:rsid w:val="001D4DD9"/>
    <w:rsid w:val="001D51DF"/>
    <w:rsid w:val="001D5441"/>
    <w:rsid w:val="001D56B9"/>
    <w:rsid w:val="001D5972"/>
    <w:rsid w:val="001D5A16"/>
    <w:rsid w:val="001D5A78"/>
    <w:rsid w:val="001D5BAE"/>
    <w:rsid w:val="001D5C16"/>
    <w:rsid w:val="001D5C45"/>
    <w:rsid w:val="001D5D1A"/>
    <w:rsid w:val="001D5FC7"/>
    <w:rsid w:val="001D6081"/>
    <w:rsid w:val="001D60EE"/>
    <w:rsid w:val="001D6139"/>
    <w:rsid w:val="001D63D0"/>
    <w:rsid w:val="001D6424"/>
    <w:rsid w:val="001D6AFC"/>
    <w:rsid w:val="001D6C0D"/>
    <w:rsid w:val="001D6D37"/>
    <w:rsid w:val="001D6F6A"/>
    <w:rsid w:val="001D6F81"/>
    <w:rsid w:val="001D7069"/>
    <w:rsid w:val="001D706B"/>
    <w:rsid w:val="001D7228"/>
    <w:rsid w:val="001D7331"/>
    <w:rsid w:val="001D73D3"/>
    <w:rsid w:val="001D7497"/>
    <w:rsid w:val="001D74EA"/>
    <w:rsid w:val="001D7665"/>
    <w:rsid w:val="001D769C"/>
    <w:rsid w:val="001D78C3"/>
    <w:rsid w:val="001D7B86"/>
    <w:rsid w:val="001D7FB9"/>
    <w:rsid w:val="001DCAF4"/>
    <w:rsid w:val="001E0011"/>
    <w:rsid w:val="001E0020"/>
    <w:rsid w:val="001E0112"/>
    <w:rsid w:val="001E0132"/>
    <w:rsid w:val="001E023E"/>
    <w:rsid w:val="001E0433"/>
    <w:rsid w:val="001E045A"/>
    <w:rsid w:val="001E04BC"/>
    <w:rsid w:val="001E0596"/>
    <w:rsid w:val="001E0918"/>
    <w:rsid w:val="001E0B28"/>
    <w:rsid w:val="001E0CAE"/>
    <w:rsid w:val="001E0FEC"/>
    <w:rsid w:val="001E1254"/>
    <w:rsid w:val="001E12F7"/>
    <w:rsid w:val="001E13D8"/>
    <w:rsid w:val="001E14C0"/>
    <w:rsid w:val="001E159D"/>
    <w:rsid w:val="001E191A"/>
    <w:rsid w:val="001E1A61"/>
    <w:rsid w:val="001E1AB8"/>
    <w:rsid w:val="001E1C24"/>
    <w:rsid w:val="001E1DB7"/>
    <w:rsid w:val="001E1E00"/>
    <w:rsid w:val="001E1E90"/>
    <w:rsid w:val="001E1FDB"/>
    <w:rsid w:val="001E2062"/>
    <w:rsid w:val="001E2412"/>
    <w:rsid w:val="001E256A"/>
    <w:rsid w:val="001E25F6"/>
    <w:rsid w:val="001E2624"/>
    <w:rsid w:val="001E2B78"/>
    <w:rsid w:val="001E2B9B"/>
    <w:rsid w:val="001E2BD0"/>
    <w:rsid w:val="001E2BD8"/>
    <w:rsid w:val="001E2C12"/>
    <w:rsid w:val="001E2ECF"/>
    <w:rsid w:val="001E2F1C"/>
    <w:rsid w:val="001E2FE7"/>
    <w:rsid w:val="001E317B"/>
    <w:rsid w:val="001E3342"/>
    <w:rsid w:val="001E3519"/>
    <w:rsid w:val="001E3629"/>
    <w:rsid w:val="001E3732"/>
    <w:rsid w:val="001E391F"/>
    <w:rsid w:val="001E39BE"/>
    <w:rsid w:val="001E3A97"/>
    <w:rsid w:val="001E3ACF"/>
    <w:rsid w:val="001E3C38"/>
    <w:rsid w:val="001E3D23"/>
    <w:rsid w:val="001E3D58"/>
    <w:rsid w:val="001E3E6C"/>
    <w:rsid w:val="001E3F33"/>
    <w:rsid w:val="001E4109"/>
    <w:rsid w:val="001E422B"/>
    <w:rsid w:val="001E436A"/>
    <w:rsid w:val="001E43CC"/>
    <w:rsid w:val="001E43F9"/>
    <w:rsid w:val="001E4431"/>
    <w:rsid w:val="001E4593"/>
    <w:rsid w:val="001E4614"/>
    <w:rsid w:val="001E4644"/>
    <w:rsid w:val="001E48EA"/>
    <w:rsid w:val="001E49E0"/>
    <w:rsid w:val="001E4B8F"/>
    <w:rsid w:val="001E4E5C"/>
    <w:rsid w:val="001E4F7C"/>
    <w:rsid w:val="001E5052"/>
    <w:rsid w:val="001E51A2"/>
    <w:rsid w:val="001E5210"/>
    <w:rsid w:val="001E553F"/>
    <w:rsid w:val="001E5595"/>
    <w:rsid w:val="001E5720"/>
    <w:rsid w:val="001E58BA"/>
    <w:rsid w:val="001E58DE"/>
    <w:rsid w:val="001E5910"/>
    <w:rsid w:val="001E5AA3"/>
    <w:rsid w:val="001E5E6F"/>
    <w:rsid w:val="001E5EE6"/>
    <w:rsid w:val="001E5EF5"/>
    <w:rsid w:val="001E6106"/>
    <w:rsid w:val="001E61FC"/>
    <w:rsid w:val="001E623B"/>
    <w:rsid w:val="001E629D"/>
    <w:rsid w:val="001E630A"/>
    <w:rsid w:val="001E630C"/>
    <w:rsid w:val="001E63F0"/>
    <w:rsid w:val="001E6421"/>
    <w:rsid w:val="001E6558"/>
    <w:rsid w:val="001E6643"/>
    <w:rsid w:val="001E6674"/>
    <w:rsid w:val="001E6679"/>
    <w:rsid w:val="001E66A8"/>
    <w:rsid w:val="001E688C"/>
    <w:rsid w:val="001E6AA3"/>
    <w:rsid w:val="001E6BE5"/>
    <w:rsid w:val="001E6E7C"/>
    <w:rsid w:val="001E6FC9"/>
    <w:rsid w:val="001E70EA"/>
    <w:rsid w:val="001E70ED"/>
    <w:rsid w:val="001E718E"/>
    <w:rsid w:val="001E7484"/>
    <w:rsid w:val="001E75A9"/>
    <w:rsid w:val="001E7849"/>
    <w:rsid w:val="001E7965"/>
    <w:rsid w:val="001E7A85"/>
    <w:rsid w:val="001E7AAB"/>
    <w:rsid w:val="001E7E02"/>
    <w:rsid w:val="001E7EA5"/>
    <w:rsid w:val="001E7F70"/>
    <w:rsid w:val="001E7FAB"/>
    <w:rsid w:val="001E9E64"/>
    <w:rsid w:val="001EA759"/>
    <w:rsid w:val="001F0034"/>
    <w:rsid w:val="001F0085"/>
    <w:rsid w:val="001F00E0"/>
    <w:rsid w:val="001F0158"/>
    <w:rsid w:val="001F0188"/>
    <w:rsid w:val="001F01DF"/>
    <w:rsid w:val="001F029E"/>
    <w:rsid w:val="001F0353"/>
    <w:rsid w:val="001F03ED"/>
    <w:rsid w:val="001F0793"/>
    <w:rsid w:val="001F0A72"/>
    <w:rsid w:val="001F0B2A"/>
    <w:rsid w:val="001F0B41"/>
    <w:rsid w:val="001F0C03"/>
    <w:rsid w:val="001F0C43"/>
    <w:rsid w:val="001F0C94"/>
    <w:rsid w:val="001F0D1D"/>
    <w:rsid w:val="001F0E84"/>
    <w:rsid w:val="001F0EE2"/>
    <w:rsid w:val="001F0EE7"/>
    <w:rsid w:val="001F104A"/>
    <w:rsid w:val="001F10EF"/>
    <w:rsid w:val="001F1422"/>
    <w:rsid w:val="001F151B"/>
    <w:rsid w:val="001F17C2"/>
    <w:rsid w:val="001F1829"/>
    <w:rsid w:val="001F1AE2"/>
    <w:rsid w:val="001F1CFA"/>
    <w:rsid w:val="001F1D3C"/>
    <w:rsid w:val="001F20B4"/>
    <w:rsid w:val="001F20DE"/>
    <w:rsid w:val="001F2257"/>
    <w:rsid w:val="001F22A0"/>
    <w:rsid w:val="001F22ED"/>
    <w:rsid w:val="001F2380"/>
    <w:rsid w:val="001F2617"/>
    <w:rsid w:val="001F264A"/>
    <w:rsid w:val="001F26B1"/>
    <w:rsid w:val="001F26BE"/>
    <w:rsid w:val="001F282A"/>
    <w:rsid w:val="001F28F8"/>
    <w:rsid w:val="001F2A37"/>
    <w:rsid w:val="001F2AF4"/>
    <w:rsid w:val="001F2B7D"/>
    <w:rsid w:val="001F2C36"/>
    <w:rsid w:val="001F2CB2"/>
    <w:rsid w:val="001F2D6F"/>
    <w:rsid w:val="001F2E16"/>
    <w:rsid w:val="001F302E"/>
    <w:rsid w:val="001F3159"/>
    <w:rsid w:val="001F3169"/>
    <w:rsid w:val="001F3203"/>
    <w:rsid w:val="001F3326"/>
    <w:rsid w:val="001F34D1"/>
    <w:rsid w:val="001F3631"/>
    <w:rsid w:val="001F3751"/>
    <w:rsid w:val="001F3869"/>
    <w:rsid w:val="001F3873"/>
    <w:rsid w:val="001F39DB"/>
    <w:rsid w:val="001F39EF"/>
    <w:rsid w:val="001F3A86"/>
    <w:rsid w:val="001F3C7B"/>
    <w:rsid w:val="001F3F05"/>
    <w:rsid w:val="001F4053"/>
    <w:rsid w:val="001F407F"/>
    <w:rsid w:val="001F41FA"/>
    <w:rsid w:val="001F44D3"/>
    <w:rsid w:val="001F462E"/>
    <w:rsid w:val="001F4663"/>
    <w:rsid w:val="001F4765"/>
    <w:rsid w:val="001F4B89"/>
    <w:rsid w:val="001F4C49"/>
    <w:rsid w:val="001F4C54"/>
    <w:rsid w:val="001F4CAA"/>
    <w:rsid w:val="001F4D21"/>
    <w:rsid w:val="001F4D2A"/>
    <w:rsid w:val="001F4E00"/>
    <w:rsid w:val="001F4F27"/>
    <w:rsid w:val="001F5040"/>
    <w:rsid w:val="001F506E"/>
    <w:rsid w:val="001F5088"/>
    <w:rsid w:val="001F5095"/>
    <w:rsid w:val="001F519A"/>
    <w:rsid w:val="001F51DB"/>
    <w:rsid w:val="001F5428"/>
    <w:rsid w:val="001F5570"/>
    <w:rsid w:val="001F55E0"/>
    <w:rsid w:val="001F562F"/>
    <w:rsid w:val="001F5630"/>
    <w:rsid w:val="001F584C"/>
    <w:rsid w:val="001F58CC"/>
    <w:rsid w:val="001F5BF9"/>
    <w:rsid w:val="001F5C9F"/>
    <w:rsid w:val="001F5E4B"/>
    <w:rsid w:val="001F5ED1"/>
    <w:rsid w:val="001F5F6E"/>
    <w:rsid w:val="001F6007"/>
    <w:rsid w:val="001F6133"/>
    <w:rsid w:val="001F618A"/>
    <w:rsid w:val="001F6291"/>
    <w:rsid w:val="001F631E"/>
    <w:rsid w:val="001F632A"/>
    <w:rsid w:val="001F6460"/>
    <w:rsid w:val="001F65F9"/>
    <w:rsid w:val="001F67C4"/>
    <w:rsid w:val="001F6801"/>
    <w:rsid w:val="001F6809"/>
    <w:rsid w:val="001F6826"/>
    <w:rsid w:val="001F6942"/>
    <w:rsid w:val="001F6C3D"/>
    <w:rsid w:val="001F6DE3"/>
    <w:rsid w:val="001F6ED0"/>
    <w:rsid w:val="001F7110"/>
    <w:rsid w:val="001F723C"/>
    <w:rsid w:val="001F72FD"/>
    <w:rsid w:val="001F7969"/>
    <w:rsid w:val="001F797E"/>
    <w:rsid w:val="001F79DC"/>
    <w:rsid w:val="001F7CE7"/>
    <w:rsid w:val="001F7CF9"/>
    <w:rsid w:val="001F7DD9"/>
    <w:rsid w:val="001F7DF6"/>
    <w:rsid w:val="001F7E15"/>
    <w:rsid w:val="001FB5F9"/>
    <w:rsid w:val="001FB9A6"/>
    <w:rsid w:val="001FE767"/>
    <w:rsid w:val="002000EC"/>
    <w:rsid w:val="0020010E"/>
    <w:rsid w:val="0020029C"/>
    <w:rsid w:val="0020049D"/>
    <w:rsid w:val="0020055D"/>
    <w:rsid w:val="002005AE"/>
    <w:rsid w:val="0020065A"/>
    <w:rsid w:val="00200774"/>
    <w:rsid w:val="00200826"/>
    <w:rsid w:val="00200C08"/>
    <w:rsid w:val="00200FBC"/>
    <w:rsid w:val="0020127F"/>
    <w:rsid w:val="002012A1"/>
    <w:rsid w:val="002012CA"/>
    <w:rsid w:val="00201313"/>
    <w:rsid w:val="0020166D"/>
    <w:rsid w:val="002017DC"/>
    <w:rsid w:val="00201914"/>
    <w:rsid w:val="00201AAC"/>
    <w:rsid w:val="00201C1E"/>
    <w:rsid w:val="00201CC0"/>
    <w:rsid w:val="00201D06"/>
    <w:rsid w:val="00201F14"/>
    <w:rsid w:val="00201FC1"/>
    <w:rsid w:val="002021B3"/>
    <w:rsid w:val="00202273"/>
    <w:rsid w:val="002022EC"/>
    <w:rsid w:val="002023A3"/>
    <w:rsid w:val="002024C4"/>
    <w:rsid w:val="00202512"/>
    <w:rsid w:val="002025BF"/>
    <w:rsid w:val="0020269C"/>
    <w:rsid w:val="0020272B"/>
    <w:rsid w:val="002027C2"/>
    <w:rsid w:val="00202865"/>
    <w:rsid w:val="00202AAC"/>
    <w:rsid w:val="00202B78"/>
    <w:rsid w:val="00202D33"/>
    <w:rsid w:val="00202D57"/>
    <w:rsid w:val="00202FA0"/>
    <w:rsid w:val="002030A1"/>
    <w:rsid w:val="002030DE"/>
    <w:rsid w:val="00203788"/>
    <w:rsid w:val="002039A7"/>
    <w:rsid w:val="002039F8"/>
    <w:rsid w:val="00203A71"/>
    <w:rsid w:val="00203B2F"/>
    <w:rsid w:val="00203D9B"/>
    <w:rsid w:val="00203E13"/>
    <w:rsid w:val="00203E6C"/>
    <w:rsid w:val="0020413B"/>
    <w:rsid w:val="002044B2"/>
    <w:rsid w:val="00204541"/>
    <w:rsid w:val="002046C9"/>
    <w:rsid w:val="002046D6"/>
    <w:rsid w:val="00204788"/>
    <w:rsid w:val="00204842"/>
    <w:rsid w:val="002048EC"/>
    <w:rsid w:val="00204905"/>
    <w:rsid w:val="00204B23"/>
    <w:rsid w:val="00204B5A"/>
    <w:rsid w:val="00204B8F"/>
    <w:rsid w:val="00204C32"/>
    <w:rsid w:val="00204CB4"/>
    <w:rsid w:val="002051B5"/>
    <w:rsid w:val="0020521C"/>
    <w:rsid w:val="002053BC"/>
    <w:rsid w:val="002055BB"/>
    <w:rsid w:val="0020592E"/>
    <w:rsid w:val="00205A62"/>
    <w:rsid w:val="00205CAA"/>
    <w:rsid w:val="00205CFE"/>
    <w:rsid w:val="00205DDB"/>
    <w:rsid w:val="00205EC3"/>
    <w:rsid w:val="0020601F"/>
    <w:rsid w:val="002060A5"/>
    <w:rsid w:val="002061F9"/>
    <w:rsid w:val="002062CB"/>
    <w:rsid w:val="00206665"/>
    <w:rsid w:val="00206693"/>
    <w:rsid w:val="00206A7B"/>
    <w:rsid w:val="00206A87"/>
    <w:rsid w:val="00206B3D"/>
    <w:rsid w:val="00206C90"/>
    <w:rsid w:val="00206D38"/>
    <w:rsid w:val="00207068"/>
    <w:rsid w:val="00207131"/>
    <w:rsid w:val="002071C2"/>
    <w:rsid w:val="0020727D"/>
    <w:rsid w:val="00207481"/>
    <w:rsid w:val="00207537"/>
    <w:rsid w:val="00207596"/>
    <w:rsid w:val="002075F2"/>
    <w:rsid w:val="00207616"/>
    <w:rsid w:val="00207618"/>
    <w:rsid w:val="002077BA"/>
    <w:rsid w:val="002077F7"/>
    <w:rsid w:val="002079C6"/>
    <w:rsid w:val="00207A19"/>
    <w:rsid w:val="00207E74"/>
    <w:rsid w:val="00207FE8"/>
    <w:rsid w:val="0021020E"/>
    <w:rsid w:val="0021022B"/>
    <w:rsid w:val="00210438"/>
    <w:rsid w:val="002104FE"/>
    <w:rsid w:val="00210505"/>
    <w:rsid w:val="00210629"/>
    <w:rsid w:val="00210819"/>
    <w:rsid w:val="00210918"/>
    <w:rsid w:val="00210B13"/>
    <w:rsid w:val="00210B5C"/>
    <w:rsid w:val="00210B86"/>
    <w:rsid w:val="00210C96"/>
    <w:rsid w:val="00210D82"/>
    <w:rsid w:val="00210DEE"/>
    <w:rsid w:val="00210F40"/>
    <w:rsid w:val="00210F84"/>
    <w:rsid w:val="00211075"/>
    <w:rsid w:val="00211156"/>
    <w:rsid w:val="002111B4"/>
    <w:rsid w:val="0021128B"/>
    <w:rsid w:val="0021133F"/>
    <w:rsid w:val="002114B6"/>
    <w:rsid w:val="00211529"/>
    <w:rsid w:val="00211839"/>
    <w:rsid w:val="00211840"/>
    <w:rsid w:val="00211844"/>
    <w:rsid w:val="00211D2D"/>
    <w:rsid w:val="00211E8A"/>
    <w:rsid w:val="00212100"/>
    <w:rsid w:val="00212101"/>
    <w:rsid w:val="002126C1"/>
    <w:rsid w:val="0021286E"/>
    <w:rsid w:val="002128C2"/>
    <w:rsid w:val="00212A7E"/>
    <w:rsid w:val="00213071"/>
    <w:rsid w:val="00213177"/>
    <w:rsid w:val="002131A4"/>
    <w:rsid w:val="002131C6"/>
    <w:rsid w:val="00213405"/>
    <w:rsid w:val="0021365E"/>
    <w:rsid w:val="0021390B"/>
    <w:rsid w:val="00213945"/>
    <w:rsid w:val="00213AB4"/>
    <w:rsid w:val="00213B2D"/>
    <w:rsid w:val="00213C67"/>
    <w:rsid w:val="00214112"/>
    <w:rsid w:val="00214138"/>
    <w:rsid w:val="00214439"/>
    <w:rsid w:val="002144DD"/>
    <w:rsid w:val="002146AD"/>
    <w:rsid w:val="002146FB"/>
    <w:rsid w:val="002147E9"/>
    <w:rsid w:val="00214803"/>
    <w:rsid w:val="00214922"/>
    <w:rsid w:val="00214A5A"/>
    <w:rsid w:val="00214ABC"/>
    <w:rsid w:val="00214B66"/>
    <w:rsid w:val="00214C96"/>
    <w:rsid w:val="00214CDA"/>
    <w:rsid w:val="00214E80"/>
    <w:rsid w:val="00214EB4"/>
    <w:rsid w:val="002151D3"/>
    <w:rsid w:val="0021555C"/>
    <w:rsid w:val="002156AD"/>
    <w:rsid w:val="00215844"/>
    <w:rsid w:val="002158C2"/>
    <w:rsid w:val="002158D8"/>
    <w:rsid w:val="0021597E"/>
    <w:rsid w:val="002159B7"/>
    <w:rsid w:val="00215E28"/>
    <w:rsid w:val="00215E9E"/>
    <w:rsid w:val="00216419"/>
    <w:rsid w:val="0021645C"/>
    <w:rsid w:val="002164AE"/>
    <w:rsid w:val="00216707"/>
    <w:rsid w:val="002167E2"/>
    <w:rsid w:val="002169AC"/>
    <w:rsid w:val="00216A59"/>
    <w:rsid w:val="00216CFF"/>
    <w:rsid w:val="00216D79"/>
    <w:rsid w:val="00217304"/>
    <w:rsid w:val="002173D0"/>
    <w:rsid w:val="00217570"/>
    <w:rsid w:val="002176F4"/>
    <w:rsid w:val="002179F3"/>
    <w:rsid w:val="00217A07"/>
    <w:rsid w:val="00217AE4"/>
    <w:rsid w:val="00217C0D"/>
    <w:rsid w:val="00217C34"/>
    <w:rsid w:val="00217D87"/>
    <w:rsid w:val="002201AC"/>
    <w:rsid w:val="00220254"/>
    <w:rsid w:val="00220606"/>
    <w:rsid w:val="002206DA"/>
    <w:rsid w:val="0022085E"/>
    <w:rsid w:val="00220A47"/>
    <w:rsid w:val="00220C75"/>
    <w:rsid w:val="00220CBB"/>
    <w:rsid w:val="00220CBC"/>
    <w:rsid w:val="00220D09"/>
    <w:rsid w:val="00220F39"/>
    <w:rsid w:val="002214CC"/>
    <w:rsid w:val="002214DD"/>
    <w:rsid w:val="0022158F"/>
    <w:rsid w:val="00221849"/>
    <w:rsid w:val="002218A7"/>
    <w:rsid w:val="00221989"/>
    <w:rsid w:val="00221A85"/>
    <w:rsid w:val="00221BB5"/>
    <w:rsid w:val="00221BDD"/>
    <w:rsid w:val="00221D7E"/>
    <w:rsid w:val="00221E7E"/>
    <w:rsid w:val="002220E9"/>
    <w:rsid w:val="00222199"/>
    <w:rsid w:val="0022241D"/>
    <w:rsid w:val="00222436"/>
    <w:rsid w:val="00222458"/>
    <w:rsid w:val="002229EE"/>
    <w:rsid w:val="00222C10"/>
    <w:rsid w:val="00223166"/>
    <w:rsid w:val="002237A6"/>
    <w:rsid w:val="0022380E"/>
    <w:rsid w:val="00223A41"/>
    <w:rsid w:val="00223F3D"/>
    <w:rsid w:val="002240CF"/>
    <w:rsid w:val="00224194"/>
    <w:rsid w:val="0022426C"/>
    <w:rsid w:val="002243AA"/>
    <w:rsid w:val="002243F1"/>
    <w:rsid w:val="00224543"/>
    <w:rsid w:val="002246AE"/>
    <w:rsid w:val="002247B9"/>
    <w:rsid w:val="002249BB"/>
    <w:rsid w:val="00224C0B"/>
    <w:rsid w:val="00224CDC"/>
    <w:rsid w:val="00224D29"/>
    <w:rsid w:val="00224F91"/>
    <w:rsid w:val="00225047"/>
    <w:rsid w:val="00225094"/>
    <w:rsid w:val="002252D3"/>
    <w:rsid w:val="00225308"/>
    <w:rsid w:val="0022536C"/>
    <w:rsid w:val="002255A3"/>
    <w:rsid w:val="002255FD"/>
    <w:rsid w:val="00225611"/>
    <w:rsid w:val="0022567B"/>
    <w:rsid w:val="00225899"/>
    <w:rsid w:val="002259C2"/>
    <w:rsid w:val="00225B4C"/>
    <w:rsid w:val="00225B7D"/>
    <w:rsid w:val="00225C30"/>
    <w:rsid w:val="00226225"/>
    <w:rsid w:val="00226294"/>
    <w:rsid w:val="002265B9"/>
    <w:rsid w:val="0022679B"/>
    <w:rsid w:val="00226A08"/>
    <w:rsid w:val="00226A73"/>
    <w:rsid w:val="00226A89"/>
    <w:rsid w:val="00226BF6"/>
    <w:rsid w:val="00226E1E"/>
    <w:rsid w:val="00226E4A"/>
    <w:rsid w:val="00226E62"/>
    <w:rsid w:val="00226E9E"/>
    <w:rsid w:val="00226EA1"/>
    <w:rsid w:val="00227035"/>
    <w:rsid w:val="00227091"/>
    <w:rsid w:val="002270DB"/>
    <w:rsid w:val="00227126"/>
    <w:rsid w:val="00227425"/>
    <w:rsid w:val="0022742E"/>
    <w:rsid w:val="0022743F"/>
    <w:rsid w:val="0022753F"/>
    <w:rsid w:val="0022756B"/>
    <w:rsid w:val="00227926"/>
    <w:rsid w:val="00227AE3"/>
    <w:rsid w:val="00227B3B"/>
    <w:rsid w:val="00227CDE"/>
    <w:rsid w:val="00227CFF"/>
    <w:rsid w:val="002300CD"/>
    <w:rsid w:val="002301DC"/>
    <w:rsid w:val="00230259"/>
    <w:rsid w:val="00230283"/>
    <w:rsid w:val="002303A4"/>
    <w:rsid w:val="002303B1"/>
    <w:rsid w:val="002304B3"/>
    <w:rsid w:val="00230579"/>
    <w:rsid w:val="002306A3"/>
    <w:rsid w:val="0023080D"/>
    <w:rsid w:val="002309A8"/>
    <w:rsid w:val="00230A16"/>
    <w:rsid w:val="00230C05"/>
    <w:rsid w:val="00230C26"/>
    <w:rsid w:val="00230E70"/>
    <w:rsid w:val="00230F87"/>
    <w:rsid w:val="00230FAE"/>
    <w:rsid w:val="00230FBA"/>
    <w:rsid w:val="002310C1"/>
    <w:rsid w:val="0023136F"/>
    <w:rsid w:val="00231460"/>
    <w:rsid w:val="00231464"/>
    <w:rsid w:val="00231573"/>
    <w:rsid w:val="00231626"/>
    <w:rsid w:val="00231656"/>
    <w:rsid w:val="00231666"/>
    <w:rsid w:val="00231783"/>
    <w:rsid w:val="002317A0"/>
    <w:rsid w:val="0023196B"/>
    <w:rsid w:val="002319D0"/>
    <w:rsid w:val="00231A1A"/>
    <w:rsid w:val="00231B9C"/>
    <w:rsid w:val="00231BE1"/>
    <w:rsid w:val="00231DB7"/>
    <w:rsid w:val="00232101"/>
    <w:rsid w:val="00232122"/>
    <w:rsid w:val="00232176"/>
    <w:rsid w:val="002321AF"/>
    <w:rsid w:val="00232204"/>
    <w:rsid w:val="00232250"/>
    <w:rsid w:val="00232329"/>
    <w:rsid w:val="0023242B"/>
    <w:rsid w:val="002325EA"/>
    <w:rsid w:val="0023263E"/>
    <w:rsid w:val="00232701"/>
    <w:rsid w:val="002327E6"/>
    <w:rsid w:val="0023294F"/>
    <w:rsid w:val="00232A52"/>
    <w:rsid w:val="00232AD3"/>
    <w:rsid w:val="00232CF3"/>
    <w:rsid w:val="00232D10"/>
    <w:rsid w:val="00232D3E"/>
    <w:rsid w:val="00232E30"/>
    <w:rsid w:val="0023310F"/>
    <w:rsid w:val="002333BD"/>
    <w:rsid w:val="0023350B"/>
    <w:rsid w:val="0023357E"/>
    <w:rsid w:val="0023364F"/>
    <w:rsid w:val="0023388E"/>
    <w:rsid w:val="002338EB"/>
    <w:rsid w:val="00233AC5"/>
    <w:rsid w:val="00233B50"/>
    <w:rsid w:val="00233E1C"/>
    <w:rsid w:val="00233F62"/>
    <w:rsid w:val="002340D3"/>
    <w:rsid w:val="002341D8"/>
    <w:rsid w:val="00234381"/>
    <w:rsid w:val="002343A4"/>
    <w:rsid w:val="0023465B"/>
    <w:rsid w:val="00234672"/>
    <w:rsid w:val="00234749"/>
    <w:rsid w:val="002347BE"/>
    <w:rsid w:val="00234922"/>
    <w:rsid w:val="00234974"/>
    <w:rsid w:val="00234A62"/>
    <w:rsid w:val="00234CFC"/>
    <w:rsid w:val="00234DA4"/>
    <w:rsid w:val="0023519A"/>
    <w:rsid w:val="002351FF"/>
    <w:rsid w:val="0023533D"/>
    <w:rsid w:val="002353F9"/>
    <w:rsid w:val="00235402"/>
    <w:rsid w:val="0023541D"/>
    <w:rsid w:val="0023549F"/>
    <w:rsid w:val="002354AC"/>
    <w:rsid w:val="00235529"/>
    <w:rsid w:val="002355E9"/>
    <w:rsid w:val="002355F6"/>
    <w:rsid w:val="0023575A"/>
    <w:rsid w:val="00235814"/>
    <w:rsid w:val="00235AA2"/>
    <w:rsid w:val="00235B44"/>
    <w:rsid w:val="00235B8A"/>
    <w:rsid w:val="00235C45"/>
    <w:rsid w:val="00235CB2"/>
    <w:rsid w:val="00235E1B"/>
    <w:rsid w:val="00235E8A"/>
    <w:rsid w:val="002361AC"/>
    <w:rsid w:val="0023624D"/>
    <w:rsid w:val="0023628F"/>
    <w:rsid w:val="002362A6"/>
    <w:rsid w:val="002364AE"/>
    <w:rsid w:val="00236551"/>
    <w:rsid w:val="00236593"/>
    <w:rsid w:val="002368C5"/>
    <w:rsid w:val="00236A31"/>
    <w:rsid w:val="00236AAD"/>
    <w:rsid w:val="00236BF0"/>
    <w:rsid w:val="00236BF1"/>
    <w:rsid w:val="00236D34"/>
    <w:rsid w:val="00236D46"/>
    <w:rsid w:val="00237026"/>
    <w:rsid w:val="0023709A"/>
    <w:rsid w:val="0023730A"/>
    <w:rsid w:val="00237399"/>
    <w:rsid w:val="0023744A"/>
    <w:rsid w:val="00237508"/>
    <w:rsid w:val="0023758F"/>
    <w:rsid w:val="002375F8"/>
    <w:rsid w:val="0023776C"/>
    <w:rsid w:val="002378A7"/>
    <w:rsid w:val="002378E0"/>
    <w:rsid w:val="00237A6B"/>
    <w:rsid w:val="00240256"/>
    <w:rsid w:val="002404EB"/>
    <w:rsid w:val="0024082B"/>
    <w:rsid w:val="00240884"/>
    <w:rsid w:val="00240A20"/>
    <w:rsid w:val="00240AED"/>
    <w:rsid w:val="00240C3E"/>
    <w:rsid w:val="00240C8C"/>
    <w:rsid w:val="00240E48"/>
    <w:rsid w:val="00240E92"/>
    <w:rsid w:val="00240ED9"/>
    <w:rsid w:val="00240F3C"/>
    <w:rsid w:val="00241023"/>
    <w:rsid w:val="00241075"/>
    <w:rsid w:val="002410AF"/>
    <w:rsid w:val="002415FB"/>
    <w:rsid w:val="002416B8"/>
    <w:rsid w:val="00241760"/>
    <w:rsid w:val="002418AD"/>
    <w:rsid w:val="002419F2"/>
    <w:rsid w:val="00241DDB"/>
    <w:rsid w:val="00242082"/>
    <w:rsid w:val="00242125"/>
    <w:rsid w:val="00242132"/>
    <w:rsid w:val="00242147"/>
    <w:rsid w:val="002421BC"/>
    <w:rsid w:val="002422F4"/>
    <w:rsid w:val="0024233A"/>
    <w:rsid w:val="00242392"/>
    <w:rsid w:val="002423CF"/>
    <w:rsid w:val="00242651"/>
    <w:rsid w:val="0024280F"/>
    <w:rsid w:val="00242875"/>
    <w:rsid w:val="002429AF"/>
    <w:rsid w:val="002429BE"/>
    <w:rsid w:val="00242CC5"/>
    <w:rsid w:val="00242FEC"/>
    <w:rsid w:val="00242FF2"/>
    <w:rsid w:val="00243399"/>
    <w:rsid w:val="00243654"/>
    <w:rsid w:val="002439D8"/>
    <w:rsid w:val="00243A45"/>
    <w:rsid w:val="00243C04"/>
    <w:rsid w:val="00243D22"/>
    <w:rsid w:val="00243D5B"/>
    <w:rsid w:val="00243EA6"/>
    <w:rsid w:val="00244138"/>
    <w:rsid w:val="002441C6"/>
    <w:rsid w:val="002441CA"/>
    <w:rsid w:val="0024440A"/>
    <w:rsid w:val="00244601"/>
    <w:rsid w:val="0024488E"/>
    <w:rsid w:val="002448CB"/>
    <w:rsid w:val="002448F9"/>
    <w:rsid w:val="002449CA"/>
    <w:rsid w:val="00244A1D"/>
    <w:rsid w:val="00244B1A"/>
    <w:rsid w:val="0024504B"/>
    <w:rsid w:val="00245431"/>
    <w:rsid w:val="0024543E"/>
    <w:rsid w:val="00245573"/>
    <w:rsid w:val="00245649"/>
    <w:rsid w:val="00245889"/>
    <w:rsid w:val="002458D3"/>
    <w:rsid w:val="00245B77"/>
    <w:rsid w:val="00245E77"/>
    <w:rsid w:val="00246077"/>
    <w:rsid w:val="00246134"/>
    <w:rsid w:val="00246196"/>
    <w:rsid w:val="002466AC"/>
    <w:rsid w:val="00246883"/>
    <w:rsid w:val="002469A9"/>
    <w:rsid w:val="00246A0F"/>
    <w:rsid w:val="00246AFF"/>
    <w:rsid w:val="00246BC5"/>
    <w:rsid w:val="00246E8A"/>
    <w:rsid w:val="002473E7"/>
    <w:rsid w:val="00247484"/>
    <w:rsid w:val="0024758C"/>
    <w:rsid w:val="0024789F"/>
    <w:rsid w:val="00247914"/>
    <w:rsid w:val="002479E4"/>
    <w:rsid w:val="00247DAF"/>
    <w:rsid w:val="00247E24"/>
    <w:rsid w:val="00247E71"/>
    <w:rsid w:val="00247FE7"/>
    <w:rsid w:val="00250407"/>
    <w:rsid w:val="0025045A"/>
    <w:rsid w:val="002504E4"/>
    <w:rsid w:val="00250546"/>
    <w:rsid w:val="00250678"/>
    <w:rsid w:val="0025073B"/>
    <w:rsid w:val="00250E7B"/>
    <w:rsid w:val="00250EBE"/>
    <w:rsid w:val="00251108"/>
    <w:rsid w:val="0025124E"/>
    <w:rsid w:val="00251252"/>
    <w:rsid w:val="00251326"/>
    <w:rsid w:val="002513A3"/>
    <w:rsid w:val="002514A6"/>
    <w:rsid w:val="002515A2"/>
    <w:rsid w:val="00251648"/>
    <w:rsid w:val="002516C9"/>
    <w:rsid w:val="002518C4"/>
    <w:rsid w:val="002518D3"/>
    <w:rsid w:val="00251A7C"/>
    <w:rsid w:val="00251AC5"/>
    <w:rsid w:val="00251ACA"/>
    <w:rsid w:val="00251AD4"/>
    <w:rsid w:val="00251B14"/>
    <w:rsid w:val="00251B3E"/>
    <w:rsid w:val="0025207D"/>
    <w:rsid w:val="002521DF"/>
    <w:rsid w:val="00252677"/>
    <w:rsid w:val="00252778"/>
    <w:rsid w:val="00252803"/>
    <w:rsid w:val="0025283E"/>
    <w:rsid w:val="00252957"/>
    <w:rsid w:val="002529A8"/>
    <w:rsid w:val="002529F4"/>
    <w:rsid w:val="00252A3A"/>
    <w:rsid w:val="00252C71"/>
    <w:rsid w:val="00252CD3"/>
    <w:rsid w:val="00252D53"/>
    <w:rsid w:val="00252DEC"/>
    <w:rsid w:val="00252E28"/>
    <w:rsid w:val="00252E53"/>
    <w:rsid w:val="00252E9D"/>
    <w:rsid w:val="00253031"/>
    <w:rsid w:val="0025327B"/>
    <w:rsid w:val="002533C2"/>
    <w:rsid w:val="002533CF"/>
    <w:rsid w:val="0025366D"/>
    <w:rsid w:val="0025379E"/>
    <w:rsid w:val="002539E3"/>
    <w:rsid w:val="00253B5E"/>
    <w:rsid w:val="00253BAC"/>
    <w:rsid w:val="00253BD6"/>
    <w:rsid w:val="00253C6D"/>
    <w:rsid w:val="00253DB0"/>
    <w:rsid w:val="00253DC7"/>
    <w:rsid w:val="00253E28"/>
    <w:rsid w:val="00253EF0"/>
    <w:rsid w:val="00253F8C"/>
    <w:rsid w:val="00254013"/>
    <w:rsid w:val="0025402C"/>
    <w:rsid w:val="002540FF"/>
    <w:rsid w:val="002542D1"/>
    <w:rsid w:val="002544B2"/>
    <w:rsid w:val="00254604"/>
    <w:rsid w:val="00254711"/>
    <w:rsid w:val="00254825"/>
    <w:rsid w:val="0025494B"/>
    <w:rsid w:val="0025495A"/>
    <w:rsid w:val="00254ABF"/>
    <w:rsid w:val="00254DA4"/>
    <w:rsid w:val="00254DB4"/>
    <w:rsid w:val="00254E95"/>
    <w:rsid w:val="0025500B"/>
    <w:rsid w:val="002551B2"/>
    <w:rsid w:val="002551CA"/>
    <w:rsid w:val="0025523B"/>
    <w:rsid w:val="00255274"/>
    <w:rsid w:val="00255521"/>
    <w:rsid w:val="0025561B"/>
    <w:rsid w:val="0025562D"/>
    <w:rsid w:val="00255684"/>
    <w:rsid w:val="002557A4"/>
    <w:rsid w:val="002558F8"/>
    <w:rsid w:val="00255903"/>
    <w:rsid w:val="002559AF"/>
    <w:rsid w:val="00255F4E"/>
    <w:rsid w:val="002560CB"/>
    <w:rsid w:val="00256111"/>
    <w:rsid w:val="00256149"/>
    <w:rsid w:val="0025626D"/>
    <w:rsid w:val="002563B7"/>
    <w:rsid w:val="002564F6"/>
    <w:rsid w:val="00256560"/>
    <w:rsid w:val="00256624"/>
    <w:rsid w:val="00256A52"/>
    <w:rsid w:val="00256AD7"/>
    <w:rsid w:val="00256AD8"/>
    <w:rsid w:val="00256CDC"/>
    <w:rsid w:val="00256EA4"/>
    <w:rsid w:val="00256F00"/>
    <w:rsid w:val="00256F2F"/>
    <w:rsid w:val="00257166"/>
    <w:rsid w:val="002572C2"/>
    <w:rsid w:val="00257393"/>
    <w:rsid w:val="00257409"/>
    <w:rsid w:val="002575A6"/>
    <w:rsid w:val="002575AC"/>
    <w:rsid w:val="002575E2"/>
    <w:rsid w:val="00257663"/>
    <w:rsid w:val="002576EE"/>
    <w:rsid w:val="00257904"/>
    <w:rsid w:val="00257975"/>
    <w:rsid w:val="002579C9"/>
    <w:rsid w:val="00257A62"/>
    <w:rsid w:val="00257D3A"/>
    <w:rsid w:val="00257DE6"/>
    <w:rsid w:val="00257F11"/>
    <w:rsid w:val="00257F30"/>
    <w:rsid w:val="00260066"/>
    <w:rsid w:val="002600A1"/>
    <w:rsid w:val="002600F9"/>
    <w:rsid w:val="00260212"/>
    <w:rsid w:val="00260430"/>
    <w:rsid w:val="00260A0C"/>
    <w:rsid w:val="00260B9C"/>
    <w:rsid w:val="00260BD1"/>
    <w:rsid w:val="00260BFE"/>
    <w:rsid w:val="00260C31"/>
    <w:rsid w:val="00260C35"/>
    <w:rsid w:val="00260CB3"/>
    <w:rsid w:val="00260E11"/>
    <w:rsid w:val="00260E9C"/>
    <w:rsid w:val="00261277"/>
    <w:rsid w:val="00261368"/>
    <w:rsid w:val="002613E4"/>
    <w:rsid w:val="002614EC"/>
    <w:rsid w:val="00261719"/>
    <w:rsid w:val="00261754"/>
    <w:rsid w:val="002617D9"/>
    <w:rsid w:val="0026181D"/>
    <w:rsid w:val="00261966"/>
    <w:rsid w:val="00261A0A"/>
    <w:rsid w:val="00261C7F"/>
    <w:rsid w:val="00261DA2"/>
    <w:rsid w:val="00261E43"/>
    <w:rsid w:val="00261FD6"/>
    <w:rsid w:val="002620C3"/>
    <w:rsid w:val="002620F9"/>
    <w:rsid w:val="00262161"/>
    <w:rsid w:val="00262297"/>
    <w:rsid w:val="0026244D"/>
    <w:rsid w:val="00262513"/>
    <w:rsid w:val="0026258F"/>
    <w:rsid w:val="0026268C"/>
    <w:rsid w:val="002628D9"/>
    <w:rsid w:val="002629B8"/>
    <w:rsid w:val="00262A69"/>
    <w:rsid w:val="00262ACE"/>
    <w:rsid w:val="00262B86"/>
    <w:rsid w:val="00262C7E"/>
    <w:rsid w:val="00262FD1"/>
    <w:rsid w:val="002630BA"/>
    <w:rsid w:val="002630C2"/>
    <w:rsid w:val="00263106"/>
    <w:rsid w:val="0026329F"/>
    <w:rsid w:val="002632E6"/>
    <w:rsid w:val="0026362E"/>
    <w:rsid w:val="00263676"/>
    <w:rsid w:val="002636A5"/>
    <w:rsid w:val="00263779"/>
    <w:rsid w:val="00263866"/>
    <w:rsid w:val="00263A79"/>
    <w:rsid w:val="00263CE0"/>
    <w:rsid w:val="00263D54"/>
    <w:rsid w:val="00263DB6"/>
    <w:rsid w:val="00263F5D"/>
    <w:rsid w:val="00264161"/>
    <w:rsid w:val="00264350"/>
    <w:rsid w:val="00264372"/>
    <w:rsid w:val="0026446F"/>
    <w:rsid w:val="00264747"/>
    <w:rsid w:val="00264972"/>
    <w:rsid w:val="00264D99"/>
    <w:rsid w:val="00264E6E"/>
    <w:rsid w:val="00264EA5"/>
    <w:rsid w:val="00264EE6"/>
    <w:rsid w:val="00265018"/>
    <w:rsid w:val="00265083"/>
    <w:rsid w:val="00265135"/>
    <w:rsid w:val="00265154"/>
    <w:rsid w:val="002651FD"/>
    <w:rsid w:val="002652E7"/>
    <w:rsid w:val="002655E1"/>
    <w:rsid w:val="00265651"/>
    <w:rsid w:val="0026565E"/>
    <w:rsid w:val="00265677"/>
    <w:rsid w:val="0026567E"/>
    <w:rsid w:val="00265795"/>
    <w:rsid w:val="00265866"/>
    <w:rsid w:val="0026588C"/>
    <w:rsid w:val="00265A35"/>
    <w:rsid w:val="00265B1E"/>
    <w:rsid w:val="00265B88"/>
    <w:rsid w:val="00265BB3"/>
    <w:rsid w:val="00265C0D"/>
    <w:rsid w:val="00265C64"/>
    <w:rsid w:val="00265CC9"/>
    <w:rsid w:val="00265EF5"/>
    <w:rsid w:val="00265FF2"/>
    <w:rsid w:val="00266042"/>
    <w:rsid w:val="0026616E"/>
    <w:rsid w:val="002661A2"/>
    <w:rsid w:val="002661DC"/>
    <w:rsid w:val="00266248"/>
    <w:rsid w:val="00266413"/>
    <w:rsid w:val="002664BC"/>
    <w:rsid w:val="0026655E"/>
    <w:rsid w:val="00266618"/>
    <w:rsid w:val="00266637"/>
    <w:rsid w:val="002668C6"/>
    <w:rsid w:val="00266B8E"/>
    <w:rsid w:val="00266C22"/>
    <w:rsid w:val="00266D70"/>
    <w:rsid w:val="00266E45"/>
    <w:rsid w:val="0026706C"/>
    <w:rsid w:val="0026707C"/>
    <w:rsid w:val="0026710C"/>
    <w:rsid w:val="002671CE"/>
    <w:rsid w:val="002672E2"/>
    <w:rsid w:val="002674E1"/>
    <w:rsid w:val="0026756C"/>
    <w:rsid w:val="002676B1"/>
    <w:rsid w:val="002676DE"/>
    <w:rsid w:val="002677AF"/>
    <w:rsid w:val="00267C5C"/>
    <w:rsid w:val="00267D77"/>
    <w:rsid w:val="00270052"/>
    <w:rsid w:val="0027011C"/>
    <w:rsid w:val="0027013E"/>
    <w:rsid w:val="002702CC"/>
    <w:rsid w:val="00270313"/>
    <w:rsid w:val="002703D3"/>
    <w:rsid w:val="00270506"/>
    <w:rsid w:val="0027054D"/>
    <w:rsid w:val="00270817"/>
    <w:rsid w:val="00270846"/>
    <w:rsid w:val="00270A7D"/>
    <w:rsid w:val="00270AA2"/>
    <w:rsid w:val="00270AC1"/>
    <w:rsid w:val="00270B17"/>
    <w:rsid w:val="00270B88"/>
    <w:rsid w:val="00270CA3"/>
    <w:rsid w:val="00270E14"/>
    <w:rsid w:val="00271199"/>
    <w:rsid w:val="0027138D"/>
    <w:rsid w:val="002715E9"/>
    <w:rsid w:val="00271747"/>
    <w:rsid w:val="0027194F"/>
    <w:rsid w:val="00271A4E"/>
    <w:rsid w:val="00271A70"/>
    <w:rsid w:val="00271AED"/>
    <w:rsid w:val="00271C1A"/>
    <w:rsid w:val="00271D11"/>
    <w:rsid w:val="00271D89"/>
    <w:rsid w:val="00271F7A"/>
    <w:rsid w:val="002720F4"/>
    <w:rsid w:val="0027211C"/>
    <w:rsid w:val="0027240B"/>
    <w:rsid w:val="002724A5"/>
    <w:rsid w:val="002724CD"/>
    <w:rsid w:val="002725C1"/>
    <w:rsid w:val="002727AC"/>
    <w:rsid w:val="00272829"/>
    <w:rsid w:val="00272832"/>
    <w:rsid w:val="00272990"/>
    <w:rsid w:val="00272A49"/>
    <w:rsid w:val="00272A50"/>
    <w:rsid w:val="00272B3C"/>
    <w:rsid w:val="00272BB3"/>
    <w:rsid w:val="00272C29"/>
    <w:rsid w:val="00272CE2"/>
    <w:rsid w:val="00272ED3"/>
    <w:rsid w:val="00272F3A"/>
    <w:rsid w:val="00272F51"/>
    <w:rsid w:val="00272F7F"/>
    <w:rsid w:val="0027312E"/>
    <w:rsid w:val="002732E5"/>
    <w:rsid w:val="00273384"/>
    <w:rsid w:val="00273945"/>
    <w:rsid w:val="0027394E"/>
    <w:rsid w:val="002739CD"/>
    <w:rsid w:val="00273C1E"/>
    <w:rsid w:val="00273CE2"/>
    <w:rsid w:val="00273EFA"/>
    <w:rsid w:val="00273FB6"/>
    <w:rsid w:val="002740D9"/>
    <w:rsid w:val="00274269"/>
    <w:rsid w:val="0027429B"/>
    <w:rsid w:val="002743CC"/>
    <w:rsid w:val="00274551"/>
    <w:rsid w:val="002747F2"/>
    <w:rsid w:val="002748F8"/>
    <w:rsid w:val="00274948"/>
    <w:rsid w:val="00274B43"/>
    <w:rsid w:val="00274BB7"/>
    <w:rsid w:val="00274C38"/>
    <w:rsid w:val="00274CBE"/>
    <w:rsid w:val="00274DED"/>
    <w:rsid w:val="00274E9C"/>
    <w:rsid w:val="002750BF"/>
    <w:rsid w:val="0027517A"/>
    <w:rsid w:val="002752F1"/>
    <w:rsid w:val="00275441"/>
    <w:rsid w:val="00275532"/>
    <w:rsid w:val="00275536"/>
    <w:rsid w:val="00275539"/>
    <w:rsid w:val="0027554A"/>
    <w:rsid w:val="00275582"/>
    <w:rsid w:val="0027564A"/>
    <w:rsid w:val="00275999"/>
    <w:rsid w:val="00275BC0"/>
    <w:rsid w:val="00275CCC"/>
    <w:rsid w:val="00275D9E"/>
    <w:rsid w:val="00275E7A"/>
    <w:rsid w:val="00275E8E"/>
    <w:rsid w:val="00275ED3"/>
    <w:rsid w:val="00276176"/>
    <w:rsid w:val="002761B6"/>
    <w:rsid w:val="002761BB"/>
    <w:rsid w:val="002762FB"/>
    <w:rsid w:val="0027630B"/>
    <w:rsid w:val="00276775"/>
    <w:rsid w:val="00276789"/>
    <w:rsid w:val="00276B51"/>
    <w:rsid w:val="00276C51"/>
    <w:rsid w:val="00276D32"/>
    <w:rsid w:val="00276D95"/>
    <w:rsid w:val="002770B2"/>
    <w:rsid w:val="0027720D"/>
    <w:rsid w:val="00277216"/>
    <w:rsid w:val="002772AE"/>
    <w:rsid w:val="002773E1"/>
    <w:rsid w:val="00277499"/>
    <w:rsid w:val="0027759D"/>
    <w:rsid w:val="0027764F"/>
    <w:rsid w:val="00277821"/>
    <w:rsid w:val="00277885"/>
    <w:rsid w:val="002779CA"/>
    <w:rsid w:val="00277A74"/>
    <w:rsid w:val="00277ABC"/>
    <w:rsid w:val="00277BA5"/>
    <w:rsid w:val="00277CA2"/>
    <w:rsid w:val="00277CC4"/>
    <w:rsid w:val="00277DA4"/>
    <w:rsid w:val="002802E0"/>
    <w:rsid w:val="00280415"/>
    <w:rsid w:val="0028062D"/>
    <w:rsid w:val="0028074B"/>
    <w:rsid w:val="00280848"/>
    <w:rsid w:val="002808DC"/>
    <w:rsid w:val="002809F5"/>
    <w:rsid w:val="00280BFE"/>
    <w:rsid w:val="00280CF0"/>
    <w:rsid w:val="00280D23"/>
    <w:rsid w:val="00280DE7"/>
    <w:rsid w:val="00280E1B"/>
    <w:rsid w:val="00280E63"/>
    <w:rsid w:val="00280E6D"/>
    <w:rsid w:val="002812D9"/>
    <w:rsid w:val="0028135A"/>
    <w:rsid w:val="0028145A"/>
    <w:rsid w:val="0028150E"/>
    <w:rsid w:val="00281610"/>
    <w:rsid w:val="0028173B"/>
    <w:rsid w:val="0028174B"/>
    <w:rsid w:val="00281750"/>
    <w:rsid w:val="0028177D"/>
    <w:rsid w:val="00281B6B"/>
    <w:rsid w:val="00281C53"/>
    <w:rsid w:val="00281D60"/>
    <w:rsid w:val="00281E6F"/>
    <w:rsid w:val="00282042"/>
    <w:rsid w:val="00282154"/>
    <w:rsid w:val="002823E4"/>
    <w:rsid w:val="0028259D"/>
    <w:rsid w:val="002825A2"/>
    <w:rsid w:val="002827B0"/>
    <w:rsid w:val="00282885"/>
    <w:rsid w:val="002829D0"/>
    <w:rsid w:val="002829D2"/>
    <w:rsid w:val="00282DF9"/>
    <w:rsid w:val="00282E49"/>
    <w:rsid w:val="00282F16"/>
    <w:rsid w:val="00282F79"/>
    <w:rsid w:val="00282F98"/>
    <w:rsid w:val="00283059"/>
    <w:rsid w:val="002830E7"/>
    <w:rsid w:val="002832A6"/>
    <w:rsid w:val="0028342A"/>
    <w:rsid w:val="002835DA"/>
    <w:rsid w:val="0028368C"/>
    <w:rsid w:val="00283745"/>
    <w:rsid w:val="00283813"/>
    <w:rsid w:val="002839F4"/>
    <w:rsid w:val="00283BE4"/>
    <w:rsid w:val="00283CE2"/>
    <w:rsid w:val="00283D59"/>
    <w:rsid w:val="00283D78"/>
    <w:rsid w:val="00283D79"/>
    <w:rsid w:val="00283DD6"/>
    <w:rsid w:val="00283E15"/>
    <w:rsid w:val="00283EA9"/>
    <w:rsid w:val="00283F74"/>
    <w:rsid w:val="00283FDA"/>
    <w:rsid w:val="00284049"/>
    <w:rsid w:val="0028414E"/>
    <w:rsid w:val="00284456"/>
    <w:rsid w:val="002844BF"/>
    <w:rsid w:val="002845B6"/>
    <w:rsid w:val="0028482C"/>
    <w:rsid w:val="002848CB"/>
    <w:rsid w:val="00284B9E"/>
    <w:rsid w:val="00284C70"/>
    <w:rsid w:val="00284C9F"/>
    <w:rsid w:val="00284DD2"/>
    <w:rsid w:val="00284EC3"/>
    <w:rsid w:val="00284F94"/>
    <w:rsid w:val="0028500D"/>
    <w:rsid w:val="00285140"/>
    <w:rsid w:val="002851F4"/>
    <w:rsid w:val="002857A2"/>
    <w:rsid w:val="002857D1"/>
    <w:rsid w:val="00285964"/>
    <w:rsid w:val="002859BE"/>
    <w:rsid w:val="00285BB1"/>
    <w:rsid w:val="00285C0A"/>
    <w:rsid w:val="00285D27"/>
    <w:rsid w:val="00286214"/>
    <w:rsid w:val="0028648C"/>
    <w:rsid w:val="00286629"/>
    <w:rsid w:val="002868C7"/>
    <w:rsid w:val="00286928"/>
    <w:rsid w:val="0028693D"/>
    <w:rsid w:val="002869EC"/>
    <w:rsid w:val="00286A8C"/>
    <w:rsid w:val="00286BCC"/>
    <w:rsid w:val="00286D25"/>
    <w:rsid w:val="00286D5C"/>
    <w:rsid w:val="00286F31"/>
    <w:rsid w:val="00287025"/>
    <w:rsid w:val="002870E6"/>
    <w:rsid w:val="0028727A"/>
    <w:rsid w:val="00287424"/>
    <w:rsid w:val="0028744A"/>
    <w:rsid w:val="00287542"/>
    <w:rsid w:val="00287644"/>
    <w:rsid w:val="0028770B"/>
    <w:rsid w:val="0028796E"/>
    <w:rsid w:val="00287BF3"/>
    <w:rsid w:val="00287F2D"/>
    <w:rsid w:val="002901A7"/>
    <w:rsid w:val="002901D6"/>
    <w:rsid w:val="0029020C"/>
    <w:rsid w:val="0029047D"/>
    <w:rsid w:val="002904C6"/>
    <w:rsid w:val="00290512"/>
    <w:rsid w:val="00290726"/>
    <w:rsid w:val="00290774"/>
    <w:rsid w:val="0029090A"/>
    <w:rsid w:val="002909A8"/>
    <w:rsid w:val="00290ACE"/>
    <w:rsid w:val="00290AF7"/>
    <w:rsid w:val="00290BEB"/>
    <w:rsid w:val="00290E92"/>
    <w:rsid w:val="00290EDB"/>
    <w:rsid w:val="00290EF2"/>
    <w:rsid w:val="00290F98"/>
    <w:rsid w:val="00291097"/>
    <w:rsid w:val="002910FB"/>
    <w:rsid w:val="00291183"/>
    <w:rsid w:val="002913A6"/>
    <w:rsid w:val="0029142B"/>
    <w:rsid w:val="0029153E"/>
    <w:rsid w:val="002915D4"/>
    <w:rsid w:val="002915E5"/>
    <w:rsid w:val="0029179E"/>
    <w:rsid w:val="002917D6"/>
    <w:rsid w:val="00291A1A"/>
    <w:rsid w:val="00291CE3"/>
    <w:rsid w:val="00291D8C"/>
    <w:rsid w:val="00291ED7"/>
    <w:rsid w:val="00291ED9"/>
    <w:rsid w:val="00291F57"/>
    <w:rsid w:val="00292268"/>
    <w:rsid w:val="0029235B"/>
    <w:rsid w:val="00292407"/>
    <w:rsid w:val="0029241A"/>
    <w:rsid w:val="00292442"/>
    <w:rsid w:val="00292896"/>
    <w:rsid w:val="002928E7"/>
    <w:rsid w:val="0029290E"/>
    <w:rsid w:val="00292A0F"/>
    <w:rsid w:val="00292B2E"/>
    <w:rsid w:val="00292BA2"/>
    <w:rsid w:val="00292C9B"/>
    <w:rsid w:val="00292D11"/>
    <w:rsid w:val="00292DE7"/>
    <w:rsid w:val="00292E13"/>
    <w:rsid w:val="00292E96"/>
    <w:rsid w:val="00292F40"/>
    <w:rsid w:val="00292FD4"/>
    <w:rsid w:val="00293303"/>
    <w:rsid w:val="00293344"/>
    <w:rsid w:val="0029338A"/>
    <w:rsid w:val="002935F6"/>
    <w:rsid w:val="002937AD"/>
    <w:rsid w:val="002937BB"/>
    <w:rsid w:val="002937E3"/>
    <w:rsid w:val="00293BDA"/>
    <w:rsid w:val="00293CF3"/>
    <w:rsid w:val="00293D09"/>
    <w:rsid w:val="00293EAF"/>
    <w:rsid w:val="00293FDB"/>
    <w:rsid w:val="00294031"/>
    <w:rsid w:val="00294136"/>
    <w:rsid w:val="002945DA"/>
    <w:rsid w:val="002945F9"/>
    <w:rsid w:val="002946F5"/>
    <w:rsid w:val="00294754"/>
    <w:rsid w:val="002947DF"/>
    <w:rsid w:val="002949F0"/>
    <w:rsid w:val="00294A46"/>
    <w:rsid w:val="00294BE0"/>
    <w:rsid w:val="00294CAF"/>
    <w:rsid w:val="00294D30"/>
    <w:rsid w:val="00294F69"/>
    <w:rsid w:val="0029509D"/>
    <w:rsid w:val="002953A5"/>
    <w:rsid w:val="002953E2"/>
    <w:rsid w:val="00295478"/>
    <w:rsid w:val="002955B7"/>
    <w:rsid w:val="00295666"/>
    <w:rsid w:val="002958CC"/>
    <w:rsid w:val="002959DD"/>
    <w:rsid w:val="00295BBB"/>
    <w:rsid w:val="00295D6B"/>
    <w:rsid w:val="00295ECF"/>
    <w:rsid w:val="00296043"/>
    <w:rsid w:val="002962B3"/>
    <w:rsid w:val="002962E3"/>
    <w:rsid w:val="00296309"/>
    <w:rsid w:val="00296338"/>
    <w:rsid w:val="0029640B"/>
    <w:rsid w:val="0029657B"/>
    <w:rsid w:val="0029662F"/>
    <w:rsid w:val="002966A2"/>
    <w:rsid w:val="00296703"/>
    <w:rsid w:val="00296722"/>
    <w:rsid w:val="00296ABF"/>
    <w:rsid w:val="00296C8A"/>
    <w:rsid w:val="00296E99"/>
    <w:rsid w:val="00296F0A"/>
    <w:rsid w:val="00296F86"/>
    <w:rsid w:val="00296FCA"/>
    <w:rsid w:val="00297190"/>
    <w:rsid w:val="002974E7"/>
    <w:rsid w:val="002975D7"/>
    <w:rsid w:val="0029765D"/>
    <w:rsid w:val="00297740"/>
    <w:rsid w:val="0029776A"/>
    <w:rsid w:val="002977E3"/>
    <w:rsid w:val="00297869"/>
    <w:rsid w:val="00297A80"/>
    <w:rsid w:val="00297B44"/>
    <w:rsid w:val="00297B85"/>
    <w:rsid w:val="00297C2D"/>
    <w:rsid w:val="00297DB6"/>
    <w:rsid w:val="002A0099"/>
    <w:rsid w:val="002A00BE"/>
    <w:rsid w:val="002A0131"/>
    <w:rsid w:val="002A02CB"/>
    <w:rsid w:val="002A03CB"/>
    <w:rsid w:val="002A04F9"/>
    <w:rsid w:val="002A0582"/>
    <w:rsid w:val="002A05E1"/>
    <w:rsid w:val="002A0632"/>
    <w:rsid w:val="002A087D"/>
    <w:rsid w:val="002A0A44"/>
    <w:rsid w:val="002A0AE8"/>
    <w:rsid w:val="002A0B16"/>
    <w:rsid w:val="002A0E20"/>
    <w:rsid w:val="002A11B8"/>
    <w:rsid w:val="002A1208"/>
    <w:rsid w:val="002A1248"/>
    <w:rsid w:val="002A13D3"/>
    <w:rsid w:val="002A13F2"/>
    <w:rsid w:val="002A1403"/>
    <w:rsid w:val="002A149F"/>
    <w:rsid w:val="002A15E0"/>
    <w:rsid w:val="002A15E6"/>
    <w:rsid w:val="002A165D"/>
    <w:rsid w:val="002A1670"/>
    <w:rsid w:val="002A16F2"/>
    <w:rsid w:val="002A175E"/>
    <w:rsid w:val="002A1929"/>
    <w:rsid w:val="002A1A19"/>
    <w:rsid w:val="002A1ACC"/>
    <w:rsid w:val="002A1B81"/>
    <w:rsid w:val="002A1D9F"/>
    <w:rsid w:val="002A1F09"/>
    <w:rsid w:val="002A1FBC"/>
    <w:rsid w:val="002A203E"/>
    <w:rsid w:val="002A2149"/>
    <w:rsid w:val="002A2451"/>
    <w:rsid w:val="002A24F1"/>
    <w:rsid w:val="002A2769"/>
    <w:rsid w:val="002A293A"/>
    <w:rsid w:val="002A29D9"/>
    <w:rsid w:val="002A2BC2"/>
    <w:rsid w:val="002A2C17"/>
    <w:rsid w:val="002A2E80"/>
    <w:rsid w:val="002A2F85"/>
    <w:rsid w:val="002A2FF9"/>
    <w:rsid w:val="002A340A"/>
    <w:rsid w:val="002A3454"/>
    <w:rsid w:val="002A3543"/>
    <w:rsid w:val="002A37AF"/>
    <w:rsid w:val="002A3855"/>
    <w:rsid w:val="002A3866"/>
    <w:rsid w:val="002A3913"/>
    <w:rsid w:val="002A3960"/>
    <w:rsid w:val="002A39DB"/>
    <w:rsid w:val="002A3A03"/>
    <w:rsid w:val="002A3B2F"/>
    <w:rsid w:val="002A3D3F"/>
    <w:rsid w:val="002A3EFC"/>
    <w:rsid w:val="002A3F06"/>
    <w:rsid w:val="002A3F2C"/>
    <w:rsid w:val="002A4069"/>
    <w:rsid w:val="002A442E"/>
    <w:rsid w:val="002A443B"/>
    <w:rsid w:val="002A4446"/>
    <w:rsid w:val="002A44CC"/>
    <w:rsid w:val="002A4595"/>
    <w:rsid w:val="002A47A7"/>
    <w:rsid w:val="002A49A1"/>
    <w:rsid w:val="002A4AC4"/>
    <w:rsid w:val="002A4BF8"/>
    <w:rsid w:val="002A4D85"/>
    <w:rsid w:val="002A4E24"/>
    <w:rsid w:val="002A4E2C"/>
    <w:rsid w:val="002A4F11"/>
    <w:rsid w:val="002A51D6"/>
    <w:rsid w:val="002A532B"/>
    <w:rsid w:val="002A53FD"/>
    <w:rsid w:val="002A5440"/>
    <w:rsid w:val="002A54B0"/>
    <w:rsid w:val="002A5629"/>
    <w:rsid w:val="002A56C5"/>
    <w:rsid w:val="002A56F1"/>
    <w:rsid w:val="002A5735"/>
    <w:rsid w:val="002A58F8"/>
    <w:rsid w:val="002A6009"/>
    <w:rsid w:val="002A63F1"/>
    <w:rsid w:val="002A6432"/>
    <w:rsid w:val="002A660F"/>
    <w:rsid w:val="002A6696"/>
    <w:rsid w:val="002A66C6"/>
    <w:rsid w:val="002A68CB"/>
    <w:rsid w:val="002A6A15"/>
    <w:rsid w:val="002A6A36"/>
    <w:rsid w:val="002A6AE5"/>
    <w:rsid w:val="002A6C95"/>
    <w:rsid w:val="002A6D20"/>
    <w:rsid w:val="002A6D2F"/>
    <w:rsid w:val="002A6E09"/>
    <w:rsid w:val="002A71C6"/>
    <w:rsid w:val="002A72A9"/>
    <w:rsid w:val="002A73A1"/>
    <w:rsid w:val="002A7696"/>
    <w:rsid w:val="002A7701"/>
    <w:rsid w:val="002A77B4"/>
    <w:rsid w:val="002A77FC"/>
    <w:rsid w:val="002A7A5A"/>
    <w:rsid w:val="002A7A62"/>
    <w:rsid w:val="002A7B18"/>
    <w:rsid w:val="002A7C28"/>
    <w:rsid w:val="002A7C4A"/>
    <w:rsid w:val="002A7D81"/>
    <w:rsid w:val="002A7E2D"/>
    <w:rsid w:val="002B023E"/>
    <w:rsid w:val="002B02F6"/>
    <w:rsid w:val="002B066A"/>
    <w:rsid w:val="002B0921"/>
    <w:rsid w:val="002B0AB0"/>
    <w:rsid w:val="002B0B7D"/>
    <w:rsid w:val="002B0C37"/>
    <w:rsid w:val="002B0D46"/>
    <w:rsid w:val="002B118F"/>
    <w:rsid w:val="002B11D4"/>
    <w:rsid w:val="002B1338"/>
    <w:rsid w:val="002B133F"/>
    <w:rsid w:val="002B166B"/>
    <w:rsid w:val="002B17E4"/>
    <w:rsid w:val="002B1857"/>
    <w:rsid w:val="002B1941"/>
    <w:rsid w:val="002B1F83"/>
    <w:rsid w:val="002B1FED"/>
    <w:rsid w:val="002B21BB"/>
    <w:rsid w:val="002B220C"/>
    <w:rsid w:val="002B23F8"/>
    <w:rsid w:val="002B24D1"/>
    <w:rsid w:val="002B24E3"/>
    <w:rsid w:val="002B253A"/>
    <w:rsid w:val="002B26A3"/>
    <w:rsid w:val="002B2785"/>
    <w:rsid w:val="002B27BF"/>
    <w:rsid w:val="002B27F2"/>
    <w:rsid w:val="002B292B"/>
    <w:rsid w:val="002B2A71"/>
    <w:rsid w:val="002B2A7A"/>
    <w:rsid w:val="002B2AB0"/>
    <w:rsid w:val="002B2AEC"/>
    <w:rsid w:val="002B2B34"/>
    <w:rsid w:val="002B2BCA"/>
    <w:rsid w:val="002B2C93"/>
    <w:rsid w:val="002B2DD1"/>
    <w:rsid w:val="002B3077"/>
    <w:rsid w:val="002B32FF"/>
    <w:rsid w:val="002B33BB"/>
    <w:rsid w:val="002B3428"/>
    <w:rsid w:val="002B36D3"/>
    <w:rsid w:val="002B38F5"/>
    <w:rsid w:val="002B3B75"/>
    <w:rsid w:val="002B3BB3"/>
    <w:rsid w:val="002B3D3D"/>
    <w:rsid w:val="002B3F40"/>
    <w:rsid w:val="002B43F9"/>
    <w:rsid w:val="002B4496"/>
    <w:rsid w:val="002B4687"/>
    <w:rsid w:val="002B46DA"/>
    <w:rsid w:val="002B49B0"/>
    <w:rsid w:val="002B49C9"/>
    <w:rsid w:val="002B4A71"/>
    <w:rsid w:val="002B4A7C"/>
    <w:rsid w:val="002B4AA8"/>
    <w:rsid w:val="002B4B13"/>
    <w:rsid w:val="002B4BCD"/>
    <w:rsid w:val="002B4D2C"/>
    <w:rsid w:val="002B51EA"/>
    <w:rsid w:val="002B55B1"/>
    <w:rsid w:val="002B55B5"/>
    <w:rsid w:val="002B56A1"/>
    <w:rsid w:val="002B5727"/>
    <w:rsid w:val="002B57F8"/>
    <w:rsid w:val="002B58C3"/>
    <w:rsid w:val="002B592E"/>
    <w:rsid w:val="002B5A4E"/>
    <w:rsid w:val="002B5CA8"/>
    <w:rsid w:val="002B5CBD"/>
    <w:rsid w:val="002B5D81"/>
    <w:rsid w:val="002B5EC3"/>
    <w:rsid w:val="002B5F45"/>
    <w:rsid w:val="002B5F7A"/>
    <w:rsid w:val="002B60BE"/>
    <w:rsid w:val="002B6189"/>
    <w:rsid w:val="002B61B9"/>
    <w:rsid w:val="002B6285"/>
    <w:rsid w:val="002B641A"/>
    <w:rsid w:val="002B659E"/>
    <w:rsid w:val="002B6815"/>
    <w:rsid w:val="002B684C"/>
    <w:rsid w:val="002B68A8"/>
    <w:rsid w:val="002B69AF"/>
    <w:rsid w:val="002B6ADF"/>
    <w:rsid w:val="002B6AF9"/>
    <w:rsid w:val="002B6B22"/>
    <w:rsid w:val="002B6D04"/>
    <w:rsid w:val="002B6EA6"/>
    <w:rsid w:val="002B6FCF"/>
    <w:rsid w:val="002B701C"/>
    <w:rsid w:val="002B701D"/>
    <w:rsid w:val="002B70C4"/>
    <w:rsid w:val="002B7185"/>
    <w:rsid w:val="002B742D"/>
    <w:rsid w:val="002B74B0"/>
    <w:rsid w:val="002B74F3"/>
    <w:rsid w:val="002B7535"/>
    <w:rsid w:val="002B76CC"/>
    <w:rsid w:val="002B76E3"/>
    <w:rsid w:val="002B7866"/>
    <w:rsid w:val="002B789A"/>
    <w:rsid w:val="002B78E8"/>
    <w:rsid w:val="002B790E"/>
    <w:rsid w:val="002B7ADB"/>
    <w:rsid w:val="002B7B5A"/>
    <w:rsid w:val="002B7BBF"/>
    <w:rsid w:val="002B7CB4"/>
    <w:rsid w:val="002B7D29"/>
    <w:rsid w:val="002B7D83"/>
    <w:rsid w:val="002B7F41"/>
    <w:rsid w:val="002B7F92"/>
    <w:rsid w:val="002B7FE4"/>
    <w:rsid w:val="002C00C9"/>
    <w:rsid w:val="002C02B3"/>
    <w:rsid w:val="002C047D"/>
    <w:rsid w:val="002C08F7"/>
    <w:rsid w:val="002C0947"/>
    <w:rsid w:val="002C0E4B"/>
    <w:rsid w:val="002C1029"/>
    <w:rsid w:val="002C10B5"/>
    <w:rsid w:val="002C137F"/>
    <w:rsid w:val="002C1514"/>
    <w:rsid w:val="002C179E"/>
    <w:rsid w:val="002C17CC"/>
    <w:rsid w:val="002C1906"/>
    <w:rsid w:val="002C19FC"/>
    <w:rsid w:val="002C1A33"/>
    <w:rsid w:val="002C1C46"/>
    <w:rsid w:val="002C1C96"/>
    <w:rsid w:val="002C1CCE"/>
    <w:rsid w:val="002C1CF0"/>
    <w:rsid w:val="002C1E09"/>
    <w:rsid w:val="002C1E68"/>
    <w:rsid w:val="002C1E8F"/>
    <w:rsid w:val="002C1EC0"/>
    <w:rsid w:val="002C1FBF"/>
    <w:rsid w:val="002C215D"/>
    <w:rsid w:val="002C23A4"/>
    <w:rsid w:val="002C23A8"/>
    <w:rsid w:val="002C244A"/>
    <w:rsid w:val="002C2461"/>
    <w:rsid w:val="002C24EE"/>
    <w:rsid w:val="002C25A2"/>
    <w:rsid w:val="002C2640"/>
    <w:rsid w:val="002C26E1"/>
    <w:rsid w:val="002C2710"/>
    <w:rsid w:val="002C27B1"/>
    <w:rsid w:val="002C27EC"/>
    <w:rsid w:val="002C289D"/>
    <w:rsid w:val="002C2A75"/>
    <w:rsid w:val="002C2BB4"/>
    <w:rsid w:val="002C2C85"/>
    <w:rsid w:val="002C2D24"/>
    <w:rsid w:val="002C2FDF"/>
    <w:rsid w:val="002C30A0"/>
    <w:rsid w:val="002C3164"/>
    <w:rsid w:val="002C3193"/>
    <w:rsid w:val="002C31AA"/>
    <w:rsid w:val="002C35C5"/>
    <w:rsid w:val="002C3604"/>
    <w:rsid w:val="002C36AE"/>
    <w:rsid w:val="002C37A5"/>
    <w:rsid w:val="002C37A9"/>
    <w:rsid w:val="002C38F0"/>
    <w:rsid w:val="002C3C95"/>
    <w:rsid w:val="002C3ED7"/>
    <w:rsid w:val="002C4064"/>
    <w:rsid w:val="002C42F9"/>
    <w:rsid w:val="002C432E"/>
    <w:rsid w:val="002C4465"/>
    <w:rsid w:val="002C448F"/>
    <w:rsid w:val="002C44D2"/>
    <w:rsid w:val="002C4739"/>
    <w:rsid w:val="002C4BD4"/>
    <w:rsid w:val="002C4D14"/>
    <w:rsid w:val="002C4E93"/>
    <w:rsid w:val="002C4F69"/>
    <w:rsid w:val="002C5072"/>
    <w:rsid w:val="002C50B3"/>
    <w:rsid w:val="002C525A"/>
    <w:rsid w:val="002C52A9"/>
    <w:rsid w:val="002C53FA"/>
    <w:rsid w:val="002C55A7"/>
    <w:rsid w:val="002C5841"/>
    <w:rsid w:val="002C5B53"/>
    <w:rsid w:val="002C5CA6"/>
    <w:rsid w:val="002C5D9A"/>
    <w:rsid w:val="002C5E90"/>
    <w:rsid w:val="002C5EF7"/>
    <w:rsid w:val="002C5F52"/>
    <w:rsid w:val="002C5FEB"/>
    <w:rsid w:val="002C60A7"/>
    <w:rsid w:val="002C66FF"/>
    <w:rsid w:val="002C681B"/>
    <w:rsid w:val="002C6858"/>
    <w:rsid w:val="002C687F"/>
    <w:rsid w:val="002C69C5"/>
    <w:rsid w:val="002C6AD1"/>
    <w:rsid w:val="002C6C51"/>
    <w:rsid w:val="002C6E34"/>
    <w:rsid w:val="002C6EA9"/>
    <w:rsid w:val="002C6F8F"/>
    <w:rsid w:val="002C6FAA"/>
    <w:rsid w:val="002C6FD2"/>
    <w:rsid w:val="002C76FE"/>
    <w:rsid w:val="002C7754"/>
    <w:rsid w:val="002C797A"/>
    <w:rsid w:val="002C7A26"/>
    <w:rsid w:val="002C7BA9"/>
    <w:rsid w:val="002C7BC5"/>
    <w:rsid w:val="002C7CD4"/>
    <w:rsid w:val="002C7CF6"/>
    <w:rsid w:val="002C7DF9"/>
    <w:rsid w:val="002C7EA0"/>
    <w:rsid w:val="002C7FC9"/>
    <w:rsid w:val="002D0353"/>
    <w:rsid w:val="002D03CC"/>
    <w:rsid w:val="002D03EA"/>
    <w:rsid w:val="002D0547"/>
    <w:rsid w:val="002D06EB"/>
    <w:rsid w:val="002D0A82"/>
    <w:rsid w:val="002D0AFA"/>
    <w:rsid w:val="002D0C8D"/>
    <w:rsid w:val="002D0CB3"/>
    <w:rsid w:val="002D0CF8"/>
    <w:rsid w:val="002D0DF3"/>
    <w:rsid w:val="002D1048"/>
    <w:rsid w:val="002D10C1"/>
    <w:rsid w:val="002D11F9"/>
    <w:rsid w:val="002D1200"/>
    <w:rsid w:val="002D1283"/>
    <w:rsid w:val="002D13A7"/>
    <w:rsid w:val="002D13DE"/>
    <w:rsid w:val="002D13F4"/>
    <w:rsid w:val="002D174A"/>
    <w:rsid w:val="002D182C"/>
    <w:rsid w:val="002D19A3"/>
    <w:rsid w:val="002D1BB5"/>
    <w:rsid w:val="002D1CBE"/>
    <w:rsid w:val="002D1E25"/>
    <w:rsid w:val="002D1F76"/>
    <w:rsid w:val="002D2065"/>
    <w:rsid w:val="002D21C9"/>
    <w:rsid w:val="002D249D"/>
    <w:rsid w:val="002D2577"/>
    <w:rsid w:val="002D27D9"/>
    <w:rsid w:val="002D27E1"/>
    <w:rsid w:val="002D284E"/>
    <w:rsid w:val="002D2948"/>
    <w:rsid w:val="002D2981"/>
    <w:rsid w:val="002D2A80"/>
    <w:rsid w:val="002D2AB4"/>
    <w:rsid w:val="002D2B4A"/>
    <w:rsid w:val="002D2C0A"/>
    <w:rsid w:val="002D2D1D"/>
    <w:rsid w:val="002D2EDE"/>
    <w:rsid w:val="002D2F03"/>
    <w:rsid w:val="002D2F14"/>
    <w:rsid w:val="002D3037"/>
    <w:rsid w:val="002D3236"/>
    <w:rsid w:val="002D331B"/>
    <w:rsid w:val="002D34B9"/>
    <w:rsid w:val="002D3601"/>
    <w:rsid w:val="002D3602"/>
    <w:rsid w:val="002D37EF"/>
    <w:rsid w:val="002D3944"/>
    <w:rsid w:val="002D3ED0"/>
    <w:rsid w:val="002D3EFE"/>
    <w:rsid w:val="002D3F69"/>
    <w:rsid w:val="002D3FE9"/>
    <w:rsid w:val="002D4036"/>
    <w:rsid w:val="002D407C"/>
    <w:rsid w:val="002D4257"/>
    <w:rsid w:val="002D458D"/>
    <w:rsid w:val="002D468F"/>
    <w:rsid w:val="002D475E"/>
    <w:rsid w:val="002D49E9"/>
    <w:rsid w:val="002D4AD5"/>
    <w:rsid w:val="002D4B23"/>
    <w:rsid w:val="002D4B31"/>
    <w:rsid w:val="002D4CF8"/>
    <w:rsid w:val="002D4EE5"/>
    <w:rsid w:val="002D4F7B"/>
    <w:rsid w:val="002D50B6"/>
    <w:rsid w:val="002D51BD"/>
    <w:rsid w:val="002D52C9"/>
    <w:rsid w:val="002D53D8"/>
    <w:rsid w:val="002D54A8"/>
    <w:rsid w:val="002D5611"/>
    <w:rsid w:val="002D563C"/>
    <w:rsid w:val="002D5762"/>
    <w:rsid w:val="002D577B"/>
    <w:rsid w:val="002D5989"/>
    <w:rsid w:val="002D5A1A"/>
    <w:rsid w:val="002D5A32"/>
    <w:rsid w:val="002D5E4E"/>
    <w:rsid w:val="002D6119"/>
    <w:rsid w:val="002D623C"/>
    <w:rsid w:val="002D63E0"/>
    <w:rsid w:val="002D642F"/>
    <w:rsid w:val="002D6436"/>
    <w:rsid w:val="002D64AD"/>
    <w:rsid w:val="002D6688"/>
    <w:rsid w:val="002D67F5"/>
    <w:rsid w:val="002D689C"/>
    <w:rsid w:val="002D69C0"/>
    <w:rsid w:val="002D6AA1"/>
    <w:rsid w:val="002D6B9B"/>
    <w:rsid w:val="002D6C4D"/>
    <w:rsid w:val="002D6D2B"/>
    <w:rsid w:val="002D6F18"/>
    <w:rsid w:val="002D6F38"/>
    <w:rsid w:val="002D6FCD"/>
    <w:rsid w:val="002D7061"/>
    <w:rsid w:val="002D7163"/>
    <w:rsid w:val="002D717D"/>
    <w:rsid w:val="002D73A2"/>
    <w:rsid w:val="002D7473"/>
    <w:rsid w:val="002D787D"/>
    <w:rsid w:val="002D78AE"/>
    <w:rsid w:val="002D7933"/>
    <w:rsid w:val="002D7A2A"/>
    <w:rsid w:val="002D7AA5"/>
    <w:rsid w:val="002D7B70"/>
    <w:rsid w:val="002D7F10"/>
    <w:rsid w:val="002E011A"/>
    <w:rsid w:val="002E0131"/>
    <w:rsid w:val="002E0323"/>
    <w:rsid w:val="002E03B0"/>
    <w:rsid w:val="002E0462"/>
    <w:rsid w:val="002E07DF"/>
    <w:rsid w:val="002E07F3"/>
    <w:rsid w:val="002E0950"/>
    <w:rsid w:val="002E0B0E"/>
    <w:rsid w:val="002E0ED0"/>
    <w:rsid w:val="002E0ED2"/>
    <w:rsid w:val="002E10BF"/>
    <w:rsid w:val="002E1116"/>
    <w:rsid w:val="002E1200"/>
    <w:rsid w:val="002E1328"/>
    <w:rsid w:val="002E143F"/>
    <w:rsid w:val="002E1488"/>
    <w:rsid w:val="002E1585"/>
    <w:rsid w:val="002E1905"/>
    <w:rsid w:val="002E1C3C"/>
    <w:rsid w:val="002E1D0F"/>
    <w:rsid w:val="002E1D56"/>
    <w:rsid w:val="002E1E20"/>
    <w:rsid w:val="002E1E88"/>
    <w:rsid w:val="002E1E9C"/>
    <w:rsid w:val="002E20B9"/>
    <w:rsid w:val="002E22BE"/>
    <w:rsid w:val="002E2321"/>
    <w:rsid w:val="002E25D2"/>
    <w:rsid w:val="002E2607"/>
    <w:rsid w:val="002E2608"/>
    <w:rsid w:val="002E29CD"/>
    <w:rsid w:val="002E2A92"/>
    <w:rsid w:val="002E2C23"/>
    <w:rsid w:val="002E2D7E"/>
    <w:rsid w:val="002E3000"/>
    <w:rsid w:val="002E308C"/>
    <w:rsid w:val="002E34C5"/>
    <w:rsid w:val="002E354B"/>
    <w:rsid w:val="002E36E9"/>
    <w:rsid w:val="002E3771"/>
    <w:rsid w:val="002E3829"/>
    <w:rsid w:val="002E39A6"/>
    <w:rsid w:val="002E39DC"/>
    <w:rsid w:val="002E3B71"/>
    <w:rsid w:val="002E3BC3"/>
    <w:rsid w:val="002E3C06"/>
    <w:rsid w:val="002E3C7B"/>
    <w:rsid w:val="002E3CB0"/>
    <w:rsid w:val="002E3D4D"/>
    <w:rsid w:val="002E3D7F"/>
    <w:rsid w:val="002E3DB2"/>
    <w:rsid w:val="002E403B"/>
    <w:rsid w:val="002E4109"/>
    <w:rsid w:val="002E412C"/>
    <w:rsid w:val="002E4206"/>
    <w:rsid w:val="002E46BA"/>
    <w:rsid w:val="002E482B"/>
    <w:rsid w:val="002E4897"/>
    <w:rsid w:val="002E48E0"/>
    <w:rsid w:val="002E49CA"/>
    <w:rsid w:val="002E4BC0"/>
    <w:rsid w:val="002E4C2F"/>
    <w:rsid w:val="002E4E4D"/>
    <w:rsid w:val="002E4FA9"/>
    <w:rsid w:val="002E51E9"/>
    <w:rsid w:val="002E51F3"/>
    <w:rsid w:val="002E5369"/>
    <w:rsid w:val="002E5477"/>
    <w:rsid w:val="002E54A6"/>
    <w:rsid w:val="002E5553"/>
    <w:rsid w:val="002E5582"/>
    <w:rsid w:val="002E5D33"/>
    <w:rsid w:val="002E5E0C"/>
    <w:rsid w:val="002E5ECC"/>
    <w:rsid w:val="002E5F7E"/>
    <w:rsid w:val="002E60BA"/>
    <w:rsid w:val="002E6104"/>
    <w:rsid w:val="002E62BA"/>
    <w:rsid w:val="002E6414"/>
    <w:rsid w:val="002E6429"/>
    <w:rsid w:val="002E643D"/>
    <w:rsid w:val="002E6497"/>
    <w:rsid w:val="002E6528"/>
    <w:rsid w:val="002E6586"/>
    <w:rsid w:val="002E661A"/>
    <w:rsid w:val="002E67B7"/>
    <w:rsid w:val="002E6870"/>
    <w:rsid w:val="002E6A2B"/>
    <w:rsid w:val="002E6AD1"/>
    <w:rsid w:val="002E6B25"/>
    <w:rsid w:val="002E6EBA"/>
    <w:rsid w:val="002E6FF4"/>
    <w:rsid w:val="002E7110"/>
    <w:rsid w:val="002E7332"/>
    <w:rsid w:val="002E74F8"/>
    <w:rsid w:val="002E7557"/>
    <w:rsid w:val="002E757E"/>
    <w:rsid w:val="002E759F"/>
    <w:rsid w:val="002E792F"/>
    <w:rsid w:val="002E7DB1"/>
    <w:rsid w:val="002E7F9A"/>
    <w:rsid w:val="002F00C4"/>
    <w:rsid w:val="002F034B"/>
    <w:rsid w:val="002F0483"/>
    <w:rsid w:val="002F0498"/>
    <w:rsid w:val="002F05CE"/>
    <w:rsid w:val="002F0670"/>
    <w:rsid w:val="002F06FB"/>
    <w:rsid w:val="002F07A6"/>
    <w:rsid w:val="002F07DE"/>
    <w:rsid w:val="002F0852"/>
    <w:rsid w:val="002F08F6"/>
    <w:rsid w:val="002F0BC1"/>
    <w:rsid w:val="002F0C51"/>
    <w:rsid w:val="002F0C65"/>
    <w:rsid w:val="002F0C90"/>
    <w:rsid w:val="002F0E60"/>
    <w:rsid w:val="002F0E62"/>
    <w:rsid w:val="002F0FBA"/>
    <w:rsid w:val="002F0FF7"/>
    <w:rsid w:val="002F100C"/>
    <w:rsid w:val="002F118D"/>
    <w:rsid w:val="002F11C3"/>
    <w:rsid w:val="002F122F"/>
    <w:rsid w:val="002F12BE"/>
    <w:rsid w:val="002F1318"/>
    <w:rsid w:val="002F1409"/>
    <w:rsid w:val="002F15A0"/>
    <w:rsid w:val="002F15CA"/>
    <w:rsid w:val="002F15D2"/>
    <w:rsid w:val="002F16D3"/>
    <w:rsid w:val="002F1786"/>
    <w:rsid w:val="002F1964"/>
    <w:rsid w:val="002F1B06"/>
    <w:rsid w:val="002F1E3D"/>
    <w:rsid w:val="002F21D6"/>
    <w:rsid w:val="002F247D"/>
    <w:rsid w:val="002F24C4"/>
    <w:rsid w:val="002F2503"/>
    <w:rsid w:val="002F26E0"/>
    <w:rsid w:val="002F275B"/>
    <w:rsid w:val="002F2813"/>
    <w:rsid w:val="002F2862"/>
    <w:rsid w:val="002F2AB3"/>
    <w:rsid w:val="002F2B96"/>
    <w:rsid w:val="002F2BFD"/>
    <w:rsid w:val="002F2C11"/>
    <w:rsid w:val="002F2C72"/>
    <w:rsid w:val="002F2E72"/>
    <w:rsid w:val="002F2F10"/>
    <w:rsid w:val="002F2FB1"/>
    <w:rsid w:val="002F301E"/>
    <w:rsid w:val="002F3067"/>
    <w:rsid w:val="002F31D3"/>
    <w:rsid w:val="002F31FC"/>
    <w:rsid w:val="002F326A"/>
    <w:rsid w:val="002F3382"/>
    <w:rsid w:val="002F3731"/>
    <w:rsid w:val="002F3821"/>
    <w:rsid w:val="002F3A8B"/>
    <w:rsid w:val="002F3B49"/>
    <w:rsid w:val="002F3BD7"/>
    <w:rsid w:val="002F3C4F"/>
    <w:rsid w:val="002F3F43"/>
    <w:rsid w:val="002F3F71"/>
    <w:rsid w:val="002F414F"/>
    <w:rsid w:val="002F41ED"/>
    <w:rsid w:val="002F42DB"/>
    <w:rsid w:val="002F4511"/>
    <w:rsid w:val="002F47CD"/>
    <w:rsid w:val="002F4879"/>
    <w:rsid w:val="002F49AA"/>
    <w:rsid w:val="002F4CFE"/>
    <w:rsid w:val="002F4ED8"/>
    <w:rsid w:val="002F5070"/>
    <w:rsid w:val="002F50FF"/>
    <w:rsid w:val="002F51C0"/>
    <w:rsid w:val="002F522B"/>
    <w:rsid w:val="002F5367"/>
    <w:rsid w:val="002F53B8"/>
    <w:rsid w:val="002F5406"/>
    <w:rsid w:val="002F55BC"/>
    <w:rsid w:val="002F57CD"/>
    <w:rsid w:val="002F58B5"/>
    <w:rsid w:val="002F59C8"/>
    <w:rsid w:val="002F59D1"/>
    <w:rsid w:val="002F5BA7"/>
    <w:rsid w:val="002F5C91"/>
    <w:rsid w:val="002F5E5A"/>
    <w:rsid w:val="002F5ED7"/>
    <w:rsid w:val="002F5F1E"/>
    <w:rsid w:val="002F6017"/>
    <w:rsid w:val="002F627A"/>
    <w:rsid w:val="002F6349"/>
    <w:rsid w:val="002F647B"/>
    <w:rsid w:val="002F64B7"/>
    <w:rsid w:val="002F6601"/>
    <w:rsid w:val="002F66D4"/>
    <w:rsid w:val="002F6814"/>
    <w:rsid w:val="002F69E6"/>
    <w:rsid w:val="002F6A4C"/>
    <w:rsid w:val="002F6A8E"/>
    <w:rsid w:val="002F7030"/>
    <w:rsid w:val="002F7192"/>
    <w:rsid w:val="002F724E"/>
    <w:rsid w:val="002F745F"/>
    <w:rsid w:val="002F7592"/>
    <w:rsid w:val="002F77B5"/>
    <w:rsid w:val="002F7872"/>
    <w:rsid w:val="002F7888"/>
    <w:rsid w:val="002F78B5"/>
    <w:rsid w:val="002F7B50"/>
    <w:rsid w:val="002F7BB4"/>
    <w:rsid w:val="002F7C4F"/>
    <w:rsid w:val="002F7CDF"/>
    <w:rsid w:val="002F7D95"/>
    <w:rsid w:val="002FF05D"/>
    <w:rsid w:val="00300086"/>
    <w:rsid w:val="00300182"/>
    <w:rsid w:val="003001BF"/>
    <w:rsid w:val="00300295"/>
    <w:rsid w:val="003002F8"/>
    <w:rsid w:val="0030039A"/>
    <w:rsid w:val="003003D2"/>
    <w:rsid w:val="00300422"/>
    <w:rsid w:val="00300524"/>
    <w:rsid w:val="003005D8"/>
    <w:rsid w:val="00300744"/>
    <w:rsid w:val="0030075C"/>
    <w:rsid w:val="003007DE"/>
    <w:rsid w:val="00300815"/>
    <w:rsid w:val="00300873"/>
    <w:rsid w:val="00300A07"/>
    <w:rsid w:val="00300A7C"/>
    <w:rsid w:val="00300AE1"/>
    <w:rsid w:val="00300C06"/>
    <w:rsid w:val="00300E39"/>
    <w:rsid w:val="00300E5F"/>
    <w:rsid w:val="0030113D"/>
    <w:rsid w:val="0030124A"/>
    <w:rsid w:val="003013E6"/>
    <w:rsid w:val="00301647"/>
    <w:rsid w:val="003016BE"/>
    <w:rsid w:val="0030192B"/>
    <w:rsid w:val="00301B32"/>
    <w:rsid w:val="00301C33"/>
    <w:rsid w:val="00301CD7"/>
    <w:rsid w:val="00301D13"/>
    <w:rsid w:val="00301D99"/>
    <w:rsid w:val="00301F1A"/>
    <w:rsid w:val="003021CF"/>
    <w:rsid w:val="0030228B"/>
    <w:rsid w:val="003022CF"/>
    <w:rsid w:val="00302434"/>
    <w:rsid w:val="0030259D"/>
    <w:rsid w:val="003025A3"/>
    <w:rsid w:val="00302757"/>
    <w:rsid w:val="003029FE"/>
    <w:rsid w:val="00302A0C"/>
    <w:rsid w:val="00302A6A"/>
    <w:rsid w:val="00302AF3"/>
    <w:rsid w:val="00302BD8"/>
    <w:rsid w:val="00302BF7"/>
    <w:rsid w:val="00302C63"/>
    <w:rsid w:val="003030A0"/>
    <w:rsid w:val="003030FA"/>
    <w:rsid w:val="00303110"/>
    <w:rsid w:val="00303486"/>
    <w:rsid w:val="003035DF"/>
    <w:rsid w:val="003037B4"/>
    <w:rsid w:val="003039F0"/>
    <w:rsid w:val="00303A12"/>
    <w:rsid w:val="00303C28"/>
    <w:rsid w:val="00303CCC"/>
    <w:rsid w:val="00303D3D"/>
    <w:rsid w:val="00303FB9"/>
    <w:rsid w:val="0030407B"/>
    <w:rsid w:val="0030414B"/>
    <w:rsid w:val="0030427C"/>
    <w:rsid w:val="00304306"/>
    <w:rsid w:val="003047D5"/>
    <w:rsid w:val="003049DF"/>
    <w:rsid w:val="00304B2A"/>
    <w:rsid w:val="00304B6B"/>
    <w:rsid w:val="00304BA2"/>
    <w:rsid w:val="00304E54"/>
    <w:rsid w:val="00304FFD"/>
    <w:rsid w:val="0030500D"/>
    <w:rsid w:val="0030506E"/>
    <w:rsid w:val="0030529B"/>
    <w:rsid w:val="00305407"/>
    <w:rsid w:val="0030559A"/>
    <w:rsid w:val="003055AD"/>
    <w:rsid w:val="0030561E"/>
    <w:rsid w:val="00305888"/>
    <w:rsid w:val="00305A28"/>
    <w:rsid w:val="00305AED"/>
    <w:rsid w:val="00305B56"/>
    <w:rsid w:val="00305DE6"/>
    <w:rsid w:val="00305E10"/>
    <w:rsid w:val="00305E4C"/>
    <w:rsid w:val="00306050"/>
    <w:rsid w:val="003060A8"/>
    <w:rsid w:val="003061C2"/>
    <w:rsid w:val="003062B2"/>
    <w:rsid w:val="003063EF"/>
    <w:rsid w:val="00306552"/>
    <w:rsid w:val="003066E9"/>
    <w:rsid w:val="003066F8"/>
    <w:rsid w:val="0030689F"/>
    <w:rsid w:val="003068E0"/>
    <w:rsid w:val="003068EC"/>
    <w:rsid w:val="003069AD"/>
    <w:rsid w:val="00306AEE"/>
    <w:rsid w:val="00306B64"/>
    <w:rsid w:val="00306B72"/>
    <w:rsid w:val="00306CD5"/>
    <w:rsid w:val="00306D73"/>
    <w:rsid w:val="00306DA0"/>
    <w:rsid w:val="00306E1D"/>
    <w:rsid w:val="00306F84"/>
    <w:rsid w:val="00307000"/>
    <w:rsid w:val="003073C2"/>
    <w:rsid w:val="003073F5"/>
    <w:rsid w:val="00307403"/>
    <w:rsid w:val="0030755E"/>
    <w:rsid w:val="003079F4"/>
    <w:rsid w:val="00307A0C"/>
    <w:rsid w:val="00307C42"/>
    <w:rsid w:val="00307C91"/>
    <w:rsid w:val="00307D1A"/>
    <w:rsid w:val="00307E02"/>
    <w:rsid w:val="00307E11"/>
    <w:rsid w:val="00307EDB"/>
    <w:rsid w:val="00307EEA"/>
    <w:rsid w:val="00307F70"/>
    <w:rsid w:val="00307F83"/>
    <w:rsid w:val="003100F9"/>
    <w:rsid w:val="00310273"/>
    <w:rsid w:val="003102B0"/>
    <w:rsid w:val="003102F0"/>
    <w:rsid w:val="00310309"/>
    <w:rsid w:val="00310390"/>
    <w:rsid w:val="0031041C"/>
    <w:rsid w:val="00310749"/>
    <w:rsid w:val="00310805"/>
    <w:rsid w:val="0031094F"/>
    <w:rsid w:val="00310A07"/>
    <w:rsid w:val="00310BFA"/>
    <w:rsid w:val="00310C28"/>
    <w:rsid w:val="00310DD7"/>
    <w:rsid w:val="00310E8B"/>
    <w:rsid w:val="00311183"/>
    <w:rsid w:val="003114EB"/>
    <w:rsid w:val="003115B1"/>
    <w:rsid w:val="003118CC"/>
    <w:rsid w:val="00311B51"/>
    <w:rsid w:val="00311B94"/>
    <w:rsid w:val="00311C67"/>
    <w:rsid w:val="00311DD1"/>
    <w:rsid w:val="0031211F"/>
    <w:rsid w:val="00312299"/>
    <w:rsid w:val="0031229F"/>
    <w:rsid w:val="0031246B"/>
    <w:rsid w:val="003124EC"/>
    <w:rsid w:val="00312580"/>
    <w:rsid w:val="0031266F"/>
    <w:rsid w:val="003128EE"/>
    <w:rsid w:val="003129D4"/>
    <w:rsid w:val="003129F2"/>
    <w:rsid w:val="00312A13"/>
    <w:rsid w:val="00312A1E"/>
    <w:rsid w:val="00312D53"/>
    <w:rsid w:val="00312ECD"/>
    <w:rsid w:val="0031304E"/>
    <w:rsid w:val="00313253"/>
    <w:rsid w:val="00313387"/>
    <w:rsid w:val="003134AD"/>
    <w:rsid w:val="003134DC"/>
    <w:rsid w:val="003134F3"/>
    <w:rsid w:val="0031360C"/>
    <w:rsid w:val="00313709"/>
    <w:rsid w:val="00313815"/>
    <w:rsid w:val="00313871"/>
    <w:rsid w:val="0031393B"/>
    <w:rsid w:val="00313A50"/>
    <w:rsid w:val="00313D55"/>
    <w:rsid w:val="00313E11"/>
    <w:rsid w:val="00313F62"/>
    <w:rsid w:val="0031418D"/>
    <w:rsid w:val="00314203"/>
    <w:rsid w:val="0031434A"/>
    <w:rsid w:val="00314386"/>
    <w:rsid w:val="003143A1"/>
    <w:rsid w:val="003144A9"/>
    <w:rsid w:val="003144D0"/>
    <w:rsid w:val="0031472E"/>
    <w:rsid w:val="003149C4"/>
    <w:rsid w:val="00314A2B"/>
    <w:rsid w:val="00314ACE"/>
    <w:rsid w:val="00314C18"/>
    <w:rsid w:val="00314DCB"/>
    <w:rsid w:val="00314E11"/>
    <w:rsid w:val="00315086"/>
    <w:rsid w:val="00315162"/>
    <w:rsid w:val="00315198"/>
    <w:rsid w:val="003151C4"/>
    <w:rsid w:val="00315252"/>
    <w:rsid w:val="003153D2"/>
    <w:rsid w:val="003153DB"/>
    <w:rsid w:val="00315487"/>
    <w:rsid w:val="0031548D"/>
    <w:rsid w:val="0031557D"/>
    <w:rsid w:val="003155AC"/>
    <w:rsid w:val="0031560F"/>
    <w:rsid w:val="00315878"/>
    <w:rsid w:val="0031593B"/>
    <w:rsid w:val="00315B46"/>
    <w:rsid w:val="00315DC5"/>
    <w:rsid w:val="00315F22"/>
    <w:rsid w:val="00316051"/>
    <w:rsid w:val="003161C4"/>
    <w:rsid w:val="003161E9"/>
    <w:rsid w:val="0031626C"/>
    <w:rsid w:val="00316293"/>
    <w:rsid w:val="00316333"/>
    <w:rsid w:val="003163A9"/>
    <w:rsid w:val="003168FB"/>
    <w:rsid w:val="003169EE"/>
    <w:rsid w:val="00316CB2"/>
    <w:rsid w:val="00316CFD"/>
    <w:rsid w:val="00316DFD"/>
    <w:rsid w:val="00316EE4"/>
    <w:rsid w:val="00317118"/>
    <w:rsid w:val="003172A7"/>
    <w:rsid w:val="0031754E"/>
    <w:rsid w:val="00317601"/>
    <w:rsid w:val="00317627"/>
    <w:rsid w:val="00317724"/>
    <w:rsid w:val="00317CAB"/>
    <w:rsid w:val="00317D2D"/>
    <w:rsid w:val="00317EF8"/>
    <w:rsid w:val="00317F14"/>
    <w:rsid w:val="00317F2C"/>
    <w:rsid w:val="00317FDB"/>
    <w:rsid w:val="0032020E"/>
    <w:rsid w:val="003202EE"/>
    <w:rsid w:val="00320313"/>
    <w:rsid w:val="003203DB"/>
    <w:rsid w:val="0032057A"/>
    <w:rsid w:val="00320874"/>
    <w:rsid w:val="00320904"/>
    <w:rsid w:val="00320938"/>
    <w:rsid w:val="00320946"/>
    <w:rsid w:val="00320B86"/>
    <w:rsid w:val="00320BBE"/>
    <w:rsid w:val="00320BC4"/>
    <w:rsid w:val="003210ED"/>
    <w:rsid w:val="0032114B"/>
    <w:rsid w:val="00321154"/>
    <w:rsid w:val="003211B9"/>
    <w:rsid w:val="0032124D"/>
    <w:rsid w:val="003212EF"/>
    <w:rsid w:val="00321405"/>
    <w:rsid w:val="0032148A"/>
    <w:rsid w:val="003214B6"/>
    <w:rsid w:val="00321798"/>
    <w:rsid w:val="0032195A"/>
    <w:rsid w:val="00321A79"/>
    <w:rsid w:val="00321AFA"/>
    <w:rsid w:val="00321DD5"/>
    <w:rsid w:val="003220A8"/>
    <w:rsid w:val="0032233B"/>
    <w:rsid w:val="00322464"/>
    <w:rsid w:val="0032258D"/>
    <w:rsid w:val="003225CD"/>
    <w:rsid w:val="003226A8"/>
    <w:rsid w:val="00322934"/>
    <w:rsid w:val="00322943"/>
    <w:rsid w:val="00322B5B"/>
    <w:rsid w:val="00322DE6"/>
    <w:rsid w:val="0032324B"/>
    <w:rsid w:val="0032345B"/>
    <w:rsid w:val="0032353B"/>
    <w:rsid w:val="003238CB"/>
    <w:rsid w:val="00323C63"/>
    <w:rsid w:val="00323C9C"/>
    <w:rsid w:val="00323D66"/>
    <w:rsid w:val="00323EF9"/>
    <w:rsid w:val="0032410B"/>
    <w:rsid w:val="00324406"/>
    <w:rsid w:val="0032441F"/>
    <w:rsid w:val="00324524"/>
    <w:rsid w:val="00324788"/>
    <w:rsid w:val="00324A0E"/>
    <w:rsid w:val="00324C56"/>
    <w:rsid w:val="00324DC2"/>
    <w:rsid w:val="00325018"/>
    <w:rsid w:val="00325069"/>
    <w:rsid w:val="003251DA"/>
    <w:rsid w:val="003253DD"/>
    <w:rsid w:val="0032552C"/>
    <w:rsid w:val="00325609"/>
    <w:rsid w:val="00325908"/>
    <w:rsid w:val="00325984"/>
    <w:rsid w:val="00325A6F"/>
    <w:rsid w:val="00325A9E"/>
    <w:rsid w:val="00325B0B"/>
    <w:rsid w:val="00325B32"/>
    <w:rsid w:val="00325C7C"/>
    <w:rsid w:val="00325D18"/>
    <w:rsid w:val="00325E0A"/>
    <w:rsid w:val="00325F0A"/>
    <w:rsid w:val="00325F45"/>
    <w:rsid w:val="00325F76"/>
    <w:rsid w:val="003263C0"/>
    <w:rsid w:val="00326436"/>
    <w:rsid w:val="00326443"/>
    <w:rsid w:val="0032650F"/>
    <w:rsid w:val="00326548"/>
    <w:rsid w:val="00326782"/>
    <w:rsid w:val="003267E9"/>
    <w:rsid w:val="003267FA"/>
    <w:rsid w:val="00326914"/>
    <w:rsid w:val="0032694B"/>
    <w:rsid w:val="00326E64"/>
    <w:rsid w:val="003271BA"/>
    <w:rsid w:val="0032767E"/>
    <w:rsid w:val="003278A6"/>
    <w:rsid w:val="0032794E"/>
    <w:rsid w:val="003279A8"/>
    <w:rsid w:val="003279F7"/>
    <w:rsid w:val="00327A5B"/>
    <w:rsid w:val="00327B46"/>
    <w:rsid w:val="00327CCB"/>
    <w:rsid w:val="00327D81"/>
    <w:rsid w:val="00327DF0"/>
    <w:rsid w:val="00327FD4"/>
    <w:rsid w:val="00327FFB"/>
    <w:rsid w:val="00330047"/>
    <w:rsid w:val="00330074"/>
    <w:rsid w:val="003306A2"/>
    <w:rsid w:val="003307B1"/>
    <w:rsid w:val="00330B37"/>
    <w:rsid w:val="00330BF3"/>
    <w:rsid w:val="00330C70"/>
    <w:rsid w:val="00330D20"/>
    <w:rsid w:val="00330D46"/>
    <w:rsid w:val="00330DAA"/>
    <w:rsid w:val="00330DE6"/>
    <w:rsid w:val="00330E29"/>
    <w:rsid w:val="00330F3A"/>
    <w:rsid w:val="00331519"/>
    <w:rsid w:val="00331625"/>
    <w:rsid w:val="003317D7"/>
    <w:rsid w:val="00331810"/>
    <w:rsid w:val="00331931"/>
    <w:rsid w:val="0033198D"/>
    <w:rsid w:val="00331AB1"/>
    <w:rsid w:val="00331B00"/>
    <w:rsid w:val="00331B3C"/>
    <w:rsid w:val="00331B3E"/>
    <w:rsid w:val="00331D32"/>
    <w:rsid w:val="003320E0"/>
    <w:rsid w:val="00332190"/>
    <w:rsid w:val="0033231F"/>
    <w:rsid w:val="0033247B"/>
    <w:rsid w:val="00332595"/>
    <w:rsid w:val="0033262E"/>
    <w:rsid w:val="00332793"/>
    <w:rsid w:val="003327E2"/>
    <w:rsid w:val="00332831"/>
    <w:rsid w:val="00332925"/>
    <w:rsid w:val="003329FE"/>
    <w:rsid w:val="00332A14"/>
    <w:rsid w:val="00332A42"/>
    <w:rsid w:val="00332A71"/>
    <w:rsid w:val="00332AC2"/>
    <w:rsid w:val="00332DDA"/>
    <w:rsid w:val="00332E5D"/>
    <w:rsid w:val="0033305D"/>
    <w:rsid w:val="0033318F"/>
    <w:rsid w:val="00333215"/>
    <w:rsid w:val="003332EC"/>
    <w:rsid w:val="0033332B"/>
    <w:rsid w:val="0033344F"/>
    <w:rsid w:val="0033378B"/>
    <w:rsid w:val="003337C6"/>
    <w:rsid w:val="003338B9"/>
    <w:rsid w:val="0033390E"/>
    <w:rsid w:val="00333A71"/>
    <w:rsid w:val="00333C04"/>
    <w:rsid w:val="00333DC7"/>
    <w:rsid w:val="00333F92"/>
    <w:rsid w:val="00334030"/>
    <w:rsid w:val="003340FE"/>
    <w:rsid w:val="00334136"/>
    <w:rsid w:val="003341CF"/>
    <w:rsid w:val="003341D7"/>
    <w:rsid w:val="00334295"/>
    <w:rsid w:val="003342EB"/>
    <w:rsid w:val="0033440F"/>
    <w:rsid w:val="00334470"/>
    <w:rsid w:val="00334499"/>
    <w:rsid w:val="00334646"/>
    <w:rsid w:val="003346BA"/>
    <w:rsid w:val="003347F7"/>
    <w:rsid w:val="00334840"/>
    <w:rsid w:val="00334987"/>
    <w:rsid w:val="00334A41"/>
    <w:rsid w:val="00334A73"/>
    <w:rsid w:val="00334C4A"/>
    <w:rsid w:val="00334CE7"/>
    <w:rsid w:val="00334D10"/>
    <w:rsid w:val="00334D77"/>
    <w:rsid w:val="00334DE5"/>
    <w:rsid w:val="003352F5"/>
    <w:rsid w:val="0033552C"/>
    <w:rsid w:val="003355AB"/>
    <w:rsid w:val="003357E1"/>
    <w:rsid w:val="00335872"/>
    <w:rsid w:val="00335899"/>
    <w:rsid w:val="003358A1"/>
    <w:rsid w:val="00335FF2"/>
    <w:rsid w:val="0033603C"/>
    <w:rsid w:val="003360A3"/>
    <w:rsid w:val="00336135"/>
    <w:rsid w:val="00336286"/>
    <w:rsid w:val="0033628F"/>
    <w:rsid w:val="003364D1"/>
    <w:rsid w:val="003364DA"/>
    <w:rsid w:val="00336560"/>
    <w:rsid w:val="003365B3"/>
    <w:rsid w:val="00336678"/>
    <w:rsid w:val="0033673F"/>
    <w:rsid w:val="00336766"/>
    <w:rsid w:val="00336A03"/>
    <w:rsid w:val="00336C00"/>
    <w:rsid w:val="00336D77"/>
    <w:rsid w:val="00336DA9"/>
    <w:rsid w:val="0033727B"/>
    <w:rsid w:val="003374AD"/>
    <w:rsid w:val="003374AF"/>
    <w:rsid w:val="003376B2"/>
    <w:rsid w:val="003377A8"/>
    <w:rsid w:val="003377F3"/>
    <w:rsid w:val="00337868"/>
    <w:rsid w:val="00337A29"/>
    <w:rsid w:val="00337AA7"/>
    <w:rsid w:val="00337C2A"/>
    <w:rsid w:val="00337F98"/>
    <w:rsid w:val="00340100"/>
    <w:rsid w:val="0034022C"/>
    <w:rsid w:val="003402C1"/>
    <w:rsid w:val="0034061C"/>
    <w:rsid w:val="00340750"/>
    <w:rsid w:val="003408F0"/>
    <w:rsid w:val="003409FD"/>
    <w:rsid w:val="00340F88"/>
    <w:rsid w:val="003410BE"/>
    <w:rsid w:val="003412D5"/>
    <w:rsid w:val="0034142D"/>
    <w:rsid w:val="003415DD"/>
    <w:rsid w:val="00341630"/>
    <w:rsid w:val="0034186A"/>
    <w:rsid w:val="00341A05"/>
    <w:rsid w:val="00341A76"/>
    <w:rsid w:val="00341BE0"/>
    <w:rsid w:val="00341D4C"/>
    <w:rsid w:val="00341DA4"/>
    <w:rsid w:val="00341E7C"/>
    <w:rsid w:val="00341F30"/>
    <w:rsid w:val="00341F59"/>
    <w:rsid w:val="00341FC4"/>
    <w:rsid w:val="0034207F"/>
    <w:rsid w:val="003420C0"/>
    <w:rsid w:val="00342206"/>
    <w:rsid w:val="00342286"/>
    <w:rsid w:val="00342297"/>
    <w:rsid w:val="003422D4"/>
    <w:rsid w:val="003423D0"/>
    <w:rsid w:val="003425C3"/>
    <w:rsid w:val="0034292B"/>
    <w:rsid w:val="00342C24"/>
    <w:rsid w:val="00342CA0"/>
    <w:rsid w:val="00342DD2"/>
    <w:rsid w:val="00342E34"/>
    <w:rsid w:val="00342F88"/>
    <w:rsid w:val="00342FDF"/>
    <w:rsid w:val="00343013"/>
    <w:rsid w:val="003430F0"/>
    <w:rsid w:val="00343100"/>
    <w:rsid w:val="0034331D"/>
    <w:rsid w:val="00343478"/>
    <w:rsid w:val="00343530"/>
    <w:rsid w:val="00343571"/>
    <w:rsid w:val="003437EB"/>
    <w:rsid w:val="0034392F"/>
    <w:rsid w:val="0034399A"/>
    <w:rsid w:val="00343A35"/>
    <w:rsid w:val="00343BEC"/>
    <w:rsid w:val="00343EB6"/>
    <w:rsid w:val="00343F93"/>
    <w:rsid w:val="003440D5"/>
    <w:rsid w:val="003442BE"/>
    <w:rsid w:val="003442C6"/>
    <w:rsid w:val="003442EA"/>
    <w:rsid w:val="003443B4"/>
    <w:rsid w:val="0034452A"/>
    <w:rsid w:val="00344587"/>
    <w:rsid w:val="003445E5"/>
    <w:rsid w:val="00344609"/>
    <w:rsid w:val="00344645"/>
    <w:rsid w:val="0034467A"/>
    <w:rsid w:val="00344715"/>
    <w:rsid w:val="0034488B"/>
    <w:rsid w:val="003448A3"/>
    <w:rsid w:val="0034494D"/>
    <w:rsid w:val="0034497E"/>
    <w:rsid w:val="00344981"/>
    <w:rsid w:val="00344CFA"/>
    <w:rsid w:val="00344D6C"/>
    <w:rsid w:val="00344DFE"/>
    <w:rsid w:val="00344F65"/>
    <w:rsid w:val="00345085"/>
    <w:rsid w:val="0034522F"/>
    <w:rsid w:val="00345259"/>
    <w:rsid w:val="00345372"/>
    <w:rsid w:val="0034544F"/>
    <w:rsid w:val="00345503"/>
    <w:rsid w:val="00345A9F"/>
    <w:rsid w:val="00345D30"/>
    <w:rsid w:val="00345D37"/>
    <w:rsid w:val="00345D4B"/>
    <w:rsid w:val="00345EFF"/>
    <w:rsid w:val="00345F0C"/>
    <w:rsid w:val="0034623B"/>
    <w:rsid w:val="0034623F"/>
    <w:rsid w:val="0034627E"/>
    <w:rsid w:val="003462E0"/>
    <w:rsid w:val="00346368"/>
    <w:rsid w:val="003463D4"/>
    <w:rsid w:val="00346504"/>
    <w:rsid w:val="003466F7"/>
    <w:rsid w:val="00346ADF"/>
    <w:rsid w:val="00346B9D"/>
    <w:rsid w:val="00346EF1"/>
    <w:rsid w:val="0034703B"/>
    <w:rsid w:val="0034721B"/>
    <w:rsid w:val="00347308"/>
    <w:rsid w:val="00347688"/>
    <w:rsid w:val="00347697"/>
    <w:rsid w:val="00347812"/>
    <w:rsid w:val="00347819"/>
    <w:rsid w:val="00347839"/>
    <w:rsid w:val="003479AB"/>
    <w:rsid w:val="00347A3C"/>
    <w:rsid w:val="00347FB8"/>
    <w:rsid w:val="00350010"/>
    <w:rsid w:val="00350093"/>
    <w:rsid w:val="0035016E"/>
    <w:rsid w:val="00350353"/>
    <w:rsid w:val="003503FA"/>
    <w:rsid w:val="0035059E"/>
    <w:rsid w:val="003505F5"/>
    <w:rsid w:val="0035068B"/>
    <w:rsid w:val="003506DB"/>
    <w:rsid w:val="003508B4"/>
    <w:rsid w:val="00350972"/>
    <w:rsid w:val="00350B6A"/>
    <w:rsid w:val="00350BA5"/>
    <w:rsid w:val="00350D61"/>
    <w:rsid w:val="00350D63"/>
    <w:rsid w:val="003511F0"/>
    <w:rsid w:val="0035147A"/>
    <w:rsid w:val="0035151E"/>
    <w:rsid w:val="003515DA"/>
    <w:rsid w:val="003515F0"/>
    <w:rsid w:val="0035179C"/>
    <w:rsid w:val="00351846"/>
    <w:rsid w:val="00351890"/>
    <w:rsid w:val="00351996"/>
    <w:rsid w:val="00351C7F"/>
    <w:rsid w:val="00351F2A"/>
    <w:rsid w:val="00351F63"/>
    <w:rsid w:val="00351FB6"/>
    <w:rsid w:val="0035206E"/>
    <w:rsid w:val="003521EF"/>
    <w:rsid w:val="00352609"/>
    <w:rsid w:val="0035264D"/>
    <w:rsid w:val="0035266A"/>
    <w:rsid w:val="00352695"/>
    <w:rsid w:val="0035272E"/>
    <w:rsid w:val="00352830"/>
    <w:rsid w:val="003528B6"/>
    <w:rsid w:val="00352902"/>
    <w:rsid w:val="00352983"/>
    <w:rsid w:val="00352BF9"/>
    <w:rsid w:val="00352C96"/>
    <w:rsid w:val="00352F4A"/>
    <w:rsid w:val="00353083"/>
    <w:rsid w:val="003530C0"/>
    <w:rsid w:val="0035319A"/>
    <w:rsid w:val="0035330F"/>
    <w:rsid w:val="00353368"/>
    <w:rsid w:val="003533CE"/>
    <w:rsid w:val="003536E3"/>
    <w:rsid w:val="0035377C"/>
    <w:rsid w:val="00353786"/>
    <w:rsid w:val="00353793"/>
    <w:rsid w:val="0035388B"/>
    <w:rsid w:val="00353BC3"/>
    <w:rsid w:val="00353D55"/>
    <w:rsid w:val="00353DA7"/>
    <w:rsid w:val="00354054"/>
    <w:rsid w:val="0035407F"/>
    <w:rsid w:val="0035418E"/>
    <w:rsid w:val="00354224"/>
    <w:rsid w:val="00354238"/>
    <w:rsid w:val="0035439F"/>
    <w:rsid w:val="0035445E"/>
    <w:rsid w:val="003544B1"/>
    <w:rsid w:val="003545F3"/>
    <w:rsid w:val="0035482C"/>
    <w:rsid w:val="003548FD"/>
    <w:rsid w:val="0035492C"/>
    <w:rsid w:val="00354939"/>
    <w:rsid w:val="003549D2"/>
    <w:rsid w:val="00354A09"/>
    <w:rsid w:val="00354A7F"/>
    <w:rsid w:val="00354C14"/>
    <w:rsid w:val="00354CAA"/>
    <w:rsid w:val="00355023"/>
    <w:rsid w:val="003552DF"/>
    <w:rsid w:val="00355324"/>
    <w:rsid w:val="0035539E"/>
    <w:rsid w:val="0035551A"/>
    <w:rsid w:val="00355826"/>
    <w:rsid w:val="003558F6"/>
    <w:rsid w:val="00355958"/>
    <w:rsid w:val="003559FF"/>
    <w:rsid w:val="00355A76"/>
    <w:rsid w:val="00355AD0"/>
    <w:rsid w:val="00355AF8"/>
    <w:rsid w:val="00355BEF"/>
    <w:rsid w:val="00356026"/>
    <w:rsid w:val="00356396"/>
    <w:rsid w:val="003563B4"/>
    <w:rsid w:val="00356657"/>
    <w:rsid w:val="003568D6"/>
    <w:rsid w:val="00356A28"/>
    <w:rsid w:val="00356A79"/>
    <w:rsid w:val="00356DE2"/>
    <w:rsid w:val="00356E0A"/>
    <w:rsid w:val="00356EA3"/>
    <w:rsid w:val="00357045"/>
    <w:rsid w:val="00357217"/>
    <w:rsid w:val="003572F7"/>
    <w:rsid w:val="003573CE"/>
    <w:rsid w:val="003574F4"/>
    <w:rsid w:val="003576BA"/>
    <w:rsid w:val="003576E4"/>
    <w:rsid w:val="003576E7"/>
    <w:rsid w:val="00357840"/>
    <w:rsid w:val="0035784E"/>
    <w:rsid w:val="003578C0"/>
    <w:rsid w:val="00357AA3"/>
    <w:rsid w:val="00357B33"/>
    <w:rsid w:val="00357D7F"/>
    <w:rsid w:val="00357E06"/>
    <w:rsid w:val="00357EFF"/>
    <w:rsid w:val="00357F4F"/>
    <w:rsid w:val="00360088"/>
    <w:rsid w:val="00360235"/>
    <w:rsid w:val="00360434"/>
    <w:rsid w:val="00360553"/>
    <w:rsid w:val="00360601"/>
    <w:rsid w:val="003608CB"/>
    <w:rsid w:val="003609C1"/>
    <w:rsid w:val="00360AD3"/>
    <w:rsid w:val="00360E08"/>
    <w:rsid w:val="00360F84"/>
    <w:rsid w:val="0036102C"/>
    <w:rsid w:val="0036119F"/>
    <w:rsid w:val="0036126C"/>
    <w:rsid w:val="003612E8"/>
    <w:rsid w:val="003615ED"/>
    <w:rsid w:val="003619EE"/>
    <w:rsid w:val="00361DC4"/>
    <w:rsid w:val="00361E2A"/>
    <w:rsid w:val="00361EAF"/>
    <w:rsid w:val="00361ECA"/>
    <w:rsid w:val="00361F4B"/>
    <w:rsid w:val="0036200D"/>
    <w:rsid w:val="00362185"/>
    <w:rsid w:val="00362231"/>
    <w:rsid w:val="0036231C"/>
    <w:rsid w:val="0036249F"/>
    <w:rsid w:val="003624B2"/>
    <w:rsid w:val="0036258B"/>
    <w:rsid w:val="003627C6"/>
    <w:rsid w:val="003628D3"/>
    <w:rsid w:val="00362997"/>
    <w:rsid w:val="00362A20"/>
    <w:rsid w:val="00362A66"/>
    <w:rsid w:val="00362B73"/>
    <w:rsid w:val="00363115"/>
    <w:rsid w:val="00363171"/>
    <w:rsid w:val="0036320C"/>
    <w:rsid w:val="00363252"/>
    <w:rsid w:val="00363280"/>
    <w:rsid w:val="0036330D"/>
    <w:rsid w:val="003633F4"/>
    <w:rsid w:val="00363453"/>
    <w:rsid w:val="0036379D"/>
    <w:rsid w:val="00363C8E"/>
    <w:rsid w:val="00363D67"/>
    <w:rsid w:val="00363E5A"/>
    <w:rsid w:val="00363E72"/>
    <w:rsid w:val="00363E78"/>
    <w:rsid w:val="00363EA7"/>
    <w:rsid w:val="00363F7B"/>
    <w:rsid w:val="00364092"/>
    <w:rsid w:val="00364142"/>
    <w:rsid w:val="00364395"/>
    <w:rsid w:val="00364559"/>
    <w:rsid w:val="0036480E"/>
    <w:rsid w:val="00364970"/>
    <w:rsid w:val="003649D6"/>
    <w:rsid w:val="00364A50"/>
    <w:rsid w:val="00364B19"/>
    <w:rsid w:val="00364C55"/>
    <w:rsid w:val="00364DA8"/>
    <w:rsid w:val="00364F60"/>
    <w:rsid w:val="00364F80"/>
    <w:rsid w:val="003650B6"/>
    <w:rsid w:val="003650C4"/>
    <w:rsid w:val="00365331"/>
    <w:rsid w:val="0036540D"/>
    <w:rsid w:val="0036549D"/>
    <w:rsid w:val="00365631"/>
    <w:rsid w:val="00365908"/>
    <w:rsid w:val="00365943"/>
    <w:rsid w:val="00365A87"/>
    <w:rsid w:val="00365AE2"/>
    <w:rsid w:val="00365B66"/>
    <w:rsid w:val="00365CC2"/>
    <w:rsid w:val="00365DDA"/>
    <w:rsid w:val="00365EC6"/>
    <w:rsid w:val="00366138"/>
    <w:rsid w:val="0036633A"/>
    <w:rsid w:val="003663A1"/>
    <w:rsid w:val="00366587"/>
    <w:rsid w:val="00366588"/>
    <w:rsid w:val="0036683D"/>
    <w:rsid w:val="00366AAA"/>
    <w:rsid w:val="00366C25"/>
    <w:rsid w:val="00366E1B"/>
    <w:rsid w:val="00366F07"/>
    <w:rsid w:val="00366F51"/>
    <w:rsid w:val="00367468"/>
    <w:rsid w:val="0036747C"/>
    <w:rsid w:val="00367565"/>
    <w:rsid w:val="003677FE"/>
    <w:rsid w:val="00367813"/>
    <w:rsid w:val="00367958"/>
    <w:rsid w:val="00367A7D"/>
    <w:rsid w:val="00367AE7"/>
    <w:rsid w:val="00367B5A"/>
    <w:rsid w:val="00367BBC"/>
    <w:rsid w:val="00367D29"/>
    <w:rsid w:val="00367D3F"/>
    <w:rsid w:val="00367E09"/>
    <w:rsid w:val="00367E28"/>
    <w:rsid w:val="00367E2A"/>
    <w:rsid w:val="00370000"/>
    <w:rsid w:val="00370069"/>
    <w:rsid w:val="00370157"/>
    <w:rsid w:val="003701E2"/>
    <w:rsid w:val="00370440"/>
    <w:rsid w:val="00370468"/>
    <w:rsid w:val="003705F5"/>
    <w:rsid w:val="00370606"/>
    <w:rsid w:val="00370764"/>
    <w:rsid w:val="00370A80"/>
    <w:rsid w:val="00370AA6"/>
    <w:rsid w:val="00370C5B"/>
    <w:rsid w:val="00370C88"/>
    <w:rsid w:val="00370D32"/>
    <w:rsid w:val="00370DFA"/>
    <w:rsid w:val="00370EA7"/>
    <w:rsid w:val="00370F23"/>
    <w:rsid w:val="00371105"/>
    <w:rsid w:val="00371137"/>
    <w:rsid w:val="003711DE"/>
    <w:rsid w:val="00371207"/>
    <w:rsid w:val="0037123E"/>
    <w:rsid w:val="003713A8"/>
    <w:rsid w:val="003714CE"/>
    <w:rsid w:val="003714E8"/>
    <w:rsid w:val="003715A2"/>
    <w:rsid w:val="003715F0"/>
    <w:rsid w:val="00371B0B"/>
    <w:rsid w:val="00371C7A"/>
    <w:rsid w:val="00371EAF"/>
    <w:rsid w:val="003720B0"/>
    <w:rsid w:val="003721B2"/>
    <w:rsid w:val="0037231D"/>
    <w:rsid w:val="0037243D"/>
    <w:rsid w:val="0037275E"/>
    <w:rsid w:val="003727CD"/>
    <w:rsid w:val="0037281C"/>
    <w:rsid w:val="00372870"/>
    <w:rsid w:val="00372930"/>
    <w:rsid w:val="00372A8C"/>
    <w:rsid w:val="00372B4E"/>
    <w:rsid w:val="00372CA7"/>
    <w:rsid w:val="00372EDC"/>
    <w:rsid w:val="003731E8"/>
    <w:rsid w:val="00373208"/>
    <w:rsid w:val="00373238"/>
    <w:rsid w:val="003733C6"/>
    <w:rsid w:val="003733E3"/>
    <w:rsid w:val="00373414"/>
    <w:rsid w:val="00373631"/>
    <w:rsid w:val="00373652"/>
    <w:rsid w:val="003736E8"/>
    <w:rsid w:val="003737F9"/>
    <w:rsid w:val="0037385D"/>
    <w:rsid w:val="00373909"/>
    <w:rsid w:val="00373A76"/>
    <w:rsid w:val="00373B06"/>
    <w:rsid w:val="00373B60"/>
    <w:rsid w:val="00373C87"/>
    <w:rsid w:val="00373D5B"/>
    <w:rsid w:val="00373DF2"/>
    <w:rsid w:val="00373E9F"/>
    <w:rsid w:val="00373FC4"/>
    <w:rsid w:val="00374023"/>
    <w:rsid w:val="00374158"/>
    <w:rsid w:val="003747FD"/>
    <w:rsid w:val="0037494F"/>
    <w:rsid w:val="003749DE"/>
    <w:rsid w:val="00374A24"/>
    <w:rsid w:val="00374B10"/>
    <w:rsid w:val="00374BAA"/>
    <w:rsid w:val="00374C74"/>
    <w:rsid w:val="00374DEF"/>
    <w:rsid w:val="00374F15"/>
    <w:rsid w:val="0037507B"/>
    <w:rsid w:val="003750B1"/>
    <w:rsid w:val="003750B7"/>
    <w:rsid w:val="003753F7"/>
    <w:rsid w:val="003754AD"/>
    <w:rsid w:val="003754DB"/>
    <w:rsid w:val="0037559E"/>
    <w:rsid w:val="003755A6"/>
    <w:rsid w:val="003755E8"/>
    <w:rsid w:val="003756A1"/>
    <w:rsid w:val="003757FE"/>
    <w:rsid w:val="00375824"/>
    <w:rsid w:val="0037586A"/>
    <w:rsid w:val="00375A17"/>
    <w:rsid w:val="00375A67"/>
    <w:rsid w:val="00375A74"/>
    <w:rsid w:val="00375C15"/>
    <w:rsid w:val="00375C68"/>
    <w:rsid w:val="00375C77"/>
    <w:rsid w:val="00375C7E"/>
    <w:rsid w:val="00375DE3"/>
    <w:rsid w:val="00375E6C"/>
    <w:rsid w:val="00375F77"/>
    <w:rsid w:val="00376230"/>
    <w:rsid w:val="003763C4"/>
    <w:rsid w:val="00376514"/>
    <w:rsid w:val="00376865"/>
    <w:rsid w:val="00376C23"/>
    <w:rsid w:val="00376F36"/>
    <w:rsid w:val="00376F4A"/>
    <w:rsid w:val="00376F8D"/>
    <w:rsid w:val="00376F95"/>
    <w:rsid w:val="00376FAE"/>
    <w:rsid w:val="00377016"/>
    <w:rsid w:val="00377039"/>
    <w:rsid w:val="0037727C"/>
    <w:rsid w:val="003772ED"/>
    <w:rsid w:val="00377473"/>
    <w:rsid w:val="003775DA"/>
    <w:rsid w:val="00377647"/>
    <w:rsid w:val="00377786"/>
    <w:rsid w:val="00377A28"/>
    <w:rsid w:val="00377B47"/>
    <w:rsid w:val="00377BFD"/>
    <w:rsid w:val="00377D6A"/>
    <w:rsid w:val="00377E1C"/>
    <w:rsid w:val="00377EF2"/>
    <w:rsid w:val="0037B7CD"/>
    <w:rsid w:val="00380107"/>
    <w:rsid w:val="0038017D"/>
    <w:rsid w:val="0038018B"/>
    <w:rsid w:val="003801FA"/>
    <w:rsid w:val="0038024A"/>
    <w:rsid w:val="003803CA"/>
    <w:rsid w:val="00380438"/>
    <w:rsid w:val="003804B8"/>
    <w:rsid w:val="0038051D"/>
    <w:rsid w:val="00380939"/>
    <w:rsid w:val="00380A6D"/>
    <w:rsid w:val="00380B5F"/>
    <w:rsid w:val="00380D67"/>
    <w:rsid w:val="00380D7E"/>
    <w:rsid w:val="00380FEA"/>
    <w:rsid w:val="003810C0"/>
    <w:rsid w:val="003811B7"/>
    <w:rsid w:val="003811F1"/>
    <w:rsid w:val="0038120E"/>
    <w:rsid w:val="0038131D"/>
    <w:rsid w:val="00381621"/>
    <w:rsid w:val="003816D7"/>
    <w:rsid w:val="00381701"/>
    <w:rsid w:val="00381B67"/>
    <w:rsid w:val="00381C94"/>
    <w:rsid w:val="0038208F"/>
    <w:rsid w:val="003821C6"/>
    <w:rsid w:val="00382216"/>
    <w:rsid w:val="003822F5"/>
    <w:rsid w:val="0038232E"/>
    <w:rsid w:val="003824AA"/>
    <w:rsid w:val="003824B5"/>
    <w:rsid w:val="00382668"/>
    <w:rsid w:val="0038271F"/>
    <w:rsid w:val="00382956"/>
    <w:rsid w:val="00382AA7"/>
    <w:rsid w:val="00382C75"/>
    <w:rsid w:val="00382D5A"/>
    <w:rsid w:val="00382E8A"/>
    <w:rsid w:val="0038313F"/>
    <w:rsid w:val="0038314C"/>
    <w:rsid w:val="0038321A"/>
    <w:rsid w:val="0038327D"/>
    <w:rsid w:val="003832AB"/>
    <w:rsid w:val="003832F4"/>
    <w:rsid w:val="0038337F"/>
    <w:rsid w:val="00383443"/>
    <w:rsid w:val="00383471"/>
    <w:rsid w:val="00383605"/>
    <w:rsid w:val="003836D1"/>
    <w:rsid w:val="003837B6"/>
    <w:rsid w:val="003839BA"/>
    <w:rsid w:val="00383A6B"/>
    <w:rsid w:val="00383AE6"/>
    <w:rsid w:val="00383C67"/>
    <w:rsid w:val="00383EAF"/>
    <w:rsid w:val="00383FF6"/>
    <w:rsid w:val="00384035"/>
    <w:rsid w:val="00384180"/>
    <w:rsid w:val="00384181"/>
    <w:rsid w:val="003841C1"/>
    <w:rsid w:val="00384444"/>
    <w:rsid w:val="0038444C"/>
    <w:rsid w:val="003845A3"/>
    <w:rsid w:val="003849DC"/>
    <w:rsid w:val="00384ADF"/>
    <w:rsid w:val="00384B15"/>
    <w:rsid w:val="00384B57"/>
    <w:rsid w:val="00384B58"/>
    <w:rsid w:val="00384CE9"/>
    <w:rsid w:val="00384E38"/>
    <w:rsid w:val="00384EE2"/>
    <w:rsid w:val="00384F83"/>
    <w:rsid w:val="00384FB0"/>
    <w:rsid w:val="00384FFA"/>
    <w:rsid w:val="00385130"/>
    <w:rsid w:val="003852BB"/>
    <w:rsid w:val="00385330"/>
    <w:rsid w:val="00385435"/>
    <w:rsid w:val="0038546E"/>
    <w:rsid w:val="0038559E"/>
    <w:rsid w:val="0038582F"/>
    <w:rsid w:val="00385ACB"/>
    <w:rsid w:val="00385C3F"/>
    <w:rsid w:val="00385D1E"/>
    <w:rsid w:val="00385DDC"/>
    <w:rsid w:val="0038627A"/>
    <w:rsid w:val="00386385"/>
    <w:rsid w:val="00386482"/>
    <w:rsid w:val="00386519"/>
    <w:rsid w:val="0038656A"/>
    <w:rsid w:val="00386602"/>
    <w:rsid w:val="0038660A"/>
    <w:rsid w:val="0038673C"/>
    <w:rsid w:val="003867F9"/>
    <w:rsid w:val="00386987"/>
    <w:rsid w:val="00386CFA"/>
    <w:rsid w:val="00386D16"/>
    <w:rsid w:val="00386D73"/>
    <w:rsid w:val="00386E24"/>
    <w:rsid w:val="00386E50"/>
    <w:rsid w:val="00386EC8"/>
    <w:rsid w:val="00386ED3"/>
    <w:rsid w:val="003870A6"/>
    <w:rsid w:val="00387193"/>
    <w:rsid w:val="0038737C"/>
    <w:rsid w:val="003873CF"/>
    <w:rsid w:val="003874A7"/>
    <w:rsid w:val="003874D3"/>
    <w:rsid w:val="00387714"/>
    <w:rsid w:val="00387758"/>
    <w:rsid w:val="00387814"/>
    <w:rsid w:val="00387CE9"/>
    <w:rsid w:val="00387EC0"/>
    <w:rsid w:val="00387ED1"/>
    <w:rsid w:val="003900E1"/>
    <w:rsid w:val="0039028C"/>
    <w:rsid w:val="003905B9"/>
    <w:rsid w:val="00390820"/>
    <w:rsid w:val="00390836"/>
    <w:rsid w:val="003908CF"/>
    <w:rsid w:val="00390903"/>
    <w:rsid w:val="00390B3A"/>
    <w:rsid w:val="00390D1D"/>
    <w:rsid w:val="00390E47"/>
    <w:rsid w:val="00390F99"/>
    <w:rsid w:val="00390FCD"/>
    <w:rsid w:val="00390FF2"/>
    <w:rsid w:val="00390FFA"/>
    <w:rsid w:val="00391361"/>
    <w:rsid w:val="003914B1"/>
    <w:rsid w:val="00391689"/>
    <w:rsid w:val="003917DF"/>
    <w:rsid w:val="003918EC"/>
    <w:rsid w:val="0039195D"/>
    <w:rsid w:val="00391991"/>
    <w:rsid w:val="00391ABA"/>
    <w:rsid w:val="00391BAD"/>
    <w:rsid w:val="00391D5F"/>
    <w:rsid w:val="00391F1D"/>
    <w:rsid w:val="00391F39"/>
    <w:rsid w:val="003926CD"/>
    <w:rsid w:val="00392716"/>
    <w:rsid w:val="0039275C"/>
    <w:rsid w:val="00392B93"/>
    <w:rsid w:val="00392BC9"/>
    <w:rsid w:val="00393054"/>
    <w:rsid w:val="0039313F"/>
    <w:rsid w:val="0039316E"/>
    <w:rsid w:val="003935D0"/>
    <w:rsid w:val="003935F6"/>
    <w:rsid w:val="00393653"/>
    <w:rsid w:val="003936A7"/>
    <w:rsid w:val="003938B3"/>
    <w:rsid w:val="00393A64"/>
    <w:rsid w:val="00393B36"/>
    <w:rsid w:val="00393B98"/>
    <w:rsid w:val="00393BA1"/>
    <w:rsid w:val="00393BB2"/>
    <w:rsid w:val="00393BC0"/>
    <w:rsid w:val="00393C6C"/>
    <w:rsid w:val="00393D1D"/>
    <w:rsid w:val="00393E6E"/>
    <w:rsid w:val="00393FAA"/>
    <w:rsid w:val="00394003"/>
    <w:rsid w:val="00394120"/>
    <w:rsid w:val="0039415F"/>
    <w:rsid w:val="003941FE"/>
    <w:rsid w:val="0039433D"/>
    <w:rsid w:val="00394392"/>
    <w:rsid w:val="0039447B"/>
    <w:rsid w:val="00394768"/>
    <w:rsid w:val="0039477E"/>
    <w:rsid w:val="003947ED"/>
    <w:rsid w:val="003949C5"/>
    <w:rsid w:val="00394B36"/>
    <w:rsid w:val="00394B70"/>
    <w:rsid w:val="00394BD3"/>
    <w:rsid w:val="00394D38"/>
    <w:rsid w:val="00394F5E"/>
    <w:rsid w:val="00394F94"/>
    <w:rsid w:val="00394FFA"/>
    <w:rsid w:val="00395190"/>
    <w:rsid w:val="0039521E"/>
    <w:rsid w:val="00395391"/>
    <w:rsid w:val="00395437"/>
    <w:rsid w:val="00395457"/>
    <w:rsid w:val="003954A4"/>
    <w:rsid w:val="003954DE"/>
    <w:rsid w:val="00395545"/>
    <w:rsid w:val="00395563"/>
    <w:rsid w:val="00395578"/>
    <w:rsid w:val="003956CA"/>
    <w:rsid w:val="00395905"/>
    <w:rsid w:val="00395992"/>
    <w:rsid w:val="00395BCF"/>
    <w:rsid w:val="00395C9F"/>
    <w:rsid w:val="00395E26"/>
    <w:rsid w:val="00395E87"/>
    <w:rsid w:val="00395F80"/>
    <w:rsid w:val="0039603F"/>
    <w:rsid w:val="00396096"/>
    <w:rsid w:val="003960D7"/>
    <w:rsid w:val="003961BF"/>
    <w:rsid w:val="00396208"/>
    <w:rsid w:val="00396359"/>
    <w:rsid w:val="003965A0"/>
    <w:rsid w:val="003966B2"/>
    <w:rsid w:val="00396856"/>
    <w:rsid w:val="003968DE"/>
    <w:rsid w:val="00396A43"/>
    <w:rsid w:val="00396A57"/>
    <w:rsid w:val="00396C09"/>
    <w:rsid w:val="00396C26"/>
    <w:rsid w:val="00396C7E"/>
    <w:rsid w:val="00396D03"/>
    <w:rsid w:val="00396D7F"/>
    <w:rsid w:val="00396DB0"/>
    <w:rsid w:val="00396DD0"/>
    <w:rsid w:val="00396E08"/>
    <w:rsid w:val="00396EE4"/>
    <w:rsid w:val="00396F92"/>
    <w:rsid w:val="00396FFF"/>
    <w:rsid w:val="00397065"/>
    <w:rsid w:val="00397178"/>
    <w:rsid w:val="003971CB"/>
    <w:rsid w:val="003971F5"/>
    <w:rsid w:val="00397201"/>
    <w:rsid w:val="003972DF"/>
    <w:rsid w:val="003975FB"/>
    <w:rsid w:val="00397637"/>
    <w:rsid w:val="00397775"/>
    <w:rsid w:val="0039779E"/>
    <w:rsid w:val="0039784D"/>
    <w:rsid w:val="003978EB"/>
    <w:rsid w:val="00397917"/>
    <w:rsid w:val="003979F2"/>
    <w:rsid w:val="00397A12"/>
    <w:rsid w:val="00397A42"/>
    <w:rsid w:val="00397D24"/>
    <w:rsid w:val="00397DC0"/>
    <w:rsid w:val="00397F0F"/>
    <w:rsid w:val="00397F50"/>
    <w:rsid w:val="0039E3CE"/>
    <w:rsid w:val="003A028A"/>
    <w:rsid w:val="003A02D3"/>
    <w:rsid w:val="003A02DD"/>
    <w:rsid w:val="003A030E"/>
    <w:rsid w:val="003A046B"/>
    <w:rsid w:val="003A0525"/>
    <w:rsid w:val="003A0553"/>
    <w:rsid w:val="003A0605"/>
    <w:rsid w:val="003A086F"/>
    <w:rsid w:val="003A0901"/>
    <w:rsid w:val="003A093A"/>
    <w:rsid w:val="003A0AAD"/>
    <w:rsid w:val="003A0AF4"/>
    <w:rsid w:val="003A0B08"/>
    <w:rsid w:val="003A0B0B"/>
    <w:rsid w:val="003A0DD0"/>
    <w:rsid w:val="003A0EE9"/>
    <w:rsid w:val="003A0F5A"/>
    <w:rsid w:val="003A0FED"/>
    <w:rsid w:val="003A100E"/>
    <w:rsid w:val="003A11F7"/>
    <w:rsid w:val="003A131B"/>
    <w:rsid w:val="003A13E9"/>
    <w:rsid w:val="003A156B"/>
    <w:rsid w:val="003A16BE"/>
    <w:rsid w:val="003A1AA9"/>
    <w:rsid w:val="003A1AF3"/>
    <w:rsid w:val="003A1B36"/>
    <w:rsid w:val="003A1B7A"/>
    <w:rsid w:val="003A1D7B"/>
    <w:rsid w:val="003A1F44"/>
    <w:rsid w:val="003A1F7C"/>
    <w:rsid w:val="003A2218"/>
    <w:rsid w:val="003A2259"/>
    <w:rsid w:val="003A2295"/>
    <w:rsid w:val="003A2374"/>
    <w:rsid w:val="003A24D9"/>
    <w:rsid w:val="003A2645"/>
    <w:rsid w:val="003A2770"/>
    <w:rsid w:val="003A2777"/>
    <w:rsid w:val="003A2A76"/>
    <w:rsid w:val="003A2B87"/>
    <w:rsid w:val="003A2BFF"/>
    <w:rsid w:val="003A2ECC"/>
    <w:rsid w:val="003A2F0F"/>
    <w:rsid w:val="003A2FE3"/>
    <w:rsid w:val="003A3127"/>
    <w:rsid w:val="003A32C8"/>
    <w:rsid w:val="003A3301"/>
    <w:rsid w:val="003A3567"/>
    <w:rsid w:val="003A3777"/>
    <w:rsid w:val="003A37F3"/>
    <w:rsid w:val="003A38E6"/>
    <w:rsid w:val="003A3928"/>
    <w:rsid w:val="003A3ACA"/>
    <w:rsid w:val="003A3C32"/>
    <w:rsid w:val="003A3C34"/>
    <w:rsid w:val="003A3D45"/>
    <w:rsid w:val="003A3D8A"/>
    <w:rsid w:val="003A3D98"/>
    <w:rsid w:val="003A3E80"/>
    <w:rsid w:val="003A3F2F"/>
    <w:rsid w:val="003A3F61"/>
    <w:rsid w:val="003A3FAC"/>
    <w:rsid w:val="003A3FC9"/>
    <w:rsid w:val="003A40A8"/>
    <w:rsid w:val="003A414F"/>
    <w:rsid w:val="003A42AD"/>
    <w:rsid w:val="003A43DE"/>
    <w:rsid w:val="003A44FB"/>
    <w:rsid w:val="003A44FC"/>
    <w:rsid w:val="003A4666"/>
    <w:rsid w:val="003A470C"/>
    <w:rsid w:val="003A4848"/>
    <w:rsid w:val="003A4906"/>
    <w:rsid w:val="003A4920"/>
    <w:rsid w:val="003A4BFB"/>
    <w:rsid w:val="003A4D91"/>
    <w:rsid w:val="003A4E1D"/>
    <w:rsid w:val="003A4F31"/>
    <w:rsid w:val="003A5039"/>
    <w:rsid w:val="003A50C1"/>
    <w:rsid w:val="003A516F"/>
    <w:rsid w:val="003A517E"/>
    <w:rsid w:val="003A51CF"/>
    <w:rsid w:val="003A538F"/>
    <w:rsid w:val="003A5519"/>
    <w:rsid w:val="003A5665"/>
    <w:rsid w:val="003A59BB"/>
    <w:rsid w:val="003A5ABD"/>
    <w:rsid w:val="003A5B3F"/>
    <w:rsid w:val="003A5B80"/>
    <w:rsid w:val="003A5DD7"/>
    <w:rsid w:val="003A5EFF"/>
    <w:rsid w:val="003A5F5F"/>
    <w:rsid w:val="003A607D"/>
    <w:rsid w:val="003A6249"/>
    <w:rsid w:val="003A6373"/>
    <w:rsid w:val="003A63E5"/>
    <w:rsid w:val="003A63F9"/>
    <w:rsid w:val="003A66A0"/>
    <w:rsid w:val="003A67DA"/>
    <w:rsid w:val="003A6821"/>
    <w:rsid w:val="003A6AC9"/>
    <w:rsid w:val="003A6B56"/>
    <w:rsid w:val="003A6B90"/>
    <w:rsid w:val="003A6C7B"/>
    <w:rsid w:val="003A6D40"/>
    <w:rsid w:val="003A6D7B"/>
    <w:rsid w:val="003A6E45"/>
    <w:rsid w:val="003A6F6F"/>
    <w:rsid w:val="003A7083"/>
    <w:rsid w:val="003A715B"/>
    <w:rsid w:val="003A71AB"/>
    <w:rsid w:val="003A7302"/>
    <w:rsid w:val="003A741E"/>
    <w:rsid w:val="003A747A"/>
    <w:rsid w:val="003A754A"/>
    <w:rsid w:val="003A77A1"/>
    <w:rsid w:val="003A7ABF"/>
    <w:rsid w:val="003A7AFC"/>
    <w:rsid w:val="003A7D99"/>
    <w:rsid w:val="003A7E19"/>
    <w:rsid w:val="003A7E54"/>
    <w:rsid w:val="003A7E6D"/>
    <w:rsid w:val="003A7EF8"/>
    <w:rsid w:val="003A7F01"/>
    <w:rsid w:val="003ABDF4"/>
    <w:rsid w:val="003B00CF"/>
    <w:rsid w:val="003B034F"/>
    <w:rsid w:val="003B0367"/>
    <w:rsid w:val="003B03F7"/>
    <w:rsid w:val="003B0400"/>
    <w:rsid w:val="003B086A"/>
    <w:rsid w:val="003B0A47"/>
    <w:rsid w:val="003B0ACB"/>
    <w:rsid w:val="003B0B4A"/>
    <w:rsid w:val="003B0BBF"/>
    <w:rsid w:val="003B0BF2"/>
    <w:rsid w:val="003B0DF1"/>
    <w:rsid w:val="003B0F42"/>
    <w:rsid w:val="003B0FCB"/>
    <w:rsid w:val="003B120D"/>
    <w:rsid w:val="003B161B"/>
    <w:rsid w:val="003B19FE"/>
    <w:rsid w:val="003B1B48"/>
    <w:rsid w:val="003B1D62"/>
    <w:rsid w:val="003B1D72"/>
    <w:rsid w:val="003B1F41"/>
    <w:rsid w:val="003B1FDF"/>
    <w:rsid w:val="003B238A"/>
    <w:rsid w:val="003B2406"/>
    <w:rsid w:val="003B25BC"/>
    <w:rsid w:val="003B261D"/>
    <w:rsid w:val="003B2666"/>
    <w:rsid w:val="003B285A"/>
    <w:rsid w:val="003B2B7C"/>
    <w:rsid w:val="003B2B8C"/>
    <w:rsid w:val="003B2C5E"/>
    <w:rsid w:val="003B2E0D"/>
    <w:rsid w:val="003B2F4B"/>
    <w:rsid w:val="003B323F"/>
    <w:rsid w:val="003B33A2"/>
    <w:rsid w:val="003B3762"/>
    <w:rsid w:val="003B3854"/>
    <w:rsid w:val="003B39C6"/>
    <w:rsid w:val="003B3A01"/>
    <w:rsid w:val="003B3A12"/>
    <w:rsid w:val="003B3AAA"/>
    <w:rsid w:val="003B3D73"/>
    <w:rsid w:val="003B3DEB"/>
    <w:rsid w:val="003B4338"/>
    <w:rsid w:val="003B4383"/>
    <w:rsid w:val="003B443D"/>
    <w:rsid w:val="003B4750"/>
    <w:rsid w:val="003B4788"/>
    <w:rsid w:val="003B480F"/>
    <w:rsid w:val="003B4918"/>
    <w:rsid w:val="003B4A60"/>
    <w:rsid w:val="003B4B9E"/>
    <w:rsid w:val="003B4C32"/>
    <w:rsid w:val="003B4C35"/>
    <w:rsid w:val="003B4D57"/>
    <w:rsid w:val="003B4D6A"/>
    <w:rsid w:val="003B4E46"/>
    <w:rsid w:val="003B4FA2"/>
    <w:rsid w:val="003B50EA"/>
    <w:rsid w:val="003B51B7"/>
    <w:rsid w:val="003B5232"/>
    <w:rsid w:val="003B533E"/>
    <w:rsid w:val="003B53BD"/>
    <w:rsid w:val="003B56D4"/>
    <w:rsid w:val="003B570A"/>
    <w:rsid w:val="003B5767"/>
    <w:rsid w:val="003B57ED"/>
    <w:rsid w:val="003B591E"/>
    <w:rsid w:val="003B595C"/>
    <w:rsid w:val="003B5A10"/>
    <w:rsid w:val="003B5AD7"/>
    <w:rsid w:val="003B5AE5"/>
    <w:rsid w:val="003B5C87"/>
    <w:rsid w:val="003B5CE9"/>
    <w:rsid w:val="003B5ECF"/>
    <w:rsid w:val="003B60FB"/>
    <w:rsid w:val="003B62C7"/>
    <w:rsid w:val="003B6594"/>
    <w:rsid w:val="003B65F9"/>
    <w:rsid w:val="003B665A"/>
    <w:rsid w:val="003B66D0"/>
    <w:rsid w:val="003B6856"/>
    <w:rsid w:val="003B699A"/>
    <w:rsid w:val="003B6B88"/>
    <w:rsid w:val="003B6BC5"/>
    <w:rsid w:val="003B6D61"/>
    <w:rsid w:val="003B70BA"/>
    <w:rsid w:val="003B71A1"/>
    <w:rsid w:val="003B72CA"/>
    <w:rsid w:val="003B72FF"/>
    <w:rsid w:val="003B7320"/>
    <w:rsid w:val="003B74BE"/>
    <w:rsid w:val="003B75ED"/>
    <w:rsid w:val="003B7612"/>
    <w:rsid w:val="003B7669"/>
    <w:rsid w:val="003B76AC"/>
    <w:rsid w:val="003B7771"/>
    <w:rsid w:val="003B781C"/>
    <w:rsid w:val="003B7869"/>
    <w:rsid w:val="003B79A9"/>
    <w:rsid w:val="003B7DD5"/>
    <w:rsid w:val="003B7E3F"/>
    <w:rsid w:val="003B7EB4"/>
    <w:rsid w:val="003B7FD2"/>
    <w:rsid w:val="003B7FF1"/>
    <w:rsid w:val="003C0336"/>
    <w:rsid w:val="003C06D9"/>
    <w:rsid w:val="003C074F"/>
    <w:rsid w:val="003C0BC2"/>
    <w:rsid w:val="003C0FB0"/>
    <w:rsid w:val="003C1058"/>
    <w:rsid w:val="003C113B"/>
    <w:rsid w:val="003C12E8"/>
    <w:rsid w:val="003C12EA"/>
    <w:rsid w:val="003C1300"/>
    <w:rsid w:val="003C1307"/>
    <w:rsid w:val="003C137C"/>
    <w:rsid w:val="003C15A1"/>
    <w:rsid w:val="003C1673"/>
    <w:rsid w:val="003C1964"/>
    <w:rsid w:val="003C1BA6"/>
    <w:rsid w:val="003C1C5A"/>
    <w:rsid w:val="003C1F5E"/>
    <w:rsid w:val="003C1F69"/>
    <w:rsid w:val="003C23C3"/>
    <w:rsid w:val="003C2404"/>
    <w:rsid w:val="003C2454"/>
    <w:rsid w:val="003C2460"/>
    <w:rsid w:val="003C2467"/>
    <w:rsid w:val="003C2544"/>
    <w:rsid w:val="003C25C4"/>
    <w:rsid w:val="003C25F9"/>
    <w:rsid w:val="003C27E7"/>
    <w:rsid w:val="003C290B"/>
    <w:rsid w:val="003C296C"/>
    <w:rsid w:val="003C2BBE"/>
    <w:rsid w:val="003C2BDA"/>
    <w:rsid w:val="003C2C0D"/>
    <w:rsid w:val="003C2C5E"/>
    <w:rsid w:val="003C2C66"/>
    <w:rsid w:val="003C2D41"/>
    <w:rsid w:val="003C2EB2"/>
    <w:rsid w:val="003C2EB6"/>
    <w:rsid w:val="003C2FCD"/>
    <w:rsid w:val="003C300B"/>
    <w:rsid w:val="003C3044"/>
    <w:rsid w:val="003C3114"/>
    <w:rsid w:val="003C350E"/>
    <w:rsid w:val="003C3528"/>
    <w:rsid w:val="003C3762"/>
    <w:rsid w:val="003C3840"/>
    <w:rsid w:val="003C3B57"/>
    <w:rsid w:val="003C3B68"/>
    <w:rsid w:val="003C3CD7"/>
    <w:rsid w:val="003C3D6D"/>
    <w:rsid w:val="003C3E22"/>
    <w:rsid w:val="003C41AE"/>
    <w:rsid w:val="003C44A6"/>
    <w:rsid w:val="003C46E3"/>
    <w:rsid w:val="003C4743"/>
    <w:rsid w:val="003C4943"/>
    <w:rsid w:val="003C4964"/>
    <w:rsid w:val="003C4A67"/>
    <w:rsid w:val="003C4AEC"/>
    <w:rsid w:val="003C4AF6"/>
    <w:rsid w:val="003C4CB5"/>
    <w:rsid w:val="003C4D31"/>
    <w:rsid w:val="003C4E75"/>
    <w:rsid w:val="003C4E83"/>
    <w:rsid w:val="003C509F"/>
    <w:rsid w:val="003C5185"/>
    <w:rsid w:val="003C51AE"/>
    <w:rsid w:val="003C51BA"/>
    <w:rsid w:val="003C51FC"/>
    <w:rsid w:val="003C5406"/>
    <w:rsid w:val="003C55BE"/>
    <w:rsid w:val="003C560E"/>
    <w:rsid w:val="003C5631"/>
    <w:rsid w:val="003C56EC"/>
    <w:rsid w:val="003C57D5"/>
    <w:rsid w:val="003C589C"/>
    <w:rsid w:val="003C597E"/>
    <w:rsid w:val="003C5A6B"/>
    <w:rsid w:val="003C5A8A"/>
    <w:rsid w:val="003C5BBC"/>
    <w:rsid w:val="003C5C9C"/>
    <w:rsid w:val="003C5CD3"/>
    <w:rsid w:val="003C5E14"/>
    <w:rsid w:val="003C64EA"/>
    <w:rsid w:val="003C65D0"/>
    <w:rsid w:val="003C66E4"/>
    <w:rsid w:val="003C67BD"/>
    <w:rsid w:val="003C688F"/>
    <w:rsid w:val="003C694E"/>
    <w:rsid w:val="003C6A2C"/>
    <w:rsid w:val="003C6A77"/>
    <w:rsid w:val="003C6B94"/>
    <w:rsid w:val="003C6DCB"/>
    <w:rsid w:val="003C711C"/>
    <w:rsid w:val="003C723E"/>
    <w:rsid w:val="003C73A9"/>
    <w:rsid w:val="003C7499"/>
    <w:rsid w:val="003C75C7"/>
    <w:rsid w:val="003C75D1"/>
    <w:rsid w:val="003C7615"/>
    <w:rsid w:val="003C764F"/>
    <w:rsid w:val="003C7922"/>
    <w:rsid w:val="003C7A54"/>
    <w:rsid w:val="003C7A58"/>
    <w:rsid w:val="003C7D07"/>
    <w:rsid w:val="003C7D93"/>
    <w:rsid w:val="003C7EBB"/>
    <w:rsid w:val="003C7F98"/>
    <w:rsid w:val="003CA5C9"/>
    <w:rsid w:val="003D003F"/>
    <w:rsid w:val="003D007F"/>
    <w:rsid w:val="003D04B1"/>
    <w:rsid w:val="003D0565"/>
    <w:rsid w:val="003D064D"/>
    <w:rsid w:val="003D0660"/>
    <w:rsid w:val="003D07C6"/>
    <w:rsid w:val="003D0862"/>
    <w:rsid w:val="003D0905"/>
    <w:rsid w:val="003D094E"/>
    <w:rsid w:val="003D0A40"/>
    <w:rsid w:val="003D0B36"/>
    <w:rsid w:val="003D0C54"/>
    <w:rsid w:val="003D0C84"/>
    <w:rsid w:val="003D0D0A"/>
    <w:rsid w:val="003D0D8F"/>
    <w:rsid w:val="003D0EE0"/>
    <w:rsid w:val="003D10B3"/>
    <w:rsid w:val="003D1131"/>
    <w:rsid w:val="003D1218"/>
    <w:rsid w:val="003D1357"/>
    <w:rsid w:val="003D13AE"/>
    <w:rsid w:val="003D13FA"/>
    <w:rsid w:val="003D140B"/>
    <w:rsid w:val="003D141F"/>
    <w:rsid w:val="003D14D6"/>
    <w:rsid w:val="003D150B"/>
    <w:rsid w:val="003D15D8"/>
    <w:rsid w:val="003D16E1"/>
    <w:rsid w:val="003D17F1"/>
    <w:rsid w:val="003D18AE"/>
    <w:rsid w:val="003D1A25"/>
    <w:rsid w:val="003D1A30"/>
    <w:rsid w:val="003D1A89"/>
    <w:rsid w:val="003D1B95"/>
    <w:rsid w:val="003D1EE2"/>
    <w:rsid w:val="003D1EF2"/>
    <w:rsid w:val="003D1FE5"/>
    <w:rsid w:val="003D20E4"/>
    <w:rsid w:val="003D2343"/>
    <w:rsid w:val="003D2484"/>
    <w:rsid w:val="003D2616"/>
    <w:rsid w:val="003D272A"/>
    <w:rsid w:val="003D27F1"/>
    <w:rsid w:val="003D29CE"/>
    <w:rsid w:val="003D2F6B"/>
    <w:rsid w:val="003D3046"/>
    <w:rsid w:val="003D311A"/>
    <w:rsid w:val="003D320B"/>
    <w:rsid w:val="003D347B"/>
    <w:rsid w:val="003D34EF"/>
    <w:rsid w:val="003D35DE"/>
    <w:rsid w:val="003D35FB"/>
    <w:rsid w:val="003D377B"/>
    <w:rsid w:val="003D383D"/>
    <w:rsid w:val="003D3881"/>
    <w:rsid w:val="003D396C"/>
    <w:rsid w:val="003D396F"/>
    <w:rsid w:val="003D39E7"/>
    <w:rsid w:val="003D3A0A"/>
    <w:rsid w:val="003D3AB8"/>
    <w:rsid w:val="003D3CA6"/>
    <w:rsid w:val="003D3CEA"/>
    <w:rsid w:val="003D3E42"/>
    <w:rsid w:val="003D4029"/>
    <w:rsid w:val="003D42B8"/>
    <w:rsid w:val="003D42E7"/>
    <w:rsid w:val="003D432C"/>
    <w:rsid w:val="003D44EC"/>
    <w:rsid w:val="003D4578"/>
    <w:rsid w:val="003D467A"/>
    <w:rsid w:val="003D46A3"/>
    <w:rsid w:val="003D4740"/>
    <w:rsid w:val="003D48D9"/>
    <w:rsid w:val="003D4910"/>
    <w:rsid w:val="003D494F"/>
    <w:rsid w:val="003D498E"/>
    <w:rsid w:val="003D49A9"/>
    <w:rsid w:val="003D4A40"/>
    <w:rsid w:val="003D4BB5"/>
    <w:rsid w:val="003D4CE5"/>
    <w:rsid w:val="003D4CED"/>
    <w:rsid w:val="003D4EE4"/>
    <w:rsid w:val="003D4F8B"/>
    <w:rsid w:val="003D5067"/>
    <w:rsid w:val="003D5307"/>
    <w:rsid w:val="003D5350"/>
    <w:rsid w:val="003D537B"/>
    <w:rsid w:val="003D580E"/>
    <w:rsid w:val="003D5B52"/>
    <w:rsid w:val="003D5BC6"/>
    <w:rsid w:val="003D5D2C"/>
    <w:rsid w:val="003D5EF2"/>
    <w:rsid w:val="003D5F04"/>
    <w:rsid w:val="003D5FB9"/>
    <w:rsid w:val="003D6078"/>
    <w:rsid w:val="003D6251"/>
    <w:rsid w:val="003D64AB"/>
    <w:rsid w:val="003D64F0"/>
    <w:rsid w:val="003D6516"/>
    <w:rsid w:val="003D6543"/>
    <w:rsid w:val="003D655A"/>
    <w:rsid w:val="003D6567"/>
    <w:rsid w:val="003D66C9"/>
    <w:rsid w:val="003D676F"/>
    <w:rsid w:val="003D699A"/>
    <w:rsid w:val="003D6DBF"/>
    <w:rsid w:val="003D6EA7"/>
    <w:rsid w:val="003D6F86"/>
    <w:rsid w:val="003D70B4"/>
    <w:rsid w:val="003D70C8"/>
    <w:rsid w:val="003D72EC"/>
    <w:rsid w:val="003D7377"/>
    <w:rsid w:val="003D73F5"/>
    <w:rsid w:val="003D77F6"/>
    <w:rsid w:val="003D788C"/>
    <w:rsid w:val="003D7BA8"/>
    <w:rsid w:val="003D7C4D"/>
    <w:rsid w:val="003D7E6D"/>
    <w:rsid w:val="003D7E8D"/>
    <w:rsid w:val="003D7F70"/>
    <w:rsid w:val="003E0000"/>
    <w:rsid w:val="003E026A"/>
    <w:rsid w:val="003E05F6"/>
    <w:rsid w:val="003E064D"/>
    <w:rsid w:val="003E07D5"/>
    <w:rsid w:val="003E0A56"/>
    <w:rsid w:val="003E0A65"/>
    <w:rsid w:val="003E0C47"/>
    <w:rsid w:val="003E0D03"/>
    <w:rsid w:val="003E0D0A"/>
    <w:rsid w:val="003E0E41"/>
    <w:rsid w:val="003E0E55"/>
    <w:rsid w:val="003E0F1D"/>
    <w:rsid w:val="003E1238"/>
    <w:rsid w:val="003E144B"/>
    <w:rsid w:val="003E145E"/>
    <w:rsid w:val="003E148A"/>
    <w:rsid w:val="003E1548"/>
    <w:rsid w:val="003E163A"/>
    <w:rsid w:val="003E1862"/>
    <w:rsid w:val="003E18A0"/>
    <w:rsid w:val="003E1979"/>
    <w:rsid w:val="003E1A6E"/>
    <w:rsid w:val="003E1BAD"/>
    <w:rsid w:val="003E1C17"/>
    <w:rsid w:val="003E1E3E"/>
    <w:rsid w:val="003E1F2C"/>
    <w:rsid w:val="003E2072"/>
    <w:rsid w:val="003E20E6"/>
    <w:rsid w:val="003E22C5"/>
    <w:rsid w:val="003E23D5"/>
    <w:rsid w:val="003E24FF"/>
    <w:rsid w:val="003E2531"/>
    <w:rsid w:val="003E26E7"/>
    <w:rsid w:val="003E27CC"/>
    <w:rsid w:val="003E27F8"/>
    <w:rsid w:val="003E28AA"/>
    <w:rsid w:val="003E2954"/>
    <w:rsid w:val="003E2A3B"/>
    <w:rsid w:val="003E2ACB"/>
    <w:rsid w:val="003E2C06"/>
    <w:rsid w:val="003E2D6E"/>
    <w:rsid w:val="003E3191"/>
    <w:rsid w:val="003E329B"/>
    <w:rsid w:val="003E32BE"/>
    <w:rsid w:val="003E33B9"/>
    <w:rsid w:val="003E381B"/>
    <w:rsid w:val="003E3A44"/>
    <w:rsid w:val="003E3AB0"/>
    <w:rsid w:val="003E3B72"/>
    <w:rsid w:val="003E3BE8"/>
    <w:rsid w:val="003E3DD0"/>
    <w:rsid w:val="003E418D"/>
    <w:rsid w:val="003E4206"/>
    <w:rsid w:val="003E459D"/>
    <w:rsid w:val="003E47CD"/>
    <w:rsid w:val="003E4809"/>
    <w:rsid w:val="003E48F1"/>
    <w:rsid w:val="003E4B08"/>
    <w:rsid w:val="003E4C67"/>
    <w:rsid w:val="003E4C95"/>
    <w:rsid w:val="003E4CEA"/>
    <w:rsid w:val="003E4E3C"/>
    <w:rsid w:val="003E4F22"/>
    <w:rsid w:val="003E4F31"/>
    <w:rsid w:val="003E5011"/>
    <w:rsid w:val="003E50DC"/>
    <w:rsid w:val="003E519E"/>
    <w:rsid w:val="003E535C"/>
    <w:rsid w:val="003E55A4"/>
    <w:rsid w:val="003E57FA"/>
    <w:rsid w:val="003E5A81"/>
    <w:rsid w:val="003E5A89"/>
    <w:rsid w:val="003E5CDA"/>
    <w:rsid w:val="003E5DB1"/>
    <w:rsid w:val="003E60AF"/>
    <w:rsid w:val="003E6253"/>
    <w:rsid w:val="003E63E5"/>
    <w:rsid w:val="003E6516"/>
    <w:rsid w:val="003E6555"/>
    <w:rsid w:val="003E66C9"/>
    <w:rsid w:val="003E6A7D"/>
    <w:rsid w:val="003E6B8A"/>
    <w:rsid w:val="003E6C82"/>
    <w:rsid w:val="003E6FCB"/>
    <w:rsid w:val="003E7020"/>
    <w:rsid w:val="003E7259"/>
    <w:rsid w:val="003E747D"/>
    <w:rsid w:val="003E763B"/>
    <w:rsid w:val="003E7911"/>
    <w:rsid w:val="003E7917"/>
    <w:rsid w:val="003E7920"/>
    <w:rsid w:val="003E7A10"/>
    <w:rsid w:val="003E7A8C"/>
    <w:rsid w:val="003E7B8C"/>
    <w:rsid w:val="003E7E35"/>
    <w:rsid w:val="003E7E42"/>
    <w:rsid w:val="003E7FB2"/>
    <w:rsid w:val="003E7FCF"/>
    <w:rsid w:val="003EF001"/>
    <w:rsid w:val="003F001A"/>
    <w:rsid w:val="003F009A"/>
    <w:rsid w:val="003F017A"/>
    <w:rsid w:val="003F0295"/>
    <w:rsid w:val="003F0595"/>
    <w:rsid w:val="003F0599"/>
    <w:rsid w:val="003F0616"/>
    <w:rsid w:val="003F06F5"/>
    <w:rsid w:val="003F074D"/>
    <w:rsid w:val="003F0751"/>
    <w:rsid w:val="003F076B"/>
    <w:rsid w:val="003F0774"/>
    <w:rsid w:val="003F08B2"/>
    <w:rsid w:val="003F08F5"/>
    <w:rsid w:val="003F0A2D"/>
    <w:rsid w:val="003F0A80"/>
    <w:rsid w:val="003F0ACC"/>
    <w:rsid w:val="003F0BC2"/>
    <w:rsid w:val="003F0C6C"/>
    <w:rsid w:val="003F0CBF"/>
    <w:rsid w:val="003F0CE6"/>
    <w:rsid w:val="003F0D50"/>
    <w:rsid w:val="003F0D53"/>
    <w:rsid w:val="003F0D90"/>
    <w:rsid w:val="003F0EF9"/>
    <w:rsid w:val="003F1009"/>
    <w:rsid w:val="003F100C"/>
    <w:rsid w:val="003F1182"/>
    <w:rsid w:val="003F14EF"/>
    <w:rsid w:val="003F14F4"/>
    <w:rsid w:val="003F17D4"/>
    <w:rsid w:val="003F19B0"/>
    <w:rsid w:val="003F1A32"/>
    <w:rsid w:val="003F1A45"/>
    <w:rsid w:val="003F1CC9"/>
    <w:rsid w:val="003F1DFD"/>
    <w:rsid w:val="003F1E25"/>
    <w:rsid w:val="003F1ED4"/>
    <w:rsid w:val="003F2450"/>
    <w:rsid w:val="003F25DB"/>
    <w:rsid w:val="003F2678"/>
    <w:rsid w:val="003F26DC"/>
    <w:rsid w:val="003F2745"/>
    <w:rsid w:val="003F2765"/>
    <w:rsid w:val="003F281E"/>
    <w:rsid w:val="003F29B0"/>
    <w:rsid w:val="003F29B7"/>
    <w:rsid w:val="003F2C77"/>
    <w:rsid w:val="003F2D43"/>
    <w:rsid w:val="003F2E39"/>
    <w:rsid w:val="003F3506"/>
    <w:rsid w:val="003F38A2"/>
    <w:rsid w:val="003F38F4"/>
    <w:rsid w:val="003F3A15"/>
    <w:rsid w:val="003F3A67"/>
    <w:rsid w:val="003F3D93"/>
    <w:rsid w:val="003F3EC0"/>
    <w:rsid w:val="003F3EC9"/>
    <w:rsid w:val="003F3F65"/>
    <w:rsid w:val="003F3FCF"/>
    <w:rsid w:val="003F4223"/>
    <w:rsid w:val="003F42F4"/>
    <w:rsid w:val="003F43E3"/>
    <w:rsid w:val="003F46DC"/>
    <w:rsid w:val="003F470F"/>
    <w:rsid w:val="003F4889"/>
    <w:rsid w:val="003F4B06"/>
    <w:rsid w:val="003F4BF6"/>
    <w:rsid w:val="003F4D37"/>
    <w:rsid w:val="003F4F56"/>
    <w:rsid w:val="003F5238"/>
    <w:rsid w:val="003F5382"/>
    <w:rsid w:val="003F53A2"/>
    <w:rsid w:val="003F53AB"/>
    <w:rsid w:val="003F564A"/>
    <w:rsid w:val="003F5786"/>
    <w:rsid w:val="003F5888"/>
    <w:rsid w:val="003F5A35"/>
    <w:rsid w:val="003F5B24"/>
    <w:rsid w:val="003F5D2E"/>
    <w:rsid w:val="003F5EC2"/>
    <w:rsid w:val="003F614E"/>
    <w:rsid w:val="003F6498"/>
    <w:rsid w:val="003F64D5"/>
    <w:rsid w:val="003F6619"/>
    <w:rsid w:val="003F6637"/>
    <w:rsid w:val="003F675D"/>
    <w:rsid w:val="003F699F"/>
    <w:rsid w:val="003F6A57"/>
    <w:rsid w:val="003F6BDD"/>
    <w:rsid w:val="003F6C84"/>
    <w:rsid w:val="003F6E0B"/>
    <w:rsid w:val="003F6E3A"/>
    <w:rsid w:val="003F708E"/>
    <w:rsid w:val="003F7378"/>
    <w:rsid w:val="003F738C"/>
    <w:rsid w:val="003F7437"/>
    <w:rsid w:val="003F7535"/>
    <w:rsid w:val="003F7583"/>
    <w:rsid w:val="003F762F"/>
    <w:rsid w:val="003F76C7"/>
    <w:rsid w:val="003F7713"/>
    <w:rsid w:val="003F7718"/>
    <w:rsid w:val="003F782D"/>
    <w:rsid w:val="003F785F"/>
    <w:rsid w:val="003F78BE"/>
    <w:rsid w:val="003F78E0"/>
    <w:rsid w:val="003F79F3"/>
    <w:rsid w:val="003F7C1A"/>
    <w:rsid w:val="003F7C53"/>
    <w:rsid w:val="003F7CD7"/>
    <w:rsid w:val="003F7E99"/>
    <w:rsid w:val="003F7EFB"/>
    <w:rsid w:val="003F7F18"/>
    <w:rsid w:val="003F7F5D"/>
    <w:rsid w:val="003F7F63"/>
    <w:rsid w:val="00400250"/>
    <w:rsid w:val="004004EA"/>
    <w:rsid w:val="004005B2"/>
    <w:rsid w:val="004006C4"/>
    <w:rsid w:val="004009F5"/>
    <w:rsid w:val="00400D03"/>
    <w:rsid w:val="00400F0D"/>
    <w:rsid w:val="004010A3"/>
    <w:rsid w:val="004010EE"/>
    <w:rsid w:val="004011A5"/>
    <w:rsid w:val="0040125E"/>
    <w:rsid w:val="004012A4"/>
    <w:rsid w:val="004013D7"/>
    <w:rsid w:val="004014CC"/>
    <w:rsid w:val="0040188A"/>
    <w:rsid w:val="00401BF2"/>
    <w:rsid w:val="00401F8C"/>
    <w:rsid w:val="00401FDE"/>
    <w:rsid w:val="00402203"/>
    <w:rsid w:val="00402204"/>
    <w:rsid w:val="004024A3"/>
    <w:rsid w:val="004024A9"/>
    <w:rsid w:val="004028D1"/>
    <w:rsid w:val="00402903"/>
    <w:rsid w:val="0040291C"/>
    <w:rsid w:val="0040292D"/>
    <w:rsid w:val="00402A47"/>
    <w:rsid w:val="00402CE5"/>
    <w:rsid w:val="00402D76"/>
    <w:rsid w:val="00402FBE"/>
    <w:rsid w:val="00402FC5"/>
    <w:rsid w:val="00403066"/>
    <w:rsid w:val="004030D9"/>
    <w:rsid w:val="00403157"/>
    <w:rsid w:val="00403264"/>
    <w:rsid w:val="0040337A"/>
    <w:rsid w:val="004033C1"/>
    <w:rsid w:val="004034E3"/>
    <w:rsid w:val="00403686"/>
    <w:rsid w:val="004039AC"/>
    <w:rsid w:val="004039F3"/>
    <w:rsid w:val="004039FE"/>
    <w:rsid w:val="00403A0A"/>
    <w:rsid w:val="00403A72"/>
    <w:rsid w:val="00403ADA"/>
    <w:rsid w:val="00403C80"/>
    <w:rsid w:val="00403D9C"/>
    <w:rsid w:val="00403DE8"/>
    <w:rsid w:val="00403E9C"/>
    <w:rsid w:val="00403F3C"/>
    <w:rsid w:val="00403F64"/>
    <w:rsid w:val="00404171"/>
    <w:rsid w:val="004041F4"/>
    <w:rsid w:val="00404223"/>
    <w:rsid w:val="004043EA"/>
    <w:rsid w:val="00404477"/>
    <w:rsid w:val="004044C2"/>
    <w:rsid w:val="004044D4"/>
    <w:rsid w:val="004045C9"/>
    <w:rsid w:val="00404646"/>
    <w:rsid w:val="00404782"/>
    <w:rsid w:val="0040484E"/>
    <w:rsid w:val="00404A18"/>
    <w:rsid w:val="00404B0E"/>
    <w:rsid w:val="00404DAF"/>
    <w:rsid w:val="00404DEE"/>
    <w:rsid w:val="00404E49"/>
    <w:rsid w:val="00404F01"/>
    <w:rsid w:val="00405007"/>
    <w:rsid w:val="0040520B"/>
    <w:rsid w:val="0040538B"/>
    <w:rsid w:val="0040559C"/>
    <w:rsid w:val="0040567C"/>
    <w:rsid w:val="004057E1"/>
    <w:rsid w:val="00405844"/>
    <w:rsid w:val="00405ABB"/>
    <w:rsid w:val="00405B1D"/>
    <w:rsid w:val="00405CBC"/>
    <w:rsid w:val="00405CDD"/>
    <w:rsid w:val="00406091"/>
    <w:rsid w:val="00406106"/>
    <w:rsid w:val="004063CE"/>
    <w:rsid w:val="004064D5"/>
    <w:rsid w:val="004065BE"/>
    <w:rsid w:val="0040692A"/>
    <w:rsid w:val="00406D5D"/>
    <w:rsid w:val="00406DD8"/>
    <w:rsid w:val="00407401"/>
    <w:rsid w:val="0040743E"/>
    <w:rsid w:val="0040777B"/>
    <w:rsid w:val="00407885"/>
    <w:rsid w:val="00407B15"/>
    <w:rsid w:val="00407B95"/>
    <w:rsid w:val="00407BEE"/>
    <w:rsid w:val="004100F3"/>
    <w:rsid w:val="00410161"/>
    <w:rsid w:val="004103C2"/>
    <w:rsid w:val="00410465"/>
    <w:rsid w:val="00410525"/>
    <w:rsid w:val="00410644"/>
    <w:rsid w:val="004107F6"/>
    <w:rsid w:val="0041083A"/>
    <w:rsid w:val="00410872"/>
    <w:rsid w:val="00410945"/>
    <w:rsid w:val="004109F7"/>
    <w:rsid w:val="00410AA4"/>
    <w:rsid w:val="00410ACC"/>
    <w:rsid w:val="00410B7B"/>
    <w:rsid w:val="00410FE5"/>
    <w:rsid w:val="0041106A"/>
    <w:rsid w:val="00411533"/>
    <w:rsid w:val="00411542"/>
    <w:rsid w:val="0041154E"/>
    <w:rsid w:val="004116BE"/>
    <w:rsid w:val="00411773"/>
    <w:rsid w:val="00411B07"/>
    <w:rsid w:val="00411D4F"/>
    <w:rsid w:val="00411EF0"/>
    <w:rsid w:val="00412010"/>
    <w:rsid w:val="0041202C"/>
    <w:rsid w:val="00412128"/>
    <w:rsid w:val="0041229E"/>
    <w:rsid w:val="00412683"/>
    <w:rsid w:val="004129D4"/>
    <w:rsid w:val="00412EA7"/>
    <w:rsid w:val="00412F01"/>
    <w:rsid w:val="004130E2"/>
    <w:rsid w:val="00413158"/>
    <w:rsid w:val="0041334F"/>
    <w:rsid w:val="00413644"/>
    <w:rsid w:val="00413707"/>
    <w:rsid w:val="004137FA"/>
    <w:rsid w:val="00413819"/>
    <w:rsid w:val="00413843"/>
    <w:rsid w:val="004139AF"/>
    <w:rsid w:val="00413A60"/>
    <w:rsid w:val="00413B87"/>
    <w:rsid w:val="00413EFB"/>
    <w:rsid w:val="00414094"/>
    <w:rsid w:val="00414124"/>
    <w:rsid w:val="004141D1"/>
    <w:rsid w:val="00414272"/>
    <w:rsid w:val="00414550"/>
    <w:rsid w:val="0041457A"/>
    <w:rsid w:val="004148FC"/>
    <w:rsid w:val="0041490D"/>
    <w:rsid w:val="00414921"/>
    <w:rsid w:val="00414940"/>
    <w:rsid w:val="00414A0A"/>
    <w:rsid w:val="00414BFA"/>
    <w:rsid w:val="00414C7D"/>
    <w:rsid w:val="00414D80"/>
    <w:rsid w:val="00414E68"/>
    <w:rsid w:val="00414E92"/>
    <w:rsid w:val="00414F4F"/>
    <w:rsid w:val="00415004"/>
    <w:rsid w:val="00415153"/>
    <w:rsid w:val="0041526A"/>
    <w:rsid w:val="004153E8"/>
    <w:rsid w:val="00415646"/>
    <w:rsid w:val="004157E7"/>
    <w:rsid w:val="0041596A"/>
    <w:rsid w:val="00415A27"/>
    <w:rsid w:val="00415C61"/>
    <w:rsid w:val="00415D09"/>
    <w:rsid w:val="00415EE3"/>
    <w:rsid w:val="00415F15"/>
    <w:rsid w:val="00416060"/>
    <w:rsid w:val="00416180"/>
    <w:rsid w:val="00416219"/>
    <w:rsid w:val="004163F6"/>
    <w:rsid w:val="0041642D"/>
    <w:rsid w:val="00416498"/>
    <w:rsid w:val="00416713"/>
    <w:rsid w:val="00416AEC"/>
    <w:rsid w:val="00416C40"/>
    <w:rsid w:val="00416C6B"/>
    <w:rsid w:val="00416E36"/>
    <w:rsid w:val="00417039"/>
    <w:rsid w:val="00417091"/>
    <w:rsid w:val="004171A6"/>
    <w:rsid w:val="00417333"/>
    <w:rsid w:val="00417376"/>
    <w:rsid w:val="004173F0"/>
    <w:rsid w:val="0041742B"/>
    <w:rsid w:val="004174EC"/>
    <w:rsid w:val="004175B6"/>
    <w:rsid w:val="004175BD"/>
    <w:rsid w:val="0041770B"/>
    <w:rsid w:val="0041778C"/>
    <w:rsid w:val="004178B0"/>
    <w:rsid w:val="004179B4"/>
    <w:rsid w:val="00417BBC"/>
    <w:rsid w:val="00417D15"/>
    <w:rsid w:val="00417D58"/>
    <w:rsid w:val="00417DE9"/>
    <w:rsid w:val="00417DEE"/>
    <w:rsid w:val="00417EA8"/>
    <w:rsid w:val="00417EBE"/>
    <w:rsid w:val="00417F48"/>
    <w:rsid w:val="004200ED"/>
    <w:rsid w:val="00420198"/>
    <w:rsid w:val="00420281"/>
    <w:rsid w:val="00420675"/>
    <w:rsid w:val="004206C9"/>
    <w:rsid w:val="00420809"/>
    <w:rsid w:val="00420898"/>
    <w:rsid w:val="00420911"/>
    <w:rsid w:val="00420968"/>
    <w:rsid w:val="00420A3F"/>
    <w:rsid w:val="00420A58"/>
    <w:rsid w:val="00420AE7"/>
    <w:rsid w:val="00420BAD"/>
    <w:rsid w:val="00420BCC"/>
    <w:rsid w:val="00420BFC"/>
    <w:rsid w:val="00420C9D"/>
    <w:rsid w:val="00421008"/>
    <w:rsid w:val="00421130"/>
    <w:rsid w:val="0042129D"/>
    <w:rsid w:val="004215C4"/>
    <w:rsid w:val="00421640"/>
    <w:rsid w:val="0042174C"/>
    <w:rsid w:val="0042186E"/>
    <w:rsid w:val="00421902"/>
    <w:rsid w:val="00421A65"/>
    <w:rsid w:val="00421CD0"/>
    <w:rsid w:val="00421D72"/>
    <w:rsid w:val="00421E72"/>
    <w:rsid w:val="00421F0D"/>
    <w:rsid w:val="00421F9D"/>
    <w:rsid w:val="00422092"/>
    <w:rsid w:val="004220F3"/>
    <w:rsid w:val="00422274"/>
    <w:rsid w:val="0042229D"/>
    <w:rsid w:val="004222E5"/>
    <w:rsid w:val="00422360"/>
    <w:rsid w:val="004223A3"/>
    <w:rsid w:val="00422858"/>
    <w:rsid w:val="0042287E"/>
    <w:rsid w:val="00422C35"/>
    <w:rsid w:val="0042311C"/>
    <w:rsid w:val="00423142"/>
    <w:rsid w:val="0042317D"/>
    <w:rsid w:val="004236EE"/>
    <w:rsid w:val="00423815"/>
    <w:rsid w:val="0042389A"/>
    <w:rsid w:val="00423A2D"/>
    <w:rsid w:val="00423BC4"/>
    <w:rsid w:val="00423BF5"/>
    <w:rsid w:val="00423DCA"/>
    <w:rsid w:val="00423E2B"/>
    <w:rsid w:val="00423F1F"/>
    <w:rsid w:val="0042404A"/>
    <w:rsid w:val="00424061"/>
    <w:rsid w:val="00424228"/>
    <w:rsid w:val="0042425A"/>
    <w:rsid w:val="004242B9"/>
    <w:rsid w:val="0042458D"/>
    <w:rsid w:val="004246D4"/>
    <w:rsid w:val="004246E7"/>
    <w:rsid w:val="004247A7"/>
    <w:rsid w:val="00424A07"/>
    <w:rsid w:val="00424D9A"/>
    <w:rsid w:val="00424E4D"/>
    <w:rsid w:val="00424F0A"/>
    <w:rsid w:val="00424F49"/>
    <w:rsid w:val="00424F9F"/>
    <w:rsid w:val="00425182"/>
    <w:rsid w:val="004253CE"/>
    <w:rsid w:val="0042543F"/>
    <w:rsid w:val="0042558E"/>
    <w:rsid w:val="00425689"/>
    <w:rsid w:val="0042583F"/>
    <w:rsid w:val="00425887"/>
    <w:rsid w:val="0042596B"/>
    <w:rsid w:val="00425E9E"/>
    <w:rsid w:val="00425EE5"/>
    <w:rsid w:val="00425FCB"/>
    <w:rsid w:val="00425FE5"/>
    <w:rsid w:val="0042608F"/>
    <w:rsid w:val="004260B7"/>
    <w:rsid w:val="00426153"/>
    <w:rsid w:val="004262E8"/>
    <w:rsid w:val="004263C9"/>
    <w:rsid w:val="004263EF"/>
    <w:rsid w:val="004265BA"/>
    <w:rsid w:val="00426651"/>
    <w:rsid w:val="004267B9"/>
    <w:rsid w:val="004267DA"/>
    <w:rsid w:val="00426A96"/>
    <w:rsid w:val="00426B97"/>
    <w:rsid w:val="00426BBE"/>
    <w:rsid w:val="00426ECB"/>
    <w:rsid w:val="00426F16"/>
    <w:rsid w:val="00426F77"/>
    <w:rsid w:val="004272A2"/>
    <w:rsid w:val="004274F6"/>
    <w:rsid w:val="004274F7"/>
    <w:rsid w:val="00427543"/>
    <w:rsid w:val="00427676"/>
    <w:rsid w:val="0042779A"/>
    <w:rsid w:val="004277F4"/>
    <w:rsid w:val="0042789B"/>
    <w:rsid w:val="00427AB0"/>
    <w:rsid w:val="00427ACB"/>
    <w:rsid w:val="00427BE6"/>
    <w:rsid w:val="00427DF1"/>
    <w:rsid w:val="0043012E"/>
    <w:rsid w:val="00430225"/>
    <w:rsid w:val="00430282"/>
    <w:rsid w:val="00430324"/>
    <w:rsid w:val="0043063B"/>
    <w:rsid w:val="004306AA"/>
    <w:rsid w:val="0043095C"/>
    <w:rsid w:val="00430A56"/>
    <w:rsid w:val="00430ACC"/>
    <w:rsid w:val="00430ADC"/>
    <w:rsid w:val="00430B98"/>
    <w:rsid w:val="00430DCA"/>
    <w:rsid w:val="004310E7"/>
    <w:rsid w:val="00431195"/>
    <w:rsid w:val="0043134D"/>
    <w:rsid w:val="00431352"/>
    <w:rsid w:val="00431467"/>
    <w:rsid w:val="00431588"/>
    <w:rsid w:val="004315B7"/>
    <w:rsid w:val="004315EF"/>
    <w:rsid w:val="004316A8"/>
    <w:rsid w:val="00431710"/>
    <w:rsid w:val="0043196D"/>
    <w:rsid w:val="00431A40"/>
    <w:rsid w:val="00431B86"/>
    <w:rsid w:val="00431CBB"/>
    <w:rsid w:val="00431DE1"/>
    <w:rsid w:val="00431EC3"/>
    <w:rsid w:val="00431FB1"/>
    <w:rsid w:val="0043211B"/>
    <w:rsid w:val="00432137"/>
    <w:rsid w:val="00432168"/>
    <w:rsid w:val="0043231E"/>
    <w:rsid w:val="004326C4"/>
    <w:rsid w:val="0043293F"/>
    <w:rsid w:val="00432A29"/>
    <w:rsid w:val="00432A52"/>
    <w:rsid w:val="00432BB4"/>
    <w:rsid w:val="00432D07"/>
    <w:rsid w:val="00432D36"/>
    <w:rsid w:val="00432D52"/>
    <w:rsid w:val="00432F38"/>
    <w:rsid w:val="00433094"/>
    <w:rsid w:val="004330A5"/>
    <w:rsid w:val="004332BD"/>
    <w:rsid w:val="00433332"/>
    <w:rsid w:val="00433385"/>
    <w:rsid w:val="004335DB"/>
    <w:rsid w:val="004336AA"/>
    <w:rsid w:val="0043377F"/>
    <w:rsid w:val="00433B9B"/>
    <w:rsid w:val="00433BE1"/>
    <w:rsid w:val="00433D78"/>
    <w:rsid w:val="00433F43"/>
    <w:rsid w:val="00433F46"/>
    <w:rsid w:val="00433FE5"/>
    <w:rsid w:val="0043408A"/>
    <w:rsid w:val="004340BE"/>
    <w:rsid w:val="004342A9"/>
    <w:rsid w:val="004342DF"/>
    <w:rsid w:val="0043433F"/>
    <w:rsid w:val="004343B1"/>
    <w:rsid w:val="004346AF"/>
    <w:rsid w:val="0043495C"/>
    <w:rsid w:val="00434960"/>
    <w:rsid w:val="004349FC"/>
    <w:rsid w:val="00434AAD"/>
    <w:rsid w:val="00434B36"/>
    <w:rsid w:val="00434B72"/>
    <w:rsid w:val="00434F53"/>
    <w:rsid w:val="00434FE1"/>
    <w:rsid w:val="00435075"/>
    <w:rsid w:val="00435160"/>
    <w:rsid w:val="00435165"/>
    <w:rsid w:val="00435197"/>
    <w:rsid w:val="004351A1"/>
    <w:rsid w:val="004354D8"/>
    <w:rsid w:val="004356C7"/>
    <w:rsid w:val="00435891"/>
    <w:rsid w:val="00435A61"/>
    <w:rsid w:val="00435AA1"/>
    <w:rsid w:val="00435B3B"/>
    <w:rsid w:val="00436175"/>
    <w:rsid w:val="004363E0"/>
    <w:rsid w:val="004364FB"/>
    <w:rsid w:val="00436501"/>
    <w:rsid w:val="00436576"/>
    <w:rsid w:val="004368DD"/>
    <w:rsid w:val="00436980"/>
    <w:rsid w:val="00436C55"/>
    <w:rsid w:val="00436D0D"/>
    <w:rsid w:val="00436D2E"/>
    <w:rsid w:val="00436D94"/>
    <w:rsid w:val="00436D9A"/>
    <w:rsid w:val="00436E3E"/>
    <w:rsid w:val="00436F86"/>
    <w:rsid w:val="00436FAE"/>
    <w:rsid w:val="00436FB2"/>
    <w:rsid w:val="0043716C"/>
    <w:rsid w:val="00437284"/>
    <w:rsid w:val="00437842"/>
    <w:rsid w:val="004378A9"/>
    <w:rsid w:val="004378BD"/>
    <w:rsid w:val="004378DC"/>
    <w:rsid w:val="00437915"/>
    <w:rsid w:val="00437AC9"/>
    <w:rsid w:val="00437AEA"/>
    <w:rsid w:val="00437C9B"/>
    <w:rsid w:val="00437CEE"/>
    <w:rsid w:val="00437D24"/>
    <w:rsid w:val="00437D72"/>
    <w:rsid w:val="00438C51"/>
    <w:rsid w:val="00440000"/>
    <w:rsid w:val="00440040"/>
    <w:rsid w:val="0044018D"/>
    <w:rsid w:val="004402B3"/>
    <w:rsid w:val="0044048C"/>
    <w:rsid w:val="00440810"/>
    <w:rsid w:val="00440AAE"/>
    <w:rsid w:val="00440C73"/>
    <w:rsid w:val="00440C9E"/>
    <w:rsid w:val="00440CC5"/>
    <w:rsid w:val="00440CFE"/>
    <w:rsid w:val="00440D68"/>
    <w:rsid w:val="00440DBA"/>
    <w:rsid w:val="00440FE1"/>
    <w:rsid w:val="0044105A"/>
    <w:rsid w:val="00441241"/>
    <w:rsid w:val="0044142E"/>
    <w:rsid w:val="0044145F"/>
    <w:rsid w:val="0044148B"/>
    <w:rsid w:val="004414C8"/>
    <w:rsid w:val="004417D6"/>
    <w:rsid w:val="0044181A"/>
    <w:rsid w:val="0044184C"/>
    <w:rsid w:val="00441A08"/>
    <w:rsid w:val="00441C05"/>
    <w:rsid w:val="00441DFA"/>
    <w:rsid w:val="00441EA0"/>
    <w:rsid w:val="00441EF5"/>
    <w:rsid w:val="00441F23"/>
    <w:rsid w:val="00441FF6"/>
    <w:rsid w:val="00442022"/>
    <w:rsid w:val="004420E9"/>
    <w:rsid w:val="00442296"/>
    <w:rsid w:val="0044266A"/>
    <w:rsid w:val="004427C7"/>
    <w:rsid w:val="00442B10"/>
    <w:rsid w:val="00442C93"/>
    <w:rsid w:val="00442F29"/>
    <w:rsid w:val="00442F4C"/>
    <w:rsid w:val="00443180"/>
    <w:rsid w:val="0044321C"/>
    <w:rsid w:val="00443546"/>
    <w:rsid w:val="00443570"/>
    <w:rsid w:val="004435BE"/>
    <w:rsid w:val="00443C58"/>
    <w:rsid w:val="00443CD7"/>
    <w:rsid w:val="00443E67"/>
    <w:rsid w:val="00444073"/>
    <w:rsid w:val="004440F2"/>
    <w:rsid w:val="0044428A"/>
    <w:rsid w:val="0044436F"/>
    <w:rsid w:val="0044460B"/>
    <w:rsid w:val="004446DC"/>
    <w:rsid w:val="004446E9"/>
    <w:rsid w:val="00444794"/>
    <w:rsid w:val="004448C4"/>
    <w:rsid w:val="0044494E"/>
    <w:rsid w:val="00444958"/>
    <w:rsid w:val="00444A0C"/>
    <w:rsid w:val="00444A12"/>
    <w:rsid w:val="00444BD5"/>
    <w:rsid w:val="00444BDC"/>
    <w:rsid w:val="00444C7D"/>
    <w:rsid w:val="00444D80"/>
    <w:rsid w:val="00444F21"/>
    <w:rsid w:val="00444F45"/>
    <w:rsid w:val="0044505E"/>
    <w:rsid w:val="00445270"/>
    <w:rsid w:val="0044536E"/>
    <w:rsid w:val="004453BC"/>
    <w:rsid w:val="004455A2"/>
    <w:rsid w:val="00445613"/>
    <w:rsid w:val="00445644"/>
    <w:rsid w:val="004458B4"/>
    <w:rsid w:val="00445954"/>
    <w:rsid w:val="00445A31"/>
    <w:rsid w:val="00445D11"/>
    <w:rsid w:val="00445D54"/>
    <w:rsid w:val="00445DF0"/>
    <w:rsid w:val="00445FE9"/>
    <w:rsid w:val="0044611A"/>
    <w:rsid w:val="00446198"/>
    <w:rsid w:val="00446237"/>
    <w:rsid w:val="00446262"/>
    <w:rsid w:val="004462D5"/>
    <w:rsid w:val="0044656B"/>
    <w:rsid w:val="0044666E"/>
    <w:rsid w:val="0044670C"/>
    <w:rsid w:val="00446710"/>
    <w:rsid w:val="004467B7"/>
    <w:rsid w:val="00446926"/>
    <w:rsid w:val="00446B9A"/>
    <w:rsid w:val="00446CCC"/>
    <w:rsid w:val="00446D4D"/>
    <w:rsid w:val="00446F13"/>
    <w:rsid w:val="00446F2B"/>
    <w:rsid w:val="00446FB5"/>
    <w:rsid w:val="00447062"/>
    <w:rsid w:val="00447473"/>
    <w:rsid w:val="004477F3"/>
    <w:rsid w:val="00447ACA"/>
    <w:rsid w:val="00447B12"/>
    <w:rsid w:val="00447C02"/>
    <w:rsid w:val="00447C8B"/>
    <w:rsid w:val="00447CEA"/>
    <w:rsid w:val="00447DAF"/>
    <w:rsid w:val="0045001A"/>
    <w:rsid w:val="00450098"/>
    <w:rsid w:val="0045036A"/>
    <w:rsid w:val="004504A4"/>
    <w:rsid w:val="00450516"/>
    <w:rsid w:val="004505DD"/>
    <w:rsid w:val="004509EF"/>
    <w:rsid w:val="00450BB1"/>
    <w:rsid w:val="00450C09"/>
    <w:rsid w:val="00450C3D"/>
    <w:rsid w:val="00450C67"/>
    <w:rsid w:val="00450D14"/>
    <w:rsid w:val="00450D46"/>
    <w:rsid w:val="00450E3D"/>
    <w:rsid w:val="0045101A"/>
    <w:rsid w:val="004510F9"/>
    <w:rsid w:val="0045144D"/>
    <w:rsid w:val="00451685"/>
    <w:rsid w:val="00451854"/>
    <w:rsid w:val="004519C7"/>
    <w:rsid w:val="00451DFF"/>
    <w:rsid w:val="00451E9E"/>
    <w:rsid w:val="00452016"/>
    <w:rsid w:val="00452169"/>
    <w:rsid w:val="004521BF"/>
    <w:rsid w:val="00452294"/>
    <w:rsid w:val="00452568"/>
    <w:rsid w:val="004525B9"/>
    <w:rsid w:val="00452600"/>
    <w:rsid w:val="00452713"/>
    <w:rsid w:val="0045284C"/>
    <w:rsid w:val="004529E4"/>
    <w:rsid w:val="00452AB1"/>
    <w:rsid w:val="00452B88"/>
    <w:rsid w:val="00452B91"/>
    <w:rsid w:val="00452BAB"/>
    <w:rsid w:val="00452C99"/>
    <w:rsid w:val="00452CE5"/>
    <w:rsid w:val="00452D2A"/>
    <w:rsid w:val="00452F49"/>
    <w:rsid w:val="00453094"/>
    <w:rsid w:val="00453268"/>
    <w:rsid w:val="00453399"/>
    <w:rsid w:val="004534D6"/>
    <w:rsid w:val="00453623"/>
    <w:rsid w:val="00453676"/>
    <w:rsid w:val="004536CF"/>
    <w:rsid w:val="0045376B"/>
    <w:rsid w:val="0045376D"/>
    <w:rsid w:val="004538B7"/>
    <w:rsid w:val="00453A05"/>
    <w:rsid w:val="00453A82"/>
    <w:rsid w:val="00453B71"/>
    <w:rsid w:val="00453C70"/>
    <w:rsid w:val="00453D7E"/>
    <w:rsid w:val="00453E5F"/>
    <w:rsid w:val="00453EF8"/>
    <w:rsid w:val="004541CC"/>
    <w:rsid w:val="004541E6"/>
    <w:rsid w:val="00454260"/>
    <w:rsid w:val="004546C8"/>
    <w:rsid w:val="00454709"/>
    <w:rsid w:val="0045470B"/>
    <w:rsid w:val="004547DD"/>
    <w:rsid w:val="00454903"/>
    <w:rsid w:val="00454959"/>
    <w:rsid w:val="00454B61"/>
    <w:rsid w:val="00454B85"/>
    <w:rsid w:val="00454BCD"/>
    <w:rsid w:val="00454C24"/>
    <w:rsid w:val="00454C38"/>
    <w:rsid w:val="00454D19"/>
    <w:rsid w:val="00454DB4"/>
    <w:rsid w:val="0045501B"/>
    <w:rsid w:val="004550C3"/>
    <w:rsid w:val="004551B7"/>
    <w:rsid w:val="00455252"/>
    <w:rsid w:val="0045529B"/>
    <w:rsid w:val="0045534D"/>
    <w:rsid w:val="00455474"/>
    <w:rsid w:val="004554A9"/>
    <w:rsid w:val="004554F0"/>
    <w:rsid w:val="004555DA"/>
    <w:rsid w:val="0045561C"/>
    <w:rsid w:val="00455900"/>
    <w:rsid w:val="00455994"/>
    <w:rsid w:val="00455B4C"/>
    <w:rsid w:val="00455D95"/>
    <w:rsid w:val="00455FC0"/>
    <w:rsid w:val="00455FD2"/>
    <w:rsid w:val="004563F7"/>
    <w:rsid w:val="0045655F"/>
    <w:rsid w:val="0045666F"/>
    <w:rsid w:val="0045668C"/>
    <w:rsid w:val="00456794"/>
    <w:rsid w:val="00456926"/>
    <w:rsid w:val="0045694A"/>
    <w:rsid w:val="0045694C"/>
    <w:rsid w:val="00456F3C"/>
    <w:rsid w:val="0045709C"/>
    <w:rsid w:val="004570E7"/>
    <w:rsid w:val="00457203"/>
    <w:rsid w:val="0045756C"/>
    <w:rsid w:val="0045757F"/>
    <w:rsid w:val="004576FD"/>
    <w:rsid w:val="00457963"/>
    <w:rsid w:val="0045796F"/>
    <w:rsid w:val="00457983"/>
    <w:rsid w:val="00457A05"/>
    <w:rsid w:val="00457D02"/>
    <w:rsid w:val="00457FB4"/>
    <w:rsid w:val="00460068"/>
    <w:rsid w:val="00460232"/>
    <w:rsid w:val="00460252"/>
    <w:rsid w:val="004602C8"/>
    <w:rsid w:val="0046066F"/>
    <w:rsid w:val="004606B8"/>
    <w:rsid w:val="004606FE"/>
    <w:rsid w:val="0046072B"/>
    <w:rsid w:val="00460765"/>
    <w:rsid w:val="004608A3"/>
    <w:rsid w:val="00460B70"/>
    <w:rsid w:val="00460C55"/>
    <w:rsid w:val="00460D68"/>
    <w:rsid w:val="00460EB8"/>
    <w:rsid w:val="00460EBA"/>
    <w:rsid w:val="00461104"/>
    <w:rsid w:val="004612C5"/>
    <w:rsid w:val="00461390"/>
    <w:rsid w:val="00461552"/>
    <w:rsid w:val="0046155A"/>
    <w:rsid w:val="0046155B"/>
    <w:rsid w:val="004615CB"/>
    <w:rsid w:val="004617E8"/>
    <w:rsid w:val="0046188E"/>
    <w:rsid w:val="00461909"/>
    <w:rsid w:val="00461991"/>
    <w:rsid w:val="004619B6"/>
    <w:rsid w:val="00461B28"/>
    <w:rsid w:val="00461C10"/>
    <w:rsid w:val="00461CA7"/>
    <w:rsid w:val="00461F42"/>
    <w:rsid w:val="00461F7A"/>
    <w:rsid w:val="004620C7"/>
    <w:rsid w:val="004620DF"/>
    <w:rsid w:val="00462236"/>
    <w:rsid w:val="00462486"/>
    <w:rsid w:val="004627B3"/>
    <w:rsid w:val="00462954"/>
    <w:rsid w:val="00462A19"/>
    <w:rsid w:val="00462A35"/>
    <w:rsid w:val="00462B40"/>
    <w:rsid w:val="00462B66"/>
    <w:rsid w:val="00462C3B"/>
    <w:rsid w:val="00462F8D"/>
    <w:rsid w:val="0046310B"/>
    <w:rsid w:val="00463175"/>
    <w:rsid w:val="00463259"/>
    <w:rsid w:val="004632F1"/>
    <w:rsid w:val="004633D9"/>
    <w:rsid w:val="004634EB"/>
    <w:rsid w:val="0046375D"/>
    <w:rsid w:val="0046396A"/>
    <w:rsid w:val="00463AA9"/>
    <w:rsid w:val="00463C6E"/>
    <w:rsid w:val="00463D6E"/>
    <w:rsid w:val="00463E1E"/>
    <w:rsid w:val="00463E73"/>
    <w:rsid w:val="00463E90"/>
    <w:rsid w:val="00463F0E"/>
    <w:rsid w:val="00464033"/>
    <w:rsid w:val="0046408B"/>
    <w:rsid w:val="004640E9"/>
    <w:rsid w:val="0046413C"/>
    <w:rsid w:val="0046446A"/>
    <w:rsid w:val="004646F8"/>
    <w:rsid w:val="00464735"/>
    <w:rsid w:val="004647D0"/>
    <w:rsid w:val="004648FE"/>
    <w:rsid w:val="00464A44"/>
    <w:rsid w:val="0046505F"/>
    <w:rsid w:val="00465080"/>
    <w:rsid w:val="00465528"/>
    <w:rsid w:val="00465628"/>
    <w:rsid w:val="004656B0"/>
    <w:rsid w:val="00465844"/>
    <w:rsid w:val="0046594D"/>
    <w:rsid w:val="00465AAC"/>
    <w:rsid w:val="00465C83"/>
    <w:rsid w:val="00465D71"/>
    <w:rsid w:val="00465DA0"/>
    <w:rsid w:val="00465FC1"/>
    <w:rsid w:val="0046607B"/>
    <w:rsid w:val="00466199"/>
    <w:rsid w:val="00466243"/>
    <w:rsid w:val="00466268"/>
    <w:rsid w:val="00466426"/>
    <w:rsid w:val="004664F8"/>
    <w:rsid w:val="0046663C"/>
    <w:rsid w:val="004666BC"/>
    <w:rsid w:val="00466860"/>
    <w:rsid w:val="004669CA"/>
    <w:rsid w:val="00466CD7"/>
    <w:rsid w:val="00466D7F"/>
    <w:rsid w:val="00466DAE"/>
    <w:rsid w:val="00466FD9"/>
    <w:rsid w:val="004670C0"/>
    <w:rsid w:val="004670D8"/>
    <w:rsid w:val="004672D5"/>
    <w:rsid w:val="004672E3"/>
    <w:rsid w:val="00467335"/>
    <w:rsid w:val="0046740F"/>
    <w:rsid w:val="00467564"/>
    <w:rsid w:val="0046762E"/>
    <w:rsid w:val="00467742"/>
    <w:rsid w:val="00467799"/>
    <w:rsid w:val="00467840"/>
    <w:rsid w:val="0046792B"/>
    <w:rsid w:val="004679EE"/>
    <w:rsid w:val="00467A21"/>
    <w:rsid w:val="00467AC9"/>
    <w:rsid w:val="00467BF7"/>
    <w:rsid w:val="00467D28"/>
    <w:rsid w:val="00467F9B"/>
    <w:rsid w:val="00467FE6"/>
    <w:rsid w:val="004700CF"/>
    <w:rsid w:val="00470730"/>
    <w:rsid w:val="00470746"/>
    <w:rsid w:val="0047078F"/>
    <w:rsid w:val="00470C13"/>
    <w:rsid w:val="00470DFD"/>
    <w:rsid w:val="00470EC3"/>
    <w:rsid w:val="00471026"/>
    <w:rsid w:val="0047134D"/>
    <w:rsid w:val="00471401"/>
    <w:rsid w:val="00471446"/>
    <w:rsid w:val="004715BE"/>
    <w:rsid w:val="0047175B"/>
    <w:rsid w:val="00471931"/>
    <w:rsid w:val="00471A98"/>
    <w:rsid w:val="00471B08"/>
    <w:rsid w:val="00471B1E"/>
    <w:rsid w:val="00471BCF"/>
    <w:rsid w:val="00471C40"/>
    <w:rsid w:val="00471DBC"/>
    <w:rsid w:val="00472015"/>
    <w:rsid w:val="00472056"/>
    <w:rsid w:val="00472071"/>
    <w:rsid w:val="00472165"/>
    <w:rsid w:val="004721F3"/>
    <w:rsid w:val="004722B4"/>
    <w:rsid w:val="00472317"/>
    <w:rsid w:val="00472458"/>
    <w:rsid w:val="00472546"/>
    <w:rsid w:val="004725C4"/>
    <w:rsid w:val="004725EA"/>
    <w:rsid w:val="00472634"/>
    <w:rsid w:val="00472B26"/>
    <w:rsid w:val="00472CD4"/>
    <w:rsid w:val="00472D4B"/>
    <w:rsid w:val="00472DBA"/>
    <w:rsid w:val="00472DC2"/>
    <w:rsid w:val="00472EC8"/>
    <w:rsid w:val="00472F53"/>
    <w:rsid w:val="004730B5"/>
    <w:rsid w:val="004730FC"/>
    <w:rsid w:val="00473113"/>
    <w:rsid w:val="004732BD"/>
    <w:rsid w:val="00473398"/>
    <w:rsid w:val="00473629"/>
    <w:rsid w:val="00473638"/>
    <w:rsid w:val="004737D5"/>
    <w:rsid w:val="00473982"/>
    <w:rsid w:val="004739CE"/>
    <w:rsid w:val="00473A82"/>
    <w:rsid w:val="00473BB2"/>
    <w:rsid w:val="00473D73"/>
    <w:rsid w:val="00473E66"/>
    <w:rsid w:val="00474102"/>
    <w:rsid w:val="00474127"/>
    <w:rsid w:val="0047428E"/>
    <w:rsid w:val="00474291"/>
    <w:rsid w:val="004744DC"/>
    <w:rsid w:val="00474530"/>
    <w:rsid w:val="00474703"/>
    <w:rsid w:val="00474749"/>
    <w:rsid w:val="004747E4"/>
    <w:rsid w:val="0047491D"/>
    <w:rsid w:val="00474BAB"/>
    <w:rsid w:val="00475066"/>
    <w:rsid w:val="004750D5"/>
    <w:rsid w:val="00475145"/>
    <w:rsid w:val="0047519B"/>
    <w:rsid w:val="00475425"/>
    <w:rsid w:val="00475624"/>
    <w:rsid w:val="0047564A"/>
    <w:rsid w:val="0047579C"/>
    <w:rsid w:val="0047580F"/>
    <w:rsid w:val="004759FA"/>
    <w:rsid w:val="00475C60"/>
    <w:rsid w:val="00475F2F"/>
    <w:rsid w:val="00476130"/>
    <w:rsid w:val="00476139"/>
    <w:rsid w:val="00476327"/>
    <w:rsid w:val="0047636F"/>
    <w:rsid w:val="00476527"/>
    <w:rsid w:val="004765A8"/>
    <w:rsid w:val="004768AA"/>
    <w:rsid w:val="00476923"/>
    <w:rsid w:val="00476B43"/>
    <w:rsid w:val="00476C35"/>
    <w:rsid w:val="00476C8D"/>
    <w:rsid w:val="00476CE8"/>
    <w:rsid w:val="00476DBE"/>
    <w:rsid w:val="00476E48"/>
    <w:rsid w:val="00476E9E"/>
    <w:rsid w:val="00477043"/>
    <w:rsid w:val="0047708B"/>
    <w:rsid w:val="004770F1"/>
    <w:rsid w:val="004772B6"/>
    <w:rsid w:val="00477AE3"/>
    <w:rsid w:val="00477B5D"/>
    <w:rsid w:val="00477C58"/>
    <w:rsid w:val="00477DE6"/>
    <w:rsid w:val="00477E3B"/>
    <w:rsid w:val="0048029D"/>
    <w:rsid w:val="004802CC"/>
    <w:rsid w:val="004803B6"/>
    <w:rsid w:val="004804D3"/>
    <w:rsid w:val="00480557"/>
    <w:rsid w:val="00480581"/>
    <w:rsid w:val="004805A5"/>
    <w:rsid w:val="00480718"/>
    <w:rsid w:val="0048085A"/>
    <w:rsid w:val="0048098F"/>
    <w:rsid w:val="00480A68"/>
    <w:rsid w:val="00480A9D"/>
    <w:rsid w:val="00480BA9"/>
    <w:rsid w:val="00480D1F"/>
    <w:rsid w:val="00480DBA"/>
    <w:rsid w:val="00480FE4"/>
    <w:rsid w:val="00481017"/>
    <w:rsid w:val="004811C2"/>
    <w:rsid w:val="00481423"/>
    <w:rsid w:val="00481819"/>
    <w:rsid w:val="00481828"/>
    <w:rsid w:val="0048184E"/>
    <w:rsid w:val="00481A08"/>
    <w:rsid w:val="00481A63"/>
    <w:rsid w:val="00481C0D"/>
    <w:rsid w:val="00481E4A"/>
    <w:rsid w:val="0048200E"/>
    <w:rsid w:val="00482029"/>
    <w:rsid w:val="0048206B"/>
    <w:rsid w:val="00482114"/>
    <w:rsid w:val="0048242E"/>
    <w:rsid w:val="0048258C"/>
    <w:rsid w:val="0048263F"/>
    <w:rsid w:val="00482956"/>
    <w:rsid w:val="00482B0C"/>
    <w:rsid w:val="00482B83"/>
    <w:rsid w:val="00482B86"/>
    <w:rsid w:val="00482BDC"/>
    <w:rsid w:val="00482D14"/>
    <w:rsid w:val="00482D7D"/>
    <w:rsid w:val="004832F4"/>
    <w:rsid w:val="0048331D"/>
    <w:rsid w:val="00483545"/>
    <w:rsid w:val="00483580"/>
    <w:rsid w:val="0048363F"/>
    <w:rsid w:val="00483688"/>
    <w:rsid w:val="0048370C"/>
    <w:rsid w:val="00483836"/>
    <w:rsid w:val="004839A1"/>
    <w:rsid w:val="00483B1D"/>
    <w:rsid w:val="00483B46"/>
    <w:rsid w:val="00483C0E"/>
    <w:rsid w:val="00483E5E"/>
    <w:rsid w:val="0048414E"/>
    <w:rsid w:val="004842DB"/>
    <w:rsid w:val="00484555"/>
    <w:rsid w:val="004846F7"/>
    <w:rsid w:val="0048478D"/>
    <w:rsid w:val="00484B44"/>
    <w:rsid w:val="00484C74"/>
    <w:rsid w:val="00484D22"/>
    <w:rsid w:val="00484EFA"/>
    <w:rsid w:val="00484F7A"/>
    <w:rsid w:val="00484FA3"/>
    <w:rsid w:val="00485198"/>
    <w:rsid w:val="00485585"/>
    <w:rsid w:val="00485707"/>
    <w:rsid w:val="0048580B"/>
    <w:rsid w:val="0048585A"/>
    <w:rsid w:val="00485885"/>
    <w:rsid w:val="0048599C"/>
    <w:rsid w:val="004859BE"/>
    <w:rsid w:val="00485AC3"/>
    <w:rsid w:val="00485B0F"/>
    <w:rsid w:val="00485B3F"/>
    <w:rsid w:val="00485C05"/>
    <w:rsid w:val="00485C64"/>
    <w:rsid w:val="00485CC2"/>
    <w:rsid w:val="00485E42"/>
    <w:rsid w:val="00485EB9"/>
    <w:rsid w:val="00485F21"/>
    <w:rsid w:val="00486106"/>
    <w:rsid w:val="00486163"/>
    <w:rsid w:val="0048621B"/>
    <w:rsid w:val="00486254"/>
    <w:rsid w:val="004863E9"/>
    <w:rsid w:val="004864C2"/>
    <w:rsid w:val="0048658C"/>
    <w:rsid w:val="0048667B"/>
    <w:rsid w:val="004866A5"/>
    <w:rsid w:val="0048686B"/>
    <w:rsid w:val="00486B69"/>
    <w:rsid w:val="00486BC0"/>
    <w:rsid w:val="00486C81"/>
    <w:rsid w:val="00486D2D"/>
    <w:rsid w:val="00486E87"/>
    <w:rsid w:val="004870FE"/>
    <w:rsid w:val="00487350"/>
    <w:rsid w:val="0048742C"/>
    <w:rsid w:val="004875BC"/>
    <w:rsid w:val="004875E4"/>
    <w:rsid w:val="0048767E"/>
    <w:rsid w:val="00487694"/>
    <w:rsid w:val="004877BB"/>
    <w:rsid w:val="00487817"/>
    <w:rsid w:val="004878A0"/>
    <w:rsid w:val="00487943"/>
    <w:rsid w:val="00487C5F"/>
    <w:rsid w:val="00487C83"/>
    <w:rsid w:val="00487C8E"/>
    <w:rsid w:val="00487D75"/>
    <w:rsid w:val="00487E59"/>
    <w:rsid w:val="00487F81"/>
    <w:rsid w:val="00487FE3"/>
    <w:rsid w:val="0048C83B"/>
    <w:rsid w:val="004901CB"/>
    <w:rsid w:val="00490224"/>
    <w:rsid w:val="004902A7"/>
    <w:rsid w:val="004902CA"/>
    <w:rsid w:val="0049049C"/>
    <w:rsid w:val="00490510"/>
    <w:rsid w:val="0049061C"/>
    <w:rsid w:val="0049068D"/>
    <w:rsid w:val="004906EB"/>
    <w:rsid w:val="004907B4"/>
    <w:rsid w:val="004907EC"/>
    <w:rsid w:val="00490899"/>
    <w:rsid w:val="004908D5"/>
    <w:rsid w:val="004909C5"/>
    <w:rsid w:val="004909C7"/>
    <w:rsid w:val="004909F4"/>
    <w:rsid w:val="00490AC0"/>
    <w:rsid w:val="00490F7F"/>
    <w:rsid w:val="00490FFA"/>
    <w:rsid w:val="004910D4"/>
    <w:rsid w:val="00491391"/>
    <w:rsid w:val="0049139A"/>
    <w:rsid w:val="004913CA"/>
    <w:rsid w:val="004918EE"/>
    <w:rsid w:val="00491E2D"/>
    <w:rsid w:val="004923F7"/>
    <w:rsid w:val="00492685"/>
    <w:rsid w:val="004926F1"/>
    <w:rsid w:val="00492CAE"/>
    <w:rsid w:val="00492E51"/>
    <w:rsid w:val="00492E6F"/>
    <w:rsid w:val="004931D8"/>
    <w:rsid w:val="0049337A"/>
    <w:rsid w:val="0049377F"/>
    <w:rsid w:val="004938B6"/>
    <w:rsid w:val="00493C60"/>
    <w:rsid w:val="00493D29"/>
    <w:rsid w:val="00493E59"/>
    <w:rsid w:val="0049417A"/>
    <w:rsid w:val="00494269"/>
    <w:rsid w:val="004943E8"/>
    <w:rsid w:val="004945B2"/>
    <w:rsid w:val="00494731"/>
    <w:rsid w:val="004947AB"/>
    <w:rsid w:val="004947D3"/>
    <w:rsid w:val="00494872"/>
    <w:rsid w:val="0049490F"/>
    <w:rsid w:val="00494963"/>
    <w:rsid w:val="004949EA"/>
    <w:rsid w:val="00494ACB"/>
    <w:rsid w:val="00494BCB"/>
    <w:rsid w:val="00494C0E"/>
    <w:rsid w:val="00494D37"/>
    <w:rsid w:val="00494F10"/>
    <w:rsid w:val="00494FF5"/>
    <w:rsid w:val="00495048"/>
    <w:rsid w:val="00495200"/>
    <w:rsid w:val="004955F8"/>
    <w:rsid w:val="0049589F"/>
    <w:rsid w:val="004959EE"/>
    <w:rsid w:val="00495B9E"/>
    <w:rsid w:val="00495D15"/>
    <w:rsid w:val="00495D9C"/>
    <w:rsid w:val="00495DA7"/>
    <w:rsid w:val="00496014"/>
    <w:rsid w:val="004961C1"/>
    <w:rsid w:val="0049631A"/>
    <w:rsid w:val="00496515"/>
    <w:rsid w:val="0049653E"/>
    <w:rsid w:val="00496568"/>
    <w:rsid w:val="004965A5"/>
    <w:rsid w:val="004967D9"/>
    <w:rsid w:val="0049681A"/>
    <w:rsid w:val="004968A0"/>
    <w:rsid w:val="0049695D"/>
    <w:rsid w:val="00496B37"/>
    <w:rsid w:val="00496CC3"/>
    <w:rsid w:val="00496D5A"/>
    <w:rsid w:val="00497159"/>
    <w:rsid w:val="00497265"/>
    <w:rsid w:val="004972DB"/>
    <w:rsid w:val="0049735E"/>
    <w:rsid w:val="004976AD"/>
    <w:rsid w:val="00497876"/>
    <w:rsid w:val="00497AFF"/>
    <w:rsid w:val="00497B8D"/>
    <w:rsid w:val="00497C18"/>
    <w:rsid w:val="00497C45"/>
    <w:rsid w:val="00497F38"/>
    <w:rsid w:val="004A01EA"/>
    <w:rsid w:val="004A022F"/>
    <w:rsid w:val="004A02FE"/>
    <w:rsid w:val="004A0320"/>
    <w:rsid w:val="004A0643"/>
    <w:rsid w:val="004A06CC"/>
    <w:rsid w:val="004A06FF"/>
    <w:rsid w:val="004A080A"/>
    <w:rsid w:val="004A0868"/>
    <w:rsid w:val="004A09E2"/>
    <w:rsid w:val="004A0B71"/>
    <w:rsid w:val="004A0BA3"/>
    <w:rsid w:val="004A0DED"/>
    <w:rsid w:val="004A0E8F"/>
    <w:rsid w:val="004A0EB5"/>
    <w:rsid w:val="004A1082"/>
    <w:rsid w:val="004A10D8"/>
    <w:rsid w:val="004A10ED"/>
    <w:rsid w:val="004A11A4"/>
    <w:rsid w:val="004A12F2"/>
    <w:rsid w:val="004A13D6"/>
    <w:rsid w:val="004A1663"/>
    <w:rsid w:val="004A170D"/>
    <w:rsid w:val="004A1723"/>
    <w:rsid w:val="004A1807"/>
    <w:rsid w:val="004A1992"/>
    <w:rsid w:val="004A1A16"/>
    <w:rsid w:val="004A1A72"/>
    <w:rsid w:val="004A1B80"/>
    <w:rsid w:val="004A1C1F"/>
    <w:rsid w:val="004A1CBD"/>
    <w:rsid w:val="004A1D3D"/>
    <w:rsid w:val="004A2022"/>
    <w:rsid w:val="004A2075"/>
    <w:rsid w:val="004A20F0"/>
    <w:rsid w:val="004A23CC"/>
    <w:rsid w:val="004A2520"/>
    <w:rsid w:val="004A2743"/>
    <w:rsid w:val="004A27C5"/>
    <w:rsid w:val="004A2951"/>
    <w:rsid w:val="004A2A32"/>
    <w:rsid w:val="004A2AD0"/>
    <w:rsid w:val="004A2B52"/>
    <w:rsid w:val="004A2C95"/>
    <w:rsid w:val="004A2F0A"/>
    <w:rsid w:val="004A312C"/>
    <w:rsid w:val="004A31B9"/>
    <w:rsid w:val="004A343A"/>
    <w:rsid w:val="004A34BE"/>
    <w:rsid w:val="004A354F"/>
    <w:rsid w:val="004A35B0"/>
    <w:rsid w:val="004A35D5"/>
    <w:rsid w:val="004A36AA"/>
    <w:rsid w:val="004A37B7"/>
    <w:rsid w:val="004A3878"/>
    <w:rsid w:val="004A398C"/>
    <w:rsid w:val="004A3BFC"/>
    <w:rsid w:val="004A3EBC"/>
    <w:rsid w:val="004A3EEA"/>
    <w:rsid w:val="004A4170"/>
    <w:rsid w:val="004A4311"/>
    <w:rsid w:val="004A4496"/>
    <w:rsid w:val="004A46C2"/>
    <w:rsid w:val="004A475C"/>
    <w:rsid w:val="004A47B0"/>
    <w:rsid w:val="004A481E"/>
    <w:rsid w:val="004A4CB0"/>
    <w:rsid w:val="004A4D07"/>
    <w:rsid w:val="004A4D21"/>
    <w:rsid w:val="004A4D43"/>
    <w:rsid w:val="004A4DD5"/>
    <w:rsid w:val="004A4F7E"/>
    <w:rsid w:val="004A5080"/>
    <w:rsid w:val="004A50D9"/>
    <w:rsid w:val="004A512E"/>
    <w:rsid w:val="004A520C"/>
    <w:rsid w:val="004A57BB"/>
    <w:rsid w:val="004A599D"/>
    <w:rsid w:val="004A5A01"/>
    <w:rsid w:val="004A5A87"/>
    <w:rsid w:val="004A5C2A"/>
    <w:rsid w:val="004A5D94"/>
    <w:rsid w:val="004A5F76"/>
    <w:rsid w:val="004A5FA8"/>
    <w:rsid w:val="004A60CC"/>
    <w:rsid w:val="004A622F"/>
    <w:rsid w:val="004A642D"/>
    <w:rsid w:val="004A643A"/>
    <w:rsid w:val="004A645B"/>
    <w:rsid w:val="004A661E"/>
    <w:rsid w:val="004A66E7"/>
    <w:rsid w:val="004A66E8"/>
    <w:rsid w:val="004A6758"/>
    <w:rsid w:val="004A6D30"/>
    <w:rsid w:val="004A71D2"/>
    <w:rsid w:val="004A725D"/>
    <w:rsid w:val="004A726D"/>
    <w:rsid w:val="004A72A9"/>
    <w:rsid w:val="004A72FC"/>
    <w:rsid w:val="004A7370"/>
    <w:rsid w:val="004A7419"/>
    <w:rsid w:val="004A754D"/>
    <w:rsid w:val="004A7645"/>
    <w:rsid w:val="004A7986"/>
    <w:rsid w:val="004A79C8"/>
    <w:rsid w:val="004A7A43"/>
    <w:rsid w:val="004A7C43"/>
    <w:rsid w:val="004A7C65"/>
    <w:rsid w:val="004A7CF5"/>
    <w:rsid w:val="004A7D06"/>
    <w:rsid w:val="004A7D4C"/>
    <w:rsid w:val="004ACD74"/>
    <w:rsid w:val="004AF239"/>
    <w:rsid w:val="004B00E2"/>
    <w:rsid w:val="004B0177"/>
    <w:rsid w:val="004B02A6"/>
    <w:rsid w:val="004B02AE"/>
    <w:rsid w:val="004B0471"/>
    <w:rsid w:val="004B05C8"/>
    <w:rsid w:val="004B0684"/>
    <w:rsid w:val="004B074B"/>
    <w:rsid w:val="004B075B"/>
    <w:rsid w:val="004B0917"/>
    <w:rsid w:val="004B0A27"/>
    <w:rsid w:val="004B0D7A"/>
    <w:rsid w:val="004B1378"/>
    <w:rsid w:val="004B183D"/>
    <w:rsid w:val="004B1889"/>
    <w:rsid w:val="004B1942"/>
    <w:rsid w:val="004B1948"/>
    <w:rsid w:val="004B194D"/>
    <w:rsid w:val="004B1957"/>
    <w:rsid w:val="004B1958"/>
    <w:rsid w:val="004B1A6D"/>
    <w:rsid w:val="004B1B7C"/>
    <w:rsid w:val="004B1C63"/>
    <w:rsid w:val="004B1E4C"/>
    <w:rsid w:val="004B1E98"/>
    <w:rsid w:val="004B1F08"/>
    <w:rsid w:val="004B216E"/>
    <w:rsid w:val="004B221E"/>
    <w:rsid w:val="004B244E"/>
    <w:rsid w:val="004B26FF"/>
    <w:rsid w:val="004B2721"/>
    <w:rsid w:val="004B2751"/>
    <w:rsid w:val="004B29BB"/>
    <w:rsid w:val="004B2A2A"/>
    <w:rsid w:val="004B2B76"/>
    <w:rsid w:val="004B2DCC"/>
    <w:rsid w:val="004B2FD4"/>
    <w:rsid w:val="004B314F"/>
    <w:rsid w:val="004B31BF"/>
    <w:rsid w:val="004B31F6"/>
    <w:rsid w:val="004B3681"/>
    <w:rsid w:val="004B37C2"/>
    <w:rsid w:val="004B3850"/>
    <w:rsid w:val="004B3B83"/>
    <w:rsid w:val="004B3BA4"/>
    <w:rsid w:val="004B3BED"/>
    <w:rsid w:val="004B3D87"/>
    <w:rsid w:val="004B4018"/>
    <w:rsid w:val="004B406B"/>
    <w:rsid w:val="004B40AB"/>
    <w:rsid w:val="004B410E"/>
    <w:rsid w:val="004B4133"/>
    <w:rsid w:val="004B432B"/>
    <w:rsid w:val="004B448F"/>
    <w:rsid w:val="004B46D5"/>
    <w:rsid w:val="004B46E9"/>
    <w:rsid w:val="004B47F9"/>
    <w:rsid w:val="004B4C05"/>
    <w:rsid w:val="004B4C7C"/>
    <w:rsid w:val="004B4CE1"/>
    <w:rsid w:val="004B4D07"/>
    <w:rsid w:val="004B4D6A"/>
    <w:rsid w:val="004B4DDF"/>
    <w:rsid w:val="004B4DF1"/>
    <w:rsid w:val="004B4E10"/>
    <w:rsid w:val="004B4FB9"/>
    <w:rsid w:val="004B5049"/>
    <w:rsid w:val="004B516E"/>
    <w:rsid w:val="004B5356"/>
    <w:rsid w:val="004B546F"/>
    <w:rsid w:val="004B556E"/>
    <w:rsid w:val="004B56B5"/>
    <w:rsid w:val="004B57DB"/>
    <w:rsid w:val="004B5875"/>
    <w:rsid w:val="004B5893"/>
    <w:rsid w:val="004B58BE"/>
    <w:rsid w:val="004B5ADF"/>
    <w:rsid w:val="004B5CB4"/>
    <w:rsid w:val="004B5E09"/>
    <w:rsid w:val="004B5F10"/>
    <w:rsid w:val="004B60EE"/>
    <w:rsid w:val="004B6363"/>
    <w:rsid w:val="004B6412"/>
    <w:rsid w:val="004B6447"/>
    <w:rsid w:val="004B66AE"/>
    <w:rsid w:val="004B6933"/>
    <w:rsid w:val="004B69D1"/>
    <w:rsid w:val="004B6AED"/>
    <w:rsid w:val="004B6E12"/>
    <w:rsid w:val="004B725A"/>
    <w:rsid w:val="004B766C"/>
    <w:rsid w:val="004B78D1"/>
    <w:rsid w:val="004B7C60"/>
    <w:rsid w:val="004B7C70"/>
    <w:rsid w:val="004B7D94"/>
    <w:rsid w:val="004C00BD"/>
    <w:rsid w:val="004C0183"/>
    <w:rsid w:val="004C0374"/>
    <w:rsid w:val="004C04E3"/>
    <w:rsid w:val="004C05D3"/>
    <w:rsid w:val="004C0D17"/>
    <w:rsid w:val="004C100F"/>
    <w:rsid w:val="004C107F"/>
    <w:rsid w:val="004C118A"/>
    <w:rsid w:val="004C1329"/>
    <w:rsid w:val="004C1568"/>
    <w:rsid w:val="004C19A6"/>
    <w:rsid w:val="004C1B47"/>
    <w:rsid w:val="004C1BC9"/>
    <w:rsid w:val="004C1EF4"/>
    <w:rsid w:val="004C1F15"/>
    <w:rsid w:val="004C1FC2"/>
    <w:rsid w:val="004C2162"/>
    <w:rsid w:val="004C2221"/>
    <w:rsid w:val="004C2263"/>
    <w:rsid w:val="004C2267"/>
    <w:rsid w:val="004C22B4"/>
    <w:rsid w:val="004C24FD"/>
    <w:rsid w:val="004C2694"/>
    <w:rsid w:val="004C271E"/>
    <w:rsid w:val="004C27A9"/>
    <w:rsid w:val="004C28A8"/>
    <w:rsid w:val="004C2952"/>
    <w:rsid w:val="004C2B10"/>
    <w:rsid w:val="004C2DF8"/>
    <w:rsid w:val="004C2EC4"/>
    <w:rsid w:val="004C2F6A"/>
    <w:rsid w:val="004C300E"/>
    <w:rsid w:val="004C3241"/>
    <w:rsid w:val="004C336E"/>
    <w:rsid w:val="004C3415"/>
    <w:rsid w:val="004C3480"/>
    <w:rsid w:val="004C34BA"/>
    <w:rsid w:val="004C3570"/>
    <w:rsid w:val="004C35AC"/>
    <w:rsid w:val="004C3683"/>
    <w:rsid w:val="004C3AA1"/>
    <w:rsid w:val="004C3C69"/>
    <w:rsid w:val="004C3D34"/>
    <w:rsid w:val="004C3E0A"/>
    <w:rsid w:val="004C3FEA"/>
    <w:rsid w:val="004C4339"/>
    <w:rsid w:val="004C4381"/>
    <w:rsid w:val="004C44E9"/>
    <w:rsid w:val="004C4530"/>
    <w:rsid w:val="004C4581"/>
    <w:rsid w:val="004C4600"/>
    <w:rsid w:val="004C4638"/>
    <w:rsid w:val="004C46FF"/>
    <w:rsid w:val="004C473B"/>
    <w:rsid w:val="004C47A5"/>
    <w:rsid w:val="004C4B65"/>
    <w:rsid w:val="004C4C63"/>
    <w:rsid w:val="004C4D06"/>
    <w:rsid w:val="004C4E83"/>
    <w:rsid w:val="004C4F7A"/>
    <w:rsid w:val="004C5042"/>
    <w:rsid w:val="004C50AF"/>
    <w:rsid w:val="004C50E0"/>
    <w:rsid w:val="004C5244"/>
    <w:rsid w:val="004C52DF"/>
    <w:rsid w:val="004C5395"/>
    <w:rsid w:val="004C5415"/>
    <w:rsid w:val="004C55E1"/>
    <w:rsid w:val="004C57FF"/>
    <w:rsid w:val="004C5AB1"/>
    <w:rsid w:val="004C5C3E"/>
    <w:rsid w:val="004C60D1"/>
    <w:rsid w:val="004C6208"/>
    <w:rsid w:val="004C628D"/>
    <w:rsid w:val="004C630B"/>
    <w:rsid w:val="004C6494"/>
    <w:rsid w:val="004C657A"/>
    <w:rsid w:val="004C66EB"/>
    <w:rsid w:val="004C67F0"/>
    <w:rsid w:val="004C681E"/>
    <w:rsid w:val="004C6959"/>
    <w:rsid w:val="004C69BE"/>
    <w:rsid w:val="004C6B8B"/>
    <w:rsid w:val="004C6BD5"/>
    <w:rsid w:val="004C6C72"/>
    <w:rsid w:val="004C6D56"/>
    <w:rsid w:val="004C6E0D"/>
    <w:rsid w:val="004C6EBA"/>
    <w:rsid w:val="004C6F9F"/>
    <w:rsid w:val="004C71BB"/>
    <w:rsid w:val="004C72DA"/>
    <w:rsid w:val="004C7465"/>
    <w:rsid w:val="004C746C"/>
    <w:rsid w:val="004C7495"/>
    <w:rsid w:val="004C76B1"/>
    <w:rsid w:val="004C77ED"/>
    <w:rsid w:val="004C78B8"/>
    <w:rsid w:val="004C78C1"/>
    <w:rsid w:val="004C79AE"/>
    <w:rsid w:val="004C7A2D"/>
    <w:rsid w:val="004C7A9A"/>
    <w:rsid w:val="004C7E22"/>
    <w:rsid w:val="004C7FD6"/>
    <w:rsid w:val="004D0033"/>
    <w:rsid w:val="004D01D7"/>
    <w:rsid w:val="004D0451"/>
    <w:rsid w:val="004D046D"/>
    <w:rsid w:val="004D065C"/>
    <w:rsid w:val="004D0790"/>
    <w:rsid w:val="004D07D1"/>
    <w:rsid w:val="004D085E"/>
    <w:rsid w:val="004D08E7"/>
    <w:rsid w:val="004D09C4"/>
    <w:rsid w:val="004D0B0E"/>
    <w:rsid w:val="004D0C89"/>
    <w:rsid w:val="004D0CE8"/>
    <w:rsid w:val="004D0D2A"/>
    <w:rsid w:val="004D0E10"/>
    <w:rsid w:val="004D0ED7"/>
    <w:rsid w:val="004D10F3"/>
    <w:rsid w:val="004D10FC"/>
    <w:rsid w:val="004D13B7"/>
    <w:rsid w:val="004D17F8"/>
    <w:rsid w:val="004D1A36"/>
    <w:rsid w:val="004D1C07"/>
    <w:rsid w:val="004D1C86"/>
    <w:rsid w:val="004D1D47"/>
    <w:rsid w:val="004D1D73"/>
    <w:rsid w:val="004D1DEE"/>
    <w:rsid w:val="004D2066"/>
    <w:rsid w:val="004D20A2"/>
    <w:rsid w:val="004D20FD"/>
    <w:rsid w:val="004D239D"/>
    <w:rsid w:val="004D2406"/>
    <w:rsid w:val="004D2473"/>
    <w:rsid w:val="004D24B4"/>
    <w:rsid w:val="004D24C2"/>
    <w:rsid w:val="004D2526"/>
    <w:rsid w:val="004D252B"/>
    <w:rsid w:val="004D2618"/>
    <w:rsid w:val="004D262F"/>
    <w:rsid w:val="004D2645"/>
    <w:rsid w:val="004D26FA"/>
    <w:rsid w:val="004D280A"/>
    <w:rsid w:val="004D289F"/>
    <w:rsid w:val="004D29F6"/>
    <w:rsid w:val="004D2E69"/>
    <w:rsid w:val="004D2F59"/>
    <w:rsid w:val="004D2FA4"/>
    <w:rsid w:val="004D2FDD"/>
    <w:rsid w:val="004D31B6"/>
    <w:rsid w:val="004D3478"/>
    <w:rsid w:val="004D35F6"/>
    <w:rsid w:val="004D361B"/>
    <w:rsid w:val="004D384C"/>
    <w:rsid w:val="004D393E"/>
    <w:rsid w:val="004D3993"/>
    <w:rsid w:val="004D3A35"/>
    <w:rsid w:val="004D3A80"/>
    <w:rsid w:val="004D3A86"/>
    <w:rsid w:val="004D3AAD"/>
    <w:rsid w:val="004D3ACE"/>
    <w:rsid w:val="004D3C1F"/>
    <w:rsid w:val="004D3D30"/>
    <w:rsid w:val="004D3DA5"/>
    <w:rsid w:val="004D3F71"/>
    <w:rsid w:val="004D405E"/>
    <w:rsid w:val="004D40FF"/>
    <w:rsid w:val="004D4288"/>
    <w:rsid w:val="004D44FD"/>
    <w:rsid w:val="004D471E"/>
    <w:rsid w:val="004D4773"/>
    <w:rsid w:val="004D47C9"/>
    <w:rsid w:val="004D48F5"/>
    <w:rsid w:val="004D4DED"/>
    <w:rsid w:val="004D4E40"/>
    <w:rsid w:val="004D5098"/>
    <w:rsid w:val="004D50FB"/>
    <w:rsid w:val="004D52DF"/>
    <w:rsid w:val="004D54B6"/>
    <w:rsid w:val="004D5879"/>
    <w:rsid w:val="004D5882"/>
    <w:rsid w:val="004D58C2"/>
    <w:rsid w:val="004D5959"/>
    <w:rsid w:val="004D5A2F"/>
    <w:rsid w:val="004D5A7F"/>
    <w:rsid w:val="004D5ADA"/>
    <w:rsid w:val="004D5B65"/>
    <w:rsid w:val="004D5DBF"/>
    <w:rsid w:val="004D5DC4"/>
    <w:rsid w:val="004D5EF6"/>
    <w:rsid w:val="004D5FED"/>
    <w:rsid w:val="004D614C"/>
    <w:rsid w:val="004D61AB"/>
    <w:rsid w:val="004D6233"/>
    <w:rsid w:val="004D630D"/>
    <w:rsid w:val="004D6410"/>
    <w:rsid w:val="004D64F8"/>
    <w:rsid w:val="004D65EE"/>
    <w:rsid w:val="004D6661"/>
    <w:rsid w:val="004D680C"/>
    <w:rsid w:val="004D6821"/>
    <w:rsid w:val="004D68BA"/>
    <w:rsid w:val="004D6947"/>
    <w:rsid w:val="004D6B48"/>
    <w:rsid w:val="004D6C0E"/>
    <w:rsid w:val="004D6DB1"/>
    <w:rsid w:val="004D6DB3"/>
    <w:rsid w:val="004D6E3D"/>
    <w:rsid w:val="004D6F0E"/>
    <w:rsid w:val="004D70D3"/>
    <w:rsid w:val="004D7307"/>
    <w:rsid w:val="004D7635"/>
    <w:rsid w:val="004D764A"/>
    <w:rsid w:val="004D765F"/>
    <w:rsid w:val="004D7708"/>
    <w:rsid w:val="004D7799"/>
    <w:rsid w:val="004D7965"/>
    <w:rsid w:val="004D79B3"/>
    <w:rsid w:val="004D7A63"/>
    <w:rsid w:val="004D7B2D"/>
    <w:rsid w:val="004D7B55"/>
    <w:rsid w:val="004D7B66"/>
    <w:rsid w:val="004D7F5E"/>
    <w:rsid w:val="004E0269"/>
    <w:rsid w:val="004E0399"/>
    <w:rsid w:val="004E0617"/>
    <w:rsid w:val="004E06D2"/>
    <w:rsid w:val="004E073E"/>
    <w:rsid w:val="004E089C"/>
    <w:rsid w:val="004E08E2"/>
    <w:rsid w:val="004E0CE9"/>
    <w:rsid w:val="004E0CF1"/>
    <w:rsid w:val="004E0E3E"/>
    <w:rsid w:val="004E0E51"/>
    <w:rsid w:val="004E0E83"/>
    <w:rsid w:val="004E0E93"/>
    <w:rsid w:val="004E0EA3"/>
    <w:rsid w:val="004E0ED2"/>
    <w:rsid w:val="004E0FB2"/>
    <w:rsid w:val="004E1049"/>
    <w:rsid w:val="004E10E3"/>
    <w:rsid w:val="004E117E"/>
    <w:rsid w:val="004E13DA"/>
    <w:rsid w:val="004E146B"/>
    <w:rsid w:val="004E1661"/>
    <w:rsid w:val="004E1B20"/>
    <w:rsid w:val="004E1C8A"/>
    <w:rsid w:val="004E1E49"/>
    <w:rsid w:val="004E1E51"/>
    <w:rsid w:val="004E20EB"/>
    <w:rsid w:val="004E21C0"/>
    <w:rsid w:val="004E22A8"/>
    <w:rsid w:val="004E24E6"/>
    <w:rsid w:val="004E250D"/>
    <w:rsid w:val="004E25E9"/>
    <w:rsid w:val="004E2676"/>
    <w:rsid w:val="004E26AE"/>
    <w:rsid w:val="004E283A"/>
    <w:rsid w:val="004E2968"/>
    <w:rsid w:val="004E2A1C"/>
    <w:rsid w:val="004E2AAC"/>
    <w:rsid w:val="004E2B39"/>
    <w:rsid w:val="004E2C61"/>
    <w:rsid w:val="004E2E09"/>
    <w:rsid w:val="004E2E7E"/>
    <w:rsid w:val="004E3107"/>
    <w:rsid w:val="004E316C"/>
    <w:rsid w:val="004E322D"/>
    <w:rsid w:val="004E334F"/>
    <w:rsid w:val="004E346C"/>
    <w:rsid w:val="004E3592"/>
    <w:rsid w:val="004E35B8"/>
    <w:rsid w:val="004E36B2"/>
    <w:rsid w:val="004E373F"/>
    <w:rsid w:val="004E3901"/>
    <w:rsid w:val="004E40F9"/>
    <w:rsid w:val="004E4223"/>
    <w:rsid w:val="004E4277"/>
    <w:rsid w:val="004E431A"/>
    <w:rsid w:val="004E4385"/>
    <w:rsid w:val="004E4395"/>
    <w:rsid w:val="004E4408"/>
    <w:rsid w:val="004E4528"/>
    <w:rsid w:val="004E453F"/>
    <w:rsid w:val="004E465B"/>
    <w:rsid w:val="004E4793"/>
    <w:rsid w:val="004E483F"/>
    <w:rsid w:val="004E48AA"/>
    <w:rsid w:val="004E4BA9"/>
    <w:rsid w:val="004E4CCD"/>
    <w:rsid w:val="004E4D22"/>
    <w:rsid w:val="004E4ED1"/>
    <w:rsid w:val="004E50BF"/>
    <w:rsid w:val="004E5675"/>
    <w:rsid w:val="004E5830"/>
    <w:rsid w:val="004E5A65"/>
    <w:rsid w:val="004E5A7B"/>
    <w:rsid w:val="004E5ADA"/>
    <w:rsid w:val="004E5C31"/>
    <w:rsid w:val="004E5CC4"/>
    <w:rsid w:val="004E5D66"/>
    <w:rsid w:val="004E5ECD"/>
    <w:rsid w:val="004E5FD5"/>
    <w:rsid w:val="004E6046"/>
    <w:rsid w:val="004E60F4"/>
    <w:rsid w:val="004E6599"/>
    <w:rsid w:val="004E6895"/>
    <w:rsid w:val="004E6BA2"/>
    <w:rsid w:val="004E6BD7"/>
    <w:rsid w:val="004E6BDE"/>
    <w:rsid w:val="004E6CDF"/>
    <w:rsid w:val="004E6DD9"/>
    <w:rsid w:val="004E6E28"/>
    <w:rsid w:val="004E6EDB"/>
    <w:rsid w:val="004E6FC2"/>
    <w:rsid w:val="004E70A1"/>
    <w:rsid w:val="004E731B"/>
    <w:rsid w:val="004E736D"/>
    <w:rsid w:val="004E7403"/>
    <w:rsid w:val="004E748A"/>
    <w:rsid w:val="004E74A6"/>
    <w:rsid w:val="004E758C"/>
    <w:rsid w:val="004E7667"/>
    <w:rsid w:val="004E778B"/>
    <w:rsid w:val="004E77CA"/>
    <w:rsid w:val="004E77F0"/>
    <w:rsid w:val="004E7815"/>
    <w:rsid w:val="004E78B5"/>
    <w:rsid w:val="004E7973"/>
    <w:rsid w:val="004E798F"/>
    <w:rsid w:val="004E79E6"/>
    <w:rsid w:val="004E7A27"/>
    <w:rsid w:val="004E7B27"/>
    <w:rsid w:val="004E7B53"/>
    <w:rsid w:val="004E7C7C"/>
    <w:rsid w:val="004E7E74"/>
    <w:rsid w:val="004EAC10"/>
    <w:rsid w:val="004F0005"/>
    <w:rsid w:val="004F01A3"/>
    <w:rsid w:val="004F02FD"/>
    <w:rsid w:val="004F0398"/>
    <w:rsid w:val="004F03F3"/>
    <w:rsid w:val="004F04E5"/>
    <w:rsid w:val="004F051B"/>
    <w:rsid w:val="004F054D"/>
    <w:rsid w:val="004F067E"/>
    <w:rsid w:val="004F0786"/>
    <w:rsid w:val="004F0A77"/>
    <w:rsid w:val="004F0CA7"/>
    <w:rsid w:val="004F0E9E"/>
    <w:rsid w:val="004F0FB3"/>
    <w:rsid w:val="004F113E"/>
    <w:rsid w:val="004F127B"/>
    <w:rsid w:val="004F1361"/>
    <w:rsid w:val="004F1369"/>
    <w:rsid w:val="004F1616"/>
    <w:rsid w:val="004F1646"/>
    <w:rsid w:val="004F16C8"/>
    <w:rsid w:val="004F1819"/>
    <w:rsid w:val="004F1BDD"/>
    <w:rsid w:val="004F1C43"/>
    <w:rsid w:val="004F1CB2"/>
    <w:rsid w:val="004F1E1C"/>
    <w:rsid w:val="004F2004"/>
    <w:rsid w:val="004F22C6"/>
    <w:rsid w:val="004F22E4"/>
    <w:rsid w:val="004F23FF"/>
    <w:rsid w:val="004F2422"/>
    <w:rsid w:val="004F2439"/>
    <w:rsid w:val="004F245E"/>
    <w:rsid w:val="004F2815"/>
    <w:rsid w:val="004F2857"/>
    <w:rsid w:val="004F28E3"/>
    <w:rsid w:val="004F2B0B"/>
    <w:rsid w:val="004F2B51"/>
    <w:rsid w:val="004F332E"/>
    <w:rsid w:val="004F344E"/>
    <w:rsid w:val="004F34AE"/>
    <w:rsid w:val="004F3727"/>
    <w:rsid w:val="004F3A81"/>
    <w:rsid w:val="004F3B26"/>
    <w:rsid w:val="004F3BA2"/>
    <w:rsid w:val="004F3D8C"/>
    <w:rsid w:val="004F3F67"/>
    <w:rsid w:val="004F3F8A"/>
    <w:rsid w:val="004F3FBE"/>
    <w:rsid w:val="004F4162"/>
    <w:rsid w:val="004F41F7"/>
    <w:rsid w:val="004F45F7"/>
    <w:rsid w:val="004F463A"/>
    <w:rsid w:val="004F4672"/>
    <w:rsid w:val="004F48C7"/>
    <w:rsid w:val="004F4BAB"/>
    <w:rsid w:val="004F4CBC"/>
    <w:rsid w:val="004F4E52"/>
    <w:rsid w:val="004F51ED"/>
    <w:rsid w:val="004F528C"/>
    <w:rsid w:val="004F52DF"/>
    <w:rsid w:val="004F52E4"/>
    <w:rsid w:val="004F5388"/>
    <w:rsid w:val="004F5530"/>
    <w:rsid w:val="004F55A9"/>
    <w:rsid w:val="004F5AB3"/>
    <w:rsid w:val="004F5B0E"/>
    <w:rsid w:val="004F5B7A"/>
    <w:rsid w:val="004F5F31"/>
    <w:rsid w:val="004F6083"/>
    <w:rsid w:val="004F65E9"/>
    <w:rsid w:val="004F6608"/>
    <w:rsid w:val="004F6688"/>
    <w:rsid w:val="004F670B"/>
    <w:rsid w:val="004F67E3"/>
    <w:rsid w:val="004F67E6"/>
    <w:rsid w:val="004F682E"/>
    <w:rsid w:val="004F6853"/>
    <w:rsid w:val="004F68B4"/>
    <w:rsid w:val="004F6A88"/>
    <w:rsid w:val="004F6B70"/>
    <w:rsid w:val="004F6B8D"/>
    <w:rsid w:val="004F6CBB"/>
    <w:rsid w:val="004F6CE4"/>
    <w:rsid w:val="004F6D45"/>
    <w:rsid w:val="004F6DFA"/>
    <w:rsid w:val="004F6EBB"/>
    <w:rsid w:val="004F6F26"/>
    <w:rsid w:val="004F6F56"/>
    <w:rsid w:val="004F6F6E"/>
    <w:rsid w:val="004F71BC"/>
    <w:rsid w:val="004F72DA"/>
    <w:rsid w:val="004F7383"/>
    <w:rsid w:val="004F74CE"/>
    <w:rsid w:val="004F7A9F"/>
    <w:rsid w:val="004F7B4C"/>
    <w:rsid w:val="004F7BAE"/>
    <w:rsid w:val="004F7D03"/>
    <w:rsid w:val="004F7D64"/>
    <w:rsid w:val="004F7EB4"/>
    <w:rsid w:val="004FC50D"/>
    <w:rsid w:val="0050054A"/>
    <w:rsid w:val="005005C6"/>
    <w:rsid w:val="005006BA"/>
    <w:rsid w:val="00500918"/>
    <w:rsid w:val="005009BB"/>
    <w:rsid w:val="00500B34"/>
    <w:rsid w:val="00500C6B"/>
    <w:rsid w:val="00500CBB"/>
    <w:rsid w:val="00500ECE"/>
    <w:rsid w:val="0050105E"/>
    <w:rsid w:val="00501397"/>
    <w:rsid w:val="0050157C"/>
    <w:rsid w:val="0050169A"/>
    <w:rsid w:val="005017EC"/>
    <w:rsid w:val="00501874"/>
    <w:rsid w:val="00501967"/>
    <w:rsid w:val="00501A93"/>
    <w:rsid w:val="00501B2B"/>
    <w:rsid w:val="00501F76"/>
    <w:rsid w:val="005020C9"/>
    <w:rsid w:val="0050214D"/>
    <w:rsid w:val="005021BD"/>
    <w:rsid w:val="00502213"/>
    <w:rsid w:val="005022A3"/>
    <w:rsid w:val="0050238A"/>
    <w:rsid w:val="005023EB"/>
    <w:rsid w:val="005026C3"/>
    <w:rsid w:val="005026D2"/>
    <w:rsid w:val="00502746"/>
    <w:rsid w:val="005027B2"/>
    <w:rsid w:val="005029AF"/>
    <w:rsid w:val="005029C1"/>
    <w:rsid w:val="00502AFA"/>
    <w:rsid w:val="00502BAB"/>
    <w:rsid w:val="00502BB6"/>
    <w:rsid w:val="00502C48"/>
    <w:rsid w:val="00502FE0"/>
    <w:rsid w:val="005030B1"/>
    <w:rsid w:val="005030B5"/>
    <w:rsid w:val="0050310A"/>
    <w:rsid w:val="0050325D"/>
    <w:rsid w:val="0050325F"/>
    <w:rsid w:val="00503421"/>
    <w:rsid w:val="00503610"/>
    <w:rsid w:val="00503A88"/>
    <w:rsid w:val="00503B02"/>
    <w:rsid w:val="00503B21"/>
    <w:rsid w:val="00503D33"/>
    <w:rsid w:val="00503D5A"/>
    <w:rsid w:val="00503F05"/>
    <w:rsid w:val="00504037"/>
    <w:rsid w:val="0050409C"/>
    <w:rsid w:val="005040D3"/>
    <w:rsid w:val="005043D8"/>
    <w:rsid w:val="00504506"/>
    <w:rsid w:val="0050472A"/>
    <w:rsid w:val="005047D7"/>
    <w:rsid w:val="00504BA5"/>
    <w:rsid w:val="00504FB6"/>
    <w:rsid w:val="0050502D"/>
    <w:rsid w:val="00505033"/>
    <w:rsid w:val="00505105"/>
    <w:rsid w:val="005056CF"/>
    <w:rsid w:val="005057A3"/>
    <w:rsid w:val="00505873"/>
    <w:rsid w:val="00505892"/>
    <w:rsid w:val="00505A47"/>
    <w:rsid w:val="00505B3F"/>
    <w:rsid w:val="00505D06"/>
    <w:rsid w:val="00505E4F"/>
    <w:rsid w:val="00505F3B"/>
    <w:rsid w:val="0050626E"/>
    <w:rsid w:val="0050634A"/>
    <w:rsid w:val="00506358"/>
    <w:rsid w:val="00506532"/>
    <w:rsid w:val="005066D6"/>
    <w:rsid w:val="005067D3"/>
    <w:rsid w:val="00506818"/>
    <w:rsid w:val="00506954"/>
    <w:rsid w:val="00506B38"/>
    <w:rsid w:val="00506C60"/>
    <w:rsid w:val="00506D75"/>
    <w:rsid w:val="00506F39"/>
    <w:rsid w:val="00507028"/>
    <w:rsid w:val="00507044"/>
    <w:rsid w:val="00507501"/>
    <w:rsid w:val="0050775B"/>
    <w:rsid w:val="005077CC"/>
    <w:rsid w:val="0050784D"/>
    <w:rsid w:val="00507905"/>
    <w:rsid w:val="00507966"/>
    <w:rsid w:val="00507A21"/>
    <w:rsid w:val="00507AEE"/>
    <w:rsid w:val="00507B7B"/>
    <w:rsid w:val="00507DFC"/>
    <w:rsid w:val="00507F8E"/>
    <w:rsid w:val="00507F97"/>
    <w:rsid w:val="00508245"/>
    <w:rsid w:val="005100E0"/>
    <w:rsid w:val="0051026D"/>
    <w:rsid w:val="005105BD"/>
    <w:rsid w:val="005105DA"/>
    <w:rsid w:val="0051066E"/>
    <w:rsid w:val="0051076C"/>
    <w:rsid w:val="005108BA"/>
    <w:rsid w:val="00510947"/>
    <w:rsid w:val="0051099C"/>
    <w:rsid w:val="005109C9"/>
    <w:rsid w:val="00510AB5"/>
    <w:rsid w:val="00510DD1"/>
    <w:rsid w:val="00510E09"/>
    <w:rsid w:val="00510E8B"/>
    <w:rsid w:val="00510E9B"/>
    <w:rsid w:val="00510EB1"/>
    <w:rsid w:val="00510EB3"/>
    <w:rsid w:val="00510ED3"/>
    <w:rsid w:val="00510F39"/>
    <w:rsid w:val="00510F55"/>
    <w:rsid w:val="0051113D"/>
    <w:rsid w:val="00511421"/>
    <w:rsid w:val="005114CE"/>
    <w:rsid w:val="0051166C"/>
    <w:rsid w:val="00511735"/>
    <w:rsid w:val="0051178B"/>
    <w:rsid w:val="0051184F"/>
    <w:rsid w:val="00511A3F"/>
    <w:rsid w:val="00511A59"/>
    <w:rsid w:val="00511BA2"/>
    <w:rsid w:val="00511C17"/>
    <w:rsid w:val="00511C51"/>
    <w:rsid w:val="00511CA3"/>
    <w:rsid w:val="00511DD3"/>
    <w:rsid w:val="00511EBE"/>
    <w:rsid w:val="00511F5E"/>
    <w:rsid w:val="005120A8"/>
    <w:rsid w:val="00512273"/>
    <w:rsid w:val="00512479"/>
    <w:rsid w:val="005125CA"/>
    <w:rsid w:val="00512627"/>
    <w:rsid w:val="00512781"/>
    <w:rsid w:val="00512858"/>
    <w:rsid w:val="005128B9"/>
    <w:rsid w:val="005128DE"/>
    <w:rsid w:val="005128E7"/>
    <w:rsid w:val="005128F1"/>
    <w:rsid w:val="00512AF6"/>
    <w:rsid w:val="00512B8B"/>
    <w:rsid w:val="0051301B"/>
    <w:rsid w:val="00513028"/>
    <w:rsid w:val="00513246"/>
    <w:rsid w:val="00513300"/>
    <w:rsid w:val="00513402"/>
    <w:rsid w:val="0051393C"/>
    <w:rsid w:val="00513985"/>
    <w:rsid w:val="00513A87"/>
    <w:rsid w:val="00513B37"/>
    <w:rsid w:val="00513D22"/>
    <w:rsid w:val="00513DD3"/>
    <w:rsid w:val="00513DF7"/>
    <w:rsid w:val="00513EEE"/>
    <w:rsid w:val="00513EFF"/>
    <w:rsid w:val="00513FAE"/>
    <w:rsid w:val="00513FF2"/>
    <w:rsid w:val="0051408B"/>
    <w:rsid w:val="0051422D"/>
    <w:rsid w:val="005142E1"/>
    <w:rsid w:val="00514334"/>
    <w:rsid w:val="00514430"/>
    <w:rsid w:val="00514541"/>
    <w:rsid w:val="00514724"/>
    <w:rsid w:val="00514D22"/>
    <w:rsid w:val="00514E9C"/>
    <w:rsid w:val="00515015"/>
    <w:rsid w:val="005150AC"/>
    <w:rsid w:val="00515165"/>
    <w:rsid w:val="005151F8"/>
    <w:rsid w:val="00515262"/>
    <w:rsid w:val="005152AF"/>
    <w:rsid w:val="0051532D"/>
    <w:rsid w:val="00515411"/>
    <w:rsid w:val="0051550F"/>
    <w:rsid w:val="005157E0"/>
    <w:rsid w:val="00515A9E"/>
    <w:rsid w:val="00515B6E"/>
    <w:rsid w:val="00515BC2"/>
    <w:rsid w:val="00515BC7"/>
    <w:rsid w:val="00515BE5"/>
    <w:rsid w:val="0051600B"/>
    <w:rsid w:val="005163E4"/>
    <w:rsid w:val="00516638"/>
    <w:rsid w:val="00516676"/>
    <w:rsid w:val="005166BA"/>
    <w:rsid w:val="00516CDE"/>
    <w:rsid w:val="00516D5A"/>
    <w:rsid w:val="00517130"/>
    <w:rsid w:val="00517156"/>
    <w:rsid w:val="0051717A"/>
    <w:rsid w:val="005172CF"/>
    <w:rsid w:val="005173B8"/>
    <w:rsid w:val="00517530"/>
    <w:rsid w:val="0051758F"/>
    <w:rsid w:val="00517654"/>
    <w:rsid w:val="005177C9"/>
    <w:rsid w:val="00517A2B"/>
    <w:rsid w:val="00517A68"/>
    <w:rsid w:val="00517B57"/>
    <w:rsid w:val="00517CEA"/>
    <w:rsid w:val="00517DE3"/>
    <w:rsid w:val="00517E2D"/>
    <w:rsid w:val="00517EBA"/>
    <w:rsid w:val="00517F99"/>
    <w:rsid w:val="005200C5"/>
    <w:rsid w:val="0052019D"/>
    <w:rsid w:val="0052026F"/>
    <w:rsid w:val="00520304"/>
    <w:rsid w:val="0052035F"/>
    <w:rsid w:val="00520782"/>
    <w:rsid w:val="005208B7"/>
    <w:rsid w:val="00520997"/>
    <w:rsid w:val="00520BDC"/>
    <w:rsid w:val="00520C4A"/>
    <w:rsid w:val="00520F71"/>
    <w:rsid w:val="00520F84"/>
    <w:rsid w:val="00520FD4"/>
    <w:rsid w:val="005210AA"/>
    <w:rsid w:val="00521120"/>
    <w:rsid w:val="00521132"/>
    <w:rsid w:val="00521280"/>
    <w:rsid w:val="005217ED"/>
    <w:rsid w:val="00521B39"/>
    <w:rsid w:val="00521E9C"/>
    <w:rsid w:val="00521F75"/>
    <w:rsid w:val="00522004"/>
    <w:rsid w:val="0052222D"/>
    <w:rsid w:val="005222D5"/>
    <w:rsid w:val="0052234B"/>
    <w:rsid w:val="005223CA"/>
    <w:rsid w:val="00522863"/>
    <w:rsid w:val="005229A1"/>
    <w:rsid w:val="00522D70"/>
    <w:rsid w:val="00522F03"/>
    <w:rsid w:val="0052301A"/>
    <w:rsid w:val="0052345A"/>
    <w:rsid w:val="00523560"/>
    <w:rsid w:val="00523778"/>
    <w:rsid w:val="0052383B"/>
    <w:rsid w:val="00523915"/>
    <w:rsid w:val="00523A30"/>
    <w:rsid w:val="00523AC9"/>
    <w:rsid w:val="00523ACA"/>
    <w:rsid w:val="00523B0F"/>
    <w:rsid w:val="00523B25"/>
    <w:rsid w:val="00523B40"/>
    <w:rsid w:val="00523B66"/>
    <w:rsid w:val="00523BA0"/>
    <w:rsid w:val="00523CA8"/>
    <w:rsid w:val="00523D09"/>
    <w:rsid w:val="00523E01"/>
    <w:rsid w:val="00523E69"/>
    <w:rsid w:val="00523E8F"/>
    <w:rsid w:val="00523EE3"/>
    <w:rsid w:val="00523F14"/>
    <w:rsid w:val="00524003"/>
    <w:rsid w:val="005241A8"/>
    <w:rsid w:val="005243E8"/>
    <w:rsid w:val="005245A5"/>
    <w:rsid w:val="0052476B"/>
    <w:rsid w:val="0052476C"/>
    <w:rsid w:val="005248CD"/>
    <w:rsid w:val="00524A0D"/>
    <w:rsid w:val="00524C3D"/>
    <w:rsid w:val="00524EFB"/>
    <w:rsid w:val="00524F33"/>
    <w:rsid w:val="00524FD6"/>
    <w:rsid w:val="00525059"/>
    <w:rsid w:val="0052509F"/>
    <w:rsid w:val="005251C5"/>
    <w:rsid w:val="005251F4"/>
    <w:rsid w:val="00525264"/>
    <w:rsid w:val="00525344"/>
    <w:rsid w:val="005254C7"/>
    <w:rsid w:val="00525680"/>
    <w:rsid w:val="00525739"/>
    <w:rsid w:val="00525764"/>
    <w:rsid w:val="00525A7D"/>
    <w:rsid w:val="00525B2A"/>
    <w:rsid w:val="00525B89"/>
    <w:rsid w:val="00525B9E"/>
    <w:rsid w:val="00525C12"/>
    <w:rsid w:val="00525D2C"/>
    <w:rsid w:val="00525DBF"/>
    <w:rsid w:val="00526271"/>
    <w:rsid w:val="005262C6"/>
    <w:rsid w:val="0052654F"/>
    <w:rsid w:val="005265C1"/>
    <w:rsid w:val="005265EB"/>
    <w:rsid w:val="00526664"/>
    <w:rsid w:val="005266A4"/>
    <w:rsid w:val="005266C0"/>
    <w:rsid w:val="00526750"/>
    <w:rsid w:val="005269A1"/>
    <w:rsid w:val="00526BA6"/>
    <w:rsid w:val="00526C39"/>
    <w:rsid w:val="00526FB4"/>
    <w:rsid w:val="00526FBB"/>
    <w:rsid w:val="00527038"/>
    <w:rsid w:val="0052706E"/>
    <w:rsid w:val="005271AC"/>
    <w:rsid w:val="005272D2"/>
    <w:rsid w:val="0052739C"/>
    <w:rsid w:val="00527498"/>
    <w:rsid w:val="005276BD"/>
    <w:rsid w:val="0052770E"/>
    <w:rsid w:val="0052773A"/>
    <w:rsid w:val="005278AB"/>
    <w:rsid w:val="00527A1B"/>
    <w:rsid w:val="00527ADC"/>
    <w:rsid w:val="00527B2F"/>
    <w:rsid w:val="00527B5C"/>
    <w:rsid w:val="00527FDA"/>
    <w:rsid w:val="0053011F"/>
    <w:rsid w:val="00530148"/>
    <w:rsid w:val="005302F0"/>
    <w:rsid w:val="005304DC"/>
    <w:rsid w:val="0053070D"/>
    <w:rsid w:val="00530762"/>
    <w:rsid w:val="005307E6"/>
    <w:rsid w:val="0053082A"/>
    <w:rsid w:val="0053094C"/>
    <w:rsid w:val="00530B19"/>
    <w:rsid w:val="00530BA8"/>
    <w:rsid w:val="00530BE2"/>
    <w:rsid w:val="00530D13"/>
    <w:rsid w:val="00530EF0"/>
    <w:rsid w:val="00530F66"/>
    <w:rsid w:val="005310D1"/>
    <w:rsid w:val="005310E0"/>
    <w:rsid w:val="0053110D"/>
    <w:rsid w:val="0053114D"/>
    <w:rsid w:val="00531235"/>
    <w:rsid w:val="0053128A"/>
    <w:rsid w:val="005313A7"/>
    <w:rsid w:val="005313B4"/>
    <w:rsid w:val="0053178E"/>
    <w:rsid w:val="00531795"/>
    <w:rsid w:val="00531929"/>
    <w:rsid w:val="00531960"/>
    <w:rsid w:val="00531B69"/>
    <w:rsid w:val="00531BE4"/>
    <w:rsid w:val="00531C6F"/>
    <w:rsid w:val="00531E56"/>
    <w:rsid w:val="00531EF3"/>
    <w:rsid w:val="00531FA6"/>
    <w:rsid w:val="00531FD2"/>
    <w:rsid w:val="005320F7"/>
    <w:rsid w:val="00532328"/>
    <w:rsid w:val="00532360"/>
    <w:rsid w:val="005325ED"/>
    <w:rsid w:val="00532649"/>
    <w:rsid w:val="0053274D"/>
    <w:rsid w:val="005327B9"/>
    <w:rsid w:val="005327E6"/>
    <w:rsid w:val="0053287F"/>
    <w:rsid w:val="00532A49"/>
    <w:rsid w:val="00532B63"/>
    <w:rsid w:val="00532ECE"/>
    <w:rsid w:val="0053329A"/>
    <w:rsid w:val="005333C9"/>
    <w:rsid w:val="0053346D"/>
    <w:rsid w:val="00533479"/>
    <w:rsid w:val="0053356D"/>
    <w:rsid w:val="005338C2"/>
    <w:rsid w:val="00533AE6"/>
    <w:rsid w:val="00533AFA"/>
    <w:rsid w:val="00533C8E"/>
    <w:rsid w:val="00533DCA"/>
    <w:rsid w:val="00533E63"/>
    <w:rsid w:val="00533F22"/>
    <w:rsid w:val="00533F37"/>
    <w:rsid w:val="00533F48"/>
    <w:rsid w:val="00534055"/>
    <w:rsid w:val="00534272"/>
    <w:rsid w:val="0053436B"/>
    <w:rsid w:val="005343AB"/>
    <w:rsid w:val="0053444E"/>
    <w:rsid w:val="0053473E"/>
    <w:rsid w:val="00534991"/>
    <w:rsid w:val="00534DA9"/>
    <w:rsid w:val="00535010"/>
    <w:rsid w:val="00535175"/>
    <w:rsid w:val="0053532E"/>
    <w:rsid w:val="0053537E"/>
    <w:rsid w:val="005353D4"/>
    <w:rsid w:val="00535437"/>
    <w:rsid w:val="0053545E"/>
    <w:rsid w:val="00535631"/>
    <w:rsid w:val="0053582C"/>
    <w:rsid w:val="005359C2"/>
    <w:rsid w:val="00535AF6"/>
    <w:rsid w:val="00535B2F"/>
    <w:rsid w:val="00535D1D"/>
    <w:rsid w:val="00535E13"/>
    <w:rsid w:val="00535E25"/>
    <w:rsid w:val="00535EC5"/>
    <w:rsid w:val="00535FD6"/>
    <w:rsid w:val="00536076"/>
    <w:rsid w:val="005362AA"/>
    <w:rsid w:val="0053640C"/>
    <w:rsid w:val="0053658A"/>
    <w:rsid w:val="0053670B"/>
    <w:rsid w:val="005367BD"/>
    <w:rsid w:val="00536838"/>
    <w:rsid w:val="00536BD1"/>
    <w:rsid w:val="00536D36"/>
    <w:rsid w:val="00536DEC"/>
    <w:rsid w:val="00536FF0"/>
    <w:rsid w:val="0053703D"/>
    <w:rsid w:val="00537096"/>
    <w:rsid w:val="005370D3"/>
    <w:rsid w:val="0053734D"/>
    <w:rsid w:val="005373AE"/>
    <w:rsid w:val="00537446"/>
    <w:rsid w:val="0053760C"/>
    <w:rsid w:val="00537695"/>
    <w:rsid w:val="005379FC"/>
    <w:rsid w:val="00537A77"/>
    <w:rsid w:val="00537C89"/>
    <w:rsid w:val="00537CBD"/>
    <w:rsid w:val="0054015E"/>
    <w:rsid w:val="00540636"/>
    <w:rsid w:val="005406B1"/>
    <w:rsid w:val="005407E3"/>
    <w:rsid w:val="0054083A"/>
    <w:rsid w:val="00540A2B"/>
    <w:rsid w:val="00540B27"/>
    <w:rsid w:val="00540BE3"/>
    <w:rsid w:val="00540E1A"/>
    <w:rsid w:val="00540F2F"/>
    <w:rsid w:val="00540FE8"/>
    <w:rsid w:val="00540FEA"/>
    <w:rsid w:val="00540FFC"/>
    <w:rsid w:val="005410B3"/>
    <w:rsid w:val="00541135"/>
    <w:rsid w:val="00541204"/>
    <w:rsid w:val="005417B8"/>
    <w:rsid w:val="00541809"/>
    <w:rsid w:val="00541824"/>
    <w:rsid w:val="0054187F"/>
    <w:rsid w:val="005419EE"/>
    <w:rsid w:val="00541A35"/>
    <w:rsid w:val="00541A9B"/>
    <w:rsid w:val="00541B2D"/>
    <w:rsid w:val="00541E34"/>
    <w:rsid w:val="00541E52"/>
    <w:rsid w:val="00541F7B"/>
    <w:rsid w:val="005421EA"/>
    <w:rsid w:val="00542301"/>
    <w:rsid w:val="005423ED"/>
    <w:rsid w:val="005423F5"/>
    <w:rsid w:val="00542524"/>
    <w:rsid w:val="00542768"/>
    <w:rsid w:val="005427A5"/>
    <w:rsid w:val="005427C1"/>
    <w:rsid w:val="0054288D"/>
    <w:rsid w:val="005428E8"/>
    <w:rsid w:val="00542C7F"/>
    <w:rsid w:val="00542E6E"/>
    <w:rsid w:val="00543001"/>
    <w:rsid w:val="00543087"/>
    <w:rsid w:val="005430E2"/>
    <w:rsid w:val="00543209"/>
    <w:rsid w:val="005432DC"/>
    <w:rsid w:val="0054330A"/>
    <w:rsid w:val="00543493"/>
    <w:rsid w:val="00543704"/>
    <w:rsid w:val="005437AE"/>
    <w:rsid w:val="00543806"/>
    <w:rsid w:val="0054394A"/>
    <w:rsid w:val="00543B9A"/>
    <w:rsid w:val="00543D05"/>
    <w:rsid w:val="00543D7D"/>
    <w:rsid w:val="00543DF9"/>
    <w:rsid w:val="00543EBD"/>
    <w:rsid w:val="00544033"/>
    <w:rsid w:val="005441AD"/>
    <w:rsid w:val="0054441F"/>
    <w:rsid w:val="0054448A"/>
    <w:rsid w:val="005448C6"/>
    <w:rsid w:val="00544B1C"/>
    <w:rsid w:val="00544BB4"/>
    <w:rsid w:val="00544D0B"/>
    <w:rsid w:val="00544D4E"/>
    <w:rsid w:val="00544D6E"/>
    <w:rsid w:val="00544D97"/>
    <w:rsid w:val="00544DF8"/>
    <w:rsid w:val="00544E4F"/>
    <w:rsid w:val="00544EF0"/>
    <w:rsid w:val="00544F71"/>
    <w:rsid w:val="00545022"/>
    <w:rsid w:val="005450D2"/>
    <w:rsid w:val="0054546F"/>
    <w:rsid w:val="005454FC"/>
    <w:rsid w:val="0054557A"/>
    <w:rsid w:val="00545959"/>
    <w:rsid w:val="00545A88"/>
    <w:rsid w:val="00545D7C"/>
    <w:rsid w:val="00545F0D"/>
    <w:rsid w:val="00545FDE"/>
    <w:rsid w:val="005461D8"/>
    <w:rsid w:val="00546234"/>
    <w:rsid w:val="005462B5"/>
    <w:rsid w:val="005462D5"/>
    <w:rsid w:val="005463BA"/>
    <w:rsid w:val="00546438"/>
    <w:rsid w:val="0054660A"/>
    <w:rsid w:val="005468E3"/>
    <w:rsid w:val="00546BB4"/>
    <w:rsid w:val="00546BCC"/>
    <w:rsid w:val="00546C91"/>
    <w:rsid w:val="00546CF1"/>
    <w:rsid w:val="00546D16"/>
    <w:rsid w:val="00546E8D"/>
    <w:rsid w:val="00546F69"/>
    <w:rsid w:val="00546FD9"/>
    <w:rsid w:val="005471ED"/>
    <w:rsid w:val="00547402"/>
    <w:rsid w:val="005474B3"/>
    <w:rsid w:val="0054784D"/>
    <w:rsid w:val="005479D1"/>
    <w:rsid w:val="00547C49"/>
    <w:rsid w:val="00547D5D"/>
    <w:rsid w:val="00547D6D"/>
    <w:rsid w:val="00547F6E"/>
    <w:rsid w:val="0055004C"/>
    <w:rsid w:val="005501E1"/>
    <w:rsid w:val="005504CD"/>
    <w:rsid w:val="00550719"/>
    <w:rsid w:val="005507EE"/>
    <w:rsid w:val="005509D7"/>
    <w:rsid w:val="00550A74"/>
    <w:rsid w:val="00550CDB"/>
    <w:rsid w:val="00550DB9"/>
    <w:rsid w:val="00550E70"/>
    <w:rsid w:val="00550EDC"/>
    <w:rsid w:val="00550FFA"/>
    <w:rsid w:val="00551169"/>
    <w:rsid w:val="0055117F"/>
    <w:rsid w:val="005513CF"/>
    <w:rsid w:val="00551456"/>
    <w:rsid w:val="005514A9"/>
    <w:rsid w:val="005515EF"/>
    <w:rsid w:val="005516A4"/>
    <w:rsid w:val="0055174E"/>
    <w:rsid w:val="00551769"/>
    <w:rsid w:val="005518F5"/>
    <w:rsid w:val="00551996"/>
    <w:rsid w:val="00551AF0"/>
    <w:rsid w:val="00551B08"/>
    <w:rsid w:val="00551D9B"/>
    <w:rsid w:val="00551E51"/>
    <w:rsid w:val="00552058"/>
    <w:rsid w:val="005520BC"/>
    <w:rsid w:val="005526FB"/>
    <w:rsid w:val="005527F0"/>
    <w:rsid w:val="005528E3"/>
    <w:rsid w:val="00552B09"/>
    <w:rsid w:val="00552BB7"/>
    <w:rsid w:val="00552C1F"/>
    <w:rsid w:val="00552E90"/>
    <w:rsid w:val="005531B1"/>
    <w:rsid w:val="005531FB"/>
    <w:rsid w:val="00553200"/>
    <w:rsid w:val="0055339F"/>
    <w:rsid w:val="005533AB"/>
    <w:rsid w:val="005535B2"/>
    <w:rsid w:val="005535B5"/>
    <w:rsid w:val="005535E7"/>
    <w:rsid w:val="00553812"/>
    <w:rsid w:val="00553A4B"/>
    <w:rsid w:val="00553CE6"/>
    <w:rsid w:val="00553DC8"/>
    <w:rsid w:val="00553DD0"/>
    <w:rsid w:val="00553E3D"/>
    <w:rsid w:val="0055401F"/>
    <w:rsid w:val="0055411D"/>
    <w:rsid w:val="00554135"/>
    <w:rsid w:val="00554221"/>
    <w:rsid w:val="005542F9"/>
    <w:rsid w:val="005543D1"/>
    <w:rsid w:val="00554608"/>
    <w:rsid w:val="00554957"/>
    <w:rsid w:val="00554A12"/>
    <w:rsid w:val="00554A18"/>
    <w:rsid w:val="00554E2B"/>
    <w:rsid w:val="00554EA2"/>
    <w:rsid w:val="00554F56"/>
    <w:rsid w:val="00554F77"/>
    <w:rsid w:val="00554FB2"/>
    <w:rsid w:val="00555029"/>
    <w:rsid w:val="005551A2"/>
    <w:rsid w:val="00555230"/>
    <w:rsid w:val="005553AA"/>
    <w:rsid w:val="00555694"/>
    <w:rsid w:val="00555749"/>
    <w:rsid w:val="00555754"/>
    <w:rsid w:val="00555912"/>
    <w:rsid w:val="00555939"/>
    <w:rsid w:val="00555B6E"/>
    <w:rsid w:val="00555BA3"/>
    <w:rsid w:val="00555BD6"/>
    <w:rsid w:val="00555BDA"/>
    <w:rsid w:val="00555CBA"/>
    <w:rsid w:val="00556110"/>
    <w:rsid w:val="0055623B"/>
    <w:rsid w:val="00556489"/>
    <w:rsid w:val="005564A0"/>
    <w:rsid w:val="005564C9"/>
    <w:rsid w:val="0055659B"/>
    <w:rsid w:val="005567D1"/>
    <w:rsid w:val="00556CA4"/>
    <w:rsid w:val="00556EBA"/>
    <w:rsid w:val="00556F0E"/>
    <w:rsid w:val="0055713D"/>
    <w:rsid w:val="005571E5"/>
    <w:rsid w:val="00557223"/>
    <w:rsid w:val="0055722C"/>
    <w:rsid w:val="005572FE"/>
    <w:rsid w:val="005576E1"/>
    <w:rsid w:val="00557735"/>
    <w:rsid w:val="00557CF6"/>
    <w:rsid w:val="005601B8"/>
    <w:rsid w:val="005601D5"/>
    <w:rsid w:val="0056027B"/>
    <w:rsid w:val="00560296"/>
    <w:rsid w:val="005602D3"/>
    <w:rsid w:val="005602F6"/>
    <w:rsid w:val="0056034D"/>
    <w:rsid w:val="00560355"/>
    <w:rsid w:val="0056036C"/>
    <w:rsid w:val="00560379"/>
    <w:rsid w:val="00560392"/>
    <w:rsid w:val="00560494"/>
    <w:rsid w:val="0056053D"/>
    <w:rsid w:val="00560711"/>
    <w:rsid w:val="00560732"/>
    <w:rsid w:val="00560899"/>
    <w:rsid w:val="00560ACA"/>
    <w:rsid w:val="00560B95"/>
    <w:rsid w:val="00560B96"/>
    <w:rsid w:val="00560C08"/>
    <w:rsid w:val="00560CB3"/>
    <w:rsid w:val="00560E1E"/>
    <w:rsid w:val="00561099"/>
    <w:rsid w:val="00561438"/>
    <w:rsid w:val="005614CF"/>
    <w:rsid w:val="005614D7"/>
    <w:rsid w:val="00561544"/>
    <w:rsid w:val="00561791"/>
    <w:rsid w:val="00561B79"/>
    <w:rsid w:val="00561BAB"/>
    <w:rsid w:val="00561BED"/>
    <w:rsid w:val="00561EC2"/>
    <w:rsid w:val="00561FD8"/>
    <w:rsid w:val="00561FDE"/>
    <w:rsid w:val="005620CB"/>
    <w:rsid w:val="0056239B"/>
    <w:rsid w:val="005623AA"/>
    <w:rsid w:val="005623F0"/>
    <w:rsid w:val="005624D1"/>
    <w:rsid w:val="00562511"/>
    <w:rsid w:val="0056276E"/>
    <w:rsid w:val="00562927"/>
    <w:rsid w:val="00562978"/>
    <w:rsid w:val="00562C57"/>
    <w:rsid w:val="00562D2E"/>
    <w:rsid w:val="00562E24"/>
    <w:rsid w:val="005632CF"/>
    <w:rsid w:val="0056353E"/>
    <w:rsid w:val="00563B17"/>
    <w:rsid w:val="00563C45"/>
    <w:rsid w:val="00563DDF"/>
    <w:rsid w:val="00563ED8"/>
    <w:rsid w:val="00563F0E"/>
    <w:rsid w:val="00564051"/>
    <w:rsid w:val="0056405E"/>
    <w:rsid w:val="00564068"/>
    <w:rsid w:val="0056410B"/>
    <w:rsid w:val="00564154"/>
    <w:rsid w:val="005641B6"/>
    <w:rsid w:val="00564275"/>
    <w:rsid w:val="0056428F"/>
    <w:rsid w:val="0056455D"/>
    <w:rsid w:val="00564630"/>
    <w:rsid w:val="0056463E"/>
    <w:rsid w:val="005646B9"/>
    <w:rsid w:val="005646C1"/>
    <w:rsid w:val="00564AA6"/>
    <w:rsid w:val="00564D4B"/>
    <w:rsid w:val="0056502F"/>
    <w:rsid w:val="00565168"/>
    <w:rsid w:val="00565227"/>
    <w:rsid w:val="00565317"/>
    <w:rsid w:val="00565374"/>
    <w:rsid w:val="005654D3"/>
    <w:rsid w:val="005654EC"/>
    <w:rsid w:val="005655E0"/>
    <w:rsid w:val="005659C3"/>
    <w:rsid w:val="00565A70"/>
    <w:rsid w:val="00565B08"/>
    <w:rsid w:val="00565BDD"/>
    <w:rsid w:val="00565BF4"/>
    <w:rsid w:val="00565C28"/>
    <w:rsid w:val="00565E14"/>
    <w:rsid w:val="00565F93"/>
    <w:rsid w:val="00565FD8"/>
    <w:rsid w:val="0056609E"/>
    <w:rsid w:val="005664B7"/>
    <w:rsid w:val="00566541"/>
    <w:rsid w:val="005666C4"/>
    <w:rsid w:val="005669DA"/>
    <w:rsid w:val="005669EE"/>
    <w:rsid w:val="00566A8A"/>
    <w:rsid w:val="00566B09"/>
    <w:rsid w:val="00566BF2"/>
    <w:rsid w:val="00566D20"/>
    <w:rsid w:val="00566DB7"/>
    <w:rsid w:val="00566E04"/>
    <w:rsid w:val="00566F5F"/>
    <w:rsid w:val="0056701D"/>
    <w:rsid w:val="00567160"/>
    <w:rsid w:val="0056720C"/>
    <w:rsid w:val="0056739D"/>
    <w:rsid w:val="00567647"/>
    <w:rsid w:val="00567685"/>
    <w:rsid w:val="005677B8"/>
    <w:rsid w:val="0056792B"/>
    <w:rsid w:val="00567C5F"/>
    <w:rsid w:val="00567C93"/>
    <w:rsid w:val="00567D16"/>
    <w:rsid w:val="00567DBB"/>
    <w:rsid w:val="00567EB3"/>
    <w:rsid w:val="00567F93"/>
    <w:rsid w:val="00567FEF"/>
    <w:rsid w:val="0057007F"/>
    <w:rsid w:val="00570161"/>
    <w:rsid w:val="00570192"/>
    <w:rsid w:val="005701CB"/>
    <w:rsid w:val="005701F7"/>
    <w:rsid w:val="0057021A"/>
    <w:rsid w:val="00570514"/>
    <w:rsid w:val="005705CC"/>
    <w:rsid w:val="005706CB"/>
    <w:rsid w:val="005708B9"/>
    <w:rsid w:val="00570989"/>
    <w:rsid w:val="00570F42"/>
    <w:rsid w:val="00570F6F"/>
    <w:rsid w:val="00571202"/>
    <w:rsid w:val="0057137B"/>
    <w:rsid w:val="005715BA"/>
    <w:rsid w:val="005715DC"/>
    <w:rsid w:val="005716BE"/>
    <w:rsid w:val="005716C9"/>
    <w:rsid w:val="005717D3"/>
    <w:rsid w:val="005718C0"/>
    <w:rsid w:val="00571AEC"/>
    <w:rsid w:val="00571D29"/>
    <w:rsid w:val="00571ECF"/>
    <w:rsid w:val="005720A0"/>
    <w:rsid w:val="005723BD"/>
    <w:rsid w:val="00572514"/>
    <w:rsid w:val="00572518"/>
    <w:rsid w:val="005726AC"/>
    <w:rsid w:val="005726CE"/>
    <w:rsid w:val="005726F3"/>
    <w:rsid w:val="005727EA"/>
    <w:rsid w:val="00572919"/>
    <w:rsid w:val="00572996"/>
    <w:rsid w:val="005729DD"/>
    <w:rsid w:val="00572D80"/>
    <w:rsid w:val="00572D8D"/>
    <w:rsid w:val="00572DC7"/>
    <w:rsid w:val="00573153"/>
    <w:rsid w:val="005731C3"/>
    <w:rsid w:val="005733AB"/>
    <w:rsid w:val="0057347F"/>
    <w:rsid w:val="0057349C"/>
    <w:rsid w:val="005735C6"/>
    <w:rsid w:val="0057373B"/>
    <w:rsid w:val="00573B17"/>
    <w:rsid w:val="00573BE4"/>
    <w:rsid w:val="00573C61"/>
    <w:rsid w:val="00573D2D"/>
    <w:rsid w:val="00573E71"/>
    <w:rsid w:val="00573ED1"/>
    <w:rsid w:val="00573EDA"/>
    <w:rsid w:val="00573EF8"/>
    <w:rsid w:val="00573F31"/>
    <w:rsid w:val="0057426F"/>
    <w:rsid w:val="0057428F"/>
    <w:rsid w:val="005742A5"/>
    <w:rsid w:val="005744DF"/>
    <w:rsid w:val="0057464A"/>
    <w:rsid w:val="005746A7"/>
    <w:rsid w:val="005747D6"/>
    <w:rsid w:val="005747FD"/>
    <w:rsid w:val="0057494D"/>
    <w:rsid w:val="00574A29"/>
    <w:rsid w:val="00574AB8"/>
    <w:rsid w:val="00574C4A"/>
    <w:rsid w:val="00574EA1"/>
    <w:rsid w:val="00575075"/>
    <w:rsid w:val="00575087"/>
    <w:rsid w:val="00575211"/>
    <w:rsid w:val="00575275"/>
    <w:rsid w:val="0057528F"/>
    <w:rsid w:val="005752DA"/>
    <w:rsid w:val="005758FD"/>
    <w:rsid w:val="005759BE"/>
    <w:rsid w:val="00575C8E"/>
    <w:rsid w:val="00575CAC"/>
    <w:rsid w:val="00575DAA"/>
    <w:rsid w:val="00575E8E"/>
    <w:rsid w:val="005763D5"/>
    <w:rsid w:val="00576783"/>
    <w:rsid w:val="00576B6B"/>
    <w:rsid w:val="00576CD8"/>
    <w:rsid w:val="00576D24"/>
    <w:rsid w:val="00576E1A"/>
    <w:rsid w:val="0057720D"/>
    <w:rsid w:val="00577321"/>
    <w:rsid w:val="0057746A"/>
    <w:rsid w:val="005775B1"/>
    <w:rsid w:val="005779EE"/>
    <w:rsid w:val="00577A46"/>
    <w:rsid w:val="00577A94"/>
    <w:rsid w:val="00577AD8"/>
    <w:rsid w:val="00577B20"/>
    <w:rsid w:val="00577BDC"/>
    <w:rsid w:val="0058000C"/>
    <w:rsid w:val="005802E1"/>
    <w:rsid w:val="0058033A"/>
    <w:rsid w:val="0058054A"/>
    <w:rsid w:val="0058057E"/>
    <w:rsid w:val="005808C1"/>
    <w:rsid w:val="005808F6"/>
    <w:rsid w:val="00580B33"/>
    <w:rsid w:val="00580B66"/>
    <w:rsid w:val="00580D1B"/>
    <w:rsid w:val="00580D61"/>
    <w:rsid w:val="00580DEF"/>
    <w:rsid w:val="00580FD7"/>
    <w:rsid w:val="0058112A"/>
    <w:rsid w:val="005813EE"/>
    <w:rsid w:val="005814D7"/>
    <w:rsid w:val="0058156E"/>
    <w:rsid w:val="00581B6C"/>
    <w:rsid w:val="00581D05"/>
    <w:rsid w:val="00581E10"/>
    <w:rsid w:val="00581F3B"/>
    <w:rsid w:val="00581F78"/>
    <w:rsid w:val="005822D3"/>
    <w:rsid w:val="00582406"/>
    <w:rsid w:val="0058243E"/>
    <w:rsid w:val="005824BF"/>
    <w:rsid w:val="005825E4"/>
    <w:rsid w:val="005826D5"/>
    <w:rsid w:val="0058283F"/>
    <w:rsid w:val="005828F9"/>
    <w:rsid w:val="00582A7D"/>
    <w:rsid w:val="00582AB0"/>
    <w:rsid w:val="00582B10"/>
    <w:rsid w:val="00582B69"/>
    <w:rsid w:val="00582B8D"/>
    <w:rsid w:val="00582BEA"/>
    <w:rsid w:val="00582FA5"/>
    <w:rsid w:val="00583167"/>
    <w:rsid w:val="005831D7"/>
    <w:rsid w:val="00583244"/>
    <w:rsid w:val="00583595"/>
    <w:rsid w:val="005836F9"/>
    <w:rsid w:val="00583755"/>
    <w:rsid w:val="00583AC1"/>
    <w:rsid w:val="00583B94"/>
    <w:rsid w:val="00583C5B"/>
    <w:rsid w:val="00583E55"/>
    <w:rsid w:val="00583F3A"/>
    <w:rsid w:val="00584124"/>
    <w:rsid w:val="005842FD"/>
    <w:rsid w:val="0058433F"/>
    <w:rsid w:val="005843A7"/>
    <w:rsid w:val="005843D3"/>
    <w:rsid w:val="0058451A"/>
    <w:rsid w:val="00584560"/>
    <w:rsid w:val="005845C5"/>
    <w:rsid w:val="005845E8"/>
    <w:rsid w:val="005846AB"/>
    <w:rsid w:val="005846DC"/>
    <w:rsid w:val="00584793"/>
    <w:rsid w:val="005848D4"/>
    <w:rsid w:val="00584915"/>
    <w:rsid w:val="00584C06"/>
    <w:rsid w:val="00584C11"/>
    <w:rsid w:val="00584F9D"/>
    <w:rsid w:val="00585113"/>
    <w:rsid w:val="00585210"/>
    <w:rsid w:val="0058563E"/>
    <w:rsid w:val="005859AB"/>
    <w:rsid w:val="00585B78"/>
    <w:rsid w:val="00585F6F"/>
    <w:rsid w:val="00585F90"/>
    <w:rsid w:val="0058629F"/>
    <w:rsid w:val="0058670B"/>
    <w:rsid w:val="00586A72"/>
    <w:rsid w:val="00586B21"/>
    <w:rsid w:val="00586E30"/>
    <w:rsid w:val="00586FCD"/>
    <w:rsid w:val="00587170"/>
    <w:rsid w:val="005872C0"/>
    <w:rsid w:val="005872C4"/>
    <w:rsid w:val="00587416"/>
    <w:rsid w:val="005876C7"/>
    <w:rsid w:val="005878C8"/>
    <w:rsid w:val="00587A44"/>
    <w:rsid w:val="00587DD8"/>
    <w:rsid w:val="00587F79"/>
    <w:rsid w:val="0059001F"/>
    <w:rsid w:val="005904A5"/>
    <w:rsid w:val="00590526"/>
    <w:rsid w:val="00590552"/>
    <w:rsid w:val="00590990"/>
    <w:rsid w:val="00590BB6"/>
    <w:rsid w:val="00591043"/>
    <w:rsid w:val="00591129"/>
    <w:rsid w:val="00591195"/>
    <w:rsid w:val="005911A0"/>
    <w:rsid w:val="005912BB"/>
    <w:rsid w:val="005914E7"/>
    <w:rsid w:val="0059163E"/>
    <w:rsid w:val="005916D9"/>
    <w:rsid w:val="005916FB"/>
    <w:rsid w:val="00591768"/>
    <w:rsid w:val="0059199C"/>
    <w:rsid w:val="00591BB6"/>
    <w:rsid w:val="00591C21"/>
    <w:rsid w:val="00591C41"/>
    <w:rsid w:val="00591C86"/>
    <w:rsid w:val="00591CCB"/>
    <w:rsid w:val="00591D3E"/>
    <w:rsid w:val="00591D9D"/>
    <w:rsid w:val="00591E68"/>
    <w:rsid w:val="00591F5F"/>
    <w:rsid w:val="005920BE"/>
    <w:rsid w:val="0059232B"/>
    <w:rsid w:val="00592425"/>
    <w:rsid w:val="00592644"/>
    <w:rsid w:val="00592728"/>
    <w:rsid w:val="00592756"/>
    <w:rsid w:val="00592963"/>
    <w:rsid w:val="00592C65"/>
    <w:rsid w:val="00592C7B"/>
    <w:rsid w:val="00592CC6"/>
    <w:rsid w:val="00592D11"/>
    <w:rsid w:val="00592DE8"/>
    <w:rsid w:val="005930DB"/>
    <w:rsid w:val="00593141"/>
    <w:rsid w:val="005932CB"/>
    <w:rsid w:val="00593334"/>
    <w:rsid w:val="005933D2"/>
    <w:rsid w:val="00593465"/>
    <w:rsid w:val="00593587"/>
    <w:rsid w:val="005936A7"/>
    <w:rsid w:val="0059378B"/>
    <w:rsid w:val="0059382A"/>
    <w:rsid w:val="00593DCE"/>
    <w:rsid w:val="00593DEE"/>
    <w:rsid w:val="00593EE0"/>
    <w:rsid w:val="00593EF8"/>
    <w:rsid w:val="00594063"/>
    <w:rsid w:val="0059407E"/>
    <w:rsid w:val="0059423F"/>
    <w:rsid w:val="00594394"/>
    <w:rsid w:val="00594400"/>
    <w:rsid w:val="005947A1"/>
    <w:rsid w:val="005947D8"/>
    <w:rsid w:val="00594A41"/>
    <w:rsid w:val="00594B88"/>
    <w:rsid w:val="00594BEF"/>
    <w:rsid w:val="00594EC9"/>
    <w:rsid w:val="00594ECC"/>
    <w:rsid w:val="00594FB0"/>
    <w:rsid w:val="00595132"/>
    <w:rsid w:val="0059523E"/>
    <w:rsid w:val="0059530C"/>
    <w:rsid w:val="00595401"/>
    <w:rsid w:val="0059548C"/>
    <w:rsid w:val="005957EC"/>
    <w:rsid w:val="005958D7"/>
    <w:rsid w:val="00595A12"/>
    <w:rsid w:val="00595A39"/>
    <w:rsid w:val="00595D1D"/>
    <w:rsid w:val="00595D22"/>
    <w:rsid w:val="00595D83"/>
    <w:rsid w:val="0059605E"/>
    <w:rsid w:val="00596169"/>
    <w:rsid w:val="00596256"/>
    <w:rsid w:val="00596259"/>
    <w:rsid w:val="0059628A"/>
    <w:rsid w:val="005962CE"/>
    <w:rsid w:val="005963C1"/>
    <w:rsid w:val="00596449"/>
    <w:rsid w:val="0059647F"/>
    <w:rsid w:val="005965DD"/>
    <w:rsid w:val="005967EF"/>
    <w:rsid w:val="00596B81"/>
    <w:rsid w:val="00596BE8"/>
    <w:rsid w:val="00596CA6"/>
    <w:rsid w:val="00596CA7"/>
    <w:rsid w:val="00596CF7"/>
    <w:rsid w:val="00596CFE"/>
    <w:rsid w:val="00596D05"/>
    <w:rsid w:val="00596D74"/>
    <w:rsid w:val="00596DA6"/>
    <w:rsid w:val="00596DE0"/>
    <w:rsid w:val="00596E51"/>
    <w:rsid w:val="00596E5D"/>
    <w:rsid w:val="00596F6F"/>
    <w:rsid w:val="0059706F"/>
    <w:rsid w:val="00597247"/>
    <w:rsid w:val="0059729C"/>
    <w:rsid w:val="0059743F"/>
    <w:rsid w:val="005975AD"/>
    <w:rsid w:val="00597737"/>
    <w:rsid w:val="00597866"/>
    <w:rsid w:val="00597946"/>
    <w:rsid w:val="00597959"/>
    <w:rsid w:val="00597964"/>
    <w:rsid w:val="00597BFE"/>
    <w:rsid w:val="00597C60"/>
    <w:rsid w:val="00597C86"/>
    <w:rsid w:val="00597DE9"/>
    <w:rsid w:val="00597DF2"/>
    <w:rsid w:val="00597E4C"/>
    <w:rsid w:val="0059871E"/>
    <w:rsid w:val="005A00DA"/>
    <w:rsid w:val="005A017F"/>
    <w:rsid w:val="005A018A"/>
    <w:rsid w:val="005A0269"/>
    <w:rsid w:val="005A028B"/>
    <w:rsid w:val="005A02D0"/>
    <w:rsid w:val="005A0300"/>
    <w:rsid w:val="005A046D"/>
    <w:rsid w:val="005A0647"/>
    <w:rsid w:val="005A0695"/>
    <w:rsid w:val="005A07FA"/>
    <w:rsid w:val="005A080B"/>
    <w:rsid w:val="005A09FD"/>
    <w:rsid w:val="005A0BCF"/>
    <w:rsid w:val="005A0F87"/>
    <w:rsid w:val="005A1004"/>
    <w:rsid w:val="005A1058"/>
    <w:rsid w:val="005A10D9"/>
    <w:rsid w:val="005A11BE"/>
    <w:rsid w:val="005A1207"/>
    <w:rsid w:val="005A135A"/>
    <w:rsid w:val="005A1433"/>
    <w:rsid w:val="005A1819"/>
    <w:rsid w:val="005A187B"/>
    <w:rsid w:val="005A1930"/>
    <w:rsid w:val="005A1AEB"/>
    <w:rsid w:val="005A1B0C"/>
    <w:rsid w:val="005A1B84"/>
    <w:rsid w:val="005A1B97"/>
    <w:rsid w:val="005A1BEB"/>
    <w:rsid w:val="005A1E7D"/>
    <w:rsid w:val="005A1F84"/>
    <w:rsid w:val="005A2287"/>
    <w:rsid w:val="005A23E6"/>
    <w:rsid w:val="005A255D"/>
    <w:rsid w:val="005A25B1"/>
    <w:rsid w:val="005A263D"/>
    <w:rsid w:val="005A2AE6"/>
    <w:rsid w:val="005A2B11"/>
    <w:rsid w:val="005A2BD2"/>
    <w:rsid w:val="005A2DA0"/>
    <w:rsid w:val="005A2DBB"/>
    <w:rsid w:val="005A2F97"/>
    <w:rsid w:val="005A2FCF"/>
    <w:rsid w:val="005A2FE6"/>
    <w:rsid w:val="005A318B"/>
    <w:rsid w:val="005A320E"/>
    <w:rsid w:val="005A3264"/>
    <w:rsid w:val="005A33A8"/>
    <w:rsid w:val="005A344F"/>
    <w:rsid w:val="005A36F6"/>
    <w:rsid w:val="005A3733"/>
    <w:rsid w:val="005A3802"/>
    <w:rsid w:val="005A39E7"/>
    <w:rsid w:val="005A3D25"/>
    <w:rsid w:val="005A3E07"/>
    <w:rsid w:val="005A3E6B"/>
    <w:rsid w:val="005A3EE6"/>
    <w:rsid w:val="005A3EF2"/>
    <w:rsid w:val="005A3F69"/>
    <w:rsid w:val="005A3FB2"/>
    <w:rsid w:val="005A46E2"/>
    <w:rsid w:val="005A4799"/>
    <w:rsid w:val="005A4869"/>
    <w:rsid w:val="005A49EA"/>
    <w:rsid w:val="005A4A52"/>
    <w:rsid w:val="005A4A87"/>
    <w:rsid w:val="005A4CC9"/>
    <w:rsid w:val="005A4CD5"/>
    <w:rsid w:val="005A4CF2"/>
    <w:rsid w:val="005A4D36"/>
    <w:rsid w:val="005A4D57"/>
    <w:rsid w:val="005A4DA7"/>
    <w:rsid w:val="005A4FF0"/>
    <w:rsid w:val="005A505C"/>
    <w:rsid w:val="005A51C2"/>
    <w:rsid w:val="005A51E2"/>
    <w:rsid w:val="005A5202"/>
    <w:rsid w:val="005A5390"/>
    <w:rsid w:val="005A5483"/>
    <w:rsid w:val="005A54C2"/>
    <w:rsid w:val="005A54F0"/>
    <w:rsid w:val="005A55AB"/>
    <w:rsid w:val="005A5656"/>
    <w:rsid w:val="005A57D7"/>
    <w:rsid w:val="005A584B"/>
    <w:rsid w:val="005A59B1"/>
    <w:rsid w:val="005A5B49"/>
    <w:rsid w:val="005A5D38"/>
    <w:rsid w:val="005A600D"/>
    <w:rsid w:val="005A608A"/>
    <w:rsid w:val="005A60C9"/>
    <w:rsid w:val="005A60CE"/>
    <w:rsid w:val="005A615A"/>
    <w:rsid w:val="005A6215"/>
    <w:rsid w:val="005A6226"/>
    <w:rsid w:val="005A62D8"/>
    <w:rsid w:val="005A6536"/>
    <w:rsid w:val="005A666C"/>
    <w:rsid w:val="005A6738"/>
    <w:rsid w:val="005A67D7"/>
    <w:rsid w:val="005A6812"/>
    <w:rsid w:val="005A68AE"/>
    <w:rsid w:val="005A6921"/>
    <w:rsid w:val="005A6D88"/>
    <w:rsid w:val="005A6E75"/>
    <w:rsid w:val="005A6F87"/>
    <w:rsid w:val="005A70D6"/>
    <w:rsid w:val="005A71D9"/>
    <w:rsid w:val="005A728D"/>
    <w:rsid w:val="005A7357"/>
    <w:rsid w:val="005A73B1"/>
    <w:rsid w:val="005A747D"/>
    <w:rsid w:val="005A758A"/>
    <w:rsid w:val="005A773D"/>
    <w:rsid w:val="005A77B6"/>
    <w:rsid w:val="005A7881"/>
    <w:rsid w:val="005A7896"/>
    <w:rsid w:val="005A7E12"/>
    <w:rsid w:val="005B00B4"/>
    <w:rsid w:val="005B02F3"/>
    <w:rsid w:val="005B02F4"/>
    <w:rsid w:val="005B06FE"/>
    <w:rsid w:val="005B07AD"/>
    <w:rsid w:val="005B0953"/>
    <w:rsid w:val="005B0CC6"/>
    <w:rsid w:val="005B0CE2"/>
    <w:rsid w:val="005B0E24"/>
    <w:rsid w:val="005B0F1C"/>
    <w:rsid w:val="005B114B"/>
    <w:rsid w:val="005B122F"/>
    <w:rsid w:val="005B126C"/>
    <w:rsid w:val="005B14AE"/>
    <w:rsid w:val="005B17D5"/>
    <w:rsid w:val="005B1BA9"/>
    <w:rsid w:val="005B1D45"/>
    <w:rsid w:val="005B1DCA"/>
    <w:rsid w:val="005B1E1B"/>
    <w:rsid w:val="005B1E62"/>
    <w:rsid w:val="005B1F3E"/>
    <w:rsid w:val="005B1FE2"/>
    <w:rsid w:val="005B20E6"/>
    <w:rsid w:val="005B22DF"/>
    <w:rsid w:val="005B23B6"/>
    <w:rsid w:val="005B26A7"/>
    <w:rsid w:val="005B281C"/>
    <w:rsid w:val="005B2A25"/>
    <w:rsid w:val="005B2A4B"/>
    <w:rsid w:val="005B2D1B"/>
    <w:rsid w:val="005B2D46"/>
    <w:rsid w:val="005B2FC0"/>
    <w:rsid w:val="005B305B"/>
    <w:rsid w:val="005B3194"/>
    <w:rsid w:val="005B3236"/>
    <w:rsid w:val="005B3297"/>
    <w:rsid w:val="005B3425"/>
    <w:rsid w:val="005B3523"/>
    <w:rsid w:val="005B367C"/>
    <w:rsid w:val="005B36E5"/>
    <w:rsid w:val="005B373D"/>
    <w:rsid w:val="005B376E"/>
    <w:rsid w:val="005B3863"/>
    <w:rsid w:val="005B3960"/>
    <w:rsid w:val="005B39EB"/>
    <w:rsid w:val="005B3BAF"/>
    <w:rsid w:val="005B3C06"/>
    <w:rsid w:val="005B3C93"/>
    <w:rsid w:val="005B3F4C"/>
    <w:rsid w:val="005B4279"/>
    <w:rsid w:val="005B432A"/>
    <w:rsid w:val="005B441C"/>
    <w:rsid w:val="005B4486"/>
    <w:rsid w:val="005B44B9"/>
    <w:rsid w:val="005B45AC"/>
    <w:rsid w:val="005B4664"/>
    <w:rsid w:val="005B49A0"/>
    <w:rsid w:val="005B49FF"/>
    <w:rsid w:val="005B4B94"/>
    <w:rsid w:val="005B4E3F"/>
    <w:rsid w:val="005B4F52"/>
    <w:rsid w:val="005B4FE0"/>
    <w:rsid w:val="005B51C1"/>
    <w:rsid w:val="005B5281"/>
    <w:rsid w:val="005B5371"/>
    <w:rsid w:val="005B537F"/>
    <w:rsid w:val="005B548D"/>
    <w:rsid w:val="005B56A6"/>
    <w:rsid w:val="005B570B"/>
    <w:rsid w:val="005B5753"/>
    <w:rsid w:val="005B587B"/>
    <w:rsid w:val="005B5973"/>
    <w:rsid w:val="005B59F2"/>
    <w:rsid w:val="005B59F6"/>
    <w:rsid w:val="005B5A6C"/>
    <w:rsid w:val="005B5A71"/>
    <w:rsid w:val="005B5D42"/>
    <w:rsid w:val="005B5DA0"/>
    <w:rsid w:val="005B5E16"/>
    <w:rsid w:val="005B60FE"/>
    <w:rsid w:val="005B66E7"/>
    <w:rsid w:val="005B67A1"/>
    <w:rsid w:val="005B6842"/>
    <w:rsid w:val="005B689D"/>
    <w:rsid w:val="005B68D6"/>
    <w:rsid w:val="005B6B22"/>
    <w:rsid w:val="005B6B47"/>
    <w:rsid w:val="005B6DFB"/>
    <w:rsid w:val="005B703B"/>
    <w:rsid w:val="005B705C"/>
    <w:rsid w:val="005B7165"/>
    <w:rsid w:val="005B74A6"/>
    <w:rsid w:val="005B75E0"/>
    <w:rsid w:val="005B76A1"/>
    <w:rsid w:val="005B776E"/>
    <w:rsid w:val="005B7796"/>
    <w:rsid w:val="005B799F"/>
    <w:rsid w:val="005B79EB"/>
    <w:rsid w:val="005B7BF8"/>
    <w:rsid w:val="005B7C4F"/>
    <w:rsid w:val="005B7C64"/>
    <w:rsid w:val="005B7DEF"/>
    <w:rsid w:val="005B7F6D"/>
    <w:rsid w:val="005C037F"/>
    <w:rsid w:val="005C04AB"/>
    <w:rsid w:val="005C07E3"/>
    <w:rsid w:val="005C0821"/>
    <w:rsid w:val="005C0855"/>
    <w:rsid w:val="005C0ADC"/>
    <w:rsid w:val="005C0B38"/>
    <w:rsid w:val="005C0D9A"/>
    <w:rsid w:val="005C0DAF"/>
    <w:rsid w:val="005C0FBD"/>
    <w:rsid w:val="005C0FE4"/>
    <w:rsid w:val="005C1067"/>
    <w:rsid w:val="005C10B3"/>
    <w:rsid w:val="005C117B"/>
    <w:rsid w:val="005C1259"/>
    <w:rsid w:val="005C12EF"/>
    <w:rsid w:val="005C15D5"/>
    <w:rsid w:val="005C1770"/>
    <w:rsid w:val="005C17BA"/>
    <w:rsid w:val="005C17C1"/>
    <w:rsid w:val="005C18B0"/>
    <w:rsid w:val="005C18D8"/>
    <w:rsid w:val="005C1964"/>
    <w:rsid w:val="005C1991"/>
    <w:rsid w:val="005C1AC9"/>
    <w:rsid w:val="005C1AEB"/>
    <w:rsid w:val="005C1C74"/>
    <w:rsid w:val="005C1DB5"/>
    <w:rsid w:val="005C1DC3"/>
    <w:rsid w:val="005C1E38"/>
    <w:rsid w:val="005C20A5"/>
    <w:rsid w:val="005C20A6"/>
    <w:rsid w:val="005C21BE"/>
    <w:rsid w:val="005C2245"/>
    <w:rsid w:val="005C22AF"/>
    <w:rsid w:val="005C23BD"/>
    <w:rsid w:val="005C2715"/>
    <w:rsid w:val="005C2760"/>
    <w:rsid w:val="005C2979"/>
    <w:rsid w:val="005C2D30"/>
    <w:rsid w:val="005C2F5D"/>
    <w:rsid w:val="005C341A"/>
    <w:rsid w:val="005C3431"/>
    <w:rsid w:val="005C383A"/>
    <w:rsid w:val="005C391A"/>
    <w:rsid w:val="005C39D0"/>
    <w:rsid w:val="005C3AFE"/>
    <w:rsid w:val="005C3B9F"/>
    <w:rsid w:val="005C3C09"/>
    <w:rsid w:val="005C3C20"/>
    <w:rsid w:val="005C3D33"/>
    <w:rsid w:val="005C3D43"/>
    <w:rsid w:val="005C3D79"/>
    <w:rsid w:val="005C3EF5"/>
    <w:rsid w:val="005C3F75"/>
    <w:rsid w:val="005C4052"/>
    <w:rsid w:val="005C41F0"/>
    <w:rsid w:val="005C42E7"/>
    <w:rsid w:val="005C443F"/>
    <w:rsid w:val="005C48BC"/>
    <w:rsid w:val="005C4A6F"/>
    <w:rsid w:val="005C4B58"/>
    <w:rsid w:val="005C4B8C"/>
    <w:rsid w:val="005C4C98"/>
    <w:rsid w:val="005C4D15"/>
    <w:rsid w:val="005C4DC6"/>
    <w:rsid w:val="005C4E98"/>
    <w:rsid w:val="005C4EA3"/>
    <w:rsid w:val="005C5165"/>
    <w:rsid w:val="005C520E"/>
    <w:rsid w:val="005C5305"/>
    <w:rsid w:val="005C5485"/>
    <w:rsid w:val="005C5506"/>
    <w:rsid w:val="005C559C"/>
    <w:rsid w:val="005C5773"/>
    <w:rsid w:val="005C57BC"/>
    <w:rsid w:val="005C5882"/>
    <w:rsid w:val="005C58A7"/>
    <w:rsid w:val="005C59FF"/>
    <w:rsid w:val="005C5BCA"/>
    <w:rsid w:val="005C5C41"/>
    <w:rsid w:val="005C5CFB"/>
    <w:rsid w:val="005C5FFD"/>
    <w:rsid w:val="005C6029"/>
    <w:rsid w:val="005C6182"/>
    <w:rsid w:val="005C6196"/>
    <w:rsid w:val="005C62EB"/>
    <w:rsid w:val="005C6384"/>
    <w:rsid w:val="005C676B"/>
    <w:rsid w:val="005C6A4D"/>
    <w:rsid w:val="005C6AD8"/>
    <w:rsid w:val="005C6AE1"/>
    <w:rsid w:val="005C6BE2"/>
    <w:rsid w:val="005C6C9B"/>
    <w:rsid w:val="005C6CBB"/>
    <w:rsid w:val="005C6D5F"/>
    <w:rsid w:val="005C6DC3"/>
    <w:rsid w:val="005C6EE7"/>
    <w:rsid w:val="005C7077"/>
    <w:rsid w:val="005C7131"/>
    <w:rsid w:val="005C76C2"/>
    <w:rsid w:val="005C7780"/>
    <w:rsid w:val="005C78C3"/>
    <w:rsid w:val="005C7991"/>
    <w:rsid w:val="005C7A94"/>
    <w:rsid w:val="005C7CFA"/>
    <w:rsid w:val="005C7EAF"/>
    <w:rsid w:val="005C7F2B"/>
    <w:rsid w:val="005D0016"/>
    <w:rsid w:val="005D00D6"/>
    <w:rsid w:val="005D0130"/>
    <w:rsid w:val="005D0366"/>
    <w:rsid w:val="005D037E"/>
    <w:rsid w:val="005D050B"/>
    <w:rsid w:val="005D057E"/>
    <w:rsid w:val="005D05D0"/>
    <w:rsid w:val="005D068E"/>
    <w:rsid w:val="005D08F5"/>
    <w:rsid w:val="005D0970"/>
    <w:rsid w:val="005D0973"/>
    <w:rsid w:val="005D0D43"/>
    <w:rsid w:val="005D0DDD"/>
    <w:rsid w:val="005D0ED5"/>
    <w:rsid w:val="005D133D"/>
    <w:rsid w:val="005D142E"/>
    <w:rsid w:val="005D15AA"/>
    <w:rsid w:val="005D1715"/>
    <w:rsid w:val="005D17C3"/>
    <w:rsid w:val="005D1B3E"/>
    <w:rsid w:val="005D1BE3"/>
    <w:rsid w:val="005D1BF2"/>
    <w:rsid w:val="005D1D0B"/>
    <w:rsid w:val="005D1E48"/>
    <w:rsid w:val="005D1EAD"/>
    <w:rsid w:val="005D20E6"/>
    <w:rsid w:val="005D2192"/>
    <w:rsid w:val="005D21B8"/>
    <w:rsid w:val="005D22A9"/>
    <w:rsid w:val="005D2409"/>
    <w:rsid w:val="005D24DB"/>
    <w:rsid w:val="005D2557"/>
    <w:rsid w:val="005D2752"/>
    <w:rsid w:val="005D2841"/>
    <w:rsid w:val="005D29F6"/>
    <w:rsid w:val="005D2ACF"/>
    <w:rsid w:val="005D2B71"/>
    <w:rsid w:val="005D2EB1"/>
    <w:rsid w:val="005D304E"/>
    <w:rsid w:val="005D309B"/>
    <w:rsid w:val="005D331C"/>
    <w:rsid w:val="005D337F"/>
    <w:rsid w:val="005D3414"/>
    <w:rsid w:val="005D376C"/>
    <w:rsid w:val="005D3873"/>
    <w:rsid w:val="005D38FA"/>
    <w:rsid w:val="005D39C1"/>
    <w:rsid w:val="005D39CA"/>
    <w:rsid w:val="005D3A38"/>
    <w:rsid w:val="005D3A98"/>
    <w:rsid w:val="005D3BC3"/>
    <w:rsid w:val="005D3C02"/>
    <w:rsid w:val="005D3D03"/>
    <w:rsid w:val="005D3DFC"/>
    <w:rsid w:val="005D3F44"/>
    <w:rsid w:val="005D3FD8"/>
    <w:rsid w:val="005D42BB"/>
    <w:rsid w:val="005D42FF"/>
    <w:rsid w:val="005D438C"/>
    <w:rsid w:val="005D438E"/>
    <w:rsid w:val="005D43E3"/>
    <w:rsid w:val="005D4874"/>
    <w:rsid w:val="005D4D35"/>
    <w:rsid w:val="005D4D56"/>
    <w:rsid w:val="005D4FF0"/>
    <w:rsid w:val="005D5009"/>
    <w:rsid w:val="005D50C9"/>
    <w:rsid w:val="005D50ED"/>
    <w:rsid w:val="005D5163"/>
    <w:rsid w:val="005D52E0"/>
    <w:rsid w:val="005D52F0"/>
    <w:rsid w:val="005D541C"/>
    <w:rsid w:val="005D553F"/>
    <w:rsid w:val="005D555B"/>
    <w:rsid w:val="005D55D6"/>
    <w:rsid w:val="005D5626"/>
    <w:rsid w:val="005D568F"/>
    <w:rsid w:val="005D56F0"/>
    <w:rsid w:val="005D5821"/>
    <w:rsid w:val="005D593A"/>
    <w:rsid w:val="005D5ABA"/>
    <w:rsid w:val="005D5C9F"/>
    <w:rsid w:val="005D5CD2"/>
    <w:rsid w:val="005D5CD6"/>
    <w:rsid w:val="005D5D9F"/>
    <w:rsid w:val="005D5E8A"/>
    <w:rsid w:val="005D5EC9"/>
    <w:rsid w:val="005D5FE3"/>
    <w:rsid w:val="005D603A"/>
    <w:rsid w:val="005D6091"/>
    <w:rsid w:val="005D60EA"/>
    <w:rsid w:val="005D62D6"/>
    <w:rsid w:val="005D63D3"/>
    <w:rsid w:val="005D65EE"/>
    <w:rsid w:val="005D6614"/>
    <w:rsid w:val="005D6712"/>
    <w:rsid w:val="005D6763"/>
    <w:rsid w:val="005D6B61"/>
    <w:rsid w:val="005D6C6A"/>
    <w:rsid w:val="005D6F23"/>
    <w:rsid w:val="005D7004"/>
    <w:rsid w:val="005D7124"/>
    <w:rsid w:val="005D72DA"/>
    <w:rsid w:val="005D7400"/>
    <w:rsid w:val="005D743F"/>
    <w:rsid w:val="005D756D"/>
    <w:rsid w:val="005D75EF"/>
    <w:rsid w:val="005D7679"/>
    <w:rsid w:val="005D76B3"/>
    <w:rsid w:val="005D7777"/>
    <w:rsid w:val="005D77C9"/>
    <w:rsid w:val="005D786E"/>
    <w:rsid w:val="005D7A3F"/>
    <w:rsid w:val="005D7ADB"/>
    <w:rsid w:val="005D7BE8"/>
    <w:rsid w:val="005D7C6A"/>
    <w:rsid w:val="005D7E08"/>
    <w:rsid w:val="005D7F05"/>
    <w:rsid w:val="005D7F58"/>
    <w:rsid w:val="005E003E"/>
    <w:rsid w:val="005E00DC"/>
    <w:rsid w:val="005E02C3"/>
    <w:rsid w:val="005E0331"/>
    <w:rsid w:val="005E040C"/>
    <w:rsid w:val="005E0425"/>
    <w:rsid w:val="005E0474"/>
    <w:rsid w:val="005E04B7"/>
    <w:rsid w:val="005E04E2"/>
    <w:rsid w:val="005E0890"/>
    <w:rsid w:val="005E08A4"/>
    <w:rsid w:val="005E096F"/>
    <w:rsid w:val="005E0A3C"/>
    <w:rsid w:val="005E0B6C"/>
    <w:rsid w:val="005E0C47"/>
    <w:rsid w:val="005E0DB1"/>
    <w:rsid w:val="005E0FF0"/>
    <w:rsid w:val="005E1091"/>
    <w:rsid w:val="005E11FD"/>
    <w:rsid w:val="005E138D"/>
    <w:rsid w:val="005E13E7"/>
    <w:rsid w:val="005E1578"/>
    <w:rsid w:val="005E1616"/>
    <w:rsid w:val="005E1AC6"/>
    <w:rsid w:val="005E1AF4"/>
    <w:rsid w:val="005E1B49"/>
    <w:rsid w:val="005E1C97"/>
    <w:rsid w:val="005E1DF4"/>
    <w:rsid w:val="005E1EAB"/>
    <w:rsid w:val="005E1ED2"/>
    <w:rsid w:val="005E1F18"/>
    <w:rsid w:val="005E1FA7"/>
    <w:rsid w:val="005E2136"/>
    <w:rsid w:val="005E22F3"/>
    <w:rsid w:val="005E2675"/>
    <w:rsid w:val="005E2851"/>
    <w:rsid w:val="005E29D0"/>
    <w:rsid w:val="005E2A29"/>
    <w:rsid w:val="005E2AA8"/>
    <w:rsid w:val="005E2B35"/>
    <w:rsid w:val="005E2B37"/>
    <w:rsid w:val="005E2D9F"/>
    <w:rsid w:val="005E3122"/>
    <w:rsid w:val="005E31E2"/>
    <w:rsid w:val="005E3797"/>
    <w:rsid w:val="005E37B3"/>
    <w:rsid w:val="005E37D9"/>
    <w:rsid w:val="005E3C28"/>
    <w:rsid w:val="005E3DCE"/>
    <w:rsid w:val="005E3F3A"/>
    <w:rsid w:val="005E40BA"/>
    <w:rsid w:val="005E4357"/>
    <w:rsid w:val="005E46DF"/>
    <w:rsid w:val="005E48EC"/>
    <w:rsid w:val="005E490B"/>
    <w:rsid w:val="005E49C1"/>
    <w:rsid w:val="005E49FE"/>
    <w:rsid w:val="005E4A6D"/>
    <w:rsid w:val="005E4CCE"/>
    <w:rsid w:val="005E4EC5"/>
    <w:rsid w:val="005E505E"/>
    <w:rsid w:val="005E50F2"/>
    <w:rsid w:val="005E51A9"/>
    <w:rsid w:val="005E51C9"/>
    <w:rsid w:val="005E529C"/>
    <w:rsid w:val="005E5428"/>
    <w:rsid w:val="005E54A0"/>
    <w:rsid w:val="005E54F1"/>
    <w:rsid w:val="005E5564"/>
    <w:rsid w:val="005E5C3F"/>
    <w:rsid w:val="005E5F43"/>
    <w:rsid w:val="005E60A0"/>
    <w:rsid w:val="005E6202"/>
    <w:rsid w:val="005E6265"/>
    <w:rsid w:val="005E6465"/>
    <w:rsid w:val="005E6486"/>
    <w:rsid w:val="005E65BF"/>
    <w:rsid w:val="005E65E5"/>
    <w:rsid w:val="005E68AA"/>
    <w:rsid w:val="005E697F"/>
    <w:rsid w:val="005E69D4"/>
    <w:rsid w:val="005E6ACF"/>
    <w:rsid w:val="005E6B0E"/>
    <w:rsid w:val="005E6CC5"/>
    <w:rsid w:val="005E6D26"/>
    <w:rsid w:val="005E6EF9"/>
    <w:rsid w:val="005E7021"/>
    <w:rsid w:val="005E7165"/>
    <w:rsid w:val="005E734B"/>
    <w:rsid w:val="005E753D"/>
    <w:rsid w:val="005E7784"/>
    <w:rsid w:val="005E7808"/>
    <w:rsid w:val="005E79D6"/>
    <w:rsid w:val="005E7A7B"/>
    <w:rsid w:val="005E7B06"/>
    <w:rsid w:val="005E7E8E"/>
    <w:rsid w:val="005E7E9F"/>
    <w:rsid w:val="005E7F59"/>
    <w:rsid w:val="005E7FAB"/>
    <w:rsid w:val="005F020C"/>
    <w:rsid w:val="005F03AD"/>
    <w:rsid w:val="005F055C"/>
    <w:rsid w:val="005F0823"/>
    <w:rsid w:val="005F09DB"/>
    <w:rsid w:val="005F0BAD"/>
    <w:rsid w:val="005F0D8B"/>
    <w:rsid w:val="005F0E21"/>
    <w:rsid w:val="005F108F"/>
    <w:rsid w:val="005F1189"/>
    <w:rsid w:val="005F11B6"/>
    <w:rsid w:val="005F1218"/>
    <w:rsid w:val="005F13DE"/>
    <w:rsid w:val="005F1429"/>
    <w:rsid w:val="005F15D1"/>
    <w:rsid w:val="005F15E0"/>
    <w:rsid w:val="005F164C"/>
    <w:rsid w:val="005F17A8"/>
    <w:rsid w:val="005F17CF"/>
    <w:rsid w:val="005F1870"/>
    <w:rsid w:val="005F1995"/>
    <w:rsid w:val="005F1AAA"/>
    <w:rsid w:val="005F1B17"/>
    <w:rsid w:val="005F1B9E"/>
    <w:rsid w:val="005F1C36"/>
    <w:rsid w:val="005F1C4D"/>
    <w:rsid w:val="005F1DF0"/>
    <w:rsid w:val="005F1E00"/>
    <w:rsid w:val="005F1E0A"/>
    <w:rsid w:val="005F2074"/>
    <w:rsid w:val="005F2232"/>
    <w:rsid w:val="005F2243"/>
    <w:rsid w:val="005F2263"/>
    <w:rsid w:val="005F2279"/>
    <w:rsid w:val="005F22B8"/>
    <w:rsid w:val="005F25D3"/>
    <w:rsid w:val="005F2698"/>
    <w:rsid w:val="005F277D"/>
    <w:rsid w:val="005F2781"/>
    <w:rsid w:val="005F2939"/>
    <w:rsid w:val="005F29B5"/>
    <w:rsid w:val="005F29EB"/>
    <w:rsid w:val="005F2A5F"/>
    <w:rsid w:val="005F2B32"/>
    <w:rsid w:val="005F2C51"/>
    <w:rsid w:val="005F2D3E"/>
    <w:rsid w:val="005F2D6B"/>
    <w:rsid w:val="005F2E9E"/>
    <w:rsid w:val="005F2EAD"/>
    <w:rsid w:val="005F2F35"/>
    <w:rsid w:val="005F2FD2"/>
    <w:rsid w:val="005F30A9"/>
    <w:rsid w:val="005F3306"/>
    <w:rsid w:val="005F33BB"/>
    <w:rsid w:val="005F33F4"/>
    <w:rsid w:val="005F345C"/>
    <w:rsid w:val="005F3574"/>
    <w:rsid w:val="005F3738"/>
    <w:rsid w:val="005F374B"/>
    <w:rsid w:val="005F3A1A"/>
    <w:rsid w:val="005F3B3B"/>
    <w:rsid w:val="005F3BFD"/>
    <w:rsid w:val="005F3C1C"/>
    <w:rsid w:val="005F3C82"/>
    <w:rsid w:val="005F3D7E"/>
    <w:rsid w:val="005F3E24"/>
    <w:rsid w:val="005F3EC9"/>
    <w:rsid w:val="005F41DD"/>
    <w:rsid w:val="005F430A"/>
    <w:rsid w:val="005F4534"/>
    <w:rsid w:val="005F455C"/>
    <w:rsid w:val="005F463A"/>
    <w:rsid w:val="005F4816"/>
    <w:rsid w:val="005F4B1F"/>
    <w:rsid w:val="005F4BAD"/>
    <w:rsid w:val="005F4C01"/>
    <w:rsid w:val="005F4F76"/>
    <w:rsid w:val="005F509C"/>
    <w:rsid w:val="005F50B5"/>
    <w:rsid w:val="005F52A2"/>
    <w:rsid w:val="005F5419"/>
    <w:rsid w:val="005F5482"/>
    <w:rsid w:val="005F554D"/>
    <w:rsid w:val="005F5588"/>
    <w:rsid w:val="005F57D8"/>
    <w:rsid w:val="005F586B"/>
    <w:rsid w:val="005F58A3"/>
    <w:rsid w:val="005F5975"/>
    <w:rsid w:val="005F5D52"/>
    <w:rsid w:val="005F5EE4"/>
    <w:rsid w:val="005F6078"/>
    <w:rsid w:val="005F6190"/>
    <w:rsid w:val="005F61F1"/>
    <w:rsid w:val="005F6255"/>
    <w:rsid w:val="005F62E5"/>
    <w:rsid w:val="005F63D0"/>
    <w:rsid w:val="005F6469"/>
    <w:rsid w:val="005F6480"/>
    <w:rsid w:val="005F64CF"/>
    <w:rsid w:val="005F652B"/>
    <w:rsid w:val="005F66E7"/>
    <w:rsid w:val="005F6A85"/>
    <w:rsid w:val="005F6BB5"/>
    <w:rsid w:val="005F6C37"/>
    <w:rsid w:val="005F6FFF"/>
    <w:rsid w:val="005F70A7"/>
    <w:rsid w:val="005F7147"/>
    <w:rsid w:val="005F714F"/>
    <w:rsid w:val="005F72D3"/>
    <w:rsid w:val="005F7736"/>
    <w:rsid w:val="005F773C"/>
    <w:rsid w:val="005F77D7"/>
    <w:rsid w:val="005F7B30"/>
    <w:rsid w:val="005F7C81"/>
    <w:rsid w:val="005F7CFE"/>
    <w:rsid w:val="005F7D21"/>
    <w:rsid w:val="005F7D3D"/>
    <w:rsid w:val="005F7E85"/>
    <w:rsid w:val="005F7EA0"/>
    <w:rsid w:val="0060009F"/>
    <w:rsid w:val="006000D5"/>
    <w:rsid w:val="006000F6"/>
    <w:rsid w:val="006005BE"/>
    <w:rsid w:val="00600659"/>
    <w:rsid w:val="006009BA"/>
    <w:rsid w:val="00600B6D"/>
    <w:rsid w:val="00600C9C"/>
    <w:rsid w:val="00600D1F"/>
    <w:rsid w:val="00600D66"/>
    <w:rsid w:val="00600D79"/>
    <w:rsid w:val="00600FAE"/>
    <w:rsid w:val="006010FC"/>
    <w:rsid w:val="0060110A"/>
    <w:rsid w:val="00601341"/>
    <w:rsid w:val="006013FE"/>
    <w:rsid w:val="006015A7"/>
    <w:rsid w:val="0060164E"/>
    <w:rsid w:val="00601740"/>
    <w:rsid w:val="0060187D"/>
    <w:rsid w:val="006018A7"/>
    <w:rsid w:val="00601904"/>
    <w:rsid w:val="00601B37"/>
    <w:rsid w:val="00601BB2"/>
    <w:rsid w:val="00601DC7"/>
    <w:rsid w:val="00601E9E"/>
    <w:rsid w:val="0060201E"/>
    <w:rsid w:val="00602158"/>
    <w:rsid w:val="0060217C"/>
    <w:rsid w:val="006024D5"/>
    <w:rsid w:val="006026C7"/>
    <w:rsid w:val="00602769"/>
    <w:rsid w:val="006027CE"/>
    <w:rsid w:val="006028A6"/>
    <w:rsid w:val="00602B19"/>
    <w:rsid w:val="00602C88"/>
    <w:rsid w:val="00602E7D"/>
    <w:rsid w:val="006030C3"/>
    <w:rsid w:val="00603127"/>
    <w:rsid w:val="00603251"/>
    <w:rsid w:val="0060339F"/>
    <w:rsid w:val="006033C0"/>
    <w:rsid w:val="00603414"/>
    <w:rsid w:val="00603498"/>
    <w:rsid w:val="006034D7"/>
    <w:rsid w:val="006035AB"/>
    <w:rsid w:val="0060377B"/>
    <w:rsid w:val="00603786"/>
    <w:rsid w:val="00603790"/>
    <w:rsid w:val="00603934"/>
    <w:rsid w:val="006039DD"/>
    <w:rsid w:val="00603AAF"/>
    <w:rsid w:val="00603AFA"/>
    <w:rsid w:val="00603C13"/>
    <w:rsid w:val="00603CE8"/>
    <w:rsid w:val="00603D90"/>
    <w:rsid w:val="00603EE1"/>
    <w:rsid w:val="00603F08"/>
    <w:rsid w:val="0060409F"/>
    <w:rsid w:val="006041A7"/>
    <w:rsid w:val="006042FF"/>
    <w:rsid w:val="006045A0"/>
    <w:rsid w:val="006045E8"/>
    <w:rsid w:val="00604A8B"/>
    <w:rsid w:val="00604B4C"/>
    <w:rsid w:val="00604D55"/>
    <w:rsid w:val="00604EC2"/>
    <w:rsid w:val="00604ECE"/>
    <w:rsid w:val="00605062"/>
    <w:rsid w:val="00605593"/>
    <w:rsid w:val="00605837"/>
    <w:rsid w:val="00605902"/>
    <w:rsid w:val="00605C65"/>
    <w:rsid w:val="00605CB8"/>
    <w:rsid w:val="00605E04"/>
    <w:rsid w:val="00605E27"/>
    <w:rsid w:val="00605EB4"/>
    <w:rsid w:val="00605ECF"/>
    <w:rsid w:val="00605F81"/>
    <w:rsid w:val="006060D3"/>
    <w:rsid w:val="0060615B"/>
    <w:rsid w:val="00606174"/>
    <w:rsid w:val="0060617E"/>
    <w:rsid w:val="006061D0"/>
    <w:rsid w:val="00606331"/>
    <w:rsid w:val="00606413"/>
    <w:rsid w:val="006064E4"/>
    <w:rsid w:val="0060668A"/>
    <w:rsid w:val="00606720"/>
    <w:rsid w:val="0060680C"/>
    <w:rsid w:val="006068B4"/>
    <w:rsid w:val="00606909"/>
    <w:rsid w:val="00606A79"/>
    <w:rsid w:val="00606C4E"/>
    <w:rsid w:val="00606E9D"/>
    <w:rsid w:val="00606EA1"/>
    <w:rsid w:val="00607033"/>
    <w:rsid w:val="00607096"/>
    <w:rsid w:val="0060710D"/>
    <w:rsid w:val="00607178"/>
    <w:rsid w:val="00607287"/>
    <w:rsid w:val="006073B5"/>
    <w:rsid w:val="00607AE3"/>
    <w:rsid w:val="00607D6D"/>
    <w:rsid w:val="00607D71"/>
    <w:rsid w:val="00607DD7"/>
    <w:rsid w:val="0061015F"/>
    <w:rsid w:val="006101DE"/>
    <w:rsid w:val="0061020A"/>
    <w:rsid w:val="0061034A"/>
    <w:rsid w:val="0061037B"/>
    <w:rsid w:val="006103E2"/>
    <w:rsid w:val="00610636"/>
    <w:rsid w:val="006106DA"/>
    <w:rsid w:val="00610782"/>
    <w:rsid w:val="0061087E"/>
    <w:rsid w:val="00610929"/>
    <w:rsid w:val="00610936"/>
    <w:rsid w:val="0061098B"/>
    <w:rsid w:val="00610B15"/>
    <w:rsid w:val="00610D0A"/>
    <w:rsid w:val="00610F36"/>
    <w:rsid w:val="00610F3E"/>
    <w:rsid w:val="00610FC3"/>
    <w:rsid w:val="00611078"/>
    <w:rsid w:val="006113C6"/>
    <w:rsid w:val="00611615"/>
    <w:rsid w:val="006116F7"/>
    <w:rsid w:val="006119FC"/>
    <w:rsid w:val="00611A8D"/>
    <w:rsid w:val="00611C32"/>
    <w:rsid w:val="00611EBC"/>
    <w:rsid w:val="00612013"/>
    <w:rsid w:val="006120A1"/>
    <w:rsid w:val="00612169"/>
    <w:rsid w:val="006121A7"/>
    <w:rsid w:val="006123BA"/>
    <w:rsid w:val="00612458"/>
    <w:rsid w:val="006124FB"/>
    <w:rsid w:val="00612620"/>
    <w:rsid w:val="00612849"/>
    <w:rsid w:val="00612A9D"/>
    <w:rsid w:val="00612B09"/>
    <w:rsid w:val="00612D3F"/>
    <w:rsid w:val="00612D7F"/>
    <w:rsid w:val="00612F3F"/>
    <w:rsid w:val="006131B7"/>
    <w:rsid w:val="006131BC"/>
    <w:rsid w:val="006133A9"/>
    <w:rsid w:val="006135EC"/>
    <w:rsid w:val="006137F8"/>
    <w:rsid w:val="0061394B"/>
    <w:rsid w:val="00613ACD"/>
    <w:rsid w:val="00613B9E"/>
    <w:rsid w:val="00613C2E"/>
    <w:rsid w:val="00613CA4"/>
    <w:rsid w:val="00613D57"/>
    <w:rsid w:val="00613DBC"/>
    <w:rsid w:val="00613DDC"/>
    <w:rsid w:val="00613FF6"/>
    <w:rsid w:val="006141D2"/>
    <w:rsid w:val="00614362"/>
    <w:rsid w:val="0061440A"/>
    <w:rsid w:val="00614482"/>
    <w:rsid w:val="00614AB6"/>
    <w:rsid w:val="00614B83"/>
    <w:rsid w:val="00614E09"/>
    <w:rsid w:val="00614ECB"/>
    <w:rsid w:val="00614EEA"/>
    <w:rsid w:val="00615106"/>
    <w:rsid w:val="0061515F"/>
    <w:rsid w:val="00615205"/>
    <w:rsid w:val="0061520A"/>
    <w:rsid w:val="00615217"/>
    <w:rsid w:val="0061535D"/>
    <w:rsid w:val="006153D1"/>
    <w:rsid w:val="00615453"/>
    <w:rsid w:val="006155D4"/>
    <w:rsid w:val="00615673"/>
    <w:rsid w:val="006157F4"/>
    <w:rsid w:val="00615824"/>
    <w:rsid w:val="006158A9"/>
    <w:rsid w:val="006159FB"/>
    <w:rsid w:val="00615E69"/>
    <w:rsid w:val="00615E9F"/>
    <w:rsid w:val="00615F55"/>
    <w:rsid w:val="006161CF"/>
    <w:rsid w:val="006162F5"/>
    <w:rsid w:val="006163D3"/>
    <w:rsid w:val="006164CB"/>
    <w:rsid w:val="00616561"/>
    <w:rsid w:val="006166BC"/>
    <w:rsid w:val="006167EF"/>
    <w:rsid w:val="0061688F"/>
    <w:rsid w:val="0061698D"/>
    <w:rsid w:val="00616994"/>
    <w:rsid w:val="006169FD"/>
    <w:rsid w:val="00616AE3"/>
    <w:rsid w:val="00616CAB"/>
    <w:rsid w:val="00616D12"/>
    <w:rsid w:val="00616D97"/>
    <w:rsid w:val="00616DFA"/>
    <w:rsid w:val="00616E31"/>
    <w:rsid w:val="00616E60"/>
    <w:rsid w:val="00616EC7"/>
    <w:rsid w:val="00616F05"/>
    <w:rsid w:val="00616F83"/>
    <w:rsid w:val="006171C6"/>
    <w:rsid w:val="00617252"/>
    <w:rsid w:val="006172CE"/>
    <w:rsid w:val="006174C9"/>
    <w:rsid w:val="006177E8"/>
    <w:rsid w:val="00617949"/>
    <w:rsid w:val="0061794D"/>
    <w:rsid w:val="0061795F"/>
    <w:rsid w:val="0061798B"/>
    <w:rsid w:val="006179E7"/>
    <w:rsid w:val="00617AF1"/>
    <w:rsid w:val="00617C00"/>
    <w:rsid w:val="00617C47"/>
    <w:rsid w:val="00617D71"/>
    <w:rsid w:val="00617E66"/>
    <w:rsid w:val="00617E93"/>
    <w:rsid w:val="00619504"/>
    <w:rsid w:val="0062003C"/>
    <w:rsid w:val="0062010C"/>
    <w:rsid w:val="00620294"/>
    <w:rsid w:val="0062041E"/>
    <w:rsid w:val="00620451"/>
    <w:rsid w:val="00620621"/>
    <w:rsid w:val="00620633"/>
    <w:rsid w:val="0062074F"/>
    <w:rsid w:val="00620776"/>
    <w:rsid w:val="00620802"/>
    <w:rsid w:val="0062095E"/>
    <w:rsid w:val="00620A61"/>
    <w:rsid w:val="00620BF1"/>
    <w:rsid w:val="00620CEE"/>
    <w:rsid w:val="00620E80"/>
    <w:rsid w:val="00620F3C"/>
    <w:rsid w:val="00620FB1"/>
    <w:rsid w:val="006210D9"/>
    <w:rsid w:val="00621153"/>
    <w:rsid w:val="00621179"/>
    <w:rsid w:val="0062133F"/>
    <w:rsid w:val="006214DC"/>
    <w:rsid w:val="006214F4"/>
    <w:rsid w:val="00621623"/>
    <w:rsid w:val="006216EA"/>
    <w:rsid w:val="006219BA"/>
    <w:rsid w:val="00621A1E"/>
    <w:rsid w:val="00621BCB"/>
    <w:rsid w:val="00621D05"/>
    <w:rsid w:val="00621E7B"/>
    <w:rsid w:val="00621F82"/>
    <w:rsid w:val="006221F5"/>
    <w:rsid w:val="0062280E"/>
    <w:rsid w:val="0062282C"/>
    <w:rsid w:val="00622A33"/>
    <w:rsid w:val="00622C46"/>
    <w:rsid w:val="00622C7C"/>
    <w:rsid w:val="00622CD8"/>
    <w:rsid w:val="00622CE8"/>
    <w:rsid w:val="00622D4E"/>
    <w:rsid w:val="00622E7D"/>
    <w:rsid w:val="006231A1"/>
    <w:rsid w:val="006231ED"/>
    <w:rsid w:val="00623299"/>
    <w:rsid w:val="00623492"/>
    <w:rsid w:val="00623515"/>
    <w:rsid w:val="00623583"/>
    <w:rsid w:val="006236BA"/>
    <w:rsid w:val="006236FA"/>
    <w:rsid w:val="006238AE"/>
    <w:rsid w:val="00623F17"/>
    <w:rsid w:val="006240B2"/>
    <w:rsid w:val="006242B4"/>
    <w:rsid w:val="00624323"/>
    <w:rsid w:val="00624360"/>
    <w:rsid w:val="00624382"/>
    <w:rsid w:val="0062439A"/>
    <w:rsid w:val="006243F3"/>
    <w:rsid w:val="0062455C"/>
    <w:rsid w:val="006245F1"/>
    <w:rsid w:val="006245F2"/>
    <w:rsid w:val="00624641"/>
    <w:rsid w:val="00624696"/>
    <w:rsid w:val="0062478B"/>
    <w:rsid w:val="00624875"/>
    <w:rsid w:val="006248F5"/>
    <w:rsid w:val="00624953"/>
    <w:rsid w:val="00624C33"/>
    <w:rsid w:val="00624D3D"/>
    <w:rsid w:val="00624D9A"/>
    <w:rsid w:val="00624EB1"/>
    <w:rsid w:val="00624FB4"/>
    <w:rsid w:val="0062516D"/>
    <w:rsid w:val="0062593F"/>
    <w:rsid w:val="006259F7"/>
    <w:rsid w:val="00625A65"/>
    <w:rsid w:val="00625ACB"/>
    <w:rsid w:val="00625B9E"/>
    <w:rsid w:val="00625BCD"/>
    <w:rsid w:val="00625C34"/>
    <w:rsid w:val="00625C86"/>
    <w:rsid w:val="00625DA4"/>
    <w:rsid w:val="00625DDD"/>
    <w:rsid w:val="00625DFF"/>
    <w:rsid w:val="00625EF4"/>
    <w:rsid w:val="00626466"/>
    <w:rsid w:val="006264AE"/>
    <w:rsid w:val="00626582"/>
    <w:rsid w:val="006266D7"/>
    <w:rsid w:val="0062692A"/>
    <w:rsid w:val="00626971"/>
    <w:rsid w:val="00626ABF"/>
    <w:rsid w:val="00626D00"/>
    <w:rsid w:val="0062729A"/>
    <w:rsid w:val="006272E8"/>
    <w:rsid w:val="00627329"/>
    <w:rsid w:val="0062754B"/>
    <w:rsid w:val="006277E8"/>
    <w:rsid w:val="006278DC"/>
    <w:rsid w:val="0062791F"/>
    <w:rsid w:val="006279AD"/>
    <w:rsid w:val="00627A3D"/>
    <w:rsid w:val="00627C5F"/>
    <w:rsid w:val="00627CAC"/>
    <w:rsid w:val="00630128"/>
    <w:rsid w:val="0063053C"/>
    <w:rsid w:val="00630660"/>
    <w:rsid w:val="00630795"/>
    <w:rsid w:val="00630851"/>
    <w:rsid w:val="006308E6"/>
    <w:rsid w:val="00630C51"/>
    <w:rsid w:val="00630C60"/>
    <w:rsid w:val="00630C8C"/>
    <w:rsid w:val="00630DE6"/>
    <w:rsid w:val="00630E26"/>
    <w:rsid w:val="006310C1"/>
    <w:rsid w:val="00631172"/>
    <w:rsid w:val="006313DD"/>
    <w:rsid w:val="00631419"/>
    <w:rsid w:val="0063153F"/>
    <w:rsid w:val="006315FB"/>
    <w:rsid w:val="00631630"/>
    <w:rsid w:val="006319F2"/>
    <w:rsid w:val="00631A04"/>
    <w:rsid w:val="00631B65"/>
    <w:rsid w:val="00631E3B"/>
    <w:rsid w:val="00632019"/>
    <w:rsid w:val="006320F7"/>
    <w:rsid w:val="00632166"/>
    <w:rsid w:val="00632211"/>
    <w:rsid w:val="006322FF"/>
    <w:rsid w:val="00632484"/>
    <w:rsid w:val="006324C1"/>
    <w:rsid w:val="006327B1"/>
    <w:rsid w:val="00632885"/>
    <w:rsid w:val="006329B9"/>
    <w:rsid w:val="00632AE2"/>
    <w:rsid w:val="00632AE9"/>
    <w:rsid w:val="00632D2C"/>
    <w:rsid w:val="00632D36"/>
    <w:rsid w:val="00632E91"/>
    <w:rsid w:val="00632F36"/>
    <w:rsid w:val="00632FD4"/>
    <w:rsid w:val="00632FDE"/>
    <w:rsid w:val="006332CB"/>
    <w:rsid w:val="006333B0"/>
    <w:rsid w:val="006334A8"/>
    <w:rsid w:val="00633609"/>
    <w:rsid w:val="006336A1"/>
    <w:rsid w:val="00633735"/>
    <w:rsid w:val="00633845"/>
    <w:rsid w:val="00633967"/>
    <w:rsid w:val="00633A82"/>
    <w:rsid w:val="00633DCE"/>
    <w:rsid w:val="006341CA"/>
    <w:rsid w:val="006341E5"/>
    <w:rsid w:val="006342B9"/>
    <w:rsid w:val="0063436C"/>
    <w:rsid w:val="006343BC"/>
    <w:rsid w:val="0063445C"/>
    <w:rsid w:val="0063456F"/>
    <w:rsid w:val="00634708"/>
    <w:rsid w:val="006347B1"/>
    <w:rsid w:val="0063489A"/>
    <w:rsid w:val="00634A27"/>
    <w:rsid w:val="00634A83"/>
    <w:rsid w:val="00634CE5"/>
    <w:rsid w:val="00634DC0"/>
    <w:rsid w:val="00634E02"/>
    <w:rsid w:val="00634E90"/>
    <w:rsid w:val="00634F87"/>
    <w:rsid w:val="00635130"/>
    <w:rsid w:val="006352DD"/>
    <w:rsid w:val="00635438"/>
    <w:rsid w:val="00635482"/>
    <w:rsid w:val="00635690"/>
    <w:rsid w:val="006357FF"/>
    <w:rsid w:val="00635879"/>
    <w:rsid w:val="006359E9"/>
    <w:rsid w:val="00635AAD"/>
    <w:rsid w:val="00635AFB"/>
    <w:rsid w:val="00635B2D"/>
    <w:rsid w:val="00635B35"/>
    <w:rsid w:val="00635BC7"/>
    <w:rsid w:val="00635CF8"/>
    <w:rsid w:val="00635D1D"/>
    <w:rsid w:val="00635E37"/>
    <w:rsid w:val="00635EDD"/>
    <w:rsid w:val="00636238"/>
    <w:rsid w:val="00636449"/>
    <w:rsid w:val="006364F7"/>
    <w:rsid w:val="0063660C"/>
    <w:rsid w:val="006367EE"/>
    <w:rsid w:val="00636C70"/>
    <w:rsid w:val="00636E89"/>
    <w:rsid w:val="00636F44"/>
    <w:rsid w:val="00636F6E"/>
    <w:rsid w:val="006370BD"/>
    <w:rsid w:val="0063717B"/>
    <w:rsid w:val="00637868"/>
    <w:rsid w:val="00637870"/>
    <w:rsid w:val="0063794D"/>
    <w:rsid w:val="0063799B"/>
    <w:rsid w:val="00637A0D"/>
    <w:rsid w:val="00637B3B"/>
    <w:rsid w:val="00637C68"/>
    <w:rsid w:val="00637E93"/>
    <w:rsid w:val="00637E9B"/>
    <w:rsid w:val="00637FE0"/>
    <w:rsid w:val="0064017F"/>
    <w:rsid w:val="0064065E"/>
    <w:rsid w:val="0064072D"/>
    <w:rsid w:val="00640763"/>
    <w:rsid w:val="00640787"/>
    <w:rsid w:val="006408EC"/>
    <w:rsid w:val="00640DAC"/>
    <w:rsid w:val="00640FA2"/>
    <w:rsid w:val="00640FE5"/>
    <w:rsid w:val="0064104B"/>
    <w:rsid w:val="0064121B"/>
    <w:rsid w:val="00641324"/>
    <w:rsid w:val="00641449"/>
    <w:rsid w:val="0064156B"/>
    <w:rsid w:val="006415CA"/>
    <w:rsid w:val="0064165A"/>
    <w:rsid w:val="006416FD"/>
    <w:rsid w:val="0064182C"/>
    <w:rsid w:val="006418E7"/>
    <w:rsid w:val="006419CA"/>
    <w:rsid w:val="006419F9"/>
    <w:rsid w:val="00641CFE"/>
    <w:rsid w:val="00641D27"/>
    <w:rsid w:val="00641D3F"/>
    <w:rsid w:val="00641D71"/>
    <w:rsid w:val="00641E89"/>
    <w:rsid w:val="00641ED0"/>
    <w:rsid w:val="00641F50"/>
    <w:rsid w:val="006422D5"/>
    <w:rsid w:val="00642310"/>
    <w:rsid w:val="00642454"/>
    <w:rsid w:val="0064251E"/>
    <w:rsid w:val="0064279A"/>
    <w:rsid w:val="006428B8"/>
    <w:rsid w:val="006428EB"/>
    <w:rsid w:val="00642992"/>
    <w:rsid w:val="00642D53"/>
    <w:rsid w:val="00642DB9"/>
    <w:rsid w:val="00642F9D"/>
    <w:rsid w:val="00643230"/>
    <w:rsid w:val="006435D2"/>
    <w:rsid w:val="00643613"/>
    <w:rsid w:val="006436E3"/>
    <w:rsid w:val="0064372F"/>
    <w:rsid w:val="00643AE4"/>
    <w:rsid w:val="00643D68"/>
    <w:rsid w:val="00643DB7"/>
    <w:rsid w:val="00644248"/>
    <w:rsid w:val="006442C5"/>
    <w:rsid w:val="006443B5"/>
    <w:rsid w:val="00644476"/>
    <w:rsid w:val="006444B5"/>
    <w:rsid w:val="006445FF"/>
    <w:rsid w:val="0064472C"/>
    <w:rsid w:val="006448BA"/>
    <w:rsid w:val="00644975"/>
    <w:rsid w:val="00644A70"/>
    <w:rsid w:val="00644A84"/>
    <w:rsid w:val="00644BE1"/>
    <w:rsid w:val="00644C01"/>
    <w:rsid w:val="00644D67"/>
    <w:rsid w:val="00644F09"/>
    <w:rsid w:val="006451D0"/>
    <w:rsid w:val="00645210"/>
    <w:rsid w:val="00645391"/>
    <w:rsid w:val="0064545F"/>
    <w:rsid w:val="00645653"/>
    <w:rsid w:val="0064585A"/>
    <w:rsid w:val="006458C0"/>
    <w:rsid w:val="0064599C"/>
    <w:rsid w:val="00645A16"/>
    <w:rsid w:val="00645A97"/>
    <w:rsid w:val="00645AD2"/>
    <w:rsid w:val="00645BEB"/>
    <w:rsid w:val="00645DB3"/>
    <w:rsid w:val="00645E9A"/>
    <w:rsid w:val="00646340"/>
    <w:rsid w:val="00646488"/>
    <w:rsid w:val="00646643"/>
    <w:rsid w:val="006468DA"/>
    <w:rsid w:val="006469C4"/>
    <w:rsid w:val="00646F08"/>
    <w:rsid w:val="00646FF8"/>
    <w:rsid w:val="00647033"/>
    <w:rsid w:val="00647093"/>
    <w:rsid w:val="006470DA"/>
    <w:rsid w:val="00647134"/>
    <w:rsid w:val="006471EC"/>
    <w:rsid w:val="006473C2"/>
    <w:rsid w:val="00647445"/>
    <w:rsid w:val="0064757A"/>
    <w:rsid w:val="006475CA"/>
    <w:rsid w:val="006475CF"/>
    <w:rsid w:val="00647601"/>
    <w:rsid w:val="006476A9"/>
    <w:rsid w:val="00647752"/>
    <w:rsid w:val="006477A1"/>
    <w:rsid w:val="00647AEC"/>
    <w:rsid w:val="00647BD5"/>
    <w:rsid w:val="00647CA2"/>
    <w:rsid w:val="00647E32"/>
    <w:rsid w:val="00647F19"/>
    <w:rsid w:val="00647F32"/>
    <w:rsid w:val="006502C2"/>
    <w:rsid w:val="006502EC"/>
    <w:rsid w:val="006504DF"/>
    <w:rsid w:val="00650535"/>
    <w:rsid w:val="006508D4"/>
    <w:rsid w:val="006509E1"/>
    <w:rsid w:val="006509EE"/>
    <w:rsid w:val="00650A2F"/>
    <w:rsid w:val="00650A4A"/>
    <w:rsid w:val="00650AEC"/>
    <w:rsid w:val="00650BF4"/>
    <w:rsid w:val="00650CBB"/>
    <w:rsid w:val="00650CC0"/>
    <w:rsid w:val="00650D57"/>
    <w:rsid w:val="00650F8A"/>
    <w:rsid w:val="006510E4"/>
    <w:rsid w:val="0065133B"/>
    <w:rsid w:val="00651593"/>
    <w:rsid w:val="006515CB"/>
    <w:rsid w:val="006516B6"/>
    <w:rsid w:val="00651787"/>
    <w:rsid w:val="006517A1"/>
    <w:rsid w:val="00651957"/>
    <w:rsid w:val="00651B47"/>
    <w:rsid w:val="00651C65"/>
    <w:rsid w:val="00651F19"/>
    <w:rsid w:val="0065203B"/>
    <w:rsid w:val="006521CC"/>
    <w:rsid w:val="00652333"/>
    <w:rsid w:val="0065240F"/>
    <w:rsid w:val="0065247B"/>
    <w:rsid w:val="00652545"/>
    <w:rsid w:val="006526B4"/>
    <w:rsid w:val="006527FE"/>
    <w:rsid w:val="00652809"/>
    <w:rsid w:val="006528DB"/>
    <w:rsid w:val="006529B9"/>
    <w:rsid w:val="00652A6C"/>
    <w:rsid w:val="00652AA1"/>
    <w:rsid w:val="00652B82"/>
    <w:rsid w:val="00652E76"/>
    <w:rsid w:val="00652FC6"/>
    <w:rsid w:val="00652FCF"/>
    <w:rsid w:val="006530AC"/>
    <w:rsid w:val="00653555"/>
    <w:rsid w:val="0065387B"/>
    <w:rsid w:val="00653B2E"/>
    <w:rsid w:val="00654082"/>
    <w:rsid w:val="006541B3"/>
    <w:rsid w:val="00654214"/>
    <w:rsid w:val="00654298"/>
    <w:rsid w:val="006543C6"/>
    <w:rsid w:val="0065440D"/>
    <w:rsid w:val="0065454C"/>
    <w:rsid w:val="00654643"/>
    <w:rsid w:val="0065466C"/>
    <w:rsid w:val="006546DD"/>
    <w:rsid w:val="00654861"/>
    <w:rsid w:val="00654971"/>
    <w:rsid w:val="006549D7"/>
    <w:rsid w:val="006549F6"/>
    <w:rsid w:val="00654A5E"/>
    <w:rsid w:val="00654BFF"/>
    <w:rsid w:val="00654D7E"/>
    <w:rsid w:val="00654F35"/>
    <w:rsid w:val="006550C4"/>
    <w:rsid w:val="00655110"/>
    <w:rsid w:val="00655389"/>
    <w:rsid w:val="00655552"/>
    <w:rsid w:val="0065556E"/>
    <w:rsid w:val="00655590"/>
    <w:rsid w:val="006555B2"/>
    <w:rsid w:val="006556CA"/>
    <w:rsid w:val="00655764"/>
    <w:rsid w:val="0065578C"/>
    <w:rsid w:val="006557A4"/>
    <w:rsid w:val="006557B1"/>
    <w:rsid w:val="00655817"/>
    <w:rsid w:val="0065589A"/>
    <w:rsid w:val="00655942"/>
    <w:rsid w:val="00655B73"/>
    <w:rsid w:val="00655BE2"/>
    <w:rsid w:val="00655C9E"/>
    <w:rsid w:val="00655D90"/>
    <w:rsid w:val="00655DC4"/>
    <w:rsid w:val="00656257"/>
    <w:rsid w:val="0065626F"/>
    <w:rsid w:val="00656329"/>
    <w:rsid w:val="00656331"/>
    <w:rsid w:val="006563A0"/>
    <w:rsid w:val="006564D2"/>
    <w:rsid w:val="0065660F"/>
    <w:rsid w:val="00656743"/>
    <w:rsid w:val="0065674E"/>
    <w:rsid w:val="0065681E"/>
    <w:rsid w:val="00656846"/>
    <w:rsid w:val="006568A8"/>
    <w:rsid w:val="006568D4"/>
    <w:rsid w:val="0065690A"/>
    <w:rsid w:val="00656AAA"/>
    <w:rsid w:val="00656F7F"/>
    <w:rsid w:val="00657066"/>
    <w:rsid w:val="0065714C"/>
    <w:rsid w:val="006571DE"/>
    <w:rsid w:val="006572F0"/>
    <w:rsid w:val="006573F9"/>
    <w:rsid w:val="0065751D"/>
    <w:rsid w:val="006575ED"/>
    <w:rsid w:val="00657641"/>
    <w:rsid w:val="00657831"/>
    <w:rsid w:val="00657A04"/>
    <w:rsid w:val="00657F72"/>
    <w:rsid w:val="006601AA"/>
    <w:rsid w:val="0066025D"/>
    <w:rsid w:val="006602DD"/>
    <w:rsid w:val="0066034F"/>
    <w:rsid w:val="0066037F"/>
    <w:rsid w:val="0066039E"/>
    <w:rsid w:val="006603E1"/>
    <w:rsid w:val="006604AB"/>
    <w:rsid w:val="00660562"/>
    <w:rsid w:val="0066072A"/>
    <w:rsid w:val="006608DA"/>
    <w:rsid w:val="00660A05"/>
    <w:rsid w:val="00660A9C"/>
    <w:rsid w:val="00660AE4"/>
    <w:rsid w:val="00660D10"/>
    <w:rsid w:val="00660FD5"/>
    <w:rsid w:val="00661065"/>
    <w:rsid w:val="006613FC"/>
    <w:rsid w:val="0066142B"/>
    <w:rsid w:val="006614D6"/>
    <w:rsid w:val="00661577"/>
    <w:rsid w:val="0066182B"/>
    <w:rsid w:val="006619C3"/>
    <w:rsid w:val="00661BCA"/>
    <w:rsid w:val="00661D15"/>
    <w:rsid w:val="006620BF"/>
    <w:rsid w:val="006622AF"/>
    <w:rsid w:val="006625DA"/>
    <w:rsid w:val="00662672"/>
    <w:rsid w:val="006626A8"/>
    <w:rsid w:val="006626B0"/>
    <w:rsid w:val="00662AD3"/>
    <w:rsid w:val="00662ADE"/>
    <w:rsid w:val="00662ADF"/>
    <w:rsid w:val="00662AE3"/>
    <w:rsid w:val="00662B55"/>
    <w:rsid w:val="00662CBB"/>
    <w:rsid w:val="00662DA4"/>
    <w:rsid w:val="00662EDA"/>
    <w:rsid w:val="00663073"/>
    <w:rsid w:val="006630E5"/>
    <w:rsid w:val="0066322B"/>
    <w:rsid w:val="006635E6"/>
    <w:rsid w:val="00663713"/>
    <w:rsid w:val="0066374B"/>
    <w:rsid w:val="0066377F"/>
    <w:rsid w:val="0066384A"/>
    <w:rsid w:val="00663A26"/>
    <w:rsid w:val="00663AF4"/>
    <w:rsid w:val="00663B15"/>
    <w:rsid w:val="00663B61"/>
    <w:rsid w:val="00663CDF"/>
    <w:rsid w:val="00663DA5"/>
    <w:rsid w:val="00663E3D"/>
    <w:rsid w:val="00663F50"/>
    <w:rsid w:val="0066405B"/>
    <w:rsid w:val="00664075"/>
    <w:rsid w:val="00664124"/>
    <w:rsid w:val="0066431C"/>
    <w:rsid w:val="00664787"/>
    <w:rsid w:val="006649D6"/>
    <w:rsid w:val="00664A43"/>
    <w:rsid w:val="00664B11"/>
    <w:rsid w:val="00664BA3"/>
    <w:rsid w:val="00664D97"/>
    <w:rsid w:val="0066505A"/>
    <w:rsid w:val="00665064"/>
    <w:rsid w:val="006650FF"/>
    <w:rsid w:val="0066525A"/>
    <w:rsid w:val="006655AD"/>
    <w:rsid w:val="00665AC7"/>
    <w:rsid w:val="00665B44"/>
    <w:rsid w:val="00665B94"/>
    <w:rsid w:val="00665C39"/>
    <w:rsid w:val="00665D0A"/>
    <w:rsid w:val="00665D22"/>
    <w:rsid w:val="00665F72"/>
    <w:rsid w:val="00665FC3"/>
    <w:rsid w:val="00666278"/>
    <w:rsid w:val="00666286"/>
    <w:rsid w:val="00666292"/>
    <w:rsid w:val="006662E1"/>
    <w:rsid w:val="006663A3"/>
    <w:rsid w:val="00666A07"/>
    <w:rsid w:val="00666D09"/>
    <w:rsid w:val="00666D24"/>
    <w:rsid w:val="00666DE2"/>
    <w:rsid w:val="00666F1A"/>
    <w:rsid w:val="00667028"/>
    <w:rsid w:val="00667045"/>
    <w:rsid w:val="0066716E"/>
    <w:rsid w:val="0066739A"/>
    <w:rsid w:val="006673E5"/>
    <w:rsid w:val="00667488"/>
    <w:rsid w:val="006674DD"/>
    <w:rsid w:val="00667828"/>
    <w:rsid w:val="006678D9"/>
    <w:rsid w:val="00667922"/>
    <w:rsid w:val="00667C7B"/>
    <w:rsid w:val="00667D58"/>
    <w:rsid w:val="00667E70"/>
    <w:rsid w:val="00667FB2"/>
    <w:rsid w:val="0067018E"/>
    <w:rsid w:val="006702AF"/>
    <w:rsid w:val="006702F6"/>
    <w:rsid w:val="006702FB"/>
    <w:rsid w:val="00670309"/>
    <w:rsid w:val="006703A1"/>
    <w:rsid w:val="006703B2"/>
    <w:rsid w:val="0067051D"/>
    <w:rsid w:val="00670599"/>
    <w:rsid w:val="006705D8"/>
    <w:rsid w:val="00670734"/>
    <w:rsid w:val="00670ACB"/>
    <w:rsid w:val="00670AE4"/>
    <w:rsid w:val="00670BC1"/>
    <w:rsid w:val="00670BFD"/>
    <w:rsid w:val="00670C9A"/>
    <w:rsid w:val="00670FC4"/>
    <w:rsid w:val="00670FCF"/>
    <w:rsid w:val="00671095"/>
    <w:rsid w:val="006711AF"/>
    <w:rsid w:val="006711DD"/>
    <w:rsid w:val="006713BD"/>
    <w:rsid w:val="006713C2"/>
    <w:rsid w:val="00671426"/>
    <w:rsid w:val="00671454"/>
    <w:rsid w:val="00671551"/>
    <w:rsid w:val="00671886"/>
    <w:rsid w:val="0067197D"/>
    <w:rsid w:val="00671A0B"/>
    <w:rsid w:val="00671CB4"/>
    <w:rsid w:val="00671D0F"/>
    <w:rsid w:val="00671D67"/>
    <w:rsid w:val="00671E0D"/>
    <w:rsid w:val="00671E62"/>
    <w:rsid w:val="00671FA1"/>
    <w:rsid w:val="006720F4"/>
    <w:rsid w:val="0067224D"/>
    <w:rsid w:val="00672390"/>
    <w:rsid w:val="00672603"/>
    <w:rsid w:val="006726CC"/>
    <w:rsid w:val="006727A9"/>
    <w:rsid w:val="00672995"/>
    <w:rsid w:val="00672A33"/>
    <w:rsid w:val="00672AB1"/>
    <w:rsid w:val="00672B42"/>
    <w:rsid w:val="00672C30"/>
    <w:rsid w:val="00672CD5"/>
    <w:rsid w:val="00672F1B"/>
    <w:rsid w:val="006730D3"/>
    <w:rsid w:val="006733ED"/>
    <w:rsid w:val="006734B0"/>
    <w:rsid w:val="00673697"/>
    <w:rsid w:val="006736CB"/>
    <w:rsid w:val="00673889"/>
    <w:rsid w:val="006739AC"/>
    <w:rsid w:val="00673AFE"/>
    <w:rsid w:val="00673B80"/>
    <w:rsid w:val="00673B8E"/>
    <w:rsid w:val="00673BCC"/>
    <w:rsid w:val="00673CC1"/>
    <w:rsid w:val="00673D96"/>
    <w:rsid w:val="006741C5"/>
    <w:rsid w:val="006743F4"/>
    <w:rsid w:val="0067478C"/>
    <w:rsid w:val="00674793"/>
    <w:rsid w:val="00674871"/>
    <w:rsid w:val="00674B09"/>
    <w:rsid w:val="00674D8C"/>
    <w:rsid w:val="00674F3E"/>
    <w:rsid w:val="00675171"/>
    <w:rsid w:val="006752E8"/>
    <w:rsid w:val="0067577E"/>
    <w:rsid w:val="006757AD"/>
    <w:rsid w:val="00675916"/>
    <w:rsid w:val="00675949"/>
    <w:rsid w:val="00675AA4"/>
    <w:rsid w:val="00675AB1"/>
    <w:rsid w:val="00675C55"/>
    <w:rsid w:val="00675E4E"/>
    <w:rsid w:val="00675F1E"/>
    <w:rsid w:val="0067600E"/>
    <w:rsid w:val="0067612B"/>
    <w:rsid w:val="006762E6"/>
    <w:rsid w:val="006763E6"/>
    <w:rsid w:val="00676441"/>
    <w:rsid w:val="006764EC"/>
    <w:rsid w:val="00676525"/>
    <w:rsid w:val="00676667"/>
    <w:rsid w:val="0067672D"/>
    <w:rsid w:val="0067688F"/>
    <w:rsid w:val="00676908"/>
    <w:rsid w:val="00676911"/>
    <w:rsid w:val="006769A5"/>
    <w:rsid w:val="006769D1"/>
    <w:rsid w:val="00676E36"/>
    <w:rsid w:val="00677007"/>
    <w:rsid w:val="006771D5"/>
    <w:rsid w:val="0067738C"/>
    <w:rsid w:val="00677476"/>
    <w:rsid w:val="006774C3"/>
    <w:rsid w:val="00677646"/>
    <w:rsid w:val="006777FC"/>
    <w:rsid w:val="00677858"/>
    <w:rsid w:val="00677922"/>
    <w:rsid w:val="00677BE8"/>
    <w:rsid w:val="00677C5E"/>
    <w:rsid w:val="00677C7A"/>
    <w:rsid w:val="00677CF9"/>
    <w:rsid w:val="00677D84"/>
    <w:rsid w:val="00677E67"/>
    <w:rsid w:val="0068001A"/>
    <w:rsid w:val="00680198"/>
    <w:rsid w:val="006801E9"/>
    <w:rsid w:val="006803C9"/>
    <w:rsid w:val="00680593"/>
    <w:rsid w:val="00680614"/>
    <w:rsid w:val="0068069C"/>
    <w:rsid w:val="00680993"/>
    <w:rsid w:val="00680A8D"/>
    <w:rsid w:val="00680AED"/>
    <w:rsid w:val="00680C8C"/>
    <w:rsid w:val="0068108B"/>
    <w:rsid w:val="00681272"/>
    <w:rsid w:val="00681532"/>
    <w:rsid w:val="006815B3"/>
    <w:rsid w:val="00681684"/>
    <w:rsid w:val="00681711"/>
    <w:rsid w:val="00681777"/>
    <w:rsid w:val="006817CD"/>
    <w:rsid w:val="006817DB"/>
    <w:rsid w:val="00681810"/>
    <w:rsid w:val="00681922"/>
    <w:rsid w:val="006819CD"/>
    <w:rsid w:val="00681B7C"/>
    <w:rsid w:val="00681D4C"/>
    <w:rsid w:val="00681E28"/>
    <w:rsid w:val="00681E7B"/>
    <w:rsid w:val="00681FB5"/>
    <w:rsid w:val="006820EB"/>
    <w:rsid w:val="00682129"/>
    <w:rsid w:val="0068213F"/>
    <w:rsid w:val="00682203"/>
    <w:rsid w:val="006827FC"/>
    <w:rsid w:val="0068282D"/>
    <w:rsid w:val="006828B9"/>
    <w:rsid w:val="00682A5B"/>
    <w:rsid w:val="00682AA9"/>
    <w:rsid w:val="00682B86"/>
    <w:rsid w:val="00682B9A"/>
    <w:rsid w:val="00682BBB"/>
    <w:rsid w:val="00682D74"/>
    <w:rsid w:val="00682D7A"/>
    <w:rsid w:val="00682DC7"/>
    <w:rsid w:val="00682ED5"/>
    <w:rsid w:val="00682F3D"/>
    <w:rsid w:val="00682FE8"/>
    <w:rsid w:val="006830CD"/>
    <w:rsid w:val="00683115"/>
    <w:rsid w:val="00683176"/>
    <w:rsid w:val="00683190"/>
    <w:rsid w:val="006831F2"/>
    <w:rsid w:val="0068336D"/>
    <w:rsid w:val="0068355E"/>
    <w:rsid w:val="006835A8"/>
    <w:rsid w:val="00683607"/>
    <w:rsid w:val="00683631"/>
    <w:rsid w:val="006838F2"/>
    <w:rsid w:val="00683977"/>
    <w:rsid w:val="00683CA5"/>
    <w:rsid w:val="00683DFC"/>
    <w:rsid w:val="00683F04"/>
    <w:rsid w:val="006840E0"/>
    <w:rsid w:val="00684309"/>
    <w:rsid w:val="00684422"/>
    <w:rsid w:val="006844EA"/>
    <w:rsid w:val="00684742"/>
    <w:rsid w:val="0068482B"/>
    <w:rsid w:val="006848BE"/>
    <w:rsid w:val="0068496A"/>
    <w:rsid w:val="0068499E"/>
    <w:rsid w:val="00684B75"/>
    <w:rsid w:val="00684BFD"/>
    <w:rsid w:val="00684D89"/>
    <w:rsid w:val="0068518F"/>
    <w:rsid w:val="006851B3"/>
    <w:rsid w:val="00685355"/>
    <w:rsid w:val="0068542C"/>
    <w:rsid w:val="006855A0"/>
    <w:rsid w:val="006856D6"/>
    <w:rsid w:val="00685709"/>
    <w:rsid w:val="006857B7"/>
    <w:rsid w:val="00685992"/>
    <w:rsid w:val="00685C58"/>
    <w:rsid w:val="00685C70"/>
    <w:rsid w:val="00685CEE"/>
    <w:rsid w:val="00685DD1"/>
    <w:rsid w:val="00685FE0"/>
    <w:rsid w:val="0068616B"/>
    <w:rsid w:val="006861FF"/>
    <w:rsid w:val="00686311"/>
    <w:rsid w:val="00686321"/>
    <w:rsid w:val="00686383"/>
    <w:rsid w:val="006866C9"/>
    <w:rsid w:val="00686739"/>
    <w:rsid w:val="00686745"/>
    <w:rsid w:val="0068676C"/>
    <w:rsid w:val="006867C9"/>
    <w:rsid w:val="00686956"/>
    <w:rsid w:val="00686A6E"/>
    <w:rsid w:val="00686AF2"/>
    <w:rsid w:val="00686D03"/>
    <w:rsid w:val="00686EBF"/>
    <w:rsid w:val="00686F6C"/>
    <w:rsid w:val="00686F6F"/>
    <w:rsid w:val="00687101"/>
    <w:rsid w:val="0068718F"/>
    <w:rsid w:val="006871A0"/>
    <w:rsid w:val="0068735D"/>
    <w:rsid w:val="00687381"/>
    <w:rsid w:val="0068744E"/>
    <w:rsid w:val="0068751F"/>
    <w:rsid w:val="006875A8"/>
    <w:rsid w:val="006876B6"/>
    <w:rsid w:val="00687B0E"/>
    <w:rsid w:val="00687B5E"/>
    <w:rsid w:val="00687CBE"/>
    <w:rsid w:val="00687D09"/>
    <w:rsid w:val="00687F66"/>
    <w:rsid w:val="00687FE6"/>
    <w:rsid w:val="00690042"/>
    <w:rsid w:val="006900E4"/>
    <w:rsid w:val="006901CB"/>
    <w:rsid w:val="0069048D"/>
    <w:rsid w:val="006905D1"/>
    <w:rsid w:val="006906DA"/>
    <w:rsid w:val="006907DD"/>
    <w:rsid w:val="006907E4"/>
    <w:rsid w:val="006908FF"/>
    <w:rsid w:val="00690A0B"/>
    <w:rsid w:val="00690A91"/>
    <w:rsid w:val="00690AAC"/>
    <w:rsid w:val="00690DBB"/>
    <w:rsid w:val="00690E0D"/>
    <w:rsid w:val="00690E4C"/>
    <w:rsid w:val="00690F1F"/>
    <w:rsid w:val="0069103B"/>
    <w:rsid w:val="00691189"/>
    <w:rsid w:val="00691343"/>
    <w:rsid w:val="00691348"/>
    <w:rsid w:val="0069141A"/>
    <w:rsid w:val="00691436"/>
    <w:rsid w:val="006914FD"/>
    <w:rsid w:val="006915F4"/>
    <w:rsid w:val="00691626"/>
    <w:rsid w:val="0069180B"/>
    <w:rsid w:val="00691847"/>
    <w:rsid w:val="00691A94"/>
    <w:rsid w:val="00691B83"/>
    <w:rsid w:val="00691BB7"/>
    <w:rsid w:val="00691C10"/>
    <w:rsid w:val="00691CF3"/>
    <w:rsid w:val="00691E31"/>
    <w:rsid w:val="00691E86"/>
    <w:rsid w:val="00691F19"/>
    <w:rsid w:val="00691F77"/>
    <w:rsid w:val="0069204C"/>
    <w:rsid w:val="00692062"/>
    <w:rsid w:val="006920A9"/>
    <w:rsid w:val="006920FE"/>
    <w:rsid w:val="00692498"/>
    <w:rsid w:val="00692508"/>
    <w:rsid w:val="006926C4"/>
    <w:rsid w:val="006926D4"/>
    <w:rsid w:val="006926E2"/>
    <w:rsid w:val="00692706"/>
    <w:rsid w:val="0069279E"/>
    <w:rsid w:val="00692914"/>
    <w:rsid w:val="00692967"/>
    <w:rsid w:val="00692AB9"/>
    <w:rsid w:val="00692ACD"/>
    <w:rsid w:val="00692C79"/>
    <w:rsid w:val="00692D21"/>
    <w:rsid w:val="00692DF2"/>
    <w:rsid w:val="00692E14"/>
    <w:rsid w:val="00692E52"/>
    <w:rsid w:val="00692FB3"/>
    <w:rsid w:val="0069307E"/>
    <w:rsid w:val="00693086"/>
    <w:rsid w:val="006933DC"/>
    <w:rsid w:val="00693413"/>
    <w:rsid w:val="00693518"/>
    <w:rsid w:val="006935AF"/>
    <w:rsid w:val="006935FF"/>
    <w:rsid w:val="006936ED"/>
    <w:rsid w:val="006936FD"/>
    <w:rsid w:val="00693702"/>
    <w:rsid w:val="00693718"/>
    <w:rsid w:val="006938DE"/>
    <w:rsid w:val="00693A72"/>
    <w:rsid w:val="00693CE3"/>
    <w:rsid w:val="00693CFD"/>
    <w:rsid w:val="00693D50"/>
    <w:rsid w:val="00693D55"/>
    <w:rsid w:val="00693D78"/>
    <w:rsid w:val="00693FB8"/>
    <w:rsid w:val="0069414D"/>
    <w:rsid w:val="006942D1"/>
    <w:rsid w:val="0069453B"/>
    <w:rsid w:val="006947CC"/>
    <w:rsid w:val="0069495B"/>
    <w:rsid w:val="00694A97"/>
    <w:rsid w:val="00694AD0"/>
    <w:rsid w:val="00694BEB"/>
    <w:rsid w:val="00694D0F"/>
    <w:rsid w:val="00694D4B"/>
    <w:rsid w:val="00694D97"/>
    <w:rsid w:val="00694E7F"/>
    <w:rsid w:val="00694EBE"/>
    <w:rsid w:val="00694F35"/>
    <w:rsid w:val="00695008"/>
    <w:rsid w:val="00695137"/>
    <w:rsid w:val="0069531E"/>
    <w:rsid w:val="006953AC"/>
    <w:rsid w:val="006955D9"/>
    <w:rsid w:val="0069570F"/>
    <w:rsid w:val="0069575D"/>
    <w:rsid w:val="00695891"/>
    <w:rsid w:val="006959DD"/>
    <w:rsid w:val="00695A19"/>
    <w:rsid w:val="00695A37"/>
    <w:rsid w:val="00695B67"/>
    <w:rsid w:val="00695B8B"/>
    <w:rsid w:val="00695C66"/>
    <w:rsid w:val="00695EDC"/>
    <w:rsid w:val="00696037"/>
    <w:rsid w:val="0069607F"/>
    <w:rsid w:val="006961FB"/>
    <w:rsid w:val="006962EE"/>
    <w:rsid w:val="006963FE"/>
    <w:rsid w:val="0069642F"/>
    <w:rsid w:val="00696481"/>
    <w:rsid w:val="0069655A"/>
    <w:rsid w:val="006965DD"/>
    <w:rsid w:val="006965EC"/>
    <w:rsid w:val="00696705"/>
    <w:rsid w:val="0069670C"/>
    <w:rsid w:val="00696716"/>
    <w:rsid w:val="00696890"/>
    <w:rsid w:val="00696912"/>
    <w:rsid w:val="006969FD"/>
    <w:rsid w:val="00696ACC"/>
    <w:rsid w:val="00696B04"/>
    <w:rsid w:val="00696BEF"/>
    <w:rsid w:val="00696C87"/>
    <w:rsid w:val="00696DFA"/>
    <w:rsid w:val="00696E57"/>
    <w:rsid w:val="00696EB4"/>
    <w:rsid w:val="00696ED3"/>
    <w:rsid w:val="00697112"/>
    <w:rsid w:val="00697232"/>
    <w:rsid w:val="0069735D"/>
    <w:rsid w:val="006973C7"/>
    <w:rsid w:val="00697475"/>
    <w:rsid w:val="0069752C"/>
    <w:rsid w:val="006975E8"/>
    <w:rsid w:val="006976F2"/>
    <w:rsid w:val="006977F8"/>
    <w:rsid w:val="00697EE3"/>
    <w:rsid w:val="00697F78"/>
    <w:rsid w:val="00697FA7"/>
    <w:rsid w:val="00697FF1"/>
    <w:rsid w:val="006A0167"/>
    <w:rsid w:val="006A01A2"/>
    <w:rsid w:val="006A02DB"/>
    <w:rsid w:val="006A0433"/>
    <w:rsid w:val="006A0562"/>
    <w:rsid w:val="006A057E"/>
    <w:rsid w:val="006A0592"/>
    <w:rsid w:val="006A0777"/>
    <w:rsid w:val="006A0890"/>
    <w:rsid w:val="006A08AF"/>
    <w:rsid w:val="006A09EE"/>
    <w:rsid w:val="006A0DFA"/>
    <w:rsid w:val="006A0EE1"/>
    <w:rsid w:val="006A0FB1"/>
    <w:rsid w:val="006A0FDA"/>
    <w:rsid w:val="006A0FFD"/>
    <w:rsid w:val="006A116E"/>
    <w:rsid w:val="006A1176"/>
    <w:rsid w:val="006A1249"/>
    <w:rsid w:val="006A127E"/>
    <w:rsid w:val="006A12A8"/>
    <w:rsid w:val="006A13F0"/>
    <w:rsid w:val="006A140B"/>
    <w:rsid w:val="006A1592"/>
    <w:rsid w:val="006A18AB"/>
    <w:rsid w:val="006A1BCD"/>
    <w:rsid w:val="006A1D5E"/>
    <w:rsid w:val="006A1DEA"/>
    <w:rsid w:val="006A1E7F"/>
    <w:rsid w:val="006A1E9B"/>
    <w:rsid w:val="006A1EF8"/>
    <w:rsid w:val="006A1F13"/>
    <w:rsid w:val="006A21BE"/>
    <w:rsid w:val="006A2255"/>
    <w:rsid w:val="006A22AE"/>
    <w:rsid w:val="006A22ED"/>
    <w:rsid w:val="006A231B"/>
    <w:rsid w:val="006A235E"/>
    <w:rsid w:val="006A24C1"/>
    <w:rsid w:val="006A25AC"/>
    <w:rsid w:val="006A2810"/>
    <w:rsid w:val="006A29C0"/>
    <w:rsid w:val="006A2AD6"/>
    <w:rsid w:val="006A2B34"/>
    <w:rsid w:val="006A2C5F"/>
    <w:rsid w:val="006A2E32"/>
    <w:rsid w:val="006A304F"/>
    <w:rsid w:val="006A30ED"/>
    <w:rsid w:val="006A3264"/>
    <w:rsid w:val="006A3579"/>
    <w:rsid w:val="006A35C4"/>
    <w:rsid w:val="006A36E9"/>
    <w:rsid w:val="006A381E"/>
    <w:rsid w:val="006A384C"/>
    <w:rsid w:val="006A3986"/>
    <w:rsid w:val="006A3A25"/>
    <w:rsid w:val="006A3A35"/>
    <w:rsid w:val="006A3A3A"/>
    <w:rsid w:val="006A3D28"/>
    <w:rsid w:val="006A3DB7"/>
    <w:rsid w:val="006A409C"/>
    <w:rsid w:val="006A4508"/>
    <w:rsid w:val="006A4658"/>
    <w:rsid w:val="006A46AE"/>
    <w:rsid w:val="006A4981"/>
    <w:rsid w:val="006A49ED"/>
    <w:rsid w:val="006A4C6C"/>
    <w:rsid w:val="006A4D12"/>
    <w:rsid w:val="006A4E2F"/>
    <w:rsid w:val="006A4F38"/>
    <w:rsid w:val="006A4FD5"/>
    <w:rsid w:val="006A51B4"/>
    <w:rsid w:val="006A551A"/>
    <w:rsid w:val="006A55D2"/>
    <w:rsid w:val="006A561C"/>
    <w:rsid w:val="006A5737"/>
    <w:rsid w:val="006A57C8"/>
    <w:rsid w:val="006A59CB"/>
    <w:rsid w:val="006A5ADD"/>
    <w:rsid w:val="006A5C87"/>
    <w:rsid w:val="006A5DB5"/>
    <w:rsid w:val="006A5DD4"/>
    <w:rsid w:val="006A601A"/>
    <w:rsid w:val="006A604C"/>
    <w:rsid w:val="006A60EE"/>
    <w:rsid w:val="006A6345"/>
    <w:rsid w:val="006A63D1"/>
    <w:rsid w:val="006A6440"/>
    <w:rsid w:val="006A64E0"/>
    <w:rsid w:val="006A66E3"/>
    <w:rsid w:val="006A67B6"/>
    <w:rsid w:val="006A6833"/>
    <w:rsid w:val="006A6953"/>
    <w:rsid w:val="006A69CB"/>
    <w:rsid w:val="006A69D9"/>
    <w:rsid w:val="006A6A51"/>
    <w:rsid w:val="006A6B8C"/>
    <w:rsid w:val="006A6BE9"/>
    <w:rsid w:val="006A6E50"/>
    <w:rsid w:val="006A6E58"/>
    <w:rsid w:val="006A6F86"/>
    <w:rsid w:val="006A6FBB"/>
    <w:rsid w:val="006A7055"/>
    <w:rsid w:val="006A72DE"/>
    <w:rsid w:val="006A741E"/>
    <w:rsid w:val="006A7558"/>
    <w:rsid w:val="006A785D"/>
    <w:rsid w:val="006A7E5E"/>
    <w:rsid w:val="006A7F3A"/>
    <w:rsid w:val="006B01AD"/>
    <w:rsid w:val="006B01D9"/>
    <w:rsid w:val="006B0336"/>
    <w:rsid w:val="006B0408"/>
    <w:rsid w:val="006B048F"/>
    <w:rsid w:val="006B0675"/>
    <w:rsid w:val="006B091B"/>
    <w:rsid w:val="006B0935"/>
    <w:rsid w:val="006B0BC5"/>
    <w:rsid w:val="006B0CB4"/>
    <w:rsid w:val="006B0D5D"/>
    <w:rsid w:val="006B0DC2"/>
    <w:rsid w:val="006B0DCB"/>
    <w:rsid w:val="006B101C"/>
    <w:rsid w:val="006B1071"/>
    <w:rsid w:val="006B113E"/>
    <w:rsid w:val="006B12C7"/>
    <w:rsid w:val="006B1622"/>
    <w:rsid w:val="006B17C7"/>
    <w:rsid w:val="006B1823"/>
    <w:rsid w:val="006B189F"/>
    <w:rsid w:val="006B190F"/>
    <w:rsid w:val="006B19F6"/>
    <w:rsid w:val="006B1A8A"/>
    <w:rsid w:val="006B1B20"/>
    <w:rsid w:val="006B1BD7"/>
    <w:rsid w:val="006B1D44"/>
    <w:rsid w:val="006B1DC7"/>
    <w:rsid w:val="006B1EF9"/>
    <w:rsid w:val="006B2076"/>
    <w:rsid w:val="006B23B3"/>
    <w:rsid w:val="006B24A2"/>
    <w:rsid w:val="006B24D4"/>
    <w:rsid w:val="006B2547"/>
    <w:rsid w:val="006B2587"/>
    <w:rsid w:val="006B2633"/>
    <w:rsid w:val="006B27A7"/>
    <w:rsid w:val="006B286A"/>
    <w:rsid w:val="006B2899"/>
    <w:rsid w:val="006B28E3"/>
    <w:rsid w:val="006B2A3C"/>
    <w:rsid w:val="006B2B7C"/>
    <w:rsid w:val="006B2BE3"/>
    <w:rsid w:val="006B2D85"/>
    <w:rsid w:val="006B2EE3"/>
    <w:rsid w:val="006B3337"/>
    <w:rsid w:val="006B341A"/>
    <w:rsid w:val="006B348A"/>
    <w:rsid w:val="006B34EC"/>
    <w:rsid w:val="006B3668"/>
    <w:rsid w:val="006B36BE"/>
    <w:rsid w:val="006B3788"/>
    <w:rsid w:val="006B37A5"/>
    <w:rsid w:val="006B37E8"/>
    <w:rsid w:val="006B38C4"/>
    <w:rsid w:val="006B3AB1"/>
    <w:rsid w:val="006B3AF3"/>
    <w:rsid w:val="006B3B74"/>
    <w:rsid w:val="006B3EDE"/>
    <w:rsid w:val="006B3F9E"/>
    <w:rsid w:val="006B3FED"/>
    <w:rsid w:val="006B404C"/>
    <w:rsid w:val="006B405C"/>
    <w:rsid w:val="006B4071"/>
    <w:rsid w:val="006B4184"/>
    <w:rsid w:val="006B441B"/>
    <w:rsid w:val="006B4424"/>
    <w:rsid w:val="006B44D2"/>
    <w:rsid w:val="006B45C2"/>
    <w:rsid w:val="006B45FE"/>
    <w:rsid w:val="006B460C"/>
    <w:rsid w:val="006B471B"/>
    <w:rsid w:val="006B4BC3"/>
    <w:rsid w:val="006B4CED"/>
    <w:rsid w:val="006B4F23"/>
    <w:rsid w:val="006B4FCB"/>
    <w:rsid w:val="006B511E"/>
    <w:rsid w:val="006B521F"/>
    <w:rsid w:val="006B53DE"/>
    <w:rsid w:val="006B547E"/>
    <w:rsid w:val="006B54E5"/>
    <w:rsid w:val="006B5636"/>
    <w:rsid w:val="006B5643"/>
    <w:rsid w:val="006B5745"/>
    <w:rsid w:val="006B5801"/>
    <w:rsid w:val="006B586A"/>
    <w:rsid w:val="006B5AE9"/>
    <w:rsid w:val="006B5B43"/>
    <w:rsid w:val="006B5D10"/>
    <w:rsid w:val="006B5D49"/>
    <w:rsid w:val="006B5D7E"/>
    <w:rsid w:val="006B5D8B"/>
    <w:rsid w:val="006B5E21"/>
    <w:rsid w:val="006B5E90"/>
    <w:rsid w:val="006B60F1"/>
    <w:rsid w:val="006B6226"/>
    <w:rsid w:val="006B63D6"/>
    <w:rsid w:val="006B6472"/>
    <w:rsid w:val="006B651E"/>
    <w:rsid w:val="006B65B6"/>
    <w:rsid w:val="006B65F1"/>
    <w:rsid w:val="006B67B4"/>
    <w:rsid w:val="006B6A17"/>
    <w:rsid w:val="006B6A2A"/>
    <w:rsid w:val="006B6A6F"/>
    <w:rsid w:val="006B6B24"/>
    <w:rsid w:val="006B6B25"/>
    <w:rsid w:val="006B6C8A"/>
    <w:rsid w:val="006B6DE7"/>
    <w:rsid w:val="006B6E49"/>
    <w:rsid w:val="006B6EB9"/>
    <w:rsid w:val="006B6EC1"/>
    <w:rsid w:val="006B6FC4"/>
    <w:rsid w:val="006B7150"/>
    <w:rsid w:val="006B7250"/>
    <w:rsid w:val="006B740E"/>
    <w:rsid w:val="006B74C3"/>
    <w:rsid w:val="006B76E9"/>
    <w:rsid w:val="006B76FF"/>
    <w:rsid w:val="006B772C"/>
    <w:rsid w:val="006B7733"/>
    <w:rsid w:val="006B7845"/>
    <w:rsid w:val="006B7925"/>
    <w:rsid w:val="006B7A8B"/>
    <w:rsid w:val="006B7BD7"/>
    <w:rsid w:val="006B7BDD"/>
    <w:rsid w:val="006B7C7A"/>
    <w:rsid w:val="006B7CA6"/>
    <w:rsid w:val="006B7DEF"/>
    <w:rsid w:val="006B7F26"/>
    <w:rsid w:val="006C017E"/>
    <w:rsid w:val="006C02E9"/>
    <w:rsid w:val="006C038F"/>
    <w:rsid w:val="006C0481"/>
    <w:rsid w:val="006C04EE"/>
    <w:rsid w:val="006C0609"/>
    <w:rsid w:val="006C06BF"/>
    <w:rsid w:val="006C0729"/>
    <w:rsid w:val="006C0786"/>
    <w:rsid w:val="006C0A41"/>
    <w:rsid w:val="006C0A87"/>
    <w:rsid w:val="006C0AFD"/>
    <w:rsid w:val="006C0B12"/>
    <w:rsid w:val="006C0BAE"/>
    <w:rsid w:val="006C0D8E"/>
    <w:rsid w:val="006C0E31"/>
    <w:rsid w:val="006C0E87"/>
    <w:rsid w:val="006C0FC2"/>
    <w:rsid w:val="006C1039"/>
    <w:rsid w:val="006C11D5"/>
    <w:rsid w:val="006C13D6"/>
    <w:rsid w:val="006C1639"/>
    <w:rsid w:val="006C1693"/>
    <w:rsid w:val="006C16EA"/>
    <w:rsid w:val="006C16F4"/>
    <w:rsid w:val="006C1747"/>
    <w:rsid w:val="006C17C0"/>
    <w:rsid w:val="006C18B8"/>
    <w:rsid w:val="006C18EC"/>
    <w:rsid w:val="006C19B1"/>
    <w:rsid w:val="006C1AC7"/>
    <w:rsid w:val="006C1D44"/>
    <w:rsid w:val="006C2061"/>
    <w:rsid w:val="006C2158"/>
    <w:rsid w:val="006C2245"/>
    <w:rsid w:val="006C23EC"/>
    <w:rsid w:val="006C2438"/>
    <w:rsid w:val="006C2481"/>
    <w:rsid w:val="006C252F"/>
    <w:rsid w:val="006C26CA"/>
    <w:rsid w:val="006C287F"/>
    <w:rsid w:val="006C2A52"/>
    <w:rsid w:val="006C2C3B"/>
    <w:rsid w:val="006C2D6A"/>
    <w:rsid w:val="006C2D84"/>
    <w:rsid w:val="006C3035"/>
    <w:rsid w:val="006C3134"/>
    <w:rsid w:val="006C3165"/>
    <w:rsid w:val="006C317F"/>
    <w:rsid w:val="006C32C8"/>
    <w:rsid w:val="006C3351"/>
    <w:rsid w:val="006C3390"/>
    <w:rsid w:val="006C3696"/>
    <w:rsid w:val="006C3731"/>
    <w:rsid w:val="006C380A"/>
    <w:rsid w:val="006C391E"/>
    <w:rsid w:val="006C39CA"/>
    <w:rsid w:val="006C39EC"/>
    <w:rsid w:val="006C3A76"/>
    <w:rsid w:val="006C3BD4"/>
    <w:rsid w:val="006C3C03"/>
    <w:rsid w:val="006C3DAC"/>
    <w:rsid w:val="006C405F"/>
    <w:rsid w:val="006C414D"/>
    <w:rsid w:val="006C41A6"/>
    <w:rsid w:val="006C41F9"/>
    <w:rsid w:val="006C440C"/>
    <w:rsid w:val="006C44D4"/>
    <w:rsid w:val="006C4600"/>
    <w:rsid w:val="006C461B"/>
    <w:rsid w:val="006C4635"/>
    <w:rsid w:val="006C472D"/>
    <w:rsid w:val="006C48F1"/>
    <w:rsid w:val="006C490F"/>
    <w:rsid w:val="006C4971"/>
    <w:rsid w:val="006C497C"/>
    <w:rsid w:val="006C497E"/>
    <w:rsid w:val="006C4A4E"/>
    <w:rsid w:val="006C4A8B"/>
    <w:rsid w:val="006C4B53"/>
    <w:rsid w:val="006C4B7F"/>
    <w:rsid w:val="006C4E34"/>
    <w:rsid w:val="006C4F6D"/>
    <w:rsid w:val="006C520D"/>
    <w:rsid w:val="006C536F"/>
    <w:rsid w:val="006C5385"/>
    <w:rsid w:val="006C5420"/>
    <w:rsid w:val="006C548C"/>
    <w:rsid w:val="006C550D"/>
    <w:rsid w:val="006C56BD"/>
    <w:rsid w:val="006C56D5"/>
    <w:rsid w:val="006C5831"/>
    <w:rsid w:val="006C5836"/>
    <w:rsid w:val="006C5879"/>
    <w:rsid w:val="006C58CB"/>
    <w:rsid w:val="006C59E7"/>
    <w:rsid w:val="006C5B34"/>
    <w:rsid w:val="006C5D7F"/>
    <w:rsid w:val="006C5E94"/>
    <w:rsid w:val="006C5EBC"/>
    <w:rsid w:val="006C5FC0"/>
    <w:rsid w:val="006C6000"/>
    <w:rsid w:val="006C6100"/>
    <w:rsid w:val="006C63D4"/>
    <w:rsid w:val="006C662B"/>
    <w:rsid w:val="006C666C"/>
    <w:rsid w:val="006C67BB"/>
    <w:rsid w:val="006C67D7"/>
    <w:rsid w:val="006C6958"/>
    <w:rsid w:val="006C6C7F"/>
    <w:rsid w:val="006C6D2C"/>
    <w:rsid w:val="006C6DCC"/>
    <w:rsid w:val="006C6DD5"/>
    <w:rsid w:val="006C6E01"/>
    <w:rsid w:val="006C6F24"/>
    <w:rsid w:val="006C6FFD"/>
    <w:rsid w:val="006C706A"/>
    <w:rsid w:val="006C70C0"/>
    <w:rsid w:val="006C71E2"/>
    <w:rsid w:val="006C7311"/>
    <w:rsid w:val="006C74A0"/>
    <w:rsid w:val="006C74B6"/>
    <w:rsid w:val="006C7559"/>
    <w:rsid w:val="006C778A"/>
    <w:rsid w:val="006C783D"/>
    <w:rsid w:val="006C78C4"/>
    <w:rsid w:val="006C7900"/>
    <w:rsid w:val="006C7924"/>
    <w:rsid w:val="006C7B77"/>
    <w:rsid w:val="006C7BEB"/>
    <w:rsid w:val="006C7C60"/>
    <w:rsid w:val="006C7CE0"/>
    <w:rsid w:val="006C7D1A"/>
    <w:rsid w:val="006C7F6F"/>
    <w:rsid w:val="006D02AB"/>
    <w:rsid w:val="006D032B"/>
    <w:rsid w:val="006D0395"/>
    <w:rsid w:val="006D04B2"/>
    <w:rsid w:val="006D0507"/>
    <w:rsid w:val="006D0586"/>
    <w:rsid w:val="006D05E5"/>
    <w:rsid w:val="006D0777"/>
    <w:rsid w:val="006D08FE"/>
    <w:rsid w:val="006D0BD9"/>
    <w:rsid w:val="006D0D31"/>
    <w:rsid w:val="006D0E96"/>
    <w:rsid w:val="006D0EDA"/>
    <w:rsid w:val="006D0F29"/>
    <w:rsid w:val="006D1110"/>
    <w:rsid w:val="006D1319"/>
    <w:rsid w:val="006D147C"/>
    <w:rsid w:val="006D1488"/>
    <w:rsid w:val="006D163F"/>
    <w:rsid w:val="006D1665"/>
    <w:rsid w:val="006D172A"/>
    <w:rsid w:val="006D18D2"/>
    <w:rsid w:val="006D1A92"/>
    <w:rsid w:val="006D1B7F"/>
    <w:rsid w:val="006D1D15"/>
    <w:rsid w:val="006D1DCD"/>
    <w:rsid w:val="006D1E5B"/>
    <w:rsid w:val="006D1FD6"/>
    <w:rsid w:val="006D2075"/>
    <w:rsid w:val="006D212A"/>
    <w:rsid w:val="006D22C1"/>
    <w:rsid w:val="006D23AE"/>
    <w:rsid w:val="006D2737"/>
    <w:rsid w:val="006D2896"/>
    <w:rsid w:val="006D2A5D"/>
    <w:rsid w:val="006D2CA2"/>
    <w:rsid w:val="006D2DA6"/>
    <w:rsid w:val="006D2DED"/>
    <w:rsid w:val="006D2E04"/>
    <w:rsid w:val="006D318B"/>
    <w:rsid w:val="006D31CF"/>
    <w:rsid w:val="006D31FC"/>
    <w:rsid w:val="006D328F"/>
    <w:rsid w:val="006D3433"/>
    <w:rsid w:val="006D3512"/>
    <w:rsid w:val="006D35DB"/>
    <w:rsid w:val="006D37FF"/>
    <w:rsid w:val="006D3A85"/>
    <w:rsid w:val="006D3A8B"/>
    <w:rsid w:val="006D3A99"/>
    <w:rsid w:val="006D3BB6"/>
    <w:rsid w:val="006D3C08"/>
    <w:rsid w:val="006D3C92"/>
    <w:rsid w:val="006D3D3B"/>
    <w:rsid w:val="006D3D3C"/>
    <w:rsid w:val="006D3FF3"/>
    <w:rsid w:val="006D42D5"/>
    <w:rsid w:val="006D4340"/>
    <w:rsid w:val="006D442E"/>
    <w:rsid w:val="006D45E2"/>
    <w:rsid w:val="006D460D"/>
    <w:rsid w:val="006D4622"/>
    <w:rsid w:val="006D4772"/>
    <w:rsid w:val="006D4813"/>
    <w:rsid w:val="006D4827"/>
    <w:rsid w:val="006D495F"/>
    <w:rsid w:val="006D4AAC"/>
    <w:rsid w:val="006D4BD3"/>
    <w:rsid w:val="006D4C93"/>
    <w:rsid w:val="006D4CB3"/>
    <w:rsid w:val="006D50E0"/>
    <w:rsid w:val="006D519B"/>
    <w:rsid w:val="006D51BE"/>
    <w:rsid w:val="006D5211"/>
    <w:rsid w:val="006D533F"/>
    <w:rsid w:val="006D5661"/>
    <w:rsid w:val="006D5943"/>
    <w:rsid w:val="006D5976"/>
    <w:rsid w:val="006D5992"/>
    <w:rsid w:val="006D5A3A"/>
    <w:rsid w:val="006D5A55"/>
    <w:rsid w:val="006D5B65"/>
    <w:rsid w:val="006D5B87"/>
    <w:rsid w:val="006D5D40"/>
    <w:rsid w:val="006D5F00"/>
    <w:rsid w:val="006D5F20"/>
    <w:rsid w:val="006D60EC"/>
    <w:rsid w:val="006D61DE"/>
    <w:rsid w:val="006D6747"/>
    <w:rsid w:val="006D6941"/>
    <w:rsid w:val="006D69C5"/>
    <w:rsid w:val="006D6A12"/>
    <w:rsid w:val="006D6BAF"/>
    <w:rsid w:val="006D6EA3"/>
    <w:rsid w:val="006D6FC1"/>
    <w:rsid w:val="006D71AF"/>
    <w:rsid w:val="006D7211"/>
    <w:rsid w:val="006D739D"/>
    <w:rsid w:val="006D73E2"/>
    <w:rsid w:val="006D759A"/>
    <w:rsid w:val="006D7ABD"/>
    <w:rsid w:val="006D7B39"/>
    <w:rsid w:val="006D7BB1"/>
    <w:rsid w:val="006D7E63"/>
    <w:rsid w:val="006D7E90"/>
    <w:rsid w:val="006D7F96"/>
    <w:rsid w:val="006E00E7"/>
    <w:rsid w:val="006E065C"/>
    <w:rsid w:val="006E06AE"/>
    <w:rsid w:val="006E0C57"/>
    <w:rsid w:val="006E0D49"/>
    <w:rsid w:val="006E0DE3"/>
    <w:rsid w:val="006E0E57"/>
    <w:rsid w:val="006E0FAB"/>
    <w:rsid w:val="006E11BC"/>
    <w:rsid w:val="006E11FA"/>
    <w:rsid w:val="006E143A"/>
    <w:rsid w:val="006E159A"/>
    <w:rsid w:val="006E15D8"/>
    <w:rsid w:val="006E1676"/>
    <w:rsid w:val="006E1731"/>
    <w:rsid w:val="006E19B4"/>
    <w:rsid w:val="006E1C82"/>
    <w:rsid w:val="006E1E22"/>
    <w:rsid w:val="006E1E5F"/>
    <w:rsid w:val="006E2100"/>
    <w:rsid w:val="006E2188"/>
    <w:rsid w:val="006E2399"/>
    <w:rsid w:val="006E23E5"/>
    <w:rsid w:val="006E24A7"/>
    <w:rsid w:val="006E254A"/>
    <w:rsid w:val="006E2A01"/>
    <w:rsid w:val="006E2A0F"/>
    <w:rsid w:val="006E2A67"/>
    <w:rsid w:val="006E2C15"/>
    <w:rsid w:val="006E2DCC"/>
    <w:rsid w:val="006E2F4F"/>
    <w:rsid w:val="006E30AD"/>
    <w:rsid w:val="006E3136"/>
    <w:rsid w:val="006E34B1"/>
    <w:rsid w:val="006E34FF"/>
    <w:rsid w:val="006E36A4"/>
    <w:rsid w:val="006E375A"/>
    <w:rsid w:val="006E3A2C"/>
    <w:rsid w:val="006E3A6F"/>
    <w:rsid w:val="006E3A88"/>
    <w:rsid w:val="006E3AEA"/>
    <w:rsid w:val="006E3B64"/>
    <w:rsid w:val="006E3CCF"/>
    <w:rsid w:val="006E3D2D"/>
    <w:rsid w:val="006E3E0D"/>
    <w:rsid w:val="006E3E8F"/>
    <w:rsid w:val="006E415E"/>
    <w:rsid w:val="006E41D8"/>
    <w:rsid w:val="006E47BA"/>
    <w:rsid w:val="006E484E"/>
    <w:rsid w:val="006E4A06"/>
    <w:rsid w:val="006E4A2B"/>
    <w:rsid w:val="006E4B3C"/>
    <w:rsid w:val="006E4B4B"/>
    <w:rsid w:val="006E4BAB"/>
    <w:rsid w:val="006E4C0A"/>
    <w:rsid w:val="006E4C81"/>
    <w:rsid w:val="006E4DE8"/>
    <w:rsid w:val="006E4DF9"/>
    <w:rsid w:val="006E4E80"/>
    <w:rsid w:val="006E4EF1"/>
    <w:rsid w:val="006E4F99"/>
    <w:rsid w:val="006E5059"/>
    <w:rsid w:val="006E5122"/>
    <w:rsid w:val="006E52C8"/>
    <w:rsid w:val="006E52FA"/>
    <w:rsid w:val="006E531D"/>
    <w:rsid w:val="006E538E"/>
    <w:rsid w:val="006E5448"/>
    <w:rsid w:val="006E5548"/>
    <w:rsid w:val="006E5636"/>
    <w:rsid w:val="006E56D1"/>
    <w:rsid w:val="006E5822"/>
    <w:rsid w:val="006E5852"/>
    <w:rsid w:val="006E5929"/>
    <w:rsid w:val="006E5940"/>
    <w:rsid w:val="006E5965"/>
    <w:rsid w:val="006E59DD"/>
    <w:rsid w:val="006E5B46"/>
    <w:rsid w:val="006E5D79"/>
    <w:rsid w:val="006E5DAC"/>
    <w:rsid w:val="006E5FAC"/>
    <w:rsid w:val="006E60F1"/>
    <w:rsid w:val="006E6102"/>
    <w:rsid w:val="006E614A"/>
    <w:rsid w:val="006E61D6"/>
    <w:rsid w:val="006E6266"/>
    <w:rsid w:val="006E6403"/>
    <w:rsid w:val="006E6657"/>
    <w:rsid w:val="006E684C"/>
    <w:rsid w:val="006E69E6"/>
    <w:rsid w:val="006E6A21"/>
    <w:rsid w:val="006E6B7A"/>
    <w:rsid w:val="006E6D63"/>
    <w:rsid w:val="006E6EF0"/>
    <w:rsid w:val="006E722B"/>
    <w:rsid w:val="006E72C7"/>
    <w:rsid w:val="006E73C0"/>
    <w:rsid w:val="006E7445"/>
    <w:rsid w:val="006E74CD"/>
    <w:rsid w:val="006E7511"/>
    <w:rsid w:val="006E75BC"/>
    <w:rsid w:val="006E7817"/>
    <w:rsid w:val="006E78A2"/>
    <w:rsid w:val="006E7928"/>
    <w:rsid w:val="006E79AC"/>
    <w:rsid w:val="006E79C9"/>
    <w:rsid w:val="006E79FD"/>
    <w:rsid w:val="006E7A76"/>
    <w:rsid w:val="006E7AA4"/>
    <w:rsid w:val="006E7B1E"/>
    <w:rsid w:val="006E7B44"/>
    <w:rsid w:val="006E7D05"/>
    <w:rsid w:val="006E7E7D"/>
    <w:rsid w:val="006E7E98"/>
    <w:rsid w:val="006E7F79"/>
    <w:rsid w:val="006F0023"/>
    <w:rsid w:val="006F042C"/>
    <w:rsid w:val="006F04BD"/>
    <w:rsid w:val="006F064D"/>
    <w:rsid w:val="006F06B0"/>
    <w:rsid w:val="006F0722"/>
    <w:rsid w:val="006F08BA"/>
    <w:rsid w:val="006F09C0"/>
    <w:rsid w:val="006F0AF7"/>
    <w:rsid w:val="006F0D0D"/>
    <w:rsid w:val="006F0DF8"/>
    <w:rsid w:val="006F0E5F"/>
    <w:rsid w:val="006F0E7A"/>
    <w:rsid w:val="006F0FB0"/>
    <w:rsid w:val="006F105B"/>
    <w:rsid w:val="006F124A"/>
    <w:rsid w:val="006F133C"/>
    <w:rsid w:val="006F157E"/>
    <w:rsid w:val="006F1608"/>
    <w:rsid w:val="006F17C8"/>
    <w:rsid w:val="006F1944"/>
    <w:rsid w:val="006F1B00"/>
    <w:rsid w:val="006F1B54"/>
    <w:rsid w:val="006F1B76"/>
    <w:rsid w:val="006F1C57"/>
    <w:rsid w:val="006F1DED"/>
    <w:rsid w:val="006F1EAD"/>
    <w:rsid w:val="006F1EF6"/>
    <w:rsid w:val="006F2188"/>
    <w:rsid w:val="006F2191"/>
    <w:rsid w:val="006F219D"/>
    <w:rsid w:val="006F21DF"/>
    <w:rsid w:val="006F2606"/>
    <w:rsid w:val="006F2759"/>
    <w:rsid w:val="006F28F6"/>
    <w:rsid w:val="006F2945"/>
    <w:rsid w:val="006F2A29"/>
    <w:rsid w:val="006F2D33"/>
    <w:rsid w:val="006F2D7A"/>
    <w:rsid w:val="006F2E01"/>
    <w:rsid w:val="006F2F79"/>
    <w:rsid w:val="006F2FBD"/>
    <w:rsid w:val="006F3032"/>
    <w:rsid w:val="006F3064"/>
    <w:rsid w:val="006F30A7"/>
    <w:rsid w:val="006F30A8"/>
    <w:rsid w:val="006F321D"/>
    <w:rsid w:val="006F3382"/>
    <w:rsid w:val="006F3439"/>
    <w:rsid w:val="006F34C2"/>
    <w:rsid w:val="006F3633"/>
    <w:rsid w:val="006F3877"/>
    <w:rsid w:val="006F3954"/>
    <w:rsid w:val="006F3B3E"/>
    <w:rsid w:val="006F3BEC"/>
    <w:rsid w:val="006F3BFC"/>
    <w:rsid w:val="006F3DDC"/>
    <w:rsid w:val="006F3EF2"/>
    <w:rsid w:val="006F3F50"/>
    <w:rsid w:val="006F3FAB"/>
    <w:rsid w:val="006F41AC"/>
    <w:rsid w:val="006F4220"/>
    <w:rsid w:val="006F4239"/>
    <w:rsid w:val="006F42CE"/>
    <w:rsid w:val="006F4360"/>
    <w:rsid w:val="006F43DF"/>
    <w:rsid w:val="006F455F"/>
    <w:rsid w:val="006F46C9"/>
    <w:rsid w:val="006F4A9F"/>
    <w:rsid w:val="006F4B7F"/>
    <w:rsid w:val="006F4DF6"/>
    <w:rsid w:val="006F5084"/>
    <w:rsid w:val="006F514E"/>
    <w:rsid w:val="006F51FD"/>
    <w:rsid w:val="006F541A"/>
    <w:rsid w:val="006F5420"/>
    <w:rsid w:val="006F585E"/>
    <w:rsid w:val="006F58BC"/>
    <w:rsid w:val="006F59FB"/>
    <w:rsid w:val="006F5A72"/>
    <w:rsid w:val="006F5AF8"/>
    <w:rsid w:val="006F5B01"/>
    <w:rsid w:val="006F5C1A"/>
    <w:rsid w:val="006F5D3B"/>
    <w:rsid w:val="006F5DAE"/>
    <w:rsid w:val="006F6004"/>
    <w:rsid w:val="006F6042"/>
    <w:rsid w:val="006F63B2"/>
    <w:rsid w:val="006F66BD"/>
    <w:rsid w:val="006F691D"/>
    <w:rsid w:val="006F6B67"/>
    <w:rsid w:val="006F6C49"/>
    <w:rsid w:val="006F6D41"/>
    <w:rsid w:val="006F6E4D"/>
    <w:rsid w:val="006F6E95"/>
    <w:rsid w:val="006F6EE9"/>
    <w:rsid w:val="006F70C2"/>
    <w:rsid w:val="006F7104"/>
    <w:rsid w:val="006F7145"/>
    <w:rsid w:val="006F7185"/>
    <w:rsid w:val="006F734E"/>
    <w:rsid w:val="006F7505"/>
    <w:rsid w:val="006F7850"/>
    <w:rsid w:val="006F7A3E"/>
    <w:rsid w:val="006F7AFE"/>
    <w:rsid w:val="006F7D2F"/>
    <w:rsid w:val="006F7D7D"/>
    <w:rsid w:val="006F7DF9"/>
    <w:rsid w:val="006F7EB5"/>
    <w:rsid w:val="006F7FD3"/>
    <w:rsid w:val="0070014B"/>
    <w:rsid w:val="00700189"/>
    <w:rsid w:val="007001F9"/>
    <w:rsid w:val="0070021D"/>
    <w:rsid w:val="007003F2"/>
    <w:rsid w:val="00700687"/>
    <w:rsid w:val="007008DE"/>
    <w:rsid w:val="00700DDA"/>
    <w:rsid w:val="00701020"/>
    <w:rsid w:val="0070103A"/>
    <w:rsid w:val="007010E2"/>
    <w:rsid w:val="007010FA"/>
    <w:rsid w:val="007011CA"/>
    <w:rsid w:val="00701265"/>
    <w:rsid w:val="00701422"/>
    <w:rsid w:val="00701ACA"/>
    <w:rsid w:val="00701AFC"/>
    <w:rsid w:val="00701BF6"/>
    <w:rsid w:val="00701D12"/>
    <w:rsid w:val="00701D77"/>
    <w:rsid w:val="0070201E"/>
    <w:rsid w:val="00702082"/>
    <w:rsid w:val="007021BC"/>
    <w:rsid w:val="007025D6"/>
    <w:rsid w:val="00702662"/>
    <w:rsid w:val="007027BD"/>
    <w:rsid w:val="00702872"/>
    <w:rsid w:val="00702913"/>
    <w:rsid w:val="00702A1A"/>
    <w:rsid w:val="00702A3E"/>
    <w:rsid w:val="00702A8F"/>
    <w:rsid w:val="00702E4E"/>
    <w:rsid w:val="00702E61"/>
    <w:rsid w:val="00702F9D"/>
    <w:rsid w:val="007030E2"/>
    <w:rsid w:val="0070314A"/>
    <w:rsid w:val="00703214"/>
    <w:rsid w:val="007032D2"/>
    <w:rsid w:val="00703342"/>
    <w:rsid w:val="007033E3"/>
    <w:rsid w:val="00703638"/>
    <w:rsid w:val="00703693"/>
    <w:rsid w:val="00703724"/>
    <w:rsid w:val="0070375E"/>
    <w:rsid w:val="0070399E"/>
    <w:rsid w:val="007039B4"/>
    <w:rsid w:val="007039E6"/>
    <w:rsid w:val="007039FC"/>
    <w:rsid w:val="00703B25"/>
    <w:rsid w:val="00703BEE"/>
    <w:rsid w:val="00703CB5"/>
    <w:rsid w:val="00703CC0"/>
    <w:rsid w:val="00703CE8"/>
    <w:rsid w:val="00703CEF"/>
    <w:rsid w:val="00703EAD"/>
    <w:rsid w:val="00703F6C"/>
    <w:rsid w:val="00704088"/>
    <w:rsid w:val="007040BE"/>
    <w:rsid w:val="007042D6"/>
    <w:rsid w:val="00704376"/>
    <w:rsid w:val="007043C9"/>
    <w:rsid w:val="007043EF"/>
    <w:rsid w:val="00704721"/>
    <w:rsid w:val="00704737"/>
    <w:rsid w:val="0070492D"/>
    <w:rsid w:val="007049DE"/>
    <w:rsid w:val="00704AD2"/>
    <w:rsid w:val="00704B8A"/>
    <w:rsid w:val="00704BE1"/>
    <w:rsid w:val="00704C1B"/>
    <w:rsid w:val="00704EF5"/>
    <w:rsid w:val="00705060"/>
    <w:rsid w:val="007050AC"/>
    <w:rsid w:val="00705361"/>
    <w:rsid w:val="007053E6"/>
    <w:rsid w:val="00705439"/>
    <w:rsid w:val="0070559E"/>
    <w:rsid w:val="00705680"/>
    <w:rsid w:val="0070582E"/>
    <w:rsid w:val="007059EA"/>
    <w:rsid w:val="007059F3"/>
    <w:rsid w:val="00705B20"/>
    <w:rsid w:val="00705B9B"/>
    <w:rsid w:val="00705D19"/>
    <w:rsid w:val="00705D34"/>
    <w:rsid w:val="00705D87"/>
    <w:rsid w:val="00705EBD"/>
    <w:rsid w:val="00706092"/>
    <w:rsid w:val="007060CC"/>
    <w:rsid w:val="00706257"/>
    <w:rsid w:val="00706309"/>
    <w:rsid w:val="0070638A"/>
    <w:rsid w:val="00706396"/>
    <w:rsid w:val="007063E9"/>
    <w:rsid w:val="0070641B"/>
    <w:rsid w:val="00706648"/>
    <w:rsid w:val="007066EA"/>
    <w:rsid w:val="0070694C"/>
    <w:rsid w:val="00706BDB"/>
    <w:rsid w:val="00707102"/>
    <w:rsid w:val="007071AB"/>
    <w:rsid w:val="00707216"/>
    <w:rsid w:val="0070736A"/>
    <w:rsid w:val="007075D6"/>
    <w:rsid w:val="007075F9"/>
    <w:rsid w:val="00707600"/>
    <w:rsid w:val="007076F4"/>
    <w:rsid w:val="00707B78"/>
    <w:rsid w:val="00707FB9"/>
    <w:rsid w:val="0071015D"/>
    <w:rsid w:val="0071048F"/>
    <w:rsid w:val="007104E6"/>
    <w:rsid w:val="00710728"/>
    <w:rsid w:val="00710906"/>
    <w:rsid w:val="007109F7"/>
    <w:rsid w:val="00710B46"/>
    <w:rsid w:val="00710D9E"/>
    <w:rsid w:val="00710F43"/>
    <w:rsid w:val="0071119D"/>
    <w:rsid w:val="007111CF"/>
    <w:rsid w:val="007113C9"/>
    <w:rsid w:val="007113ED"/>
    <w:rsid w:val="007113FE"/>
    <w:rsid w:val="00711454"/>
    <w:rsid w:val="0071148A"/>
    <w:rsid w:val="007116B7"/>
    <w:rsid w:val="00711730"/>
    <w:rsid w:val="00711864"/>
    <w:rsid w:val="00711905"/>
    <w:rsid w:val="00711A91"/>
    <w:rsid w:val="00711AAB"/>
    <w:rsid w:val="00711AE5"/>
    <w:rsid w:val="00711AF1"/>
    <w:rsid w:val="00711B88"/>
    <w:rsid w:val="00711D56"/>
    <w:rsid w:val="00711E4C"/>
    <w:rsid w:val="00711F8C"/>
    <w:rsid w:val="0071209E"/>
    <w:rsid w:val="007120E7"/>
    <w:rsid w:val="00712157"/>
    <w:rsid w:val="0071226C"/>
    <w:rsid w:val="0071234A"/>
    <w:rsid w:val="00712433"/>
    <w:rsid w:val="007125A7"/>
    <w:rsid w:val="0071275B"/>
    <w:rsid w:val="007127C5"/>
    <w:rsid w:val="0071291E"/>
    <w:rsid w:val="007129F2"/>
    <w:rsid w:val="00712A37"/>
    <w:rsid w:val="00712B6F"/>
    <w:rsid w:val="00712C92"/>
    <w:rsid w:val="00712D24"/>
    <w:rsid w:val="00712E01"/>
    <w:rsid w:val="00712E0A"/>
    <w:rsid w:val="00713021"/>
    <w:rsid w:val="007130B4"/>
    <w:rsid w:val="00713208"/>
    <w:rsid w:val="0071323E"/>
    <w:rsid w:val="00713266"/>
    <w:rsid w:val="0071335F"/>
    <w:rsid w:val="007133F0"/>
    <w:rsid w:val="0071351B"/>
    <w:rsid w:val="0071368D"/>
    <w:rsid w:val="0071390C"/>
    <w:rsid w:val="00713938"/>
    <w:rsid w:val="00713944"/>
    <w:rsid w:val="00713965"/>
    <w:rsid w:val="0071398B"/>
    <w:rsid w:val="00713AB4"/>
    <w:rsid w:val="00713AC5"/>
    <w:rsid w:val="00713B23"/>
    <w:rsid w:val="00713BB3"/>
    <w:rsid w:val="00713BFE"/>
    <w:rsid w:val="00713D72"/>
    <w:rsid w:val="00713DA1"/>
    <w:rsid w:val="00713E55"/>
    <w:rsid w:val="00713E9F"/>
    <w:rsid w:val="00713F13"/>
    <w:rsid w:val="00713F72"/>
    <w:rsid w:val="00713FA5"/>
    <w:rsid w:val="0071418B"/>
    <w:rsid w:val="0071438B"/>
    <w:rsid w:val="007146DB"/>
    <w:rsid w:val="00714969"/>
    <w:rsid w:val="00714CA3"/>
    <w:rsid w:val="00714F95"/>
    <w:rsid w:val="00715038"/>
    <w:rsid w:val="00715271"/>
    <w:rsid w:val="007154E8"/>
    <w:rsid w:val="007155D7"/>
    <w:rsid w:val="00715639"/>
    <w:rsid w:val="0071564C"/>
    <w:rsid w:val="0071569F"/>
    <w:rsid w:val="00715711"/>
    <w:rsid w:val="007158FF"/>
    <w:rsid w:val="007159F9"/>
    <w:rsid w:val="00715B6B"/>
    <w:rsid w:val="00715CFD"/>
    <w:rsid w:val="00715F44"/>
    <w:rsid w:val="0071618C"/>
    <w:rsid w:val="007161BE"/>
    <w:rsid w:val="00716273"/>
    <w:rsid w:val="007162A3"/>
    <w:rsid w:val="00716308"/>
    <w:rsid w:val="007165CF"/>
    <w:rsid w:val="00716785"/>
    <w:rsid w:val="0071691C"/>
    <w:rsid w:val="00716BC4"/>
    <w:rsid w:val="00716D95"/>
    <w:rsid w:val="00716DF4"/>
    <w:rsid w:val="007172EC"/>
    <w:rsid w:val="0071739B"/>
    <w:rsid w:val="00717478"/>
    <w:rsid w:val="0071755C"/>
    <w:rsid w:val="007178CE"/>
    <w:rsid w:val="007178D8"/>
    <w:rsid w:val="007179E5"/>
    <w:rsid w:val="00717E42"/>
    <w:rsid w:val="00717F9C"/>
    <w:rsid w:val="0072008B"/>
    <w:rsid w:val="007200F0"/>
    <w:rsid w:val="0072014D"/>
    <w:rsid w:val="0072038E"/>
    <w:rsid w:val="00720424"/>
    <w:rsid w:val="007204D6"/>
    <w:rsid w:val="0072084C"/>
    <w:rsid w:val="007209A3"/>
    <w:rsid w:val="00720B39"/>
    <w:rsid w:val="00720BBD"/>
    <w:rsid w:val="00720C38"/>
    <w:rsid w:val="00720DD6"/>
    <w:rsid w:val="00720E44"/>
    <w:rsid w:val="00720E5D"/>
    <w:rsid w:val="00720EBF"/>
    <w:rsid w:val="00720F03"/>
    <w:rsid w:val="00721127"/>
    <w:rsid w:val="00721138"/>
    <w:rsid w:val="00721239"/>
    <w:rsid w:val="007212BA"/>
    <w:rsid w:val="0072132D"/>
    <w:rsid w:val="0072140E"/>
    <w:rsid w:val="007215EB"/>
    <w:rsid w:val="0072163D"/>
    <w:rsid w:val="0072164B"/>
    <w:rsid w:val="00721677"/>
    <w:rsid w:val="0072173D"/>
    <w:rsid w:val="0072187D"/>
    <w:rsid w:val="007219D0"/>
    <w:rsid w:val="00721B77"/>
    <w:rsid w:val="00721C60"/>
    <w:rsid w:val="00721DB8"/>
    <w:rsid w:val="00721DDB"/>
    <w:rsid w:val="00721EA0"/>
    <w:rsid w:val="0072221B"/>
    <w:rsid w:val="00722328"/>
    <w:rsid w:val="007224FD"/>
    <w:rsid w:val="0072286D"/>
    <w:rsid w:val="007228A8"/>
    <w:rsid w:val="00722C2B"/>
    <w:rsid w:val="00723014"/>
    <w:rsid w:val="0072310D"/>
    <w:rsid w:val="007231B9"/>
    <w:rsid w:val="007232F6"/>
    <w:rsid w:val="0072338A"/>
    <w:rsid w:val="007233A0"/>
    <w:rsid w:val="007233CC"/>
    <w:rsid w:val="00723443"/>
    <w:rsid w:val="0072344D"/>
    <w:rsid w:val="00723677"/>
    <w:rsid w:val="007236B3"/>
    <w:rsid w:val="007236F8"/>
    <w:rsid w:val="007238A2"/>
    <w:rsid w:val="00723B5A"/>
    <w:rsid w:val="00723C25"/>
    <w:rsid w:val="00723DEB"/>
    <w:rsid w:val="00723F10"/>
    <w:rsid w:val="00723FAC"/>
    <w:rsid w:val="007240BB"/>
    <w:rsid w:val="00724245"/>
    <w:rsid w:val="007245C2"/>
    <w:rsid w:val="007246CC"/>
    <w:rsid w:val="0072470F"/>
    <w:rsid w:val="007247C3"/>
    <w:rsid w:val="0072483E"/>
    <w:rsid w:val="00724C5B"/>
    <w:rsid w:val="00724E16"/>
    <w:rsid w:val="00724E6E"/>
    <w:rsid w:val="00724EA9"/>
    <w:rsid w:val="00724FDF"/>
    <w:rsid w:val="00725051"/>
    <w:rsid w:val="0072508B"/>
    <w:rsid w:val="00725111"/>
    <w:rsid w:val="00725253"/>
    <w:rsid w:val="00725430"/>
    <w:rsid w:val="00725445"/>
    <w:rsid w:val="007254AA"/>
    <w:rsid w:val="007255CD"/>
    <w:rsid w:val="007257E3"/>
    <w:rsid w:val="0072589E"/>
    <w:rsid w:val="00725C8F"/>
    <w:rsid w:val="00725F42"/>
    <w:rsid w:val="00726087"/>
    <w:rsid w:val="007260C4"/>
    <w:rsid w:val="00726120"/>
    <w:rsid w:val="00726326"/>
    <w:rsid w:val="00726419"/>
    <w:rsid w:val="007264DF"/>
    <w:rsid w:val="00726780"/>
    <w:rsid w:val="00726840"/>
    <w:rsid w:val="007268F0"/>
    <w:rsid w:val="00726A1A"/>
    <w:rsid w:val="00726A7F"/>
    <w:rsid w:val="00726EEB"/>
    <w:rsid w:val="00726FE9"/>
    <w:rsid w:val="00727010"/>
    <w:rsid w:val="007271E6"/>
    <w:rsid w:val="0072725A"/>
    <w:rsid w:val="007272A9"/>
    <w:rsid w:val="007272EE"/>
    <w:rsid w:val="007272F6"/>
    <w:rsid w:val="00727319"/>
    <w:rsid w:val="0072733E"/>
    <w:rsid w:val="00727575"/>
    <w:rsid w:val="00727604"/>
    <w:rsid w:val="00727697"/>
    <w:rsid w:val="007277B3"/>
    <w:rsid w:val="00727843"/>
    <w:rsid w:val="00727B73"/>
    <w:rsid w:val="00727BA7"/>
    <w:rsid w:val="00727DB2"/>
    <w:rsid w:val="00727EFB"/>
    <w:rsid w:val="00727F09"/>
    <w:rsid w:val="00727F48"/>
    <w:rsid w:val="0073011F"/>
    <w:rsid w:val="00730389"/>
    <w:rsid w:val="007303DC"/>
    <w:rsid w:val="00730417"/>
    <w:rsid w:val="0073047A"/>
    <w:rsid w:val="00730802"/>
    <w:rsid w:val="0073099A"/>
    <w:rsid w:val="00730BDC"/>
    <w:rsid w:val="0073108A"/>
    <w:rsid w:val="0073122F"/>
    <w:rsid w:val="007312EB"/>
    <w:rsid w:val="00731324"/>
    <w:rsid w:val="00731366"/>
    <w:rsid w:val="0073136F"/>
    <w:rsid w:val="00731468"/>
    <w:rsid w:val="007314B7"/>
    <w:rsid w:val="007315F3"/>
    <w:rsid w:val="0073160F"/>
    <w:rsid w:val="0073170F"/>
    <w:rsid w:val="00731937"/>
    <w:rsid w:val="00731A49"/>
    <w:rsid w:val="00731BA5"/>
    <w:rsid w:val="00731C9E"/>
    <w:rsid w:val="00731DE0"/>
    <w:rsid w:val="00731E5F"/>
    <w:rsid w:val="00731ECE"/>
    <w:rsid w:val="00731F81"/>
    <w:rsid w:val="00731F9E"/>
    <w:rsid w:val="007320CC"/>
    <w:rsid w:val="00732288"/>
    <w:rsid w:val="00732488"/>
    <w:rsid w:val="007325A3"/>
    <w:rsid w:val="0073263F"/>
    <w:rsid w:val="007326B1"/>
    <w:rsid w:val="00732903"/>
    <w:rsid w:val="0073294A"/>
    <w:rsid w:val="00732AA5"/>
    <w:rsid w:val="00732AD8"/>
    <w:rsid w:val="00732AF6"/>
    <w:rsid w:val="00732C1B"/>
    <w:rsid w:val="00732C20"/>
    <w:rsid w:val="0073305D"/>
    <w:rsid w:val="0073342A"/>
    <w:rsid w:val="00733667"/>
    <w:rsid w:val="007336C7"/>
    <w:rsid w:val="00733747"/>
    <w:rsid w:val="007339F6"/>
    <w:rsid w:val="00733D34"/>
    <w:rsid w:val="00733E60"/>
    <w:rsid w:val="00733ECA"/>
    <w:rsid w:val="00734006"/>
    <w:rsid w:val="007340C0"/>
    <w:rsid w:val="00734198"/>
    <w:rsid w:val="00734412"/>
    <w:rsid w:val="007344A0"/>
    <w:rsid w:val="007345A6"/>
    <w:rsid w:val="007346DA"/>
    <w:rsid w:val="00734713"/>
    <w:rsid w:val="00734D1F"/>
    <w:rsid w:val="00734E3B"/>
    <w:rsid w:val="00734E82"/>
    <w:rsid w:val="00734F8D"/>
    <w:rsid w:val="00734FA1"/>
    <w:rsid w:val="007350DF"/>
    <w:rsid w:val="0073521E"/>
    <w:rsid w:val="0073524E"/>
    <w:rsid w:val="0073529E"/>
    <w:rsid w:val="007352FF"/>
    <w:rsid w:val="00735449"/>
    <w:rsid w:val="007354BA"/>
    <w:rsid w:val="00735518"/>
    <w:rsid w:val="00735549"/>
    <w:rsid w:val="00735709"/>
    <w:rsid w:val="00735867"/>
    <w:rsid w:val="007358A9"/>
    <w:rsid w:val="00735930"/>
    <w:rsid w:val="007359B5"/>
    <w:rsid w:val="007359B8"/>
    <w:rsid w:val="00735A09"/>
    <w:rsid w:val="00735AD0"/>
    <w:rsid w:val="00735C78"/>
    <w:rsid w:val="00735CCC"/>
    <w:rsid w:val="00735D07"/>
    <w:rsid w:val="00736271"/>
    <w:rsid w:val="00736310"/>
    <w:rsid w:val="00736342"/>
    <w:rsid w:val="007363D1"/>
    <w:rsid w:val="0073655B"/>
    <w:rsid w:val="0073663C"/>
    <w:rsid w:val="007366E1"/>
    <w:rsid w:val="00736855"/>
    <w:rsid w:val="007369E8"/>
    <w:rsid w:val="00736C40"/>
    <w:rsid w:val="00736CD1"/>
    <w:rsid w:val="00736D87"/>
    <w:rsid w:val="00736E91"/>
    <w:rsid w:val="00737089"/>
    <w:rsid w:val="007371AE"/>
    <w:rsid w:val="00737317"/>
    <w:rsid w:val="0073736A"/>
    <w:rsid w:val="00737653"/>
    <w:rsid w:val="007378E8"/>
    <w:rsid w:val="00737946"/>
    <w:rsid w:val="007379C0"/>
    <w:rsid w:val="00737F14"/>
    <w:rsid w:val="00740184"/>
    <w:rsid w:val="007402BF"/>
    <w:rsid w:val="007402E9"/>
    <w:rsid w:val="00740375"/>
    <w:rsid w:val="00740415"/>
    <w:rsid w:val="0074050B"/>
    <w:rsid w:val="00740622"/>
    <w:rsid w:val="00740886"/>
    <w:rsid w:val="0074099B"/>
    <w:rsid w:val="007409DB"/>
    <w:rsid w:val="00740B82"/>
    <w:rsid w:val="00740DE4"/>
    <w:rsid w:val="00740EDC"/>
    <w:rsid w:val="0074108C"/>
    <w:rsid w:val="007410A0"/>
    <w:rsid w:val="007410FC"/>
    <w:rsid w:val="00741135"/>
    <w:rsid w:val="0074113C"/>
    <w:rsid w:val="0074125F"/>
    <w:rsid w:val="0074126C"/>
    <w:rsid w:val="0074135A"/>
    <w:rsid w:val="007414EE"/>
    <w:rsid w:val="0074172E"/>
    <w:rsid w:val="0074176F"/>
    <w:rsid w:val="00741971"/>
    <w:rsid w:val="00741B5E"/>
    <w:rsid w:val="00741BC8"/>
    <w:rsid w:val="00741C2E"/>
    <w:rsid w:val="00741C33"/>
    <w:rsid w:val="00741DC8"/>
    <w:rsid w:val="00741E7F"/>
    <w:rsid w:val="00741FD2"/>
    <w:rsid w:val="00742539"/>
    <w:rsid w:val="00742630"/>
    <w:rsid w:val="0074274F"/>
    <w:rsid w:val="00742A21"/>
    <w:rsid w:val="00742BB8"/>
    <w:rsid w:val="00742BDE"/>
    <w:rsid w:val="00742C53"/>
    <w:rsid w:val="00742C81"/>
    <w:rsid w:val="00742CC1"/>
    <w:rsid w:val="00742D07"/>
    <w:rsid w:val="00742EC9"/>
    <w:rsid w:val="007430D5"/>
    <w:rsid w:val="00743187"/>
    <w:rsid w:val="00743234"/>
    <w:rsid w:val="007432C7"/>
    <w:rsid w:val="00743361"/>
    <w:rsid w:val="00743455"/>
    <w:rsid w:val="00743496"/>
    <w:rsid w:val="0074356D"/>
    <w:rsid w:val="00743646"/>
    <w:rsid w:val="00743A56"/>
    <w:rsid w:val="00743C05"/>
    <w:rsid w:val="00743D8C"/>
    <w:rsid w:val="00743FAD"/>
    <w:rsid w:val="00743FD2"/>
    <w:rsid w:val="00744039"/>
    <w:rsid w:val="00744138"/>
    <w:rsid w:val="0074435F"/>
    <w:rsid w:val="00744814"/>
    <w:rsid w:val="00744935"/>
    <w:rsid w:val="00744B4F"/>
    <w:rsid w:val="0074502E"/>
    <w:rsid w:val="0074504A"/>
    <w:rsid w:val="00745468"/>
    <w:rsid w:val="007454EE"/>
    <w:rsid w:val="007455DC"/>
    <w:rsid w:val="00745894"/>
    <w:rsid w:val="00745B34"/>
    <w:rsid w:val="00745BFF"/>
    <w:rsid w:val="00746052"/>
    <w:rsid w:val="00746162"/>
    <w:rsid w:val="00746214"/>
    <w:rsid w:val="0074622E"/>
    <w:rsid w:val="00746371"/>
    <w:rsid w:val="007463A3"/>
    <w:rsid w:val="007464AD"/>
    <w:rsid w:val="00746587"/>
    <w:rsid w:val="00746A1D"/>
    <w:rsid w:val="00746A8A"/>
    <w:rsid w:val="00746B8A"/>
    <w:rsid w:val="00746D40"/>
    <w:rsid w:val="00746DE8"/>
    <w:rsid w:val="00747087"/>
    <w:rsid w:val="00747136"/>
    <w:rsid w:val="007473B8"/>
    <w:rsid w:val="00747417"/>
    <w:rsid w:val="007474B0"/>
    <w:rsid w:val="007474B6"/>
    <w:rsid w:val="007474B7"/>
    <w:rsid w:val="00747582"/>
    <w:rsid w:val="007475B7"/>
    <w:rsid w:val="00747643"/>
    <w:rsid w:val="0074774D"/>
    <w:rsid w:val="007477CD"/>
    <w:rsid w:val="00747813"/>
    <w:rsid w:val="007479D0"/>
    <w:rsid w:val="00747AD6"/>
    <w:rsid w:val="00747B23"/>
    <w:rsid w:val="00747C5A"/>
    <w:rsid w:val="00747D8D"/>
    <w:rsid w:val="00747E65"/>
    <w:rsid w:val="0075009E"/>
    <w:rsid w:val="00750252"/>
    <w:rsid w:val="0075031B"/>
    <w:rsid w:val="007503C3"/>
    <w:rsid w:val="0075049C"/>
    <w:rsid w:val="007504B9"/>
    <w:rsid w:val="00750679"/>
    <w:rsid w:val="0075073D"/>
    <w:rsid w:val="00750836"/>
    <w:rsid w:val="0075084F"/>
    <w:rsid w:val="007508A6"/>
    <w:rsid w:val="00750CC6"/>
    <w:rsid w:val="00750CDC"/>
    <w:rsid w:val="00750DE8"/>
    <w:rsid w:val="00750E5B"/>
    <w:rsid w:val="00751026"/>
    <w:rsid w:val="00751063"/>
    <w:rsid w:val="0075108B"/>
    <w:rsid w:val="007510EB"/>
    <w:rsid w:val="007512AF"/>
    <w:rsid w:val="00751412"/>
    <w:rsid w:val="00751473"/>
    <w:rsid w:val="007517AB"/>
    <w:rsid w:val="007517F5"/>
    <w:rsid w:val="007517F6"/>
    <w:rsid w:val="00751956"/>
    <w:rsid w:val="007519A9"/>
    <w:rsid w:val="00751A6B"/>
    <w:rsid w:val="00751EF2"/>
    <w:rsid w:val="00751FBD"/>
    <w:rsid w:val="007520E0"/>
    <w:rsid w:val="007520ED"/>
    <w:rsid w:val="00752280"/>
    <w:rsid w:val="00752314"/>
    <w:rsid w:val="0075232B"/>
    <w:rsid w:val="0075269C"/>
    <w:rsid w:val="00752741"/>
    <w:rsid w:val="00752763"/>
    <w:rsid w:val="007527AB"/>
    <w:rsid w:val="00752AFB"/>
    <w:rsid w:val="00752B66"/>
    <w:rsid w:val="00752B76"/>
    <w:rsid w:val="00752C00"/>
    <w:rsid w:val="00752C96"/>
    <w:rsid w:val="00752E72"/>
    <w:rsid w:val="00752E74"/>
    <w:rsid w:val="00752FDE"/>
    <w:rsid w:val="00753008"/>
    <w:rsid w:val="00753110"/>
    <w:rsid w:val="0075313B"/>
    <w:rsid w:val="007532DD"/>
    <w:rsid w:val="00753367"/>
    <w:rsid w:val="00753443"/>
    <w:rsid w:val="007534C9"/>
    <w:rsid w:val="00753763"/>
    <w:rsid w:val="00753797"/>
    <w:rsid w:val="00753869"/>
    <w:rsid w:val="00753AB9"/>
    <w:rsid w:val="00753B02"/>
    <w:rsid w:val="00753C13"/>
    <w:rsid w:val="00753C3F"/>
    <w:rsid w:val="00753CBF"/>
    <w:rsid w:val="00753E3C"/>
    <w:rsid w:val="0075402A"/>
    <w:rsid w:val="007541F7"/>
    <w:rsid w:val="0075448E"/>
    <w:rsid w:val="0075452E"/>
    <w:rsid w:val="0075456A"/>
    <w:rsid w:val="00754589"/>
    <w:rsid w:val="007545AC"/>
    <w:rsid w:val="007547A5"/>
    <w:rsid w:val="00754952"/>
    <w:rsid w:val="00754A13"/>
    <w:rsid w:val="00754B65"/>
    <w:rsid w:val="00754BBD"/>
    <w:rsid w:val="00754C22"/>
    <w:rsid w:val="00754D37"/>
    <w:rsid w:val="00754FC1"/>
    <w:rsid w:val="00754FFF"/>
    <w:rsid w:val="007551FC"/>
    <w:rsid w:val="0075529A"/>
    <w:rsid w:val="007552E5"/>
    <w:rsid w:val="007552F8"/>
    <w:rsid w:val="0075546A"/>
    <w:rsid w:val="007556F2"/>
    <w:rsid w:val="007559CF"/>
    <w:rsid w:val="00755A73"/>
    <w:rsid w:val="00755AA7"/>
    <w:rsid w:val="00755ACF"/>
    <w:rsid w:val="00755B50"/>
    <w:rsid w:val="00755DDD"/>
    <w:rsid w:val="00755E64"/>
    <w:rsid w:val="00756141"/>
    <w:rsid w:val="0075622C"/>
    <w:rsid w:val="00756397"/>
    <w:rsid w:val="0075642D"/>
    <w:rsid w:val="0075649A"/>
    <w:rsid w:val="0075657C"/>
    <w:rsid w:val="007565EA"/>
    <w:rsid w:val="00756795"/>
    <w:rsid w:val="00756835"/>
    <w:rsid w:val="00756864"/>
    <w:rsid w:val="00756A32"/>
    <w:rsid w:val="00756DFE"/>
    <w:rsid w:val="007571F3"/>
    <w:rsid w:val="00757213"/>
    <w:rsid w:val="00757422"/>
    <w:rsid w:val="007576C4"/>
    <w:rsid w:val="00757749"/>
    <w:rsid w:val="007578AD"/>
    <w:rsid w:val="007579CE"/>
    <w:rsid w:val="00757D15"/>
    <w:rsid w:val="00757F2D"/>
    <w:rsid w:val="00757F5E"/>
    <w:rsid w:val="0075C648"/>
    <w:rsid w:val="00760161"/>
    <w:rsid w:val="007601E9"/>
    <w:rsid w:val="00760779"/>
    <w:rsid w:val="00760A98"/>
    <w:rsid w:val="00760C03"/>
    <w:rsid w:val="00760C15"/>
    <w:rsid w:val="00760C40"/>
    <w:rsid w:val="00760CE5"/>
    <w:rsid w:val="00760CEF"/>
    <w:rsid w:val="00760D0A"/>
    <w:rsid w:val="00760E50"/>
    <w:rsid w:val="00760E52"/>
    <w:rsid w:val="00760F2C"/>
    <w:rsid w:val="0076106D"/>
    <w:rsid w:val="00761145"/>
    <w:rsid w:val="0076116B"/>
    <w:rsid w:val="0076116C"/>
    <w:rsid w:val="00761228"/>
    <w:rsid w:val="00761257"/>
    <w:rsid w:val="0076144D"/>
    <w:rsid w:val="0076171F"/>
    <w:rsid w:val="0076181A"/>
    <w:rsid w:val="00761832"/>
    <w:rsid w:val="007618DA"/>
    <w:rsid w:val="00761AD9"/>
    <w:rsid w:val="00761BD3"/>
    <w:rsid w:val="00761C94"/>
    <w:rsid w:val="00761D3D"/>
    <w:rsid w:val="00761DBE"/>
    <w:rsid w:val="00761E7E"/>
    <w:rsid w:val="00761FB0"/>
    <w:rsid w:val="007620AB"/>
    <w:rsid w:val="00762175"/>
    <w:rsid w:val="00762184"/>
    <w:rsid w:val="0076224A"/>
    <w:rsid w:val="00762550"/>
    <w:rsid w:val="00762567"/>
    <w:rsid w:val="00762600"/>
    <w:rsid w:val="00762723"/>
    <w:rsid w:val="00762852"/>
    <w:rsid w:val="007628FE"/>
    <w:rsid w:val="00762AF9"/>
    <w:rsid w:val="00762B16"/>
    <w:rsid w:val="00762DCA"/>
    <w:rsid w:val="0076322D"/>
    <w:rsid w:val="0076332E"/>
    <w:rsid w:val="00763589"/>
    <w:rsid w:val="007635D1"/>
    <w:rsid w:val="007638D9"/>
    <w:rsid w:val="007638FC"/>
    <w:rsid w:val="00763910"/>
    <w:rsid w:val="007639BA"/>
    <w:rsid w:val="00763A38"/>
    <w:rsid w:val="00763BF2"/>
    <w:rsid w:val="00763F28"/>
    <w:rsid w:val="00763FF5"/>
    <w:rsid w:val="007640A0"/>
    <w:rsid w:val="00764273"/>
    <w:rsid w:val="007642AD"/>
    <w:rsid w:val="007642FB"/>
    <w:rsid w:val="00764394"/>
    <w:rsid w:val="00764486"/>
    <w:rsid w:val="00764767"/>
    <w:rsid w:val="0076481A"/>
    <w:rsid w:val="007648AB"/>
    <w:rsid w:val="007649BF"/>
    <w:rsid w:val="007649ED"/>
    <w:rsid w:val="00764A10"/>
    <w:rsid w:val="00764BFF"/>
    <w:rsid w:val="00764CC4"/>
    <w:rsid w:val="00764D92"/>
    <w:rsid w:val="00764D97"/>
    <w:rsid w:val="00764E85"/>
    <w:rsid w:val="00765010"/>
    <w:rsid w:val="00765219"/>
    <w:rsid w:val="007652C3"/>
    <w:rsid w:val="007658BA"/>
    <w:rsid w:val="00765949"/>
    <w:rsid w:val="007659FB"/>
    <w:rsid w:val="00765A23"/>
    <w:rsid w:val="00765BB4"/>
    <w:rsid w:val="00765CE0"/>
    <w:rsid w:val="00766052"/>
    <w:rsid w:val="0076608D"/>
    <w:rsid w:val="007660F2"/>
    <w:rsid w:val="007661B9"/>
    <w:rsid w:val="00766349"/>
    <w:rsid w:val="007663EC"/>
    <w:rsid w:val="007664CF"/>
    <w:rsid w:val="00766503"/>
    <w:rsid w:val="007666C1"/>
    <w:rsid w:val="00766868"/>
    <w:rsid w:val="0076698C"/>
    <w:rsid w:val="00766BFA"/>
    <w:rsid w:val="00766CFB"/>
    <w:rsid w:val="00766D74"/>
    <w:rsid w:val="00766DC8"/>
    <w:rsid w:val="00766F3F"/>
    <w:rsid w:val="00767041"/>
    <w:rsid w:val="00767086"/>
    <w:rsid w:val="007671EB"/>
    <w:rsid w:val="0076726D"/>
    <w:rsid w:val="0076737F"/>
    <w:rsid w:val="007674E7"/>
    <w:rsid w:val="007675AC"/>
    <w:rsid w:val="007676D7"/>
    <w:rsid w:val="007676F9"/>
    <w:rsid w:val="00767916"/>
    <w:rsid w:val="007679B8"/>
    <w:rsid w:val="00767BCE"/>
    <w:rsid w:val="00767BEF"/>
    <w:rsid w:val="00767D96"/>
    <w:rsid w:val="00767F72"/>
    <w:rsid w:val="007700C7"/>
    <w:rsid w:val="007700F0"/>
    <w:rsid w:val="007701A4"/>
    <w:rsid w:val="007701E8"/>
    <w:rsid w:val="00770237"/>
    <w:rsid w:val="00770325"/>
    <w:rsid w:val="0077037B"/>
    <w:rsid w:val="00770565"/>
    <w:rsid w:val="0077057F"/>
    <w:rsid w:val="0077069D"/>
    <w:rsid w:val="007706BC"/>
    <w:rsid w:val="00770964"/>
    <w:rsid w:val="00770B34"/>
    <w:rsid w:val="00770B99"/>
    <w:rsid w:val="00770C42"/>
    <w:rsid w:val="00770D3F"/>
    <w:rsid w:val="00770E4B"/>
    <w:rsid w:val="00770FA6"/>
    <w:rsid w:val="00770FEB"/>
    <w:rsid w:val="0077107F"/>
    <w:rsid w:val="007710B5"/>
    <w:rsid w:val="00771627"/>
    <w:rsid w:val="007716BE"/>
    <w:rsid w:val="00771715"/>
    <w:rsid w:val="00771B64"/>
    <w:rsid w:val="00771CA3"/>
    <w:rsid w:val="00771FB9"/>
    <w:rsid w:val="007720DF"/>
    <w:rsid w:val="007720FE"/>
    <w:rsid w:val="0077217A"/>
    <w:rsid w:val="007721C9"/>
    <w:rsid w:val="00772271"/>
    <w:rsid w:val="00772354"/>
    <w:rsid w:val="0077260D"/>
    <w:rsid w:val="00772633"/>
    <w:rsid w:val="00772723"/>
    <w:rsid w:val="00772847"/>
    <w:rsid w:val="00772B3E"/>
    <w:rsid w:val="00772CA2"/>
    <w:rsid w:val="00772DF7"/>
    <w:rsid w:val="00772E4B"/>
    <w:rsid w:val="00772E6E"/>
    <w:rsid w:val="00772F18"/>
    <w:rsid w:val="007730D9"/>
    <w:rsid w:val="007731D1"/>
    <w:rsid w:val="00773205"/>
    <w:rsid w:val="00773560"/>
    <w:rsid w:val="007735F6"/>
    <w:rsid w:val="007737EA"/>
    <w:rsid w:val="00773862"/>
    <w:rsid w:val="00773C36"/>
    <w:rsid w:val="00773C44"/>
    <w:rsid w:val="00773C51"/>
    <w:rsid w:val="007742C4"/>
    <w:rsid w:val="00774452"/>
    <w:rsid w:val="0077453D"/>
    <w:rsid w:val="0077458C"/>
    <w:rsid w:val="0077465C"/>
    <w:rsid w:val="007748A0"/>
    <w:rsid w:val="00774CB4"/>
    <w:rsid w:val="00774CE9"/>
    <w:rsid w:val="00774E62"/>
    <w:rsid w:val="00774E96"/>
    <w:rsid w:val="00775109"/>
    <w:rsid w:val="00775130"/>
    <w:rsid w:val="00775163"/>
    <w:rsid w:val="00775310"/>
    <w:rsid w:val="007753CF"/>
    <w:rsid w:val="00775423"/>
    <w:rsid w:val="007755AD"/>
    <w:rsid w:val="00775789"/>
    <w:rsid w:val="007757A4"/>
    <w:rsid w:val="007757FA"/>
    <w:rsid w:val="00775857"/>
    <w:rsid w:val="007759F9"/>
    <w:rsid w:val="00775A5E"/>
    <w:rsid w:val="00775B73"/>
    <w:rsid w:val="00775CB9"/>
    <w:rsid w:val="00775F4C"/>
    <w:rsid w:val="0077612A"/>
    <w:rsid w:val="00776436"/>
    <w:rsid w:val="00776570"/>
    <w:rsid w:val="007767B0"/>
    <w:rsid w:val="0077693A"/>
    <w:rsid w:val="00776A42"/>
    <w:rsid w:val="00776B6D"/>
    <w:rsid w:val="00776E81"/>
    <w:rsid w:val="00777272"/>
    <w:rsid w:val="00777355"/>
    <w:rsid w:val="0077747B"/>
    <w:rsid w:val="00777595"/>
    <w:rsid w:val="007776BC"/>
    <w:rsid w:val="007777E8"/>
    <w:rsid w:val="007778EC"/>
    <w:rsid w:val="00777A8A"/>
    <w:rsid w:val="00777C5C"/>
    <w:rsid w:val="00777D50"/>
    <w:rsid w:val="00777F1D"/>
    <w:rsid w:val="007801BD"/>
    <w:rsid w:val="00780223"/>
    <w:rsid w:val="00780587"/>
    <w:rsid w:val="00780742"/>
    <w:rsid w:val="00780857"/>
    <w:rsid w:val="00780AAC"/>
    <w:rsid w:val="00780D59"/>
    <w:rsid w:val="00780D75"/>
    <w:rsid w:val="00781021"/>
    <w:rsid w:val="0078104A"/>
    <w:rsid w:val="0078112C"/>
    <w:rsid w:val="0078147C"/>
    <w:rsid w:val="00781783"/>
    <w:rsid w:val="0078180D"/>
    <w:rsid w:val="007818AC"/>
    <w:rsid w:val="0078194F"/>
    <w:rsid w:val="00781971"/>
    <w:rsid w:val="00781974"/>
    <w:rsid w:val="00781B63"/>
    <w:rsid w:val="00781FCA"/>
    <w:rsid w:val="007821F5"/>
    <w:rsid w:val="00782262"/>
    <w:rsid w:val="00782274"/>
    <w:rsid w:val="00782298"/>
    <w:rsid w:val="007824F9"/>
    <w:rsid w:val="007825AC"/>
    <w:rsid w:val="0078272B"/>
    <w:rsid w:val="00782758"/>
    <w:rsid w:val="0078284D"/>
    <w:rsid w:val="007829DF"/>
    <w:rsid w:val="00782A2E"/>
    <w:rsid w:val="00782AF6"/>
    <w:rsid w:val="00782AF7"/>
    <w:rsid w:val="00782E31"/>
    <w:rsid w:val="00782EAE"/>
    <w:rsid w:val="00782EDD"/>
    <w:rsid w:val="00782F82"/>
    <w:rsid w:val="0078304E"/>
    <w:rsid w:val="00783347"/>
    <w:rsid w:val="0078341D"/>
    <w:rsid w:val="00783654"/>
    <w:rsid w:val="00783775"/>
    <w:rsid w:val="007837DE"/>
    <w:rsid w:val="007837E1"/>
    <w:rsid w:val="007838F0"/>
    <w:rsid w:val="007839BC"/>
    <w:rsid w:val="00783A04"/>
    <w:rsid w:val="00783B84"/>
    <w:rsid w:val="00783BB7"/>
    <w:rsid w:val="00783CAE"/>
    <w:rsid w:val="00783CF2"/>
    <w:rsid w:val="00783F81"/>
    <w:rsid w:val="00783FF2"/>
    <w:rsid w:val="0078412C"/>
    <w:rsid w:val="007841EF"/>
    <w:rsid w:val="007843C9"/>
    <w:rsid w:val="00784532"/>
    <w:rsid w:val="007848A8"/>
    <w:rsid w:val="00784B08"/>
    <w:rsid w:val="00784C03"/>
    <w:rsid w:val="00784C45"/>
    <w:rsid w:val="00784C55"/>
    <w:rsid w:val="00784D46"/>
    <w:rsid w:val="00784E66"/>
    <w:rsid w:val="00784E79"/>
    <w:rsid w:val="007850A7"/>
    <w:rsid w:val="007850E7"/>
    <w:rsid w:val="007850F8"/>
    <w:rsid w:val="00785175"/>
    <w:rsid w:val="0078517B"/>
    <w:rsid w:val="007851FC"/>
    <w:rsid w:val="00785285"/>
    <w:rsid w:val="00785351"/>
    <w:rsid w:val="00785442"/>
    <w:rsid w:val="00785531"/>
    <w:rsid w:val="00785648"/>
    <w:rsid w:val="0078574D"/>
    <w:rsid w:val="00785932"/>
    <w:rsid w:val="00785A3C"/>
    <w:rsid w:val="00785B17"/>
    <w:rsid w:val="00785B2C"/>
    <w:rsid w:val="00785B8D"/>
    <w:rsid w:val="00785B9C"/>
    <w:rsid w:val="00785BEA"/>
    <w:rsid w:val="00785D02"/>
    <w:rsid w:val="00785F91"/>
    <w:rsid w:val="00786202"/>
    <w:rsid w:val="007863EA"/>
    <w:rsid w:val="007864CB"/>
    <w:rsid w:val="00786520"/>
    <w:rsid w:val="007866BB"/>
    <w:rsid w:val="0078684C"/>
    <w:rsid w:val="0078685C"/>
    <w:rsid w:val="00786909"/>
    <w:rsid w:val="007869BC"/>
    <w:rsid w:val="007869CD"/>
    <w:rsid w:val="00786A3A"/>
    <w:rsid w:val="00786BBA"/>
    <w:rsid w:val="00786C88"/>
    <w:rsid w:val="00786CE9"/>
    <w:rsid w:val="00786F42"/>
    <w:rsid w:val="007870E2"/>
    <w:rsid w:val="007874AB"/>
    <w:rsid w:val="00787561"/>
    <w:rsid w:val="0078771A"/>
    <w:rsid w:val="0078783C"/>
    <w:rsid w:val="0078789B"/>
    <w:rsid w:val="00787938"/>
    <w:rsid w:val="00787A57"/>
    <w:rsid w:val="00787A59"/>
    <w:rsid w:val="00787BEB"/>
    <w:rsid w:val="00787CE2"/>
    <w:rsid w:val="00787D27"/>
    <w:rsid w:val="00787EAE"/>
    <w:rsid w:val="007901AD"/>
    <w:rsid w:val="007902CC"/>
    <w:rsid w:val="007903AD"/>
    <w:rsid w:val="007904D9"/>
    <w:rsid w:val="00790520"/>
    <w:rsid w:val="007905D5"/>
    <w:rsid w:val="00790698"/>
    <w:rsid w:val="00790748"/>
    <w:rsid w:val="00790751"/>
    <w:rsid w:val="007909A5"/>
    <w:rsid w:val="007909BE"/>
    <w:rsid w:val="00790A5A"/>
    <w:rsid w:val="00790AF9"/>
    <w:rsid w:val="00790D7E"/>
    <w:rsid w:val="0079103F"/>
    <w:rsid w:val="00791077"/>
    <w:rsid w:val="00791224"/>
    <w:rsid w:val="007912AF"/>
    <w:rsid w:val="00791445"/>
    <w:rsid w:val="00791455"/>
    <w:rsid w:val="0079145B"/>
    <w:rsid w:val="00791470"/>
    <w:rsid w:val="0079153E"/>
    <w:rsid w:val="00791576"/>
    <w:rsid w:val="00791627"/>
    <w:rsid w:val="007917B2"/>
    <w:rsid w:val="00791833"/>
    <w:rsid w:val="00791967"/>
    <w:rsid w:val="00791987"/>
    <w:rsid w:val="00791A03"/>
    <w:rsid w:val="00791A1C"/>
    <w:rsid w:val="00791B91"/>
    <w:rsid w:val="00791CDB"/>
    <w:rsid w:val="00791E39"/>
    <w:rsid w:val="0079208F"/>
    <w:rsid w:val="00792187"/>
    <w:rsid w:val="00792343"/>
    <w:rsid w:val="00792428"/>
    <w:rsid w:val="007925C4"/>
    <w:rsid w:val="00792742"/>
    <w:rsid w:val="007927E4"/>
    <w:rsid w:val="007927ED"/>
    <w:rsid w:val="007927F2"/>
    <w:rsid w:val="007928DD"/>
    <w:rsid w:val="0079290F"/>
    <w:rsid w:val="00792A52"/>
    <w:rsid w:val="00792D28"/>
    <w:rsid w:val="00792F12"/>
    <w:rsid w:val="00792F87"/>
    <w:rsid w:val="00793001"/>
    <w:rsid w:val="00793070"/>
    <w:rsid w:val="007930CE"/>
    <w:rsid w:val="00793391"/>
    <w:rsid w:val="007933A2"/>
    <w:rsid w:val="007934ED"/>
    <w:rsid w:val="00793617"/>
    <w:rsid w:val="00793938"/>
    <w:rsid w:val="00793CDB"/>
    <w:rsid w:val="00793D9F"/>
    <w:rsid w:val="00793E03"/>
    <w:rsid w:val="00793E56"/>
    <w:rsid w:val="00793E57"/>
    <w:rsid w:val="007940F9"/>
    <w:rsid w:val="0079437C"/>
    <w:rsid w:val="007945CD"/>
    <w:rsid w:val="007945D4"/>
    <w:rsid w:val="007947AD"/>
    <w:rsid w:val="007947DF"/>
    <w:rsid w:val="007948AE"/>
    <w:rsid w:val="0079490F"/>
    <w:rsid w:val="007949E1"/>
    <w:rsid w:val="00794A6A"/>
    <w:rsid w:val="00794A92"/>
    <w:rsid w:val="00794AC4"/>
    <w:rsid w:val="00794AEC"/>
    <w:rsid w:val="00794CF8"/>
    <w:rsid w:val="00794D14"/>
    <w:rsid w:val="00794F79"/>
    <w:rsid w:val="007951DD"/>
    <w:rsid w:val="00795337"/>
    <w:rsid w:val="007953B7"/>
    <w:rsid w:val="007954AF"/>
    <w:rsid w:val="007957A2"/>
    <w:rsid w:val="007957C6"/>
    <w:rsid w:val="0079590C"/>
    <w:rsid w:val="00795A4E"/>
    <w:rsid w:val="00795C2B"/>
    <w:rsid w:val="00795C63"/>
    <w:rsid w:val="00795DAA"/>
    <w:rsid w:val="00795EED"/>
    <w:rsid w:val="00796242"/>
    <w:rsid w:val="0079636E"/>
    <w:rsid w:val="0079652F"/>
    <w:rsid w:val="0079664D"/>
    <w:rsid w:val="00796656"/>
    <w:rsid w:val="007966C4"/>
    <w:rsid w:val="00796749"/>
    <w:rsid w:val="007967C5"/>
    <w:rsid w:val="00796867"/>
    <w:rsid w:val="00796926"/>
    <w:rsid w:val="00796BE0"/>
    <w:rsid w:val="00796FD1"/>
    <w:rsid w:val="00796FD3"/>
    <w:rsid w:val="00797169"/>
    <w:rsid w:val="007973AB"/>
    <w:rsid w:val="007973BE"/>
    <w:rsid w:val="00797622"/>
    <w:rsid w:val="00797C11"/>
    <w:rsid w:val="00797C6D"/>
    <w:rsid w:val="00797E3F"/>
    <w:rsid w:val="00797F40"/>
    <w:rsid w:val="00797FAD"/>
    <w:rsid w:val="00797FC4"/>
    <w:rsid w:val="007A01D3"/>
    <w:rsid w:val="007A01EF"/>
    <w:rsid w:val="007A027A"/>
    <w:rsid w:val="007A0324"/>
    <w:rsid w:val="007A06AB"/>
    <w:rsid w:val="007A0838"/>
    <w:rsid w:val="007A0872"/>
    <w:rsid w:val="007A0891"/>
    <w:rsid w:val="007A09AC"/>
    <w:rsid w:val="007A0A16"/>
    <w:rsid w:val="007A0B9B"/>
    <w:rsid w:val="007A0C3A"/>
    <w:rsid w:val="007A0FAE"/>
    <w:rsid w:val="007A1293"/>
    <w:rsid w:val="007A12BC"/>
    <w:rsid w:val="007A145A"/>
    <w:rsid w:val="007A167F"/>
    <w:rsid w:val="007A182C"/>
    <w:rsid w:val="007A1AE6"/>
    <w:rsid w:val="007A1CA0"/>
    <w:rsid w:val="007A1D8B"/>
    <w:rsid w:val="007A1E0E"/>
    <w:rsid w:val="007A20C8"/>
    <w:rsid w:val="007A20F4"/>
    <w:rsid w:val="007A24E2"/>
    <w:rsid w:val="007A2511"/>
    <w:rsid w:val="007A2523"/>
    <w:rsid w:val="007A27CF"/>
    <w:rsid w:val="007A2BFE"/>
    <w:rsid w:val="007A2D05"/>
    <w:rsid w:val="007A2D2E"/>
    <w:rsid w:val="007A2E75"/>
    <w:rsid w:val="007A2F8B"/>
    <w:rsid w:val="007A3081"/>
    <w:rsid w:val="007A3154"/>
    <w:rsid w:val="007A3270"/>
    <w:rsid w:val="007A32F7"/>
    <w:rsid w:val="007A3477"/>
    <w:rsid w:val="007A34BA"/>
    <w:rsid w:val="007A368A"/>
    <w:rsid w:val="007A3709"/>
    <w:rsid w:val="007A37F6"/>
    <w:rsid w:val="007A399F"/>
    <w:rsid w:val="007A3B5F"/>
    <w:rsid w:val="007A3B9F"/>
    <w:rsid w:val="007A3DA1"/>
    <w:rsid w:val="007A3E37"/>
    <w:rsid w:val="007A3EBD"/>
    <w:rsid w:val="007A3EC6"/>
    <w:rsid w:val="007A4139"/>
    <w:rsid w:val="007A42F5"/>
    <w:rsid w:val="007A482A"/>
    <w:rsid w:val="007A4949"/>
    <w:rsid w:val="007A4A2D"/>
    <w:rsid w:val="007A4A75"/>
    <w:rsid w:val="007A4B1F"/>
    <w:rsid w:val="007A4E54"/>
    <w:rsid w:val="007A507C"/>
    <w:rsid w:val="007A50E9"/>
    <w:rsid w:val="007A5266"/>
    <w:rsid w:val="007A5338"/>
    <w:rsid w:val="007A53FB"/>
    <w:rsid w:val="007A5578"/>
    <w:rsid w:val="007A558B"/>
    <w:rsid w:val="007A55C4"/>
    <w:rsid w:val="007A569F"/>
    <w:rsid w:val="007A56AC"/>
    <w:rsid w:val="007A5931"/>
    <w:rsid w:val="007A5B36"/>
    <w:rsid w:val="007A5D9A"/>
    <w:rsid w:val="007A5EA5"/>
    <w:rsid w:val="007A5F38"/>
    <w:rsid w:val="007A5F54"/>
    <w:rsid w:val="007A63A5"/>
    <w:rsid w:val="007A64A7"/>
    <w:rsid w:val="007A65A6"/>
    <w:rsid w:val="007A668A"/>
    <w:rsid w:val="007A66D9"/>
    <w:rsid w:val="007A69E1"/>
    <w:rsid w:val="007A6A46"/>
    <w:rsid w:val="007A6C7F"/>
    <w:rsid w:val="007A6E2E"/>
    <w:rsid w:val="007A7169"/>
    <w:rsid w:val="007A72FE"/>
    <w:rsid w:val="007A7335"/>
    <w:rsid w:val="007A74BE"/>
    <w:rsid w:val="007A7538"/>
    <w:rsid w:val="007A768D"/>
    <w:rsid w:val="007A76BB"/>
    <w:rsid w:val="007A7A89"/>
    <w:rsid w:val="007A7BAD"/>
    <w:rsid w:val="007A7F5C"/>
    <w:rsid w:val="007A95A0"/>
    <w:rsid w:val="007B002C"/>
    <w:rsid w:val="007B00D2"/>
    <w:rsid w:val="007B01C9"/>
    <w:rsid w:val="007B02E9"/>
    <w:rsid w:val="007B032D"/>
    <w:rsid w:val="007B0584"/>
    <w:rsid w:val="007B058B"/>
    <w:rsid w:val="007B0723"/>
    <w:rsid w:val="007B075A"/>
    <w:rsid w:val="007B07A0"/>
    <w:rsid w:val="007B0863"/>
    <w:rsid w:val="007B09EB"/>
    <w:rsid w:val="007B0BA5"/>
    <w:rsid w:val="007B0C23"/>
    <w:rsid w:val="007B0CAE"/>
    <w:rsid w:val="007B0F30"/>
    <w:rsid w:val="007B1032"/>
    <w:rsid w:val="007B12C9"/>
    <w:rsid w:val="007B141D"/>
    <w:rsid w:val="007B15BF"/>
    <w:rsid w:val="007B1623"/>
    <w:rsid w:val="007B185F"/>
    <w:rsid w:val="007B1993"/>
    <w:rsid w:val="007B1BE5"/>
    <w:rsid w:val="007B1CBB"/>
    <w:rsid w:val="007B1D57"/>
    <w:rsid w:val="007B2048"/>
    <w:rsid w:val="007B2292"/>
    <w:rsid w:val="007B238C"/>
    <w:rsid w:val="007B2412"/>
    <w:rsid w:val="007B2417"/>
    <w:rsid w:val="007B2436"/>
    <w:rsid w:val="007B2547"/>
    <w:rsid w:val="007B2585"/>
    <w:rsid w:val="007B26C3"/>
    <w:rsid w:val="007B27A5"/>
    <w:rsid w:val="007B2AF6"/>
    <w:rsid w:val="007B2B70"/>
    <w:rsid w:val="007B2C3A"/>
    <w:rsid w:val="007B2C5B"/>
    <w:rsid w:val="007B2D59"/>
    <w:rsid w:val="007B2D5B"/>
    <w:rsid w:val="007B2D60"/>
    <w:rsid w:val="007B3038"/>
    <w:rsid w:val="007B30A4"/>
    <w:rsid w:val="007B3159"/>
    <w:rsid w:val="007B32C4"/>
    <w:rsid w:val="007B3482"/>
    <w:rsid w:val="007B34CF"/>
    <w:rsid w:val="007B35B0"/>
    <w:rsid w:val="007B3658"/>
    <w:rsid w:val="007B3670"/>
    <w:rsid w:val="007B3730"/>
    <w:rsid w:val="007B37EF"/>
    <w:rsid w:val="007B382F"/>
    <w:rsid w:val="007B3837"/>
    <w:rsid w:val="007B3933"/>
    <w:rsid w:val="007B39CB"/>
    <w:rsid w:val="007B3B11"/>
    <w:rsid w:val="007B3B52"/>
    <w:rsid w:val="007B3BD2"/>
    <w:rsid w:val="007B3CB6"/>
    <w:rsid w:val="007B3CC3"/>
    <w:rsid w:val="007B3D2F"/>
    <w:rsid w:val="007B4120"/>
    <w:rsid w:val="007B432F"/>
    <w:rsid w:val="007B4670"/>
    <w:rsid w:val="007B4685"/>
    <w:rsid w:val="007B47D3"/>
    <w:rsid w:val="007B4869"/>
    <w:rsid w:val="007B4AEA"/>
    <w:rsid w:val="007B4C11"/>
    <w:rsid w:val="007B5239"/>
    <w:rsid w:val="007B5309"/>
    <w:rsid w:val="007B5563"/>
    <w:rsid w:val="007B5618"/>
    <w:rsid w:val="007B5911"/>
    <w:rsid w:val="007B5C85"/>
    <w:rsid w:val="007B5F4B"/>
    <w:rsid w:val="007B61E6"/>
    <w:rsid w:val="007B62D6"/>
    <w:rsid w:val="007B6566"/>
    <w:rsid w:val="007B66D8"/>
    <w:rsid w:val="007B6810"/>
    <w:rsid w:val="007B6990"/>
    <w:rsid w:val="007B69F2"/>
    <w:rsid w:val="007B6DCB"/>
    <w:rsid w:val="007B6F18"/>
    <w:rsid w:val="007B71B3"/>
    <w:rsid w:val="007B71B5"/>
    <w:rsid w:val="007B7233"/>
    <w:rsid w:val="007B724E"/>
    <w:rsid w:val="007B727E"/>
    <w:rsid w:val="007B7341"/>
    <w:rsid w:val="007B73E7"/>
    <w:rsid w:val="007B753C"/>
    <w:rsid w:val="007B7603"/>
    <w:rsid w:val="007B7630"/>
    <w:rsid w:val="007B7669"/>
    <w:rsid w:val="007B780F"/>
    <w:rsid w:val="007B78EA"/>
    <w:rsid w:val="007B7C6D"/>
    <w:rsid w:val="007B7CAC"/>
    <w:rsid w:val="007B7CB4"/>
    <w:rsid w:val="007B7D65"/>
    <w:rsid w:val="007B7DDE"/>
    <w:rsid w:val="007B7E58"/>
    <w:rsid w:val="007B8963"/>
    <w:rsid w:val="007C0262"/>
    <w:rsid w:val="007C0271"/>
    <w:rsid w:val="007C02B0"/>
    <w:rsid w:val="007C0381"/>
    <w:rsid w:val="007C03B0"/>
    <w:rsid w:val="007C03C2"/>
    <w:rsid w:val="007C03F7"/>
    <w:rsid w:val="007C05FC"/>
    <w:rsid w:val="007C0639"/>
    <w:rsid w:val="007C065D"/>
    <w:rsid w:val="007C07DC"/>
    <w:rsid w:val="007C0C60"/>
    <w:rsid w:val="007C0D9A"/>
    <w:rsid w:val="007C0DE2"/>
    <w:rsid w:val="007C0E1A"/>
    <w:rsid w:val="007C0E9D"/>
    <w:rsid w:val="007C0EF5"/>
    <w:rsid w:val="007C1051"/>
    <w:rsid w:val="007C11FB"/>
    <w:rsid w:val="007C1222"/>
    <w:rsid w:val="007C12E0"/>
    <w:rsid w:val="007C15ED"/>
    <w:rsid w:val="007C1609"/>
    <w:rsid w:val="007C17A4"/>
    <w:rsid w:val="007C17CE"/>
    <w:rsid w:val="007C18DC"/>
    <w:rsid w:val="007C1934"/>
    <w:rsid w:val="007C1C58"/>
    <w:rsid w:val="007C1C74"/>
    <w:rsid w:val="007C1D42"/>
    <w:rsid w:val="007C1DB7"/>
    <w:rsid w:val="007C1E6B"/>
    <w:rsid w:val="007C1EEF"/>
    <w:rsid w:val="007C2077"/>
    <w:rsid w:val="007C21AC"/>
    <w:rsid w:val="007C2296"/>
    <w:rsid w:val="007C22E1"/>
    <w:rsid w:val="007C22E7"/>
    <w:rsid w:val="007C232F"/>
    <w:rsid w:val="007C236C"/>
    <w:rsid w:val="007C23D1"/>
    <w:rsid w:val="007C2566"/>
    <w:rsid w:val="007C25EB"/>
    <w:rsid w:val="007C267D"/>
    <w:rsid w:val="007C27F9"/>
    <w:rsid w:val="007C2A7C"/>
    <w:rsid w:val="007C2B86"/>
    <w:rsid w:val="007C2D37"/>
    <w:rsid w:val="007C2D7F"/>
    <w:rsid w:val="007C2D84"/>
    <w:rsid w:val="007C2DFF"/>
    <w:rsid w:val="007C2F91"/>
    <w:rsid w:val="007C30B8"/>
    <w:rsid w:val="007C315F"/>
    <w:rsid w:val="007C3211"/>
    <w:rsid w:val="007C3219"/>
    <w:rsid w:val="007C352C"/>
    <w:rsid w:val="007C3627"/>
    <w:rsid w:val="007C386E"/>
    <w:rsid w:val="007C38FA"/>
    <w:rsid w:val="007C3A58"/>
    <w:rsid w:val="007C3B29"/>
    <w:rsid w:val="007C3D09"/>
    <w:rsid w:val="007C3DB0"/>
    <w:rsid w:val="007C3EEE"/>
    <w:rsid w:val="007C3F91"/>
    <w:rsid w:val="007C41E0"/>
    <w:rsid w:val="007C426F"/>
    <w:rsid w:val="007C42C1"/>
    <w:rsid w:val="007C42EC"/>
    <w:rsid w:val="007C4347"/>
    <w:rsid w:val="007C45A5"/>
    <w:rsid w:val="007C4B17"/>
    <w:rsid w:val="007C4BE2"/>
    <w:rsid w:val="007C4F76"/>
    <w:rsid w:val="007C4FA0"/>
    <w:rsid w:val="007C5002"/>
    <w:rsid w:val="007C5053"/>
    <w:rsid w:val="007C50BA"/>
    <w:rsid w:val="007C50EE"/>
    <w:rsid w:val="007C513B"/>
    <w:rsid w:val="007C53F2"/>
    <w:rsid w:val="007C5640"/>
    <w:rsid w:val="007C57B0"/>
    <w:rsid w:val="007C57E3"/>
    <w:rsid w:val="007C586D"/>
    <w:rsid w:val="007C5904"/>
    <w:rsid w:val="007C5BBB"/>
    <w:rsid w:val="007C5BE5"/>
    <w:rsid w:val="007C5E86"/>
    <w:rsid w:val="007C606E"/>
    <w:rsid w:val="007C613A"/>
    <w:rsid w:val="007C6210"/>
    <w:rsid w:val="007C627A"/>
    <w:rsid w:val="007C6329"/>
    <w:rsid w:val="007C6414"/>
    <w:rsid w:val="007C6774"/>
    <w:rsid w:val="007C69A7"/>
    <w:rsid w:val="007C6C3B"/>
    <w:rsid w:val="007C6D10"/>
    <w:rsid w:val="007C6D2A"/>
    <w:rsid w:val="007C6DB6"/>
    <w:rsid w:val="007C71CA"/>
    <w:rsid w:val="007C7256"/>
    <w:rsid w:val="007C7586"/>
    <w:rsid w:val="007C75C6"/>
    <w:rsid w:val="007C78E1"/>
    <w:rsid w:val="007C79CD"/>
    <w:rsid w:val="007C7B1B"/>
    <w:rsid w:val="007C7C04"/>
    <w:rsid w:val="007C7D15"/>
    <w:rsid w:val="007C7DA6"/>
    <w:rsid w:val="007C7E23"/>
    <w:rsid w:val="007C7E51"/>
    <w:rsid w:val="007D0083"/>
    <w:rsid w:val="007D0156"/>
    <w:rsid w:val="007D0485"/>
    <w:rsid w:val="007D06A6"/>
    <w:rsid w:val="007D086B"/>
    <w:rsid w:val="007D0AF9"/>
    <w:rsid w:val="007D0FDA"/>
    <w:rsid w:val="007D12FC"/>
    <w:rsid w:val="007D13A7"/>
    <w:rsid w:val="007D194A"/>
    <w:rsid w:val="007D1958"/>
    <w:rsid w:val="007D1991"/>
    <w:rsid w:val="007D1D8D"/>
    <w:rsid w:val="007D1DA0"/>
    <w:rsid w:val="007D1DB1"/>
    <w:rsid w:val="007D1DD8"/>
    <w:rsid w:val="007D1E0A"/>
    <w:rsid w:val="007D1EE2"/>
    <w:rsid w:val="007D1FB8"/>
    <w:rsid w:val="007D2021"/>
    <w:rsid w:val="007D203E"/>
    <w:rsid w:val="007D20BC"/>
    <w:rsid w:val="007D23F2"/>
    <w:rsid w:val="007D2AF6"/>
    <w:rsid w:val="007D2D8F"/>
    <w:rsid w:val="007D2E67"/>
    <w:rsid w:val="007D3126"/>
    <w:rsid w:val="007D31B5"/>
    <w:rsid w:val="007D326E"/>
    <w:rsid w:val="007D333F"/>
    <w:rsid w:val="007D348E"/>
    <w:rsid w:val="007D3508"/>
    <w:rsid w:val="007D358C"/>
    <w:rsid w:val="007D376B"/>
    <w:rsid w:val="007D381E"/>
    <w:rsid w:val="007D38FA"/>
    <w:rsid w:val="007D39E5"/>
    <w:rsid w:val="007D3B90"/>
    <w:rsid w:val="007D3BC9"/>
    <w:rsid w:val="007D3CEF"/>
    <w:rsid w:val="007D3D4E"/>
    <w:rsid w:val="007D3D71"/>
    <w:rsid w:val="007D3E13"/>
    <w:rsid w:val="007D4091"/>
    <w:rsid w:val="007D427F"/>
    <w:rsid w:val="007D4298"/>
    <w:rsid w:val="007D42BD"/>
    <w:rsid w:val="007D42C7"/>
    <w:rsid w:val="007D447F"/>
    <w:rsid w:val="007D460F"/>
    <w:rsid w:val="007D48A1"/>
    <w:rsid w:val="007D48B1"/>
    <w:rsid w:val="007D48BC"/>
    <w:rsid w:val="007D4A4A"/>
    <w:rsid w:val="007D4B24"/>
    <w:rsid w:val="007D4C79"/>
    <w:rsid w:val="007D4EE9"/>
    <w:rsid w:val="007D4EF6"/>
    <w:rsid w:val="007D50B9"/>
    <w:rsid w:val="007D521E"/>
    <w:rsid w:val="007D52F5"/>
    <w:rsid w:val="007D55EF"/>
    <w:rsid w:val="007D55FE"/>
    <w:rsid w:val="007D567B"/>
    <w:rsid w:val="007D572C"/>
    <w:rsid w:val="007D579C"/>
    <w:rsid w:val="007D57C7"/>
    <w:rsid w:val="007D57D9"/>
    <w:rsid w:val="007D58EF"/>
    <w:rsid w:val="007D591A"/>
    <w:rsid w:val="007D5954"/>
    <w:rsid w:val="007D59C0"/>
    <w:rsid w:val="007D59C9"/>
    <w:rsid w:val="007D59F2"/>
    <w:rsid w:val="007D59FF"/>
    <w:rsid w:val="007D5A77"/>
    <w:rsid w:val="007D5B19"/>
    <w:rsid w:val="007D5BA1"/>
    <w:rsid w:val="007D5CA1"/>
    <w:rsid w:val="007D5F43"/>
    <w:rsid w:val="007D613D"/>
    <w:rsid w:val="007D63C7"/>
    <w:rsid w:val="007D668C"/>
    <w:rsid w:val="007D680E"/>
    <w:rsid w:val="007D6B92"/>
    <w:rsid w:val="007D6D09"/>
    <w:rsid w:val="007D6DC3"/>
    <w:rsid w:val="007D70C5"/>
    <w:rsid w:val="007D71D6"/>
    <w:rsid w:val="007D72E4"/>
    <w:rsid w:val="007D779F"/>
    <w:rsid w:val="007D781F"/>
    <w:rsid w:val="007D7A69"/>
    <w:rsid w:val="007D7BA9"/>
    <w:rsid w:val="007D7BB6"/>
    <w:rsid w:val="007E0021"/>
    <w:rsid w:val="007E0056"/>
    <w:rsid w:val="007E019F"/>
    <w:rsid w:val="007E0280"/>
    <w:rsid w:val="007E0457"/>
    <w:rsid w:val="007E05CF"/>
    <w:rsid w:val="007E06EA"/>
    <w:rsid w:val="007E07DB"/>
    <w:rsid w:val="007E0897"/>
    <w:rsid w:val="007E08BC"/>
    <w:rsid w:val="007E0950"/>
    <w:rsid w:val="007E09B9"/>
    <w:rsid w:val="007E09DB"/>
    <w:rsid w:val="007E09F1"/>
    <w:rsid w:val="007E0C1D"/>
    <w:rsid w:val="007E0CF1"/>
    <w:rsid w:val="007E0D59"/>
    <w:rsid w:val="007E0DA5"/>
    <w:rsid w:val="007E0E58"/>
    <w:rsid w:val="007E0EF2"/>
    <w:rsid w:val="007E120B"/>
    <w:rsid w:val="007E1403"/>
    <w:rsid w:val="007E14B1"/>
    <w:rsid w:val="007E15BE"/>
    <w:rsid w:val="007E16CE"/>
    <w:rsid w:val="007E16E5"/>
    <w:rsid w:val="007E17A1"/>
    <w:rsid w:val="007E17D6"/>
    <w:rsid w:val="007E17D8"/>
    <w:rsid w:val="007E19A6"/>
    <w:rsid w:val="007E19A9"/>
    <w:rsid w:val="007E1BD1"/>
    <w:rsid w:val="007E1DCA"/>
    <w:rsid w:val="007E1F4F"/>
    <w:rsid w:val="007E2035"/>
    <w:rsid w:val="007E21B9"/>
    <w:rsid w:val="007E21F0"/>
    <w:rsid w:val="007E2208"/>
    <w:rsid w:val="007E22A5"/>
    <w:rsid w:val="007E22F5"/>
    <w:rsid w:val="007E2425"/>
    <w:rsid w:val="007E2514"/>
    <w:rsid w:val="007E2551"/>
    <w:rsid w:val="007E25DC"/>
    <w:rsid w:val="007E287D"/>
    <w:rsid w:val="007E28EE"/>
    <w:rsid w:val="007E2945"/>
    <w:rsid w:val="007E29B6"/>
    <w:rsid w:val="007E2A26"/>
    <w:rsid w:val="007E2AD0"/>
    <w:rsid w:val="007E2B01"/>
    <w:rsid w:val="007E2CEB"/>
    <w:rsid w:val="007E2E56"/>
    <w:rsid w:val="007E2E94"/>
    <w:rsid w:val="007E2FE3"/>
    <w:rsid w:val="007E2FF9"/>
    <w:rsid w:val="007E3062"/>
    <w:rsid w:val="007E35B0"/>
    <w:rsid w:val="007E3640"/>
    <w:rsid w:val="007E36E1"/>
    <w:rsid w:val="007E375A"/>
    <w:rsid w:val="007E3761"/>
    <w:rsid w:val="007E3800"/>
    <w:rsid w:val="007E387A"/>
    <w:rsid w:val="007E3A5B"/>
    <w:rsid w:val="007E3AA9"/>
    <w:rsid w:val="007E3AB6"/>
    <w:rsid w:val="007E3C35"/>
    <w:rsid w:val="007E3C9D"/>
    <w:rsid w:val="007E3CC8"/>
    <w:rsid w:val="007E3D4B"/>
    <w:rsid w:val="007E3D55"/>
    <w:rsid w:val="007E3D8B"/>
    <w:rsid w:val="007E3E89"/>
    <w:rsid w:val="007E3F57"/>
    <w:rsid w:val="007E41A0"/>
    <w:rsid w:val="007E41DE"/>
    <w:rsid w:val="007E426C"/>
    <w:rsid w:val="007E429F"/>
    <w:rsid w:val="007E433E"/>
    <w:rsid w:val="007E4396"/>
    <w:rsid w:val="007E44B6"/>
    <w:rsid w:val="007E459A"/>
    <w:rsid w:val="007E46AC"/>
    <w:rsid w:val="007E46B6"/>
    <w:rsid w:val="007E4853"/>
    <w:rsid w:val="007E4859"/>
    <w:rsid w:val="007E491A"/>
    <w:rsid w:val="007E4996"/>
    <w:rsid w:val="007E49DA"/>
    <w:rsid w:val="007E4A88"/>
    <w:rsid w:val="007E4AF8"/>
    <w:rsid w:val="007E4B73"/>
    <w:rsid w:val="007E4C1B"/>
    <w:rsid w:val="007E4E1E"/>
    <w:rsid w:val="007E5045"/>
    <w:rsid w:val="007E50CC"/>
    <w:rsid w:val="007E5139"/>
    <w:rsid w:val="007E518A"/>
    <w:rsid w:val="007E51EB"/>
    <w:rsid w:val="007E5254"/>
    <w:rsid w:val="007E529A"/>
    <w:rsid w:val="007E5351"/>
    <w:rsid w:val="007E5585"/>
    <w:rsid w:val="007E5872"/>
    <w:rsid w:val="007E5889"/>
    <w:rsid w:val="007E5B71"/>
    <w:rsid w:val="007E5B9D"/>
    <w:rsid w:val="007E5BC0"/>
    <w:rsid w:val="007E6068"/>
    <w:rsid w:val="007E6080"/>
    <w:rsid w:val="007E619A"/>
    <w:rsid w:val="007E61E9"/>
    <w:rsid w:val="007E6284"/>
    <w:rsid w:val="007E6312"/>
    <w:rsid w:val="007E6397"/>
    <w:rsid w:val="007E63BC"/>
    <w:rsid w:val="007E68A3"/>
    <w:rsid w:val="007E694C"/>
    <w:rsid w:val="007E6993"/>
    <w:rsid w:val="007E6C51"/>
    <w:rsid w:val="007E704C"/>
    <w:rsid w:val="007E71AB"/>
    <w:rsid w:val="007E74A3"/>
    <w:rsid w:val="007E778C"/>
    <w:rsid w:val="007E779C"/>
    <w:rsid w:val="007E786A"/>
    <w:rsid w:val="007E786C"/>
    <w:rsid w:val="007E7A4E"/>
    <w:rsid w:val="007E7AE0"/>
    <w:rsid w:val="007E7B8A"/>
    <w:rsid w:val="007E7D37"/>
    <w:rsid w:val="007E7D69"/>
    <w:rsid w:val="007E7E02"/>
    <w:rsid w:val="007F0010"/>
    <w:rsid w:val="007F005E"/>
    <w:rsid w:val="007F0104"/>
    <w:rsid w:val="007F033E"/>
    <w:rsid w:val="007F0593"/>
    <w:rsid w:val="007F059F"/>
    <w:rsid w:val="007F0691"/>
    <w:rsid w:val="007F06EA"/>
    <w:rsid w:val="007F09B4"/>
    <w:rsid w:val="007F0B26"/>
    <w:rsid w:val="007F0D6A"/>
    <w:rsid w:val="007F0EE4"/>
    <w:rsid w:val="007F103C"/>
    <w:rsid w:val="007F12C4"/>
    <w:rsid w:val="007F12D0"/>
    <w:rsid w:val="007F12E0"/>
    <w:rsid w:val="007F12FF"/>
    <w:rsid w:val="007F1305"/>
    <w:rsid w:val="007F1526"/>
    <w:rsid w:val="007F157A"/>
    <w:rsid w:val="007F15E0"/>
    <w:rsid w:val="007F160B"/>
    <w:rsid w:val="007F17D1"/>
    <w:rsid w:val="007F17FA"/>
    <w:rsid w:val="007F194A"/>
    <w:rsid w:val="007F1A11"/>
    <w:rsid w:val="007F1A74"/>
    <w:rsid w:val="007F1A76"/>
    <w:rsid w:val="007F1CF7"/>
    <w:rsid w:val="007F206F"/>
    <w:rsid w:val="007F258B"/>
    <w:rsid w:val="007F25A5"/>
    <w:rsid w:val="007F2AD9"/>
    <w:rsid w:val="007F2C1D"/>
    <w:rsid w:val="007F2EB3"/>
    <w:rsid w:val="007F2F17"/>
    <w:rsid w:val="007F314E"/>
    <w:rsid w:val="007F3177"/>
    <w:rsid w:val="007F320C"/>
    <w:rsid w:val="007F3229"/>
    <w:rsid w:val="007F3573"/>
    <w:rsid w:val="007F360E"/>
    <w:rsid w:val="007F368F"/>
    <w:rsid w:val="007F37F0"/>
    <w:rsid w:val="007F39E7"/>
    <w:rsid w:val="007F3A57"/>
    <w:rsid w:val="007F3BF8"/>
    <w:rsid w:val="007F3D3C"/>
    <w:rsid w:val="007F3F17"/>
    <w:rsid w:val="007F3F57"/>
    <w:rsid w:val="007F4173"/>
    <w:rsid w:val="007F41CF"/>
    <w:rsid w:val="007F4378"/>
    <w:rsid w:val="007F4528"/>
    <w:rsid w:val="007F4533"/>
    <w:rsid w:val="007F4592"/>
    <w:rsid w:val="007F4965"/>
    <w:rsid w:val="007F4B86"/>
    <w:rsid w:val="007F4BF7"/>
    <w:rsid w:val="007F4C8C"/>
    <w:rsid w:val="007F4E08"/>
    <w:rsid w:val="007F4F0A"/>
    <w:rsid w:val="007F4F0B"/>
    <w:rsid w:val="007F4F41"/>
    <w:rsid w:val="007F4F8F"/>
    <w:rsid w:val="007F515D"/>
    <w:rsid w:val="007F524D"/>
    <w:rsid w:val="007F529E"/>
    <w:rsid w:val="007F5414"/>
    <w:rsid w:val="007F5665"/>
    <w:rsid w:val="007F5666"/>
    <w:rsid w:val="007F5670"/>
    <w:rsid w:val="007F56AE"/>
    <w:rsid w:val="007F5852"/>
    <w:rsid w:val="007F595E"/>
    <w:rsid w:val="007F5C29"/>
    <w:rsid w:val="007F5DC2"/>
    <w:rsid w:val="007F5E12"/>
    <w:rsid w:val="007F6196"/>
    <w:rsid w:val="007F62CF"/>
    <w:rsid w:val="007F6508"/>
    <w:rsid w:val="007F65C4"/>
    <w:rsid w:val="007F66A0"/>
    <w:rsid w:val="007F67D1"/>
    <w:rsid w:val="007F688A"/>
    <w:rsid w:val="007F68B5"/>
    <w:rsid w:val="007F6922"/>
    <w:rsid w:val="007F692A"/>
    <w:rsid w:val="007F6950"/>
    <w:rsid w:val="007F6B35"/>
    <w:rsid w:val="007F6CE6"/>
    <w:rsid w:val="007F6E39"/>
    <w:rsid w:val="007F7113"/>
    <w:rsid w:val="007F717C"/>
    <w:rsid w:val="007F7395"/>
    <w:rsid w:val="007F748F"/>
    <w:rsid w:val="007F7562"/>
    <w:rsid w:val="007F75B5"/>
    <w:rsid w:val="007F787F"/>
    <w:rsid w:val="007F7A91"/>
    <w:rsid w:val="007F7AFC"/>
    <w:rsid w:val="007F7C4F"/>
    <w:rsid w:val="007F7D1E"/>
    <w:rsid w:val="00800149"/>
    <w:rsid w:val="00800205"/>
    <w:rsid w:val="00800627"/>
    <w:rsid w:val="00800906"/>
    <w:rsid w:val="00800B12"/>
    <w:rsid w:val="00800BA2"/>
    <w:rsid w:val="00800C5F"/>
    <w:rsid w:val="00800E49"/>
    <w:rsid w:val="00800E4E"/>
    <w:rsid w:val="0080105F"/>
    <w:rsid w:val="00801064"/>
    <w:rsid w:val="008010AF"/>
    <w:rsid w:val="0080127E"/>
    <w:rsid w:val="008012EE"/>
    <w:rsid w:val="008012F7"/>
    <w:rsid w:val="00801334"/>
    <w:rsid w:val="00801395"/>
    <w:rsid w:val="00801476"/>
    <w:rsid w:val="008014E9"/>
    <w:rsid w:val="008016A6"/>
    <w:rsid w:val="008017BC"/>
    <w:rsid w:val="0080187A"/>
    <w:rsid w:val="008018CB"/>
    <w:rsid w:val="008018F4"/>
    <w:rsid w:val="00801946"/>
    <w:rsid w:val="00801C1D"/>
    <w:rsid w:val="00801CCF"/>
    <w:rsid w:val="00801DB0"/>
    <w:rsid w:val="00801DBE"/>
    <w:rsid w:val="00801E4B"/>
    <w:rsid w:val="00801FE7"/>
    <w:rsid w:val="00802021"/>
    <w:rsid w:val="00802043"/>
    <w:rsid w:val="0080239E"/>
    <w:rsid w:val="00802442"/>
    <w:rsid w:val="008025AE"/>
    <w:rsid w:val="0080271F"/>
    <w:rsid w:val="008027BC"/>
    <w:rsid w:val="00802B3C"/>
    <w:rsid w:val="00802BC6"/>
    <w:rsid w:val="00802C9D"/>
    <w:rsid w:val="00802DE8"/>
    <w:rsid w:val="00802E11"/>
    <w:rsid w:val="00802F56"/>
    <w:rsid w:val="00803052"/>
    <w:rsid w:val="0080306D"/>
    <w:rsid w:val="00803105"/>
    <w:rsid w:val="00803196"/>
    <w:rsid w:val="0080326C"/>
    <w:rsid w:val="00803343"/>
    <w:rsid w:val="0080366A"/>
    <w:rsid w:val="00803778"/>
    <w:rsid w:val="0080381C"/>
    <w:rsid w:val="0080385A"/>
    <w:rsid w:val="008038CC"/>
    <w:rsid w:val="00803903"/>
    <w:rsid w:val="00803957"/>
    <w:rsid w:val="00803AF2"/>
    <w:rsid w:val="00803C82"/>
    <w:rsid w:val="00803CD7"/>
    <w:rsid w:val="00803DFB"/>
    <w:rsid w:val="00803F42"/>
    <w:rsid w:val="00803FCC"/>
    <w:rsid w:val="008040AD"/>
    <w:rsid w:val="008041A5"/>
    <w:rsid w:val="0080429D"/>
    <w:rsid w:val="00804348"/>
    <w:rsid w:val="0080441D"/>
    <w:rsid w:val="00804529"/>
    <w:rsid w:val="00804542"/>
    <w:rsid w:val="008045D3"/>
    <w:rsid w:val="008047DE"/>
    <w:rsid w:val="00804869"/>
    <w:rsid w:val="00804B12"/>
    <w:rsid w:val="00804C68"/>
    <w:rsid w:val="00804C73"/>
    <w:rsid w:val="00804D40"/>
    <w:rsid w:val="00804E32"/>
    <w:rsid w:val="00805120"/>
    <w:rsid w:val="0080533C"/>
    <w:rsid w:val="0080544F"/>
    <w:rsid w:val="008054CC"/>
    <w:rsid w:val="008054D8"/>
    <w:rsid w:val="00805604"/>
    <w:rsid w:val="008056B9"/>
    <w:rsid w:val="008056ED"/>
    <w:rsid w:val="0080571A"/>
    <w:rsid w:val="008059CD"/>
    <w:rsid w:val="00805A5A"/>
    <w:rsid w:val="00805BCE"/>
    <w:rsid w:val="00805CDF"/>
    <w:rsid w:val="00805EEF"/>
    <w:rsid w:val="0080602A"/>
    <w:rsid w:val="008060A1"/>
    <w:rsid w:val="00806109"/>
    <w:rsid w:val="008061AD"/>
    <w:rsid w:val="00806277"/>
    <w:rsid w:val="008063E0"/>
    <w:rsid w:val="0080665F"/>
    <w:rsid w:val="0080673C"/>
    <w:rsid w:val="0080677A"/>
    <w:rsid w:val="008067BB"/>
    <w:rsid w:val="00806820"/>
    <w:rsid w:val="00806AB7"/>
    <w:rsid w:val="00806C6C"/>
    <w:rsid w:val="00806D82"/>
    <w:rsid w:val="00806EAC"/>
    <w:rsid w:val="00806F11"/>
    <w:rsid w:val="00806F3F"/>
    <w:rsid w:val="00806F71"/>
    <w:rsid w:val="00807239"/>
    <w:rsid w:val="0080727B"/>
    <w:rsid w:val="00807370"/>
    <w:rsid w:val="008073A5"/>
    <w:rsid w:val="00807459"/>
    <w:rsid w:val="00807511"/>
    <w:rsid w:val="00807762"/>
    <w:rsid w:val="0080777C"/>
    <w:rsid w:val="008078A9"/>
    <w:rsid w:val="00807D45"/>
    <w:rsid w:val="00807E4D"/>
    <w:rsid w:val="00807F88"/>
    <w:rsid w:val="0080BF92"/>
    <w:rsid w:val="008102B4"/>
    <w:rsid w:val="008104BD"/>
    <w:rsid w:val="008105C0"/>
    <w:rsid w:val="008105FE"/>
    <w:rsid w:val="00810747"/>
    <w:rsid w:val="0081083C"/>
    <w:rsid w:val="008109A6"/>
    <w:rsid w:val="00810A94"/>
    <w:rsid w:val="00810B00"/>
    <w:rsid w:val="00810C5C"/>
    <w:rsid w:val="00810C85"/>
    <w:rsid w:val="00810E58"/>
    <w:rsid w:val="00810E89"/>
    <w:rsid w:val="0081130D"/>
    <w:rsid w:val="0081135E"/>
    <w:rsid w:val="008114ED"/>
    <w:rsid w:val="008117FE"/>
    <w:rsid w:val="00811823"/>
    <w:rsid w:val="00811E97"/>
    <w:rsid w:val="00811EF4"/>
    <w:rsid w:val="00812114"/>
    <w:rsid w:val="0081219A"/>
    <w:rsid w:val="008121AC"/>
    <w:rsid w:val="008121D4"/>
    <w:rsid w:val="008122A0"/>
    <w:rsid w:val="008123C2"/>
    <w:rsid w:val="008124FB"/>
    <w:rsid w:val="00812727"/>
    <w:rsid w:val="008127E4"/>
    <w:rsid w:val="0081283A"/>
    <w:rsid w:val="00812911"/>
    <w:rsid w:val="00812A36"/>
    <w:rsid w:val="00812B21"/>
    <w:rsid w:val="00812B3D"/>
    <w:rsid w:val="00812BDA"/>
    <w:rsid w:val="00812C5F"/>
    <w:rsid w:val="00812CAB"/>
    <w:rsid w:val="00812D47"/>
    <w:rsid w:val="00812D60"/>
    <w:rsid w:val="00813216"/>
    <w:rsid w:val="00813228"/>
    <w:rsid w:val="0081324A"/>
    <w:rsid w:val="0081324D"/>
    <w:rsid w:val="00813260"/>
    <w:rsid w:val="008134B5"/>
    <w:rsid w:val="00813512"/>
    <w:rsid w:val="0081353A"/>
    <w:rsid w:val="0081358A"/>
    <w:rsid w:val="008136EB"/>
    <w:rsid w:val="00813756"/>
    <w:rsid w:val="008139D1"/>
    <w:rsid w:val="00813A24"/>
    <w:rsid w:val="00813A84"/>
    <w:rsid w:val="00813D58"/>
    <w:rsid w:val="00813E46"/>
    <w:rsid w:val="00813F28"/>
    <w:rsid w:val="00814045"/>
    <w:rsid w:val="0081412A"/>
    <w:rsid w:val="00814349"/>
    <w:rsid w:val="008144FE"/>
    <w:rsid w:val="0081454E"/>
    <w:rsid w:val="008145A3"/>
    <w:rsid w:val="008145DD"/>
    <w:rsid w:val="008147FF"/>
    <w:rsid w:val="00814AB6"/>
    <w:rsid w:val="00814B0B"/>
    <w:rsid w:val="00814B2A"/>
    <w:rsid w:val="00814B4E"/>
    <w:rsid w:val="00814D99"/>
    <w:rsid w:val="00814F15"/>
    <w:rsid w:val="00815029"/>
    <w:rsid w:val="0081508A"/>
    <w:rsid w:val="008151D9"/>
    <w:rsid w:val="008158E9"/>
    <w:rsid w:val="0081594C"/>
    <w:rsid w:val="00815B4B"/>
    <w:rsid w:val="00815BED"/>
    <w:rsid w:val="00815CC6"/>
    <w:rsid w:val="00815D99"/>
    <w:rsid w:val="008161D1"/>
    <w:rsid w:val="00816454"/>
    <w:rsid w:val="00816653"/>
    <w:rsid w:val="008167DE"/>
    <w:rsid w:val="0081687B"/>
    <w:rsid w:val="00816898"/>
    <w:rsid w:val="008169BB"/>
    <w:rsid w:val="00816B1F"/>
    <w:rsid w:val="00816C21"/>
    <w:rsid w:val="00816D59"/>
    <w:rsid w:val="00816D96"/>
    <w:rsid w:val="00816FDE"/>
    <w:rsid w:val="00817151"/>
    <w:rsid w:val="00817208"/>
    <w:rsid w:val="0081721D"/>
    <w:rsid w:val="008174ED"/>
    <w:rsid w:val="008177B0"/>
    <w:rsid w:val="008177C6"/>
    <w:rsid w:val="00817836"/>
    <w:rsid w:val="00817B01"/>
    <w:rsid w:val="00817B27"/>
    <w:rsid w:val="00817C2E"/>
    <w:rsid w:val="00817E90"/>
    <w:rsid w:val="00820016"/>
    <w:rsid w:val="0082004F"/>
    <w:rsid w:val="008200F9"/>
    <w:rsid w:val="008202DE"/>
    <w:rsid w:val="0082050D"/>
    <w:rsid w:val="00820737"/>
    <w:rsid w:val="0082082D"/>
    <w:rsid w:val="00820909"/>
    <w:rsid w:val="008209B9"/>
    <w:rsid w:val="00820C4E"/>
    <w:rsid w:val="00820C96"/>
    <w:rsid w:val="00821002"/>
    <w:rsid w:val="00821253"/>
    <w:rsid w:val="00821353"/>
    <w:rsid w:val="00821514"/>
    <w:rsid w:val="00821526"/>
    <w:rsid w:val="00821587"/>
    <w:rsid w:val="008217A7"/>
    <w:rsid w:val="008219D7"/>
    <w:rsid w:val="00821B2D"/>
    <w:rsid w:val="00821BA2"/>
    <w:rsid w:val="00821C4C"/>
    <w:rsid w:val="00821CB7"/>
    <w:rsid w:val="00821D1F"/>
    <w:rsid w:val="00821D62"/>
    <w:rsid w:val="00821DA7"/>
    <w:rsid w:val="00821F2F"/>
    <w:rsid w:val="00821FAD"/>
    <w:rsid w:val="00822148"/>
    <w:rsid w:val="00822266"/>
    <w:rsid w:val="00822356"/>
    <w:rsid w:val="008223BD"/>
    <w:rsid w:val="008223E5"/>
    <w:rsid w:val="0082251B"/>
    <w:rsid w:val="00822639"/>
    <w:rsid w:val="008227BD"/>
    <w:rsid w:val="0082282A"/>
    <w:rsid w:val="008229E7"/>
    <w:rsid w:val="00822A78"/>
    <w:rsid w:val="00822C04"/>
    <w:rsid w:val="00822F0B"/>
    <w:rsid w:val="00822F60"/>
    <w:rsid w:val="00823125"/>
    <w:rsid w:val="00823144"/>
    <w:rsid w:val="00823159"/>
    <w:rsid w:val="00823255"/>
    <w:rsid w:val="008232F6"/>
    <w:rsid w:val="0082339C"/>
    <w:rsid w:val="00823448"/>
    <w:rsid w:val="0082350F"/>
    <w:rsid w:val="008235F3"/>
    <w:rsid w:val="00823638"/>
    <w:rsid w:val="008236E7"/>
    <w:rsid w:val="008237AD"/>
    <w:rsid w:val="00823962"/>
    <w:rsid w:val="008239D7"/>
    <w:rsid w:val="00823BAD"/>
    <w:rsid w:val="00823DCB"/>
    <w:rsid w:val="00823F46"/>
    <w:rsid w:val="00824114"/>
    <w:rsid w:val="0082411F"/>
    <w:rsid w:val="00824198"/>
    <w:rsid w:val="00824276"/>
    <w:rsid w:val="008244B3"/>
    <w:rsid w:val="008245B1"/>
    <w:rsid w:val="0082463A"/>
    <w:rsid w:val="008246B1"/>
    <w:rsid w:val="008246F4"/>
    <w:rsid w:val="00824705"/>
    <w:rsid w:val="008249D9"/>
    <w:rsid w:val="00824A3F"/>
    <w:rsid w:val="00824B95"/>
    <w:rsid w:val="00824C66"/>
    <w:rsid w:val="00824E09"/>
    <w:rsid w:val="00824E7D"/>
    <w:rsid w:val="00824FC9"/>
    <w:rsid w:val="0082509A"/>
    <w:rsid w:val="0082521E"/>
    <w:rsid w:val="008254E7"/>
    <w:rsid w:val="008255C2"/>
    <w:rsid w:val="00825677"/>
    <w:rsid w:val="0082591F"/>
    <w:rsid w:val="00825AE1"/>
    <w:rsid w:val="00825BC8"/>
    <w:rsid w:val="00825C2F"/>
    <w:rsid w:val="00825CF1"/>
    <w:rsid w:val="00825EB2"/>
    <w:rsid w:val="00825F35"/>
    <w:rsid w:val="008261B9"/>
    <w:rsid w:val="008261DD"/>
    <w:rsid w:val="008262C6"/>
    <w:rsid w:val="008263F2"/>
    <w:rsid w:val="0082649A"/>
    <w:rsid w:val="008265B4"/>
    <w:rsid w:val="008267CF"/>
    <w:rsid w:val="00826964"/>
    <w:rsid w:val="00826BF2"/>
    <w:rsid w:val="00826FA0"/>
    <w:rsid w:val="00827015"/>
    <w:rsid w:val="00827464"/>
    <w:rsid w:val="00827517"/>
    <w:rsid w:val="008275F7"/>
    <w:rsid w:val="008275FA"/>
    <w:rsid w:val="00827631"/>
    <w:rsid w:val="008276D7"/>
    <w:rsid w:val="008279A0"/>
    <w:rsid w:val="00827CD4"/>
    <w:rsid w:val="00827FE1"/>
    <w:rsid w:val="00830078"/>
    <w:rsid w:val="00830106"/>
    <w:rsid w:val="00830420"/>
    <w:rsid w:val="00830512"/>
    <w:rsid w:val="008305FC"/>
    <w:rsid w:val="00830759"/>
    <w:rsid w:val="00830868"/>
    <w:rsid w:val="008308CB"/>
    <w:rsid w:val="0083093A"/>
    <w:rsid w:val="0083094A"/>
    <w:rsid w:val="00830A76"/>
    <w:rsid w:val="00830D06"/>
    <w:rsid w:val="00830F3F"/>
    <w:rsid w:val="00830FBD"/>
    <w:rsid w:val="008310EA"/>
    <w:rsid w:val="00831143"/>
    <w:rsid w:val="008311FD"/>
    <w:rsid w:val="0083124C"/>
    <w:rsid w:val="008314A2"/>
    <w:rsid w:val="008314AA"/>
    <w:rsid w:val="008315BD"/>
    <w:rsid w:val="00831644"/>
    <w:rsid w:val="00831686"/>
    <w:rsid w:val="0083181E"/>
    <w:rsid w:val="0083192E"/>
    <w:rsid w:val="008319F4"/>
    <w:rsid w:val="00831AB4"/>
    <w:rsid w:val="00831BBD"/>
    <w:rsid w:val="00831C33"/>
    <w:rsid w:val="00831C65"/>
    <w:rsid w:val="00831F67"/>
    <w:rsid w:val="00832068"/>
    <w:rsid w:val="008320D8"/>
    <w:rsid w:val="0083253F"/>
    <w:rsid w:val="00832893"/>
    <w:rsid w:val="008329E4"/>
    <w:rsid w:val="00832A38"/>
    <w:rsid w:val="00832CF8"/>
    <w:rsid w:val="00832E66"/>
    <w:rsid w:val="00832E79"/>
    <w:rsid w:val="00832EF7"/>
    <w:rsid w:val="008330C1"/>
    <w:rsid w:val="0083317B"/>
    <w:rsid w:val="008331CD"/>
    <w:rsid w:val="00833250"/>
    <w:rsid w:val="008332A7"/>
    <w:rsid w:val="008332E2"/>
    <w:rsid w:val="008335AF"/>
    <w:rsid w:val="008335BF"/>
    <w:rsid w:val="00833886"/>
    <w:rsid w:val="00833956"/>
    <w:rsid w:val="008339DC"/>
    <w:rsid w:val="00833B1C"/>
    <w:rsid w:val="00833C20"/>
    <w:rsid w:val="00833D2E"/>
    <w:rsid w:val="00833F28"/>
    <w:rsid w:val="008340A5"/>
    <w:rsid w:val="008340AA"/>
    <w:rsid w:val="0083413F"/>
    <w:rsid w:val="008341E8"/>
    <w:rsid w:val="0083431B"/>
    <w:rsid w:val="008343EF"/>
    <w:rsid w:val="008346EA"/>
    <w:rsid w:val="00834819"/>
    <w:rsid w:val="008348E1"/>
    <w:rsid w:val="00834C64"/>
    <w:rsid w:val="00834CF3"/>
    <w:rsid w:val="00834EE1"/>
    <w:rsid w:val="00835115"/>
    <w:rsid w:val="00835267"/>
    <w:rsid w:val="008353EF"/>
    <w:rsid w:val="00835590"/>
    <w:rsid w:val="00835603"/>
    <w:rsid w:val="00835703"/>
    <w:rsid w:val="00835900"/>
    <w:rsid w:val="00835997"/>
    <w:rsid w:val="00835A4C"/>
    <w:rsid w:val="00835A52"/>
    <w:rsid w:val="00835BBC"/>
    <w:rsid w:val="00835C0C"/>
    <w:rsid w:val="00835C6A"/>
    <w:rsid w:val="00835DD1"/>
    <w:rsid w:val="00835EDE"/>
    <w:rsid w:val="00836070"/>
    <w:rsid w:val="00836163"/>
    <w:rsid w:val="008362DF"/>
    <w:rsid w:val="00836332"/>
    <w:rsid w:val="00836387"/>
    <w:rsid w:val="008366D1"/>
    <w:rsid w:val="00836942"/>
    <w:rsid w:val="008369AA"/>
    <w:rsid w:val="008369CF"/>
    <w:rsid w:val="00836ACF"/>
    <w:rsid w:val="00836D33"/>
    <w:rsid w:val="00836DBC"/>
    <w:rsid w:val="00836DC7"/>
    <w:rsid w:val="00836EB7"/>
    <w:rsid w:val="00836ED1"/>
    <w:rsid w:val="00836F22"/>
    <w:rsid w:val="00836F3A"/>
    <w:rsid w:val="00836F61"/>
    <w:rsid w:val="008371A8"/>
    <w:rsid w:val="00837232"/>
    <w:rsid w:val="00837374"/>
    <w:rsid w:val="00837712"/>
    <w:rsid w:val="0083775A"/>
    <w:rsid w:val="008378C2"/>
    <w:rsid w:val="00837A56"/>
    <w:rsid w:val="00837B5F"/>
    <w:rsid w:val="00837D3F"/>
    <w:rsid w:val="00837F03"/>
    <w:rsid w:val="00837F11"/>
    <w:rsid w:val="00837F4C"/>
    <w:rsid w:val="0083A3A1"/>
    <w:rsid w:val="00840090"/>
    <w:rsid w:val="008401A9"/>
    <w:rsid w:val="00840241"/>
    <w:rsid w:val="0084027D"/>
    <w:rsid w:val="0084056A"/>
    <w:rsid w:val="008406BD"/>
    <w:rsid w:val="008407C8"/>
    <w:rsid w:val="008408B3"/>
    <w:rsid w:val="00840A52"/>
    <w:rsid w:val="00840BC3"/>
    <w:rsid w:val="00840C44"/>
    <w:rsid w:val="00840F00"/>
    <w:rsid w:val="00840F2D"/>
    <w:rsid w:val="0084100D"/>
    <w:rsid w:val="008410F9"/>
    <w:rsid w:val="008410FA"/>
    <w:rsid w:val="00841214"/>
    <w:rsid w:val="0084145E"/>
    <w:rsid w:val="008415B0"/>
    <w:rsid w:val="00841789"/>
    <w:rsid w:val="008417E9"/>
    <w:rsid w:val="00841882"/>
    <w:rsid w:val="008418E5"/>
    <w:rsid w:val="00841A0D"/>
    <w:rsid w:val="00841B99"/>
    <w:rsid w:val="00841C69"/>
    <w:rsid w:val="00841EC4"/>
    <w:rsid w:val="00841F8F"/>
    <w:rsid w:val="00841FB0"/>
    <w:rsid w:val="00842155"/>
    <w:rsid w:val="00842262"/>
    <w:rsid w:val="00842281"/>
    <w:rsid w:val="00842373"/>
    <w:rsid w:val="0084240B"/>
    <w:rsid w:val="0084254D"/>
    <w:rsid w:val="00842608"/>
    <w:rsid w:val="0084281A"/>
    <w:rsid w:val="008429C4"/>
    <w:rsid w:val="008429D2"/>
    <w:rsid w:val="00842B88"/>
    <w:rsid w:val="00842B9A"/>
    <w:rsid w:val="00842E0A"/>
    <w:rsid w:val="00842E29"/>
    <w:rsid w:val="00842E7F"/>
    <w:rsid w:val="00843036"/>
    <w:rsid w:val="00843051"/>
    <w:rsid w:val="008430D8"/>
    <w:rsid w:val="008432B3"/>
    <w:rsid w:val="0084363B"/>
    <w:rsid w:val="00843695"/>
    <w:rsid w:val="008437A1"/>
    <w:rsid w:val="00843808"/>
    <w:rsid w:val="00843849"/>
    <w:rsid w:val="008438DB"/>
    <w:rsid w:val="00843C33"/>
    <w:rsid w:val="00843DBA"/>
    <w:rsid w:val="00844034"/>
    <w:rsid w:val="0084424F"/>
    <w:rsid w:val="008442EE"/>
    <w:rsid w:val="008445BA"/>
    <w:rsid w:val="0084475D"/>
    <w:rsid w:val="008447FE"/>
    <w:rsid w:val="0084484B"/>
    <w:rsid w:val="00844946"/>
    <w:rsid w:val="00844965"/>
    <w:rsid w:val="00844D17"/>
    <w:rsid w:val="00844D8C"/>
    <w:rsid w:val="00845260"/>
    <w:rsid w:val="00845804"/>
    <w:rsid w:val="008458D3"/>
    <w:rsid w:val="00845B60"/>
    <w:rsid w:val="00845C78"/>
    <w:rsid w:val="00845CD7"/>
    <w:rsid w:val="00845E6C"/>
    <w:rsid w:val="00845E8E"/>
    <w:rsid w:val="00845F83"/>
    <w:rsid w:val="0084629D"/>
    <w:rsid w:val="008462AE"/>
    <w:rsid w:val="00846622"/>
    <w:rsid w:val="008466BA"/>
    <w:rsid w:val="008467EC"/>
    <w:rsid w:val="008468B6"/>
    <w:rsid w:val="00846A73"/>
    <w:rsid w:val="00846B2B"/>
    <w:rsid w:val="00846B69"/>
    <w:rsid w:val="00846C7A"/>
    <w:rsid w:val="00846F90"/>
    <w:rsid w:val="0084718D"/>
    <w:rsid w:val="008471AD"/>
    <w:rsid w:val="008471C6"/>
    <w:rsid w:val="008472A1"/>
    <w:rsid w:val="0084733C"/>
    <w:rsid w:val="008473B2"/>
    <w:rsid w:val="008473E4"/>
    <w:rsid w:val="008474CE"/>
    <w:rsid w:val="00847561"/>
    <w:rsid w:val="00847619"/>
    <w:rsid w:val="008476C4"/>
    <w:rsid w:val="008477AB"/>
    <w:rsid w:val="008477EB"/>
    <w:rsid w:val="0084784E"/>
    <w:rsid w:val="0084788D"/>
    <w:rsid w:val="00847A4C"/>
    <w:rsid w:val="00847A72"/>
    <w:rsid w:val="00847B53"/>
    <w:rsid w:val="00847C6B"/>
    <w:rsid w:val="00847D2F"/>
    <w:rsid w:val="00847DD4"/>
    <w:rsid w:val="008500BA"/>
    <w:rsid w:val="008501BC"/>
    <w:rsid w:val="00850394"/>
    <w:rsid w:val="00850493"/>
    <w:rsid w:val="0085093C"/>
    <w:rsid w:val="008509BF"/>
    <w:rsid w:val="00850B03"/>
    <w:rsid w:val="00850B5B"/>
    <w:rsid w:val="00850EFD"/>
    <w:rsid w:val="00850F08"/>
    <w:rsid w:val="00851011"/>
    <w:rsid w:val="00851031"/>
    <w:rsid w:val="0085113B"/>
    <w:rsid w:val="0085119B"/>
    <w:rsid w:val="008511EF"/>
    <w:rsid w:val="0085130C"/>
    <w:rsid w:val="00851482"/>
    <w:rsid w:val="00851709"/>
    <w:rsid w:val="00851749"/>
    <w:rsid w:val="00851782"/>
    <w:rsid w:val="0085184A"/>
    <w:rsid w:val="00851881"/>
    <w:rsid w:val="00851D95"/>
    <w:rsid w:val="00851DAC"/>
    <w:rsid w:val="00851F96"/>
    <w:rsid w:val="00852190"/>
    <w:rsid w:val="008521A8"/>
    <w:rsid w:val="008521E8"/>
    <w:rsid w:val="0085222C"/>
    <w:rsid w:val="00852497"/>
    <w:rsid w:val="0085250E"/>
    <w:rsid w:val="008526C1"/>
    <w:rsid w:val="008526CE"/>
    <w:rsid w:val="00852974"/>
    <w:rsid w:val="00852A0F"/>
    <w:rsid w:val="00852BE8"/>
    <w:rsid w:val="00852D2C"/>
    <w:rsid w:val="00852E5A"/>
    <w:rsid w:val="00853190"/>
    <w:rsid w:val="0085374F"/>
    <w:rsid w:val="008539E2"/>
    <w:rsid w:val="00853DAF"/>
    <w:rsid w:val="00853DB6"/>
    <w:rsid w:val="00853EAE"/>
    <w:rsid w:val="00853F2C"/>
    <w:rsid w:val="00854068"/>
    <w:rsid w:val="0085424A"/>
    <w:rsid w:val="0085437B"/>
    <w:rsid w:val="008544AC"/>
    <w:rsid w:val="008544F1"/>
    <w:rsid w:val="008545AF"/>
    <w:rsid w:val="00854685"/>
    <w:rsid w:val="00854A3F"/>
    <w:rsid w:val="00854AA5"/>
    <w:rsid w:val="00854F45"/>
    <w:rsid w:val="00854FF3"/>
    <w:rsid w:val="00854FFF"/>
    <w:rsid w:val="00855242"/>
    <w:rsid w:val="0085527E"/>
    <w:rsid w:val="00855299"/>
    <w:rsid w:val="008552A4"/>
    <w:rsid w:val="00855532"/>
    <w:rsid w:val="0085568C"/>
    <w:rsid w:val="00855A4F"/>
    <w:rsid w:val="00855A6D"/>
    <w:rsid w:val="00855BF1"/>
    <w:rsid w:val="00855D25"/>
    <w:rsid w:val="00855D33"/>
    <w:rsid w:val="00855FE8"/>
    <w:rsid w:val="008560C0"/>
    <w:rsid w:val="008560C4"/>
    <w:rsid w:val="008560FB"/>
    <w:rsid w:val="008562B0"/>
    <w:rsid w:val="008565EA"/>
    <w:rsid w:val="00856609"/>
    <w:rsid w:val="00856814"/>
    <w:rsid w:val="0085696F"/>
    <w:rsid w:val="00856A8E"/>
    <w:rsid w:val="00856B30"/>
    <w:rsid w:val="00856BB6"/>
    <w:rsid w:val="00856C23"/>
    <w:rsid w:val="00857035"/>
    <w:rsid w:val="008571BA"/>
    <w:rsid w:val="00857202"/>
    <w:rsid w:val="00857400"/>
    <w:rsid w:val="0085756A"/>
    <w:rsid w:val="0085761C"/>
    <w:rsid w:val="008576BB"/>
    <w:rsid w:val="00857750"/>
    <w:rsid w:val="00857836"/>
    <w:rsid w:val="00857D6D"/>
    <w:rsid w:val="00857EBB"/>
    <w:rsid w:val="00857FC0"/>
    <w:rsid w:val="008600C6"/>
    <w:rsid w:val="00860212"/>
    <w:rsid w:val="00860230"/>
    <w:rsid w:val="008602E3"/>
    <w:rsid w:val="00860456"/>
    <w:rsid w:val="00860476"/>
    <w:rsid w:val="00860569"/>
    <w:rsid w:val="00860656"/>
    <w:rsid w:val="008606D6"/>
    <w:rsid w:val="00860829"/>
    <w:rsid w:val="0086086A"/>
    <w:rsid w:val="00860915"/>
    <w:rsid w:val="00860AB4"/>
    <w:rsid w:val="00860B88"/>
    <w:rsid w:val="00860DDF"/>
    <w:rsid w:val="00860F34"/>
    <w:rsid w:val="00860FC3"/>
    <w:rsid w:val="0086172F"/>
    <w:rsid w:val="008617FE"/>
    <w:rsid w:val="00861905"/>
    <w:rsid w:val="00861B3F"/>
    <w:rsid w:val="00861BF9"/>
    <w:rsid w:val="00861DF9"/>
    <w:rsid w:val="00861F7A"/>
    <w:rsid w:val="00861FF3"/>
    <w:rsid w:val="0086222A"/>
    <w:rsid w:val="008623D1"/>
    <w:rsid w:val="008625C9"/>
    <w:rsid w:val="00862690"/>
    <w:rsid w:val="008627C0"/>
    <w:rsid w:val="00862844"/>
    <w:rsid w:val="00862B42"/>
    <w:rsid w:val="00862DD6"/>
    <w:rsid w:val="008630C1"/>
    <w:rsid w:val="008631D2"/>
    <w:rsid w:val="0086345C"/>
    <w:rsid w:val="00863467"/>
    <w:rsid w:val="0086352D"/>
    <w:rsid w:val="008635FC"/>
    <w:rsid w:val="00863788"/>
    <w:rsid w:val="008637C4"/>
    <w:rsid w:val="008637E2"/>
    <w:rsid w:val="0086381F"/>
    <w:rsid w:val="008639DB"/>
    <w:rsid w:val="00863C0A"/>
    <w:rsid w:val="0086401E"/>
    <w:rsid w:val="00864042"/>
    <w:rsid w:val="00864273"/>
    <w:rsid w:val="008643CD"/>
    <w:rsid w:val="00864454"/>
    <w:rsid w:val="00864561"/>
    <w:rsid w:val="00864721"/>
    <w:rsid w:val="00864874"/>
    <w:rsid w:val="00864968"/>
    <w:rsid w:val="0086498F"/>
    <w:rsid w:val="00864994"/>
    <w:rsid w:val="0086499C"/>
    <w:rsid w:val="00864A2B"/>
    <w:rsid w:val="00864A72"/>
    <w:rsid w:val="00864A8A"/>
    <w:rsid w:val="00864D16"/>
    <w:rsid w:val="00864D77"/>
    <w:rsid w:val="00864D7D"/>
    <w:rsid w:val="00864EF0"/>
    <w:rsid w:val="0086513E"/>
    <w:rsid w:val="00865162"/>
    <w:rsid w:val="008651EA"/>
    <w:rsid w:val="008652A8"/>
    <w:rsid w:val="00865480"/>
    <w:rsid w:val="008655B5"/>
    <w:rsid w:val="00865AA9"/>
    <w:rsid w:val="00865CD0"/>
    <w:rsid w:val="00865D0F"/>
    <w:rsid w:val="00865F60"/>
    <w:rsid w:val="008661B4"/>
    <w:rsid w:val="008661C0"/>
    <w:rsid w:val="00866728"/>
    <w:rsid w:val="00866902"/>
    <w:rsid w:val="00866970"/>
    <w:rsid w:val="008669BA"/>
    <w:rsid w:val="00866C01"/>
    <w:rsid w:val="00866C6A"/>
    <w:rsid w:val="00866D1F"/>
    <w:rsid w:val="00866F52"/>
    <w:rsid w:val="008670E8"/>
    <w:rsid w:val="00867356"/>
    <w:rsid w:val="0086737F"/>
    <w:rsid w:val="008673D0"/>
    <w:rsid w:val="00867409"/>
    <w:rsid w:val="008675F4"/>
    <w:rsid w:val="00867851"/>
    <w:rsid w:val="0086785A"/>
    <w:rsid w:val="00867A2F"/>
    <w:rsid w:val="00867A75"/>
    <w:rsid w:val="00867B54"/>
    <w:rsid w:val="00867C44"/>
    <w:rsid w:val="00867D73"/>
    <w:rsid w:val="0087013F"/>
    <w:rsid w:val="0087020B"/>
    <w:rsid w:val="00870214"/>
    <w:rsid w:val="008702AA"/>
    <w:rsid w:val="008703A0"/>
    <w:rsid w:val="008703A7"/>
    <w:rsid w:val="008703CC"/>
    <w:rsid w:val="0087045B"/>
    <w:rsid w:val="0087045D"/>
    <w:rsid w:val="0087047C"/>
    <w:rsid w:val="00870511"/>
    <w:rsid w:val="008706D1"/>
    <w:rsid w:val="008708A5"/>
    <w:rsid w:val="008708B1"/>
    <w:rsid w:val="00870A00"/>
    <w:rsid w:val="00870AE1"/>
    <w:rsid w:val="00870B1E"/>
    <w:rsid w:val="00870DD2"/>
    <w:rsid w:val="00870E6A"/>
    <w:rsid w:val="008710DA"/>
    <w:rsid w:val="00871219"/>
    <w:rsid w:val="0087128A"/>
    <w:rsid w:val="008713A7"/>
    <w:rsid w:val="008713C7"/>
    <w:rsid w:val="008714FD"/>
    <w:rsid w:val="00871577"/>
    <w:rsid w:val="00871650"/>
    <w:rsid w:val="008716B3"/>
    <w:rsid w:val="008717E0"/>
    <w:rsid w:val="008719A5"/>
    <w:rsid w:val="008719B2"/>
    <w:rsid w:val="008719FA"/>
    <w:rsid w:val="00871BB5"/>
    <w:rsid w:val="00871C07"/>
    <w:rsid w:val="00871C67"/>
    <w:rsid w:val="00871E45"/>
    <w:rsid w:val="008720F4"/>
    <w:rsid w:val="008721DB"/>
    <w:rsid w:val="0087250D"/>
    <w:rsid w:val="0087292F"/>
    <w:rsid w:val="008729BB"/>
    <w:rsid w:val="00872A3B"/>
    <w:rsid w:val="00872B69"/>
    <w:rsid w:val="00872BE9"/>
    <w:rsid w:val="00872FFA"/>
    <w:rsid w:val="008731EA"/>
    <w:rsid w:val="008732C0"/>
    <w:rsid w:val="0087332C"/>
    <w:rsid w:val="008733C3"/>
    <w:rsid w:val="00873425"/>
    <w:rsid w:val="008736F7"/>
    <w:rsid w:val="0087378B"/>
    <w:rsid w:val="008737B6"/>
    <w:rsid w:val="00873815"/>
    <w:rsid w:val="008738F0"/>
    <w:rsid w:val="008739C5"/>
    <w:rsid w:val="00873BCB"/>
    <w:rsid w:val="00873BCF"/>
    <w:rsid w:val="00873C4A"/>
    <w:rsid w:val="00873CC8"/>
    <w:rsid w:val="00873FA6"/>
    <w:rsid w:val="008740BF"/>
    <w:rsid w:val="00874101"/>
    <w:rsid w:val="008741A7"/>
    <w:rsid w:val="00874312"/>
    <w:rsid w:val="008743F2"/>
    <w:rsid w:val="0087443B"/>
    <w:rsid w:val="00874498"/>
    <w:rsid w:val="00874579"/>
    <w:rsid w:val="00874877"/>
    <w:rsid w:val="008749F6"/>
    <w:rsid w:val="00874C00"/>
    <w:rsid w:val="00874C17"/>
    <w:rsid w:val="00874CDF"/>
    <w:rsid w:val="00874D70"/>
    <w:rsid w:val="00874E6D"/>
    <w:rsid w:val="00874EF9"/>
    <w:rsid w:val="00874F08"/>
    <w:rsid w:val="00874F17"/>
    <w:rsid w:val="00875098"/>
    <w:rsid w:val="008750EA"/>
    <w:rsid w:val="008753C4"/>
    <w:rsid w:val="0087575A"/>
    <w:rsid w:val="00875808"/>
    <w:rsid w:val="00875A52"/>
    <w:rsid w:val="00875AA6"/>
    <w:rsid w:val="00875AAD"/>
    <w:rsid w:val="00875C51"/>
    <w:rsid w:val="00875D8E"/>
    <w:rsid w:val="0087600A"/>
    <w:rsid w:val="0087629F"/>
    <w:rsid w:val="008763B3"/>
    <w:rsid w:val="0087641B"/>
    <w:rsid w:val="00876512"/>
    <w:rsid w:val="00876557"/>
    <w:rsid w:val="0087669F"/>
    <w:rsid w:val="00876704"/>
    <w:rsid w:val="0087670C"/>
    <w:rsid w:val="00876851"/>
    <w:rsid w:val="008768FE"/>
    <w:rsid w:val="00876964"/>
    <w:rsid w:val="008769D1"/>
    <w:rsid w:val="00876ACF"/>
    <w:rsid w:val="00876B34"/>
    <w:rsid w:val="00876CFB"/>
    <w:rsid w:val="00876E21"/>
    <w:rsid w:val="00877003"/>
    <w:rsid w:val="008771EE"/>
    <w:rsid w:val="008771F0"/>
    <w:rsid w:val="0087733A"/>
    <w:rsid w:val="0087738C"/>
    <w:rsid w:val="0087738F"/>
    <w:rsid w:val="00877631"/>
    <w:rsid w:val="00877699"/>
    <w:rsid w:val="00877775"/>
    <w:rsid w:val="00877B36"/>
    <w:rsid w:val="00877C23"/>
    <w:rsid w:val="00877C28"/>
    <w:rsid w:val="00877D67"/>
    <w:rsid w:val="00877DAB"/>
    <w:rsid w:val="00877E71"/>
    <w:rsid w:val="00880104"/>
    <w:rsid w:val="008802B7"/>
    <w:rsid w:val="008803F4"/>
    <w:rsid w:val="008804D5"/>
    <w:rsid w:val="008806DF"/>
    <w:rsid w:val="00880730"/>
    <w:rsid w:val="00880731"/>
    <w:rsid w:val="0088074D"/>
    <w:rsid w:val="00880C7F"/>
    <w:rsid w:val="00880E76"/>
    <w:rsid w:val="00880ECE"/>
    <w:rsid w:val="00880EE0"/>
    <w:rsid w:val="0088101A"/>
    <w:rsid w:val="00881127"/>
    <w:rsid w:val="0088126D"/>
    <w:rsid w:val="00881290"/>
    <w:rsid w:val="00881360"/>
    <w:rsid w:val="00881367"/>
    <w:rsid w:val="008813CC"/>
    <w:rsid w:val="008813FE"/>
    <w:rsid w:val="00881493"/>
    <w:rsid w:val="008815F0"/>
    <w:rsid w:val="00881700"/>
    <w:rsid w:val="008818B8"/>
    <w:rsid w:val="00881961"/>
    <w:rsid w:val="00881A1A"/>
    <w:rsid w:val="00881AC4"/>
    <w:rsid w:val="00881B71"/>
    <w:rsid w:val="00881B87"/>
    <w:rsid w:val="00881D51"/>
    <w:rsid w:val="00881D9E"/>
    <w:rsid w:val="00881F04"/>
    <w:rsid w:val="008820C4"/>
    <w:rsid w:val="00882314"/>
    <w:rsid w:val="00882492"/>
    <w:rsid w:val="008825C4"/>
    <w:rsid w:val="0088262E"/>
    <w:rsid w:val="00882713"/>
    <w:rsid w:val="00882837"/>
    <w:rsid w:val="00882949"/>
    <w:rsid w:val="00882BA3"/>
    <w:rsid w:val="00882BEA"/>
    <w:rsid w:val="00882C24"/>
    <w:rsid w:val="00883046"/>
    <w:rsid w:val="00883054"/>
    <w:rsid w:val="0088307E"/>
    <w:rsid w:val="00883275"/>
    <w:rsid w:val="00883857"/>
    <w:rsid w:val="00883900"/>
    <w:rsid w:val="00883932"/>
    <w:rsid w:val="00883AD6"/>
    <w:rsid w:val="00883B10"/>
    <w:rsid w:val="00883B12"/>
    <w:rsid w:val="00883DAC"/>
    <w:rsid w:val="00883F19"/>
    <w:rsid w:val="0088408D"/>
    <w:rsid w:val="0088433F"/>
    <w:rsid w:val="00884381"/>
    <w:rsid w:val="00884822"/>
    <w:rsid w:val="00884977"/>
    <w:rsid w:val="00884985"/>
    <w:rsid w:val="00884B7C"/>
    <w:rsid w:val="00884B98"/>
    <w:rsid w:val="00884C07"/>
    <w:rsid w:val="00884D02"/>
    <w:rsid w:val="00884D13"/>
    <w:rsid w:val="00884EAE"/>
    <w:rsid w:val="0088504C"/>
    <w:rsid w:val="00885078"/>
    <w:rsid w:val="00885079"/>
    <w:rsid w:val="00885178"/>
    <w:rsid w:val="0088543D"/>
    <w:rsid w:val="0088579F"/>
    <w:rsid w:val="008857B7"/>
    <w:rsid w:val="008859EE"/>
    <w:rsid w:val="00885AB5"/>
    <w:rsid w:val="00885BB2"/>
    <w:rsid w:val="00885F84"/>
    <w:rsid w:val="0088617D"/>
    <w:rsid w:val="008862EE"/>
    <w:rsid w:val="0088639D"/>
    <w:rsid w:val="00886407"/>
    <w:rsid w:val="00886565"/>
    <w:rsid w:val="008866E4"/>
    <w:rsid w:val="008866EE"/>
    <w:rsid w:val="00886716"/>
    <w:rsid w:val="008868CA"/>
    <w:rsid w:val="008868F9"/>
    <w:rsid w:val="00886969"/>
    <w:rsid w:val="00886BED"/>
    <w:rsid w:val="00886E67"/>
    <w:rsid w:val="00886F30"/>
    <w:rsid w:val="00886FB5"/>
    <w:rsid w:val="00886FE1"/>
    <w:rsid w:val="008870FA"/>
    <w:rsid w:val="00887123"/>
    <w:rsid w:val="00887217"/>
    <w:rsid w:val="00887383"/>
    <w:rsid w:val="008874AA"/>
    <w:rsid w:val="00887507"/>
    <w:rsid w:val="0088791E"/>
    <w:rsid w:val="00887AA5"/>
    <w:rsid w:val="00887C35"/>
    <w:rsid w:val="00887CCA"/>
    <w:rsid w:val="00887D33"/>
    <w:rsid w:val="00887E9C"/>
    <w:rsid w:val="00890263"/>
    <w:rsid w:val="008902D6"/>
    <w:rsid w:val="008903EA"/>
    <w:rsid w:val="00890493"/>
    <w:rsid w:val="008904C9"/>
    <w:rsid w:val="00890647"/>
    <w:rsid w:val="008906FE"/>
    <w:rsid w:val="00890892"/>
    <w:rsid w:val="008908C9"/>
    <w:rsid w:val="008909C5"/>
    <w:rsid w:val="00890B11"/>
    <w:rsid w:val="00890C6E"/>
    <w:rsid w:val="00890C90"/>
    <w:rsid w:val="00890CD5"/>
    <w:rsid w:val="00890F7F"/>
    <w:rsid w:val="00891049"/>
    <w:rsid w:val="008910BE"/>
    <w:rsid w:val="008910D1"/>
    <w:rsid w:val="008910D5"/>
    <w:rsid w:val="00891113"/>
    <w:rsid w:val="0089141E"/>
    <w:rsid w:val="00891844"/>
    <w:rsid w:val="00891A89"/>
    <w:rsid w:val="00891A8A"/>
    <w:rsid w:val="00891B3F"/>
    <w:rsid w:val="00891BCB"/>
    <w:rsid w:val="00891C3B"/>
    <w:rsid w:val="00891C4F"/>
    <w:rsid w:val="00891E06"/>
    <w:rsid w:val="00891E6F"/>
    <w:rsid w:val="00891ECF"/>
    <w:rsid w:val="00891FDD"/>
    <w:rsid w:val="00892153"/>
    <w:rsid w:val="00892313"/>
    <w:rsid w:val="0089276B"/>
    <w:rsid w:val="00892797"/>
    <w:rsid w:val="008927C2"/>
    <w:rsid w:val="008927F2"/>
    <w:rsid w:val="008928B1"/>
    <w:rsid w:val="008928D5"/>
    <w:rsid w:val="00892948"/>
    <w:rsid w:val="00892A92"/>
    <w:rsid w:val="00892A9C"/>
    <w:rsid w:val="00892B8D"/>
    <w:rsid w:val="00892CCA"/>
    <w:rsid w:val="00892D34"/>
    <w:rsid w:val="00892D4B"/>
    <w:rsid w:val="00892ECC"/>
    <w:rsid w:val="00892FC9"/>
    <w:rsid w:val="0089301F"/>
    <w:rsid w:val="00893024"/>
    <w:rsid w:val="0089302F"/>
    <w:rsid w:val="0089306E"/>
    <w:rsid w:val="00893184"/>
    <w:rsid w:val="0089319D"/>
    <w:rsid w:val="00893223"/>
    <w:rsid w:val="008933B8"/>
    <w:rsid w:val="008933D1"/>
    <w:rsid w:val="00893404"/>
    <w:rsid w:val="008934D7"/>
    <w:rsid w:val="008935F0"/>
    <w:rsid w:val="0089365D"/>
    <w:rsid w:val="00893D46"/>
    <w:rsid w:val="00893DAD"/>
    <w:rsid w:val="00893E02"/>
    <w:rsid w:val="00893EA5"/>
    <w:rsid w:val="00894055"/>
    <w:rsid w:val="008940BF"/>
    <w:rsid w:val="0089419C"/>
    <w:rsid w:val="008941D6"/>
    <w:rsid w:val="00894546"/>
    <w:rsid w:val="00894684"/>
    <w:rsid w:val="008946F2"/>
    <w:rsid w:val="00894A02"/>
    <w:rsid w:val="00894C87"/>
    <w:rsid w:val="00894CE7"/>
    <w:rsid w:val="00894DB9"/>
    <w:rsid w:val="00894EEA"/>
    <w:rsid w:val="00894FAD"/>
    <w:rsid w:val="00894FF7"/>
    <w:rsid w:val="00895083"/>
    <w:rsid w:val="008950E1"/>
    <w:rsid w:val="0089542D"/>
    <w:rsid w:val="008954C9"/>
    <w:rsid w:val="00895566"/>
    <w:rsid w:val="00895568"/>
    <w:rsid w:val="00895740"/>
    <w:rsid w:val="008957AF"/>
    <w:rsid w:val="0089594C"/>
    <w:rsid w:val="0089596A"/>
    <w:rsid w:val="00895B0E"/>
    <w:rsid w:val="00895C00"/>
    <w:rsid w:val="00895CA3"/>
    <w:rsid w:val="00895E7F"/>
    <w:rsid w:val="00895E8E"/>
    <w:rsid w:val="0089627B"/>
    <w:rsid w:val="0089627E"/>
    <w:rsid w:val="00896371"/>
    <w:rsid w:val="00896595"/>
    <w:rsid w:val="00896760"/>
    <w:rsid w:val="0089677C"/>
    <w:rsid w:val="00896889"/>
    <w:rsid w:val="0089695D"/>
    <w:rsid w:val="00896A6B"/>
    <w:rsid w:val="00896CFF"/>
    <w:rsid w:val="00896D94"/>
    <w:rsid w:val="00896F0D"/>
    <w:rsid w:val="00896F4C"/>
    <w:rsid w:val="00896F57"/>
    <w:rsid w:val="00897107"/>
    <w:rsid w:val="0089722A"/>
    <w:rsid w:val="008972A3"/>
    <w:rsid w:val="0089731F"/>
    <w:rsid w:val="0089732D"/>
    <w:rsid w:val="00897536"/>
    <w:rsid w:val="0089760C"/>
    <w:rsid w:val="00897C56"/>
    <w:rsid w:val="00897D80"/>
    <w:rsid w:val="00897DDC"/>
    <w:rsid w:val="00897DF3"/>
    <w:rsid w:val="00897DF5"/>
    <w:rsid w:val="008A0025"/>
    <w:rsid w:val="008A0034"/>
    <w:rsid w:val="008A004A"/>
    <w:rsid w:val="008A00F5"/>
    <w:rsid w:val="008A0414"/>
    <w:rsid w:val="008A0667"/>
    <w:rsid w:val="008A0727"/>
    <w:rsid w:val="008A07DC"/>
    <w:rsid w:val="008A082C"/>
    <w:rsid w:val="008A0940"/>
    <w:rsid w:val="008A098B"/>
    <w:rsid w:val="008A09BC"/>
    <w:rsid w:val="008A0A71"/>
    <w:rsid w:val="008A0ACA"/>
    <w:rsid w:val="008A0D7D"/>
    <w:rsid w:val="008A0DAF"/>
    <w:rsid w:val="008A0E98"/>
    <w:rsid w:val="008A1081"/>
    <w:rsid w:val="008A119F"/>
    <w:rsid w:val="008A1264"/>
    <w:rsid w:val="008A1279"/>
    <w:rsid w:val="008A1336"/>
    <w:rsid w:val="008A13AD"/>
    <w:rsid w:val="008A153F"/>
    <w:rsid w:val="008A15E9"/>
    <w:rsid w:val="008A160C"/>
    <w:rsid w:val="008A16E4"/>
    <w:rsid w:val="008A17C5"/>
    <w:rsid w:val="008A1849"/>
    <w:rsid w:val="008A18F1"/>
    <w:rsid w:val="008A192D"/>
    <w:rsid w:val="008A19B9"/>
    <w:rsid w:val="008A1AC2"/>
    <w:rsid w:val="008A1CD8"/>
    <w:rsid w:val="008A1DE7"/>
    <w:rsid w:val="008A1FFF"/>
    <w:rsid w:val="008A2119"/>
    <w:rsid w:val="008A238E"/>
    <w:rsid w:val="008A23A8"/>
    <w:rsid w:val="008A23DB"/>
    <w:rsid w:val="008A2497"/>
    <w:rsid w:val="008A2499"/>
    <w:rsid w:val="008A265C"/>
    <w:rsid w:val="008A26E3"/>
    <w:rsid w:val="008A26EC"/>
    <w:rsid w:val="008A271C"/>
    <w:rsid w:val="008A287F"/>
    <w:rsid w:val="008A2A93"/>
    <w:rsid w:val="008A2C2A"/>
    <w:rsid w:val="008A2CCF"/>
    <w:rsid w:val="008A2D01"/>
    <w:rsid w:val="008A2F15"/>
    <w:rsid w:val="008A320E"/>
    <w:rsid w:val="008A3391"/>
    <w:rsid w:val="008A33D8"/>
    <w:rsid w:val="008A352C"/>
    <w:rsid w:val="008A37A7"/>
    <w:rsid w:val="008A37FD"/>
    <w:rsid w:val="008A3F84"/>
    <w:rsid w:val="008A4038"/>
    <w:rsid w:val="008A405F"/>
    <w:rsid w:val="008A4147"/>
    <w:rsid w:val="008A41A9"/>
    <w:rsid w:val="008A41CE"/>
    <w:rsid w:val="008A4472"/>
    <w:rsid w:val="008A4637"/>
    <w:rsid w:val="008A4662"/>
    <w:rsid w:val="008A47C0"/>
    <w:rsid w:val="008A47DD"/>
    <w:rsid w:val="008A486C"/>
    <w:rsid w:val="008A4B37"/>
    <w:rsid w:val="008A4DCB"/>
    <w:rsid w:val="008A4DD0"/>
    <w:rsid w:val="008A5183"/>
    <w:rsid w:val="008A525B"/>
    <w:rsid w:val="008A52C4"/>
    <w:rsid w:val="008A52F5"/>
    <w:rsid w:val="008A565E"/>
    <w:rsid w:val="008A572C"/>
    <w:rsid w:val="008A58EF"/>
    <w:rsid w:val="008A5B89"/>
    <w:rsid w:val="008A5C4F"/>
    <w:rsid w:val="008A5DAF"/>
    <w:rsid w:val="008A5E71"/>
    <w:rsid w:val="008A6017"/>
    <w:rsid w:val="008A61A0"/>
    <w:rsid w:val="008A61C3"/>
    <w:rsid w:val="008A659B"/>
    <w:rsid w:val="008A6649"/>
    <w:rsid w:val="008A67A7"/>
    <w:rsid w:val="008A6828"/>
    <w:rsid w:val="008A6AB5"/>
    <w:rsid w:val="008A6B70"/>
    <w:rsid w:val="008A6B90"/>
    <w:rsid w:val="008A7014"/>
    <w:rsid w:val="008A71CC"/>
    <w:rsid w:val="008A72CD"/>
    <w:rsid w:val="008A7304"/>
    <w:rsid w:val="008A7313"/>
    <w:rsid w:val="008A73DF"/>
    <w:rsid w:val="008A73F0"/>
    <w:rsid w:val="008A744B"/>
    <w:rsid w:val="008A7569"/>
    <w:rsid w:val="008A7638"/>
    <w:rsid w:val="008A76C4"/>
    <w:rsid w:val="008A77E8"/>
    <w:rsid w:val="008A7893"/>
    <w:rsid w:val="008A78EB"/>
    <w:rsid w:val="008A7EC1"/>
    <w:rsid w:val="008B0070"/>
    <w:rsid w:val="008B00DE"/>
    <w:rsid w:val="008B013D"/>
    <w:rsid w:val="008B0264"/>
    <w:rsid w:val="008B033B"/>
    <w:rsid w:val="008B03BD"/>
    <w:rsid w:val="008B042F"/>
    <w:rsid w:val="008B0434"/>
    <w:rsid w:val="008B050B"/>
    <w:rsid w:val="008B069C"/>
    <w:rsid w:val="008B0734"/>
    <w:rsid w:val="008B0788"/>
    <w:rsid w:val="008B0849"/>
    <w:rsid w:val="008B084D"/>
    <w:rsid w:val="008B08DA"/>
    <w:rsid w:val="008B09A5"/>
    <w:rsid w:val="008B0A37"/>
    <w:rsid w:val="008B0A8A"/>
    <w:rsid w:val="008B0AF9"/>
    <w:rsid w:val="008B0E6C"/>
    <w:rsid w:val="008B0EBE"/>
    <w:rsid w:val="008B10A3"/>
    <w:rsid w:val="008B11A8"/>
    <w:rsid w:val="008B15E6"/>
    <w:rsid w:val="008B17F9"/>
    <w:rsid w:val="008B1898"/>
    <w:rsid w:val="008B1908"/>
    <w:rsid w:val="008B1926"/>
    <w:rsid w:val="008B1CF6"/>
    <w:rsid w:val="008B1EC4"/>
    <w:rsid w:val="008B1F2B"/>
    <w:rsid w:val="008B20FD"/>
    <w:rsid w:val="008B215C"/>
    <w:rsid w:val="008B2216"/>
    <w:rsid w:val="008B2233"/>
    <w:rsid w:val="008B264B"/>
    <w:rsid w:val="008B26A7"/>
    <w:rsid w:val="008B293B"/>
    <w:rsid w:val="008B29D8"/>
    <w:rsid w:val="008B2C2B"/>
    <w:rsid w:val="008B31E0"/>
    <w:rsid w:val="008B3261"/>
    <w:rsid w:val="008B3277"/>
    <w:rsid w:val="008B32F2"/>
    <w:rsid w:val="008B335F"/>
    <w:rsid w:val="008B3A8A"/>
    <w:rsid w:val="008B3BF7"/>
    <w:rsid w:val="008B3D51"/>
    <w:rsid w:val="008B3E8E"/>
    <w:rsid w:val="008B4132"/>
    <w:rsid w:val="008B42CB"/>
    <w:rsid w:val="008B445E"/>
    <w:rsid w:val="008B45F4"/>
    <w:rsid w:val="008B4757"/>
    <w:rsid w:val="008B4764"/>
    <w:rsid w:val="008B4A8F"/>
    <w:rsid w:val="008B4DF8"/>
    <w:rsid w:val="008B4E37"/>
    <w:rsid w:val="008B4E9B"/>
    <w:rsid w:val="008B4FB2"/>
    <w:rsid w:val="008B537F"/>
    <w:rsid w:val="008B54EF"/>
    <w:rsid w:val="008B5570"/>
    <w:rsid w:val="008B585F"/>
    <w:rsid w:val="008B5A2C"/>
    <w:rsid w:val="008B5BEF"/>
    <w:rsid w:val="008B5BF3"/>
    <w:rsid w:val="008B5C8F"/>
    <w:rsid w:val="008B5CCA"/>
    <w:rsid w:val="008B5D0D"/>
    <w:rsid w:val="008B5E62"/>
    <w:rsid w:val="008B5ECC"/>
    <w:rsid w:val="008B5ED3"/>
    <w:rsid w:val="008B5FE6"/>
    <w:rsid w:val="008B6080"/>
    <w:rsid w:val="008B608D"/>
    <w:rsid w:val="008B611B"/>
    <w:rsid w:val="008B629C"/>
    <w:rsid w:val="008B63AF"/>
    <w:rsid w:val="008B6416"/>
    <w:rsid w:val="008B6511"/>
    <w:rsid w:val="008B66EE"/>
    <w:rsid w:val="008B66F4"/>
    <w:rsid w:val="008B6718"/>
    <w:rsid w:val="008B672B"/>
    <w:rsid w:val="008B6856"/>
    <w:rsid w:val="008B698E"/>
    <w:rsid w:val="008B6A49"/>
    <w:rsid w:val="008B6B19"/>
    <w:rsid w:val="008B6BDB"/>
    <w:rsid w:val="008B6E9C"/>
    <w:rsid w:val="008B7071"/>
    <w:rsid w:val="008B71BB"/>
    <w:rsid w:val="008B76D2"/>
    <w:rsid w:val="008B7723"/>
    <w:rsid w:val="008B77FC"/>
    <w:rsid w:val="008B78FE"/>
    <w:rsid w:val="008B7BD4"/>
    <w:rsid w:val="008B7C0E"/>
    <w:rsid w:val="008B7C55"/>
    <w:rsid w:val="008B7C6E"/>
    <w:rsid w:val="008B7E90"/>
    <w:rsid w:val="008B7EC7"/>
    <w:rsid w:val="008B7F15"/>
    <w:rsid w:val="008C008D"/>
    <w:rsid w:val="008C00E3"/>
    <w:rsid w:val="008C0282"/>
    <w:rsid w:val="008C078F"/>
    <w:rsid w:val="008C07DF"/>
    <w:rsid w:val="008C088B"/>
    <w:rsid w:val="008C0A01"/>
    <w:rsid w:val="008C0AC2"/>
    <w:rsid w:val="008C0B09"/>
    <w:rsid w:val="008C0BA3"/>
    <w:rsid w:val="008C0C91"/>
    <w:rsid w:val="008C0F47"/>
    <w:rsid w:val="008C0FF9"/>
    <w:rsid w:val="008C11D6"/>
    <w:rsid w:val="008C11D8"/>
    <w:rsid w:val="008C121E"/>
    <w:rsid w:val="008C13E6"/>
    <w:rsid w:val="008C1434"/>
    <w:rsid w:val="008C1465"/>
    <w:rsid w:val="008C179A"/>
    <w:rsid w:val="008C19DB"/>
    <w:rsid w:val="008C1B0C"/>
    <w:rsid w:val="008C1BE4"/>
    <w:rsid w:val="008C1CBD"/>
    <w:rsid w:val="008C1CF5"/>
    <w:rsid w:val="008C1E00"/>
    <w:rsid w:val="008C1F19"/>
    <w:rsid w:val="008C1F4B"/>
    <w:rsid w:val="008C1F5F"/>
    <w:rsid w:val="008C23CD"/>
    <w:rsid w:val="008C245F"/>
    <w:rsid w:val="008C2509"/>
    <w:rsid w:val="008C2524"/>
    <w:rsid w:val="008C25CF"/>
    <w:rsid w:val="008C2659"/>
    <w:rsid w:val="008C27EE"/>
    <w:rsid w:val="008C28A9"/>
    <w:rsid w:val="008C2929"/>
    <w:rsid w:val="008C29E4"/>
    <w:rsid w:val="008C2B19"/>
    <w:rsid w:val="008C2B46"/>
    <w:rsid w:val="008C2CD3"/>
    <w:rsid w:val="008C2EFA"/>
    <w:rsid w:val="008C2FD2"/>
    <w:rsid w:val="008C304C"/>
    <w:rsid w:val="008C32F5"/>
    <w:rsid w:val="008C3337"/>
    <w:rsid w:val="008C333B"/>
    <w:rsid w:val="008C3413"/>
    <w:rsid w:val="008C35DE"/>
    <w:rsid w:val="008C3749"/>
    <w:rsid w:val="008C376B"/>
    <w:rsid w:val="008C37B0"/>
    <w:rsid w:val="008C396A"/>
    <w:rsid w:val="008C3B17"/>
    <w:rsid w:val="008C3BD6"/>
    <w:rsid w:val="008C3CFC"/>
    <w:rsid w:val="008C3D16"/>
    <w:rsid w:val="008C3FCD"/>
    <w:rsid w:val="008C401F"/>
    <w:rsid w:val="008C402B"/>
    <w:rsid w:val="008C4267"/>
    <w:rsid w:val="008C4292"/>
    <w:rsid w:val="008C42B4"/>
    <w:rsid w:val="008C46AA"/>
    <w:rsid w:val="008C4843"/>
    <w:rsid w:val="008C488A"/>
    <w:rsid w:val="008C4998"/>
    <w:rsid w:val="008C49E2"/>
    <w:rsid w:val="008C4EBE"/>
    <w:rsid w:val="008C4EDA"/>
    <w:rsid w:val="008C4FAF"/>
    <w:rsid w:val="008C5184"/>
    <w:rsid w:val="008C5223"/>
    <w:rsid w:val="008C523D"/>
    <w:rsid w:val="008C52B1"/>
    <w:rsid w:val="008C52EF"/>
    <w:rsid w:val="008C551F"/>
    <w:rsid w:val="008C55D9"/>
    <w:rsid w:val="008C5B3E"/>
    <w:rsid w:val="008C5CAF"/>
    <w:rsid w:val="008C5CBB"/>
    <w:rsid w:val="008C6226"/>
    <w:rsid w:val="008C6282"/>
    <w:rsid w:val="008C62E3"/>
    <w:rsid w:val="008C62E4"/>
    <w:rsid w:val="008C63AA"/>
    <w:rsid w:val="008C652C"/>
    <w:rsid w:val="008C6580"/>
    <w:rsid w:val="008C677A"/>
    <w:rsid w:val="008C682A"/>
    <w:rsid w:val="008C682C"/>
    <w:rsid w:val="008C685B"/>
    <w:rsid w:val="008C685E"/>
    <w:rsid w:val="008C68FA"/>
    <w:rsid w:val="008C6942"/>
    <w:rsid w:val="008C6A6A"/>
    <w:rsid w:val="008C6B10"/>
    <w:rsid w:val="008C6CF1"/>
    <w:rsid w:val="008C6D20"/>
    <w:rsid w:val="008C6D2F"/>
    <w:rsid w:val="008C6FB8"/>
    <w:rsid w:val="008C6FF0"/>
    <w:rsid w:val="008C70E0"/>
    <w:rsid w:val="008C758C"/>
    <w:rsid w:val="008C75C0"/>
    <w:rsid w:val="008C7896"/>
    <w:rsid w:val="008C798F"/>
    <w:rsid w:val="008C7A39"/>
    <w:rsid w:val="008C7BCF"/>
    <w:rsid w:val="008C7CC4"/>
    <w:rsid w:val="008C7CF0"/>
    <w:rsid w:val="008C7DF2"/>
    <w:rsid w:val="008C7EA9"/>
    <w:rsid w:val="008C7FF2"/>
    <w:rsid w:val="008C9175"/>
    <w:rsid w:val="008D00B9"/>
    <w:rsid w:val="008D0113"/>
    <w:rsid w:val="008D0151"/>
    <w:rsid w:val="008D0356"/>
    <w:rsid w:val="008D047A"/>
    <w:rsid w:val="008D0560"/>
    <w:rsid w:val="008D080C"/>
    <w:rsid w:val="008D0831"/>
    <w:rsid w:val="008D089B"/>
    <w:rsid w:val="008D0943"/>
    <w:rsid w:val="008D0B5B"/>
    <w:rsid w:val="008D0BF6"/>
    <w:rsid w:val="008D0C6D"/>
    <w:rsid w:val="008D0C95"/>
    <w:rsid w:val="008D0D37"/>
    <w:rsid w:val="008D0DD2"/>
    <w:rsid w:val="008D0E63"/>
    <w:rsid w:val="008D0EF9"/>
    <w:rsid w:val="008D1060"/>
    <w:rsid w:val="008D10EB"/>
    <w:rsid w:val="008D118E"/>
    <w:rsid w:val="008D12C0"/>
    <w:rsid w:val="008D1408"/>
    <w:rsid w:val="008D1485"/>
    <w:rsid w:val="008D14F2"/>
    <w:rsid w:val="008D1662"/>
    <w:rsid w:val="008D1909"/>
    <w:rsid w:val="008D19D0"/>
    <w:rsid w:val="008D1AA1"/>
    <w:rsid w:val="008D1B46"/>
    <w:rsid w:val="008D1DB6"/>
    <w:rsid w:val="008D1DBF"/>
    <w:rsid w:val="008D1DEF"/>
    <w:rsid w:val="008D1E04"/>
    <w:rsid w:val="008D1EFB"/>
    <w:rsid w:val="008D1F7F"/>
    <w:rsid w:val="008D1FC4"/>
    <w:rsid w:val="008D20AE"/>
    <w:rsid w:val="008D2365"/>
    <w:rsid w:val="008D236A"/>
    <w:rsid w:val="008D2458"/>
    <w:rsid w:val="008D24AA"/>
    <w:rsid w:val="008D24C9"/>
    <w:rsid w:val="008D25AF"/>
    <w:rsid w:val="008D2684"/>
    <w:rsid w:val="008D26DF"/>
    <w:rsid w:val="008D26EF"/>
    <w:rsid w:val="008D274E"/>
    <w:rsid w:val="008D27D4"/>
    <w:rsid w:val="008D29D5"/>
    <w:rsid w:val="008D2A2F"/>
    <w:rsid w:val="008D2A7D"/>
    <w:rsid w:val="008D2B27"/>
    <w:rsid w:val="008D2B7D"/>
    <w:rsid w:val="008D2BEB"/>
    <w:rsid w:val="008D2D24"/>
    <w:rsid w:val="008D2EBA"/>
    <w:rsid w:val="008D34FF"/>
    <w:rsid w:val="008D3506"/>
    <w:rsid w:val="008D36A1"/>
    <w:rsid w:val="008D36AF"/>
    <w:rsid w:val="008D399C"/>
    <w:rsid w:val="008D3A85"/>
    <w:rsid w:val="008D3DE3"/>
    <w:rsid w:val="008D3F04"/>
    <w:rsid w:val="008D40BA"/>
    <w:rsid w:val="008D4219"/>
    <w:rsid w:val="008D429D"/>
    <w:rsid w:val="008D43E3"/>
    <w:rsid w:val="008D4524"/>
    <w:rsid w:val="008D459A"/>
    <w:rsid w:val="008D46BB"/>
    <w:rsid w:val="008D4737"/>
    <w:rsid w:val="008D4763"/>
    <w:rsid w:val="008D479D"/>
    <w:rsid w:val="008D4858"/>
    <w:rsid w:val="008D48A5"/>
    <w:rsid w:val="008D495B"/>
    <w:rsid w:val="008D4989"/>
    <w:rsid w:val="008D4A20"/>
    <w:rsid w:val="008D4B7D"/>
    <w:rsid w:val="008D4C1D"/>
    <w:rsid w:val="008D4E1D"/>
    <w:rsid w:val="008D4E5E"/>
    <w:rsid w:val="008D4EE2"/>
    <w:rsid w:val="008D4EFE"/>
    <w:rsid w:val="008D50DB"/>
    <w:rsid w:val="008D51A1"/>
    <w:rsid w:val="008D53CB"/>
    <w:rsid w:val="008D54AF"/>
    <w:rsid w:val="008D563D"/>
    <w:rsid w:val="008D56B5"/>
    <w:rsid w:val="008D5739"/>
    <w:rsid w:val="008D57AC"/>
    <w:rsid w:val="008D57C1"/>
    <w:rsid w:val="008D58BB"/>
    <w:rsid w:val="008D5B65"/>
    <w:rsid w:val="008D5C14"/>
    <w:rsid w:val="008D5D50"/>
    <w:rsid w:val="008D5D57"/>
    <w:rsid w:val="008D5DAD"/>
    <w:rsid w:val="008D5EA5"/>
    <w:rsid w:val="008D5FED"/>
    <w:rsid w:val="008D60BC"/>
    <w:rsid w:val="008D6478"/>
    <w:rsid w:val="008D6546"/>
    <w:rsid w:val="008D6574"/>
    <w:rsid w:val="008D6710"/>
    <w:rsid w:val="008D68F3"/>
    <w:rsid w:val="008D696C"/>
    <w:rsid w:val="008D6CEE"/>
    <w:rsid w:val="008D6EB1"/>
    <w:rsid w:val="008D7062"/>
    <w:rsid w:val="008D70A3"/>
    <w:rsid w:val="008D70CF"/>
    <w:rsid w:val="008D72BC"/>
    <w:rsid w:val="008D7416"/>
    <w:rsid w:val="008D7610"/>
    <w:rsid w:val="008D78DA"/>
    <w:rsid w:val="008D7B3B"/>
    <w:rsid w:val="008D7B93"/>
    <w:rsid w:val="008D7CAD"/>
    <w:rsid w:val="008D7DF6"/>
    <w:rsid w:val="008D7E74"/>
    <w:rsid w:val="008D7E99"/>
    <w:rsid w:val="008DBD20"/>
    <w:rsid w:val="008E0157"/>
    <w:rsid w:val="008E01B6"/>
    <w:rsid w:val="008E024D"/>
    <w:rsid w:val="008E037C"/>
    <w:rsid w:val="008E03EB"/>
    <w:rsid w:val="008E051A"/>
    <w:rsid w:val="008E05A9"/>
    <w:rsid w:val="008E0628"/>
    <w:rsid w:val="008E0643"/>
    <w:rsid w:val="008E07FE"/>
    <w:rsid w:val="008E08E2"/>
    <w:rsid w:val="008E08FD"/>
    <w:rsid w:val="008E0AAD"/>
    <w:rsid w:val="008E0B37"/>
    <w:rsid w:val="008E0BA5"/>
    <w:rsid w:val="008E0BD5"/>
    <w:rsid w:val="008E0C6B"/>
    <w:rsid w:val="008E0CE2"/>
    <w:rsid w:val="008E1156"/>
    <w:rsid w:val="008E117D"/>
    <w:rsid w:val="008E14C9"/>
    <w:rsid w:val="008E15E3"/>
    <w:rsid w:val="008E162A"/>
    <w:rsid w:val="008E16B4"/>
    <w:rsid w:val="008E1714"/>
    <w:rsid w:val="008E1A05"/>
    <w:rsid w:val="008E1A49"/>
    <w:rsid w:val="008E1CB3"/>
    <w:rsid w:val="008E1DC0"/>
    <w:rsid w:val="008E2052"/>
    <w:rsid w:val="008E222B"/>
    <w:rsid w:val="008E2294"/>
    <w:rsid w:val="008E24A6"/>
    <w:rsid w:val="008E25FC"/>
    <w:rsid w:val="008E26AC"/>
    <w:rsid w:val="008E26D9"/>
    <w:rsid w:val="008E26E2"/>
    <w:rsid w:val="008E2AC3"/>
    <w:rsid w:val="008E2CA2"/>
    <w:rsid w:val="008E2D62"/>
    <w:rsid w:val="008E2D86"/>
    <w:rsid w:val="008E34DE"/>
    <w:rsid w:val="008E3973"/>
    <w:rsid w:val="008E3980"/>
    <w:rsid w:val="008E3B23"/>
    <w:rsid w:val="008E3B77"/>
    <w:rsid w:val="008E3B98"/>
    <w:rsid w:val="008E3C88"/>
    <w:rsid w:val="008E3CC9"/>
    <w:rsid w:val="008E3CDC"/>
    <w:rsid w:val="008E404F"/>
    <w:rsid w:val="008E43C4"/>
    <w:rsid w:val="008E465F"/>
    <w:rsid w:val="008E47A9"/>
    <w:rsid w:val="008E47F1"/>
    <w:rsid w:val="008E485A"/>
    <w:rsid w:val="008E495D"/>
    <w:rsid w:val="008E4978"/>
    <w:rsid w:val="008E4B5F"/>
    <w:rsid w:val="008E4BCA"/>
    <w:rsid w:val="008E4E36"/>
    <w:rsid w:val="008E4E49"/>
    <w:rsid w:val="008E4E57"/>
    <w:rsid w:val="008E4E77"/>
    <w:rsid w:val="008E4F49"/>
    <w:rsid w:val="008E51E0"/>
    <w:rsid w:val="008E5391"/>
    <w:rsid w:val="008E54C6"/>
    <w:rsid w:val="008E5670"/>
    <w:rsid w:val="008E5673"/>
    <w:rsid w:val="008E56A2"/>
    <w:rsid w:val="008E5707"/>
    <w:rsid w:val="008E57AC"/>
    <w:rsid w:val="008E5958"/>
    <w:rsid w:val="008E5989"/>
    <w:rsid w:val="008E5B9A"/>
    <w:rsid w:val="008E5CEF"/>
    <w:rsid w:val="008E5D0F"/>
    <w:rsid w:val="008E5D1D"/>
    <w:rsid w:val="008E5D3F"/>
    <w:rsid w:val="008E6003"/>
    <w:rsid w:val="008E617C"/>
    <w:rsid w:val="008E62F7"/>
    <w:rsid w:val="008E664E"/>
    <w:rsid w:val="008E6955"/>
    <w:rsid w:val="008E6956"/>
    <w:rsid w:val="008E69FD"/>
    <w:rsid w:val="008E6A2B"/>
    <w:rsid w:val="008E6B9F"/>
    <w:rsid w:val="008E6D51"/>
    <w:rsid w:val="008E6E00"/>
    <w:rsid w:val="008E6EFD"/>
    <w:rsid w:val="008E6F65"/>
    <w:rsid w:val="008E743E"/>
    <w:rsid w:val="008E7518"/>
    <w:rsid w:val="008E7624"/>
    <w:rsid w:val="008E7687"/>
    <w:rsid w:val="008E775C"/>
    <w:rsid w:val="008E7893"/>
    <w:rsid w:val="008E78F8"/>
    <w:rsid w:val="008E79D0"/>
    <w:rsid w:val="008E7A5B"/>
    <w:rsid w:val="008E7E66"/>
    <w:rsid w:val="008E7EB9"/>
    <w:rsid w:val="008E7FDC"/>
    <w:rsid w:val="008F0215"/>
    <w:rsid w:val="008F0541"/>
    <w:rsid w:val="008F056E"/>
    <w:rsid w:val="008F080B"/>
    <w:rsid w:val="008F0967"/>
    <w:rsid w:val="008F0A24"/>
    <w:rsid w:val="008F0B5A"/>
    <w:rsid w:val="008F0C3A"/>
    <w:rsid w:val="008F0D03"/>
    <w:rsid w:val="008F0DF8"/>
    <w:rsid w:val="008F10B8"/>
    <w:rsid w:val="008F1335"/>
    <w:rsid w:val="008F15AC"/>
    <w:rsid w:val="008F1920"/>
    <w:rsid w:val="008F1966"/>
    <w:rsid w:val="008F1AA8"/>
    <w:rsid w:val="008F1AB2"/>
    <w:rsid w:val="008F1B06"/>
    <w:rsid w:val="008F1C2F"/>
    <w:rsid w:val="008F1CDD"/>
    <w:rsid w:val="008F1DE0"/>
    <w:rsid w:val="008F20A8"/>
    <w:rsid w:val="008F20E2"/>
    <w:rsid w:val="008F24DF"/>
    <w:rsid w:val="008F26B4"/>
    <w:rsid w:val="008F273A"/>
    <w:rsid w:val="008F2754"/>
    <w:rsid w:val="008F2AF4"/>
    <w:rsid w:val="008F2B26"/>
    <w:rsid w:val="008F2B7D"/>
    <w:rsid w:val="008F2C7E"/>
    <w:rsid w:val="008F2D23"/>
    <w:rsid w:val="008F2E51"/>
    <w:rsid w:val="008F2EF1"/>
    <w:rsid w:val="008F31A9"/>
    <w:rsid w:val="008F328A"/>
    <w:rsid w:val="008F32A4"/>
    <w:rsid w:val="008F33AB"/>
    <w:rsid w:val="008F3582"/>
    <w:rsid w:val="008F3601"/>
    <w:rsid w:val="008F3604"/>
    <w:rsid w:val="008F376A"/>
    <w:rsid w:val="008F37F3"/>
    <w:rsid w:val="008F3C40"/>
    <w:rsid w:val="008F3DB0"/>
    <w:rsid w:val="008F3E56"/>
    <w:rsid w:val="008F3EB2"/>
    <w:rsid w:val="008F4042"/>
    <w:rsid w:val="008F4079"/>
    <w:rsid w:val="008F415A"/>
    <w:rsid w:val="008F41BE"/>
    <w:rsid w:val="008F4330"/>
    <w:rsid w:val="008F44B4"/>
    <w:rsid w:val="008F4795"/>
    <w:rsid w:val="008F48F4"/>
    <w:rsid w:val="008F49CD"/>
    <w:rsid w:val="008F4A49"/>
    <w:rsid w:val="008F4A9A"/>
    <w:rsid w:val="008F4B67"/>
    <w:rsid w:val="008F4C8E"/>
    <w:rsid w:val="008F4E34"/>
    <w:rsid w:val="008F500B"/>
    <w:rsid w:val="008F50C1"/>
    <w:rsid w:val="008F51DE"/>
    <w:rsid w:val="008F53C1"/>
    <w:rsid w:val="008F53F7"/>
    <w:rsid w:val="008F552E"/>
    <w:rsid w:val="008F55AC"/>
    <w:rsid w:val="008F55C1"/>
    <w:rsid w:val="008F5623"/>
    <w:rsid w:val="008F5662"/>
    <w:rsid w:val="008F58BA"/>
    <w:rsid w:val="008F5B8E"/>
    <w:rsid w:val="008F5DE3"/>
    <w:rsid w:val="008F5EA7"/>
    <w:rsid w:val="008F5EFC"/>
    <w:rsid w:val="008F5FE6"/>
    <w:rsid w:val="008F60E8"/>
    <w:rsid w:val="008F6196"/>
    <w:rsid w:val="008F6357"/>
    <w:rsid w:val="008F6675"/>
    <w:rsid w:val="008F682E"/>
    <w:rsid w:val="008F6961"/>
    <w:rsid w:val="008F6BC6"/>
    <w:rsid w:val="008F6BD2"/>
    <w:rsid w:val="008F6BFA"/>
    <w:rsid w:val="008F6D11"/>
    <w:rsid w:val="008F6F25"/>
    <w:rsid w:val="008F70F1"/>
    <w:rsid w:val="008F70FF"/>
    <w:rsid w:val="008F710B"/>
    <w:rsid w:val="008F736A"/>
    <w:rsid w:val="008F741D"/>
    <w:rsid w:val="008F744E"/>
    <w:rsid w:val="008F746A"/>
    <w:rsid w:val="008F76B9"/>
    <w:rsid w:val="008F780C"/>
    <w:rsid w:val="008F78D2"/>
    <w:rsid w:val="008F7914"/>
    <w:rsid w:val="008F7D0D"/>
    <w:rsid w:val="008F7F7F"/>
    <w:rsid w:val="00900155"/>
    <w:rsid w:val="00900189"/>
    <w:rsid w:val="009001B7"/>
    <w:rsid w:val="0090045A"/>
    <w:rsid w:val="009004A4"/>
    <w:rsid w:val="00900591"/>
    <w:rsid w:val="009005A9"/>
    <w:rsid w:val="009006D6"/>
    <w:rsid w:val="009007B5"/>
    <w:rsid w:val="0090085A"/>
    <w:rsid w:val="009009A7"/>
    <w:rsid w:val="009009E8"/>
    <w:rsid w:val="00900BBD"/>
    <w:rsid w:val="00900C0C"/>
    <w:rsid w:val="00900E98"/>
    <w:rsid w:val="00900FCB"/>
    <w:rsid w:val="0090122E"/>
    <w:rsid w:val="0090143C"/>
    <w:rsid w:val="0090149E"/>
    <w:rsid w:val="009015A1"/>
    <w:rsid w:val="00901649"/>
    <w:rsid w:val="009017DE"/>
    <w:rsid w:val="00901975"/>
    <w:rsid w:val="00901A46"/>
    <w:rsid w:val="00901AD8"/>
    <w:rsid w:val="00901E5B"/>
    <w:rsid w:val="00901E8B"/>
    <w:rsid w:val="009020E1"/>
    <w:rsid w:val="009024C0"/>
    <w:rsid w:val="0090262C"/>
    <w:rsid w:val="00902AD2"/>
    <w:rsid w:val="00902DA5"/>
    <w:rsid w:val="00902E01"/>
    <w:rsid w:val="00902EDF"/>
    <w:rsid w:val="00903131"/>
    <w:rsid w:val="0090328F"/>
    <w:rsid w:val="0090348B"/>
    <w:rsid w:val="00903490"/>
    <w:rsid w:val="00903596"/>
    <w:rsid w:val="00903627"/>
    <w:rsid w:val="009036F0"/>
    <w:rsid w:val="00903AB2"/>
    <w:rsid w:val="00903C33"/>
    <w:rsid w:val="00903CDD"/>
    <w:rsid w:val="00903D54"/>
    <w:rsid w:val="00903D8C"/>
    <w:rsid w:val="00903F29"/>
    <w:rsid w:val="00904183"/>
    <w:rsid w:val="009042DA"/>
    <w:rsid w:val="00904318"/>
    <w:rsid w:val="009043A3"/>
    <w:rsid w:val="00904429"/>
    <w:rsid w:val="00904475"/>
    <w:rsid w:val="0090479E"/>
    <w:rsid w:val="00904836"/>
    <w:rsid w:val="00904927"/>
    <w:rsid w:val="00904AEB"/>
    <w:rsid w:val="00904DC7"/>
    <w:rsid w:val="00904E62"/>
    <w:rsid w:val="00904EA5"/>
    <w:rsid w:val="0090523C"/>
    <w:rsid w:val="00905393"/>
    <w:rsid w:val="0090539C"/>
    <w:rsid w:val="009053E7"/>
    <w:rsid w:val="009053F6"/>
    <w:rsid w:val="009053FF"/>
    <w:rsid w:val="009054B6"/>
    <w:rsid w:val="00905624"/>
    <w:rsid w:val="00905685"/>
    <w:rsid w:val="00905760"/>
    <w:rsid w:val="009059D7"/>
    <w:rsid w:val="00905AF7"/>
    <w:rsid w:val="00905D56"/>
    <w:rsid w:val="00905DAD"/>
    <w:rsid w:val="00905E70"/>
    <w:rsid w:val="00905EAA"/>
    <w:rsid w:val="00905F50"/>
    <w:rsid w:val="00905FC3"/>
    <w:rsid w:val="00906170"/>
    <w:rsid w:val="00906257"/>
    <w:rsid w:val="009063FB"/>
    <w:rsid w:val="00906412"/>
    <w:rsid w:val="009064C9"/>
    <w:rsid w:val="00906602"/>
    <w:rsid w:val="00906663"/>
    <w:rsid w:val="00906A40"/>
    <w:rsid w:val="00906A47"/>
    <w:rsid w:val="00906B0D"/>
    <w:rsid w:val="00906B15"/>
    <w:rsid w:val="00906B22"/>
    <w:rsid w:val="00906DA2"/>
    <w:rsid w:val="00906F71"/>
    <w:rsid w:val="009071C7"/>
    <w:rsid w:val="009074CB"/>
    <w:rsid w:val="009075E4"/>
    <w:rsid w:val="00907776"/>
    <w:rsid w:val="009077C5"/>
    <w:rsid w:val="00907811"/>
    <w:rsid w:val="0090788C"/>
    <w:rsid w:val="0090790C"/>
    <w:rsid w:val="0090794F"/>
    <w:rsid w:val="00907AE4"/>
    <w:rsid w:val="00907C8D"/>
    <w:rsid w:val="00907CE6"/>
    <w:rsid w:val="00907F77"/>
    <w:rsid w:val="0091017B"/>
    <w:rsid w:val="0091019E"/>
    <w:rsid w:val="009103AC"/>
    <w:rsid w:val="009105AD"/>
    <w:rsid w:val="009106A4"/>
    <w:rsid w:val="0091073A"/>
    <w:rsid w:val="00910879"/>
    <w:rsid w:val="009108BD"/>
    <w:rsid w:val="00910A68"/>
    <w:rsid w:val="00910B67"/>
    <w:rsid w:val="00910D63"/>
    <w:rsid w:val="00910DC8"/>
    <w:rsid w:val="00910DF6"/>
    <w:rsid w:val="009111D0"/>
    <w:rsid w:val="00911265"/>
    <w:rsid w:val="00911481"/>
    <w:rsid w:val="009114D1"/>
    <w:rsid w:val="00911796"/>
    <w:rsid w:val="00911930"/>
    <w:rsid w:val="00911B7A"/>
    <w:rsid w:val="00911B91"/>
    <w:rsid w:val="00911E71"/>
    <w:rsid w:val="00911F5A"/>
    <w:rsid w:val="0091248A"/>
    <w:rsid w:val="009124BF"/>
    <w:rsid w:val="00912521"/>
    <w:rsid w:val="009128A3"/>
    <w:rsid w:val="009128D5"/>
    <w:rsid w:val="00912933"/>
    <w:rsid w:val="00912A32"/>
    <w:rsid w:val="00912CA1"/>
    <w:rsid w:val="00912D3C"/>
    <w:rsid w:val="00912DA8"/>
    <w:rsid w:val="00912FA9"/>
    <w:rsid w:val="0091323E"/>
    <w:rsid w:val="009133B4"/>
    <w:rsid w:val="00913505"/>
    <w:rsid w:val="00913553"/>
    <w:rsid w:val="009135F2"/>
    <w:rsid w:val="009136C4"/>
    <w:rsid w:val="009136CB"/>
    <w:rsid w:val="00913713"/>
    <w:rsid w:val="00913733"/>
    <w:rsid w:val="00913775"/>
    <w:rsid w:val="009137E7"/>
    <w:rsid w:val="00913875"/>
    <w:rsid w:val="0091390A"/>
    <w:rsid w:val="0091395E"/>
    <w:rsid w:val="00913A0C"/>
    <w:rsid w:val="00913AAE"/>
    <w:rsid w:val="00913E23"/>
    <w:rsid w:val="00913F7A"/>
    <w:rsid w:val="00913F84"/>
    <w:rsid w:val="009140A3"/>
    <w:rsid w:val="009143A8"/>
    <w:rsid w:val="009143C3"/>
    <w:rsid w:val="00914522"/>
    <w:rsid w:val="009145A0"/>
    <w:rsid w:val="009145C6"/>
    <w:rsid w:val="00914684"/>
    <w:rsid w:val="00914759"/>
    <w:rsid w:val="009147B4"/>
    <w:rsid w:val="00914900"/>
    <w:rsid w:val="00914A0D"/>
    <w:rsid w:val="00914A20"/>
    <w:rsid w:val="00914B2D"/>
    <w:rsid w:val="00914C63"/>
    <w:rsid w:val="00914DE0"/>
    <w:rsid w:val="00914E67"/>
    <w:rsid w:val="00914EC8"/>
    <w:rsid w:val="00914FB4"/>
    <w:rsid w:val="00915019"/>
    <w:rsid w:val="009150C6"/>
    <w:rsid w:val="009150F4"/>
    <w:rsid w:val="00915149"/>
    <w:rsid w:val="0091518F"/>
    <w:rsid w:val="00915459"/>
    <w:rsid w:val="0091573C"/>
    <w:rsid w:val="009157EF"/>
    <w:rsid w:val="00915848"/>
    <w:rsid w:val="00915A58"/>
    <w:rsid w:val="00915B4F"/>
    <w:rsid w:val="00915D73"/>
    <w:rsid w:val="00915DBC"/>
    <w:rsid w:val="00916021"/>
    <w:rsid w:val="0091603C"/>
    <w:rsid w:val="0091626C"/>
    <w:rsid w:val="0091634F"/>
    <w:rsid w:val="00916413"/>
    <w:rsid w:val="009164C5"/>
    <w:rsid w:val="009165A0"/>
    <w:rsid w:val="00916667"/>
    <w:rsid w:val="0091673A"/>
    <w:rsid w:val="009167FC"/>
    <w:rsid w:val="009168C6"/>
    <w:rsid w:val="009168F7"/>
    <w:rsid w:val="00916A14"/>
    <w:rsid w:val="00916A56"/>
    <w:rsid w:val="00916AB7"/>
    <w:rsid w:val="00916B8E"/>
    <w:rsid w:val="00916D56"/>
    <w:rsid w:val="00916DEE"/>
    <w:rsid w:val="00916F5B"/>
    <w:rsid w:val="0091721D"/>
    <w:rsid w:val="00917231"/>
    <w:rsid w:val="00917272"/>
    <w:rsid w:val="009172DE"/>
    <w:rsid w:val="009174FC"/>
    <w:rsid w:val="009175EA"/>
    <w:rsid w:val="00917738"/>
    <w:rsid w:val="00917745"/>
    <w:rsid w:val="00917851"/>
    <w:rsid w:val="00917915"/>
    <w:rsid w:val="00917B9D"/>
    <w:rsid w:val="00917E16"/>
    <w:rsid w:val="00917E2C"/>
    <w:rsid w:val="00917E5D"/>
    <w:rsid w:val="00917EE0"/>
    <w:rsid w:val="00917F42"/>
    <w:rsid w:val="00920056"/>
    <w:rsid w:val="009204AC"/>
    <w:rsid w:val="00920510"/>
    <w:rsid w:val="00920511"/>
    <w:rsid w:val="00920552"/>
    <w:rsid w:val="009206D8"/>
    <w:rsid w:val="009207B7"/>
    <w:rsid w:val="009207FE"/>
    <w:rsid w:val="00920932"/>
    <w:rsid w:val="009209CC"/>
    <w:rsid w:val="00920A32"/>
    <w:rsid w:val="00920A7C"/>
    <w:rsid w:val="00920B0D"/>
    <w:rsid w:val="00920D51"/>
    <w:rsid w:val="00920E5D"/>
    <w:rsid w:val="00921374"/>
    <w:rsid w:val="0092137D"/>
    <w:rsid w:val="009213AB"/>
    <w:rsid w:val="00921438"/>
    <w:rsid w:val="00921583"/>
    <w:rsid w:val="00921620"/>
    <w:rsid w:val="00921703"/>
    <w:rsid w:val="009219FD"/>
    <w:rsid w:val="00921A41"/>
    <w:rsid w:val="00921A68"/>
    <w:rsid w:val="00921B76"/>
    <w:rsid w:val="00921C3E"/>
    <w:rsid w:val="00921D74"/>
    <w:rsid w:val="00921FB5"/>
    <w:rsid w:val="009220B9"/>
    <w:rsid w:val="0092211D"/>
    <w:rsid w:val="00922160"/>
    <w:rsid w:val="00922166"/>
    <w:rsid w:val="00922337"/>
    <w:rsid w:val="0092239C"/>
    <w:rsid w:val="0092262D"/>
    <w:rsid w:val="00922885"/>
    <w:rsid w:val="009228F4"/>
    <w:rsid w:val="00922954"/>
    <w:rsid w:val="00922B9C"/>
    <w:rsid w:val="00922BAC"/>
    <w:rsid w:val="00922DE9"/>
    <w:rsid w:val="00922E20"/>
    <w:rsid w:val="00922E7C"/>
    <w:rsid w:val="00922FA2"/>
    <w:rsid w:val="00923278"/>
    <w:rsid w:val="0092327E"/>
    <w:rsid w:val="009232A6"/>
    <w:rsid w:val="009232E0"/>
    <w:rsid w:val="009232ED"/>
    <w:rsid w:val="0092330E"/>
    <w:rsid w:val="00923381"/>
    <w:rsid w:val="009233B2"/>
    <w:rsid w:val="009233EA"/>
    <w:rsid w:val="009233FA"/>
    <w:rsid w:val="009236D7"/>
    <w:rsid w:val="0092387B"/>
    <w:rsid w:val="00923A24"/>
    <w:rsid w:val="00923A30"/>
    <w:rsid w:val="00923A35"/>
    <w:rsid w:val="00923A9B"/>
    <w:rsid w:val="00923AC1"/>
    <w:rsid w:val="00923CB7"/>
    <w:rsid w:val="00923E11"/>
    <w:rsid w:val="0092407B"/>
    <w:rsid w:val="00924123"/>
    <w:rsid w:val="00924277"/>
    <w:rsid w:val="009242FC"/>
    <w:rsid w:val="00924495"/>
    <w:rsid w:val="009244AC"/>
    <w:rsid w:val="0092457D"/>
    <w:rsid w:val="0092474E"/>
    <w:rsid w:val="009247C3"/>
    <w:rsid w:val="009247DB"/>
    <w:rsid w:val="009249A3"/>
    <w:rsid w:val="00924B76"/>
    <w:rsid w:val="00924BDA"/>
    <w:rsid w:val="00924C0E"/>
    <w:rsid w:val="00924E45"/>
    <w:rsid w:val="00924EBB"/>
    <w:rsid w:val="009250B9"/>
    <w:rsid w:val="009250F8"/>
    <w:rsid w:val="00925104"/>
    <w:rsid w:val="0092519E"/>
    <w:rsid w:val="009251C0"/>
    <w:rsid w:val="00925249"/>
    <w:rsid w:val="00925353"/>
    <w:rsid w:val="009254AD"/>
    <w:rsid w:val="0092558D"/>
    <w:rsid w:val="0092562A"/>
    <w:rsid w:val="00925749"/>
    <w:rsid w:val="0092578F"/>
    <w:rsid w:val="0092594B"/>
    <w:rsid w:val="0092595E"/>
    <w:rsid w:val="00925ADE"/>
    <w:rsid w:val="00925B53"/>
    <w:rsid w:val="00925BE8"/>
    <w:rsid w:val="00925C3F"/>
    <w:rsid w:val="00925ECA"/>
    <w:rsid w:val="00925ED0"/>
    <w:rsid w:val="00925F13"/>
    <w:rsid w:val="0092600B"/>
    <w:rsid w:val="00926020"/>
    <w:rsid w:val="00926204"/>
    <w:rsid w:val="00926207"/>
    <w:rsid w:val="0092645A"/>
    <w:rsid w:val="009266ED"/>
    <w:rsid w:val="0092670A"/>
    <w:rsid w:val="00926952"/>
    <w:rsid w:val="00926AEF"/>
    <w:rsid w:val="00926B14"/>
    <w:rsid w:val="00926B71"/>
    <w:rsid w:val="00926CD2"/>
    <w:rsid w:val="00926CD4"/>
    <w:rsid w:val="00926D48"/>
    <w:rsid w:val="00926D78"/>
    <w:rsid w:val="00926EDA"/>
    <w:rsid w:val="00926FD0"/>
    <w:rsid w:val="00927030"/>
    <w:rsid w:val="0092707E"/>
    <w:rsid w:val="009271CD"/>
    <w:rsid w:val="0092726B"/>
    <w:rsid w:val="00927320"/>
    <w:rsid w:val="009273B6"/>
    <w:rsid w:val="00927423"/>
    <w:rsid w:val="0092748D"/>
    <w:rsid w:val="009275DB"/>
    <w:rsid w:val="0092773E"/>
    <w:rsid w:val="00927A31"/>
    <w:rsid w:val="00927A51"/>
    <w:rsid w:val="00927A5A"/>
    <w:rsid w:val="00927BDE"/>
    <w:rsid w:val="00927C0F"/>
    <w:rsid w:val="00927CAE"/>
    <w:rsid w:val="00927D28"/>
    <w:rsid w:val="00927E5C"/>
    <w:rsid w:val="00927EDB"/>
    <w:rsid w:val="0093041B"/>
    <w:rsid w:val="00930511"/>
    <w:rsid w:val="00930724"/>
    <w:rsid w:val="00930BE0"/>
    <w:rsid w:val="00930C06"/>
    <w:rsid w:val="00930DEF"/>
    <w:rsid w:val="00930EAE"/>
    <w:rsid w:val="00931006"/>
    <w:rsid w:val="009312D5"/>
    <w:rsid w:val="00931325"/>
    <w:rsid w:val="00931333"/>
    <w:rsid w:val="0093137B"/>
    <w:rsid w:val="00931570"/>
    <w:rsid w:val="0093183E"/>
    <w:rsid w:val="00931847"/>
    <w:rsid w:val="0093198E"/>
    <w:rsid w:val="009319DD"/>
    <w:rsid w:val="00931A2B"/>
    <w:rsid w:val="00931ACB"/>
    <w:rsid w:val="00931B7E"/>
    <w:rsid w:val="00931BFB"/>
    <w:rsid w:val="00931C61"/>
    <w:rsid w:val="00931C62"/>
    <w:rsid w:val="00931CF7"/>
    <w:rsid w:val="00931D68"/>
    <w:rsid w:val="00931E00"/>
    <w:rsid w:val="00931EB2"/>
    <w:rsid w:val="00931EB3"/>
    <w:rsid w:val="00931F75"/>
    <w:rsid w:val="00931FAB"/>
    <w:rsid w:val="009323FF"/>
    <w:rsid w:val="00932519"/>
    <w:rsid w:val="009325C3"/>
    <w:rsid w:val="00932687"/>
    <w:rsid w:val="009326FF"/>
    <w:rsid w:val="00932794"/>
    <w:rsid w:val="00932798"/>
    <w:rsid w:val="0093292E"/>
    <w:rsid w:val="00932D36"/>
    <w:rsid w:val="00932DA7"/>
    <w:rsid w:val="00932F53"/>
    <w:rsid w:val="00933277"/>
    <w:rsid w:val="009332A4"/>
    <w:rsid w:val="00933305"/>
    <w:rsid w:val="00933438"/>
    <w:rsid w:val="00933497"/>
    <w:rsid w:val="009335C0"/>
    <w:rsid w:val="009337AC"/>
    <w:rsid w:val="00933880"/>
    <w:rsid w:val="009338A8"/>
    <w:rsid w:val="00933961"/>
    <w:rsid w:val="00933C72"/>
    <w:rsid w:val="00933CBB"/>
    <w:rsid w:val="00933E1E"/>
    <w:rsid w:val="00933F4F"/>
    <w:rsid w:val="00933F67"/>
    <w:rsid w:val="00933F68"/>
    <w:rsid w:val="00933F8E"/>
    <w:rsid w:val="0093400A"/>
    <w:rsid w:val="00934180"/>
    <w:rsid w:val="00934512"/>
    <w:rsid w:val="009346B5"/>
    <w:rsid w:val="00934834"/>
    <w:rsid w:val="00934858"/>
    <w:rsid w:val="00934B08"/>
    <w:rsid w:val="00934B8E"/>
    <w:rsid w:val="00934C41"/>
    <w:rsid w:val="00934CAB"/>
    <w:rsid w:val="00934D91"/>
    <w:rsid w:val="00934DB4"/>
    <w:rsid w:val="00934E5D"/>
    <w:rsid w:val="009350D0"/>
    <w:rsid w:val="009350DD"/>
    <w:rsid w:val="0093511F"/>
    <w:rsid w:val="00935161"/>
    <w:rsid w:val="00935335"/>
    <w:rsid w:val="0093542C"/>
    <w:rsid w:val="00935530"/>
    <w:rsid w:val="009356DE"/>
    <w:rsid w:val="00935886"/>
    <w:rsid w:val="00935A3E"/>
    <w:rsid w:val="00935B59"/>
    <w:rsid w:val="00935BE9"/>
    <w:rsid w:val="00935CCD"/>
    <w:rsid w:val="00935D5E"/>
    <w:rsid w:val="00935D94"/>
    <w:rsid w:val="00935ED6"/>
    <w:rsid w:val="00935F90"/>
    <w:rsid w:val="00935FB7"/>
    <w:rsid w:val="0093608E"/>
    <w:rsid w:val="00936176"/>
    <w:rsid w:val="009361FC"/>
    <w:rsid w:val="0093625B"/>
    <w:rsid w:val="00936462"/>
    <w:rsid w:val="009364B7"/>
    <w:rsid w:val="009366B3"/>
    <w:rsid w:val="00936710"/>
    <w:rsid w:val="00936870"/>
    <w:rsid w:val="00936995"/>
    <w:rsid w:val="009369AD"/>
    <w:rsid w:val="00936AC0"/>
    <w:rsid w:val="00936B70"/>
    <w:rsid w:val="00936D3B"/>
    <w:rsid w:val="00936D5A"/>
    <w:rsid w:val="00936D81"/>
    <w:rsid w:val="00936DFE"/>
    <w:rsid w:val="00936F6E"/>
    <w:rsid w:val="00936FCA"/>
    <w:rsid w:val="009370C0"/>
    <w:rsid w:val="009373A0"/>
    <w:rsid w:val="009375F8"/>
    <w:rsid w:val="00937752"/>
    <w:rsid w:val="00937816"/>
    <w:rsid w:val="00937906"/>
    <w:rsid w:val="00937968"/>
    <w:rsid w:val="00937BF8"/>
    <w:rsid w:val="00937F28"/>
    <w:rsid w:val="00940151"/>
    <w:rsid w:val="0094022C"/>
    <w:rsid w:val="0094027E"/>
    <w:rsid w:val="00940442"/>
    <w:rsid w:val="00940632"/>
    <w:rsid w:val="00940A90"/>
    <w:rsid w:val="00940B94"/>
    <w:rsid w:val="00940C45"/>
    <w:rsid w:val="00940C88"/>
    <w:rsid w:val="0094102C"/>
    <w:rsid w:val="00941054"/>
    <w:rsid w:val="009410CC"/>
    <w:rsid w:val="009411BC"/>
    <w:rsid w:val="00941202"/>
    <w:rsid w:val="0094152A"/>
    <w:rsid w:val="00941561"/>
    <w:rsid w:val="0094167E"/>
    <w:rsid w:val="009417C3"/>
    <w:rsid w:val="009418A0"/>
    <w:rsid w:val="00941BA0"/>
    <w:rsid w:val="00941C38"/>
    <w:rsid w:val="00941CAF"/>
    <w:rsid w:val="00941DEC"/>
    <w:rsid w:val="00941F36"/>
    <w:rsid w:val="00941FD2"/>
    <w:rsid w:val="0094200A"/>
    <w:rsid w:val="0094200F"/>
    <w:rsid w:val="00942058"/>
    <w:rsid w:val="00942134"/>
    <w:rsid w:val="009422E9"/>
    <w:rsid w:val="00942400"/>
    <w:rsid w:val="0094293A"/>
    <w:rsid w:val="00942A0E"/>
    <w:rsid w:val="00942AFF"/>
    <w:rsid w:val="00942C1F"/>
    <w:rsid w:val="00942C48"/>
    <w:rsid w:val="00942EB0"/>
    <w:rsid w:val="00942F44"/>
    <w:rsid w:val="00942F82"/>
    <w:rsid w:val="009430C9"/>
    <w:rsid w:val="009432C7"/>
    <w:rsid w:val="009432EE"/>
    <w:rsid w:val="009433A2"/>
    <w:rsid w:val="009433D9"/>
    <w:rsid w:val="009434E1"/>
    <w:rsid w:val="009434FE"/>
    <w:rsid w:val="009435EC"/>
    <w:rsid w:val="0094364F"/>
    <w:rsid w:val="00943727"/>
    <w:rsid w:val="00943BC7"/>
    <w:rsid w:val="00943D1A"/>
    <w:rsid w:val="00943D1C"/>
    <w:rsid w:val="00943D67"/>
    <w:rsid w:val="00943ED3"/>
    <w:rsid w:val="00943FCF"/>
    <w:rsid w:val="009442AC"/>
    <w:rsid w:val="009443A7"/>
    <w:rsid w:val="009443C1"/>
    <w:rsid w:val="009444DD"/>
    <w:rsid w:val="009445B6"/>
    <w:rsid w:val="009446B2"/>
    <w:rsid w:val="009446B4"/>
    <w:rsid w:val="00944968"/>
    <w:rsid w:val="00944A58"/>
    <w:rsid w:val="00944CCF"/>
    <w:rsid w:val="00944D10"/>
    <w:rsid w:val="00944D80"/>
    <w:rsid w:val="00944E82"/>
    <w:rsid w:val="00944F7E"/>
    <w:rsid w:val="00945162"/>
    <w:rsid w:val="009453CF"/>
    <w:rsid w:val="009453FA"/>
    <w:rsid w:val="0094548A"/>
    <w:rsid w:val="009454CE"/>
    <w:rsid w:val="009456D4"/>
    <w:rsid w:val="00945814"/>
    <w:rsid w:val="00945BCA"/>
    <w:rsid w:val="00945C51"/>
    <w:rsid w:val="00945C87"/>
    <w:rsid w:val="00945CAE"/>
    <w:rsid w:val="00945CD2"/>
    <w:rsid w:val="00945D18"/>
    <w:rsid w:val="00945D7B"/>
    <w:rsid w:val="00945EB7"/>
    <w:rsid w:val="00945F0F"/>
    <w:rsid w:val="0094658C"/>
    <w:rsid w:val="00946645"/>
    <w:rsid w:val="009467F1"/>
    <w:rsid w:val="00946899"/>
    <w:rsid w:val="00946975"/>
    <w:rsid w:val="0094698A"/>
    <w:rsid w:val="00946A71"/>
    <w:rsid w:val="00946BF3"/>
    <w:rsid w:val="00946BF7"/>
    <w:rsid w:val="00946C16"/>
    <w:rsid w:val="00946C2B"/>
    <w:rsid w:val="00946DA0"/>
    <w:rsid w:val="00946DCF"/>
    <w:rsid w:val="009470BA"/>
    <w:rsid w:val="009470CA"/>
    <w:rsid w:val="009470E4"/>
    <w:rsid w:val="009470F6"/>
    <w:rsid w:val="00947121"/>
    <w:rsid w:val="00947205"/>
    <w:rsid w:val="00947217"/>
    <w:rsid w:val="00947331"/>
    <w:rsid w:val="00947333"/>
    <w:rsid w:val="009473A2"/>
    <w:rsid w:val="0094742B"/>
    <w:rsid w:val="0094744A"/>
    <w:rsid w:val="00947470"/>
    <w:rsid w:val="009476C1"/>
    <w:rsid w:val="009478EF"/>
    <w:rsid w:val="009479A6"/>
    <w:rsid w:val="00947B31"/>
    <w:rsid w:val="00947B9E"/>
    <w:rsid w:val="0094BB7A"/>
    <w:rsid w:val="00950039"/>
    <w:rsid w:val="00950430"/>
    <w:rsid w:val="00950496"/>
    <w:rsid w:val="00950529"/>
    <w:rsid w:val="00950532"/>
    <w:rsid w:val="00950753"/>
    <w:rsid w:val="0095075C"/>
    <w:rsid w:val="0095077A"/>
    <w:rsid w:val="009507FC"/>
    <w:rsid w:val="009508BC"/>
    <w:rsid w:val="00950ACE"/>
    <w:rsid w:val="00950BC2"/>
    <w:rsid w:val="00950C29"/>
    <w:rsid w:val="00950C8D"/>
    <w:rsid w:val="00951182"/>
    <w:rsid w:val="0095123A"/>
    <w:rsid w:val="009515F9"/>
    <w:rsid w:val="0095164B"/>
    <w:rsid w:val="009516A0"/>
    <w:rsid w:val="009516BD"/>
    <w:rsid w:val="0095174F"/>
    <w:rsid w:val="00951756"/>
    <w:rsid w:val="009517BB"/>
    <w:rsid w:val="0095193B"/>
    <w:rsid w:val="00951C59"/>
    <w:rsid w:val="00951CAE"/>
    <w:rsid w:val="00951CDF"/>
    <w:rsid w:val="00951F83"/>
    <w:rsid w:val="00951FAE"/>
    <w:rsid w:val="00952061"/>
    <w:rsid w:val="009520A6"/>
    <w:rsid w:val="009520BC"/>
    <w:rsid w:val="009522B0"/>
    <w:rsid w:val="009522CF"/>
    <w:rsid w:val="00952398"/>
    <w:rsid w:val="009524C2"/>
    <w:rsid w:val="009526B5"/>
    <w:rsid w:val="009526C3"/>
    <w:rsid w:val="0095276B"/>
    <w:rsid w:val="009529EA"/>
    <w:rsid w:val="00952B19"/>
    <w:rsid w:val="00952B23"/>
    <w:rsid w:val="00952BBE"/>
    <w:rsid w:val="00952C4A"/>
    <w:rsid w:val="00952C98"/>
    <w:rsid w:val="00952DF8"/>
    <w:rsid w:val="00952E11"/>
    <w:rsid w:val="00953333"/>
    <w:rsid w:val="009533CE"/>
    <w:rsid w:val="009535B0"/>
    <w:rsid w:val="00953A35"/>
    <w:rsid w:val="00953B78"/>
    <w:rsid w:val="00953B94"/>
    <w:rsid w:val="00953C61"/>
    <w:rsid w:val="00953F23"/>
    <w:rsid w:val="00953FCD"/>
    <w:rsid w:val="00954033"/>
    <w:rsid w:val="00954217"/>
    <w:rsid w:val="00954493"/>
    <w:rsid w:val="009544C9"/>
    <w:rsid w:val="009544F5"/>
    <w:rsid w:val="0095461B"/>
    <w:rsid w:val="00954624"/>
    <w:rsid w:val="009548CD"/>
    <w:rsid w:val="009548D9"/>
    <w:rsid w:val="0095492D"/>
    <w:rsid w:val="00954A17"/>
    <w:rsid w:val="00954C65"/>
    <w:rsid w:val="00954C72"/>
    <w:rsid w:val="00954EFE"/>
    <w:rsid w:val="009550E4"/>
    <w:rsid w:val="00955135"/>
    <w:rsid w:val="0095527C"/>
    <w:rsid w:val="009553BD"/>
    <w:rsid w:val="009555A6"/>
    <w:rsid w:val="009555FC"/>
    <w:rsid w:val="00955869"/>
    <w:rsid w:val="00955953"/>
    <w:rsid w:val="00955D68"/>
    <w:rsid w:val="00955D69"/>
    <w:rsid w:val="00955EBF"/>
    <w:rsid w:val="00955EEB"/>
    <w:rsid w:val="00955F3B"/>
    <w:rsid w:val="009560F9"/>
    <w:rsid w:val="009561AD"/>
    <w:rsid w:val="00956277"/>
    <w:rsid w:val="00956334"/>
    <w:rsid w:val="0095646A"/>
    <w:rsid w:val="009564B8"/>
    <w:rsid w:val="009564C1"/>
    <w:rsid w:val="009564FD"/>
    <w:rsid w:val="0095651F"/>
    <w:rsid w:val="0095670B"/>
    <w:rsid w:val="00956A44"/>
    <w:rsid w:val="00956BB0"/>
    <w:rsid w:val="00956C81"/>
    <w:rsid w:val="00956D0A"/>
    <w:rsid w:val="00956E65"/>
    <w:rsid w:val="00956F62"/>
    <w:rsid w:val="0095706D"/>
    <w:rsid w:val="009570F1"/>
    <w:rsid w:val="009571DA"/>
    <w:rsid w:val="0095725F"/>
    <w:rsid w:val="009575B5"/>
    <w:rsid w:val="009575C2"/>
    <w:rsid w:val="009575F3"/>
    <w:rsid w:val="00957820"/>
    <w:rsid w:val="009578FD"/>
    <w:rsid w:val="00957E5D"/>
    <w:rsid w:val="00957ED8"/>
    <w:rsid w:val="0096003C"/>
    <w:rsid w:val="00960367"/>
    <w:rsid w:val="00960381"/>
    <w:rsid w:val="00960535"/>
    <w:rsid w:val="00960578"/>
    <w:rsid w:val="0096078B"/>
    <w:rsid w:val="0096078C"/>
    <w:rsid w:val="009607B8"/>
    <w:rsid w:val="00960831"/>
    <w:rsid w:val="0096089F"/>
    <w:rsid w:val="009608FC"/>
    <w:rsid w:val="00960914"/>
    <w:rsid w:val="00960B41"/>
    <w:rsid w:val="00960E09"/>
    <w:rsid w:val="00960E88"/>
    <w:rsid w:val="009610FD"/>
    <w:rsid w:val="009612FD"/>
    <w:rsid w:val="0096169E"/>
    <w:rsid w:val="009617A3"/>
    <w:rsid w:val="00961DFD"/>
    <w:rsid w:val="00961EB2"/>
    <w:rsid w:val="00961EE1"/>
    <w:rsid w:val="00962083"/>
    <w:rsid w:val="009620C5"/>
    <w:rsid w:val="009620DD"/>
    <w:rsid w:val="009621F5"/>
    <w:rsid w:val="009622AF"/>
    <w:rsid w:val="00962329"/>
    <w:rsid w:val="00962377"/>
    <w:rsid w:val="009623D4"/>
    <w:rsid w:val="00962492"/>
    <w:rsid w:val="00962789"/>
    <w:rsid w:val="009629BC"/>
    <w:rsid w:val="00962B37"/>
    <w:rsid w:val="00962CB7"/>
    <w:rsid w:val="00962CC1"/>
    <w:rsid w:val="00963032"/>
    <w:rsid w:val="00963226"/>
    <w:rsid w:val="00963379"/>
    <w:rsid w:val="009633B9"/>
    <w:rsid w:val="00963852"/>
    <w:rsid w:val="00963874"/>
    <w:rsid w:val="00963904"/>
    <w:rsid w:val="0096395B"/>
    <w:rsid w:val="0096396A"/>
    <w:rsid w:val="00963C7A"/>
    <w:rsid w:val="00963DC1"/>
    <w:rsid w:val="00963F64"/>
    <w:rsid w:val="00964158"/>
    <w:rsid w:val="0096446E"/>
    <w:rsid w:val="0096456E"/>
    <w:rsid w:val="00964664"/>
    <w:rsid w:val="009647B6"/>
    <w:rsid w:val="00964840"/>
    <w:rsid w:val="0096499C"/>
    <w:rsid w:val="00964BBF"/>
    <w:rsid w:val="00964DBC"/>
    <w:rsid w:val="00964F05"/>
    <w:rsid w:val="0096502D"/>
    <w:rsid w:val="0096514F"/>
    <w:rsid w:val="00965391"/>
    <w:rsid w:val="0096547D"/>
    <w:rsid w:val="00965524"/>
    <w:rsid w:val="009655BA"/>
    <w:rsid w:val="009658B6"/>
    <w:rsid w:val="00965A6E"/>
    <w:rsid w:val="00965BD6"/>
    <w:rsid w:val="00965D1A"/>
    <w:rsid w:val="00965D79"/>
    <w:rsid w:val="00965DE7"/>
    <w:rsid w:val="00965F36"/>
    <w:rsid w:val="00965F68"/>
    <w:rsid w:val="00966535"/>
    <w:rsid w:val="00966538"/>
    <w:rsid w:val="009665C0"/>
    <w:rsid w:val="0096673C"/>
    <w:rsid w:val="009669E7"/>
    <w:rsid w:val="00966A3D"/>
    <w:rsid w:val="00966A62"/>
    <w:rsid w:val="00966B5D"/>
    <w:rsid w:val="00966DB5"/>
    <w:rsid w:val="00966E2C"/>
    <w:rsid w:val="00966EE0"/>
    <w:rsid w:val="00966F18"/>
    <w:rsid w:val="0096705F"/>
    <w:rsid w:val="00967367"/>
    <w:rsid w:val="009673A1"/>
    <w:rsid w:val="009673BF"/>
    <w:rsid w:val="009673F3"/>
    <w:rsid w:val="00967408"/>
    <w:rsid w:val="009674E1"/>
    <w:rsid w:val="0096763D"/>
    <w:rsid w:val="00967979"/>
    <w:rsid w:val="0096797C"/>
    <w:rsid w:val="009679A0"/>
    <w:rsid w:val="00967B25"/>
    <w:rsid w:val="00967B6A"/>
    <w:rsid w:val="00967BF1"/>
    <w:rsid w:val="00967CAD"/>
    <w:rsid w:val="00967D29"/>
    <w:rsid w:val="00967E8E"/>
    <w:rsid w:val="00967EB6"/>
    <w:rsid w:val="00967F08"/>
    <w:rsid w:val="00970009"/>
    <w:rsid w:val="0097016C"/>
    <w:rsid w:val="009702C3"/>
    <w:rsid w:val="00970331"/>
    <w:rsid w:val="009703B8"/>
    <w:rsid w:val="0097082C"/>
    <w:rsid w:val="009708C4"/>
    <w:rsid w:val="0097097C"/>
    <w:rsid w:val="0097099D"/>
    <w:rsid w:val="00970E7D"/>
    <w:rsid w:val="00970ED5"/>
    <w:rsid w:val="009710C4"/>
    <w:rsid w:val="009712E7"/>
    <w:rsid w:val="0097140E"/>
    <w:rsid w:val="009715A7"/>
    <w:rsid w:val="00971624"/>
    <w:rsid w:val="00971634"/>
    <w:rsid w:val="009716B5"/>
    <w:rsid w:val="009717DC"/>
    <w:rsid w:val="00971812"/>
    <w:rsid w:val="0097181B"/>
    <w:rsid w:val="009718C0"/>
    <w:rsid w:val="009718C8"/>
    <w:rsid w:val="00971B97"/>
    <w:rsid w:val="00971D26"/>
    <w:rsid w:val="00971D31"/>
    <w:rsid w:val="00971D6B"/>
    <w:rsid w:val="00971FBE"/>
    <w:rsid w:val="009720F0"/>
    <w:rsid w:val="00972197"/>
    <w:rsid w:val="0097221C"/>
    <w:rsid w:val="009722F1"/>
    <w:rsid w:val="0097248E"/>
    <w:rsid w:val="00972566"/>
    <w:rsid w:val="009725C3"/>
    <w:rsid w:val="009726AF"/>
    <w:rsid w:val="00972731"/>
    <w:rsid w:val="0097285D"/>
    <w:rsid w:val="009728EF"/>
    <w:rsid w:val="00972CC7"/>
    <w:rsid w:val="00972E5C"/>
    <w:rsid w:val="00972F33"/>
    <w:rsid w:val="00972F62"/>
    <w:rsid w:val="009730A2"/>
    <w:rsid w:val="009731A5"/>
    <w:rsid w:val="00973252"/>
    <w:rsid w:val="0097333B"/>
    <w:rsid w:val="009733A1"/>
    <w:rsid w:val="00973680"/>
    <w:rsid w:val="009736FC"/>
    <w:rsid w:val="00973A44"/>
    <w:rsid w:val="00973ABD"/>
    <w:rsid w:val="00973CE7"/>
    <w:rsid w:val="00973EA8"/>
    <w:rsid w:val="00973EB7"/>
    <w:rsid w:val="00973FCC"/>
    <w:rsid w:val="00974023"/>
    <w:rsid w:val="009740CA"/>
    <w:rsid w:val="00974639"/>
    <w:rsid w:val="0097474E"/>
    <w:rsid w:val="0097491F"/>
    <w:rsid w:val="00974B77"/>
    <w:rsid w:val="00974CA9"/>
    <w:rsid w:val="00974E32"/>
    <w:rsid w:val="00974EBD"/>
    <w:rsid w:val="0097503D"/>
    <w:rsid w:val="00975204"/>
    <w:rsid w:val="00975228"/>
    <w:rsid w:val="009753BE"/>
    <w:rsid w:val="0097559C"/>
    <w:rsid w:val="009755BD"/>
    <w:rsid w:val="009755C7"/>
    <w:rsid w:val="0097560C"/>
    <w:rsid w:val="0097584E"/>
    <w:rsid w:val="009758EA"/>
    <w:rsid w:val="00975E2C"/>
    <w:rsid w:val="00975F57"/>
    <w:rsid w:val="00976284"/>
    <w:rsid w:val="00976373"/>
    <w:rsid w:val="0097651A"/>
    <w:rsid w:val="00976545"/>
    <w:rsid w:val="00976682"/>
    <w:rsid w:val="009768A5"/>
    <w:rsid w:val="00976970"/>
    <w:rsid w:val="00976BBB"/>
    <w:rsid w:val="00976E9E"/>
    <w:rsid w:val="00976ED2"/>
    <w:rsid w:val="00977014"/>
    <w:rsid w:val="0097714C"/>
    <w:rsid w:val="00977164"/>
    <w:rsid w:val="009771FB"/>
    <w:rsid w:val="009772BD"/>
    <w:rsid w:val="00977376"/>
    <w:rsid w:val="009773C9"/>
    <w:rsid w:val="009774A1"/>
    <w:rsid w:val="00977810"/>
    <w:rsid w:val="00977AB7"/>
    <w:rsid w:val="00977B10"/>
    <w:rsid w:val="00977B82"/>
    <w:rsid w:val="00977E65"/>
    <w:rsid w:val="00977F49"/>
    <w:rsid w:val="00980358"/>
    <w:rsid w:val="0098051E"/>
    <w:rsid w:val="00980559"/>
    <w:rsid w:val="00980671"/>
    <w:rsid w:val="009806B7"/>
    <w:rsid w:val="009806CB"/>
    <w:rsid w:val="00980917"/>
    <w:rsid w:val="00980AE0"/>
    <w:rsid w:val="00980B72"/>
    <w:rsid w:val="00980C72"/>
    <w:rsid w:val="00980C94"/>
    <w:rsid w:val="00980D03"/>
    <w:rsid w:val="009811FC"/>
    <w:rsid w:val="0098122B"/>
    <w:rsid w:val="00981353"/>
    <w:rsid w:val="00981601"/>
    <w:rsid w:val="0098166C"/>
    <w:rsid w:val="00981A63"/>
    <w:rsid w:val="00981A84"/>
    <w:rsid w:val="00981AD6"/>
    <w:rsid w:val="00981BD5"/>
    <w:rsid w:val="00981BE0"/>
    <w:rsid w:val="00981D11"/>
    <w:rsid w:val="00981EA2"/>
    <w:rsid w:val="00981EAD"/>
    <w:rsid w:val="00981F0A"/>
    <w:rsid w:val="00981FD7"/>
    <w:rsid w:val="0098217D"/>
    <w:rsid w:val="009821C9"/>
    <w:rsid w:val="00982282"/>
    <w:rsid w:val="00982322"/>
    <w:rsid w:val="009823BF"/>
    <w:rsid w:val="0098240F"/>
    <w:rsid w:val="00982429"/>
    <w:rsid w:val="00982599"/>
    <w:rsid w:val="009827F8"/>
    <w:rsid w:val="00982A49"/>
    <w:rsid w:val="00982BBD"/>
    <w:rsid w:val="00982D15"/>
    <w:rsid w:val="00982F49"/>
    <w:rsid w:val="00982F80"/>
    <w:rsid w:val="00982FEE"/>
    <w:rsid w:val="00983229"/>
    <w:rsid w:val="00983248"/>
    <w:rsid w:val="009832BF"/>
    <w:rsid w:val="009832DC"/>
    <w:rsid w:val="009834F5"/>
    <w:rsid w:val="009835A0"/>
    <w:rsid w:val="00983690"/>
    <w:rsid w:val="00983777"/>
    <w:rsid w:val="0098377C"/>
    <w:rsid w:val="00983A78"/>
    <w:rsid w:val="00983B06"/>
    <w:rsid w:val="00983B36"/>
    <w:rsid w:val="00983FC3"/>
    <w:rsid w:val="0098401B"/>
    <w:rsid w:val="009840B2"/>
    <w:rsid w:val="009840C0"/>
    <w:rsid w:val="009842C3"/>
    <w:rsid w:val="0098431E"/>
    <w:rsid w:val="00984322"/>
    <w:rsid w:val="0098432C"/>
    <w:rsid w:val="009843AC"/>
    <w:rsid w:val="009843AD"/>
    <w:rsid w:val="009844AE"/>
    <w:rsid w:val="009845D2"/>
    <w:rsid w:val="00984603"/>
    <w:rsid w:val="009846BB"/>
    <w:rsid w:val="009846CD"/>
    <w:rsid w:val="00984703"/>
    <w:rsid w:val="00984722"/>
    <w:rsid w:val="00984742"/>
    <w:rsid w:val="009848DE"/>
    <w:rsid w:val="00984A7C"/>
    <w:rsid w:val="00984ADE"/>
    <w:rsid w:val="00984DCC"/>
    <w:rsid w:val="00984FE1"/>
    <w:rsid w:val="00985117"/>
    <w:rsid w:val="00985171"/>
    <w:rsid w:val="0098542F"/>
    <w:rsid w:val="009854D5"/>
    <w:rsid w:val="0098553D"/>
    <w:rsid w:val="009855D7"/>
    <w:rsid w:val="00985753"/>
    <w:rsid w:val="00985759"/>
    <w:rsid w:val="009857AB"/>
    <w:rsid w:val="00985831"/>
    <w:rsid w:val="0098587D"/>
    <w:rsid w:val="0098591E"/>
    <w:rsid w:val="009859AA"/>
    <w:rsid w:val="00985B19"/>
    <w:rsid w:val="00985BDE"/>
    <w:rsid w:val="00985D0A"/>
    <w:rsid w:val="00985D17"/>
    <w:rsid w:val="00985D50"/>
    <w:rsid w:val="00985E82"/>
    <w:rsid w:val="00986098"/>
    <w:rsid w:val="009860DF"/>
    <w:rsid w:val="0098623D"/>
    <w:rsid w:val="009862CA"/>
    <w:rsid w:val="00986350"/>
    <w:rsid w:val="00986381"/>
    <w:rsid w:val="00986672"/>
    <w:rsid w:val="009868BD"/>
    <w:rsid w:val="00986BE0"/>
    <w:rsid w:val="00986C06"/>
    <w:rsid w:val="00986E6E"/>
    <w:rsid w:val="00986F3C"/>
    <w:rsid w:val="00986F81"/>
    <w:rsid w:val="00986FAC"/>
    <w:rsid w:val="00986FD2"/>
    <w:rsid w:val="00987032"/>
    <w:rsid w:val="009870A7"/>
    <w:rsid w:val="009872F1"/>
    <w:rsid w:val="009875A4"/>
    <w:rsid w:val="0098764A"/>
    <w:rsid w:val="00987730"/>
    <w:rsid w:val="0098775C"/>
    <w:rsid w:val="0098780A"/>
    <w:rsid w:val="00987826"/>
    <w:rsid w:val="00987846"/>
    <w:rsid w:val="00987A89"/>
    <w:rsid w:val="00987B2D"/>
    <w:rsid w:val="00987B85"/>
    <w:rsid w:val="00987CB4"/>
    <w:rsid w:val="00987D0F"/>
    <w:rsid w:val="00987F1F"/>
    <w:rsid w:val="00987FF3"/>
    <w:rsid w:val="00989B4C"/>
    <w:rsid w:val="00990011"/>
    <w:rsid w:val="009901AF"/>
    <w:rsid w:val="0099033B"/>
    <w:rsid w:val="00990458"/>
    <w:rsid w:val="009904EA"/>
    <w:rsid w:val="009906EB"/>
    <w:rsid w:val="00990C94"/>
    <w:rsid w:val="00990CA0"/>
    <w:rsid w:val="00990D01"/>
    <w:rsid w:val="00990E44"/>
    <w:rsid w:val="00990EE2"/>
    <w:rsid w:val="00990F14"/>
    <w:rsid w:val="00990F8B"/>
    <w:rsid w:val="009912E6"/>
    <w:rsid w:val="009912F3"/>
    <w:rsid w:val="0099131C"/>
    <w:rsid w:val="009913FA"/>
    <w:rsid w:val="009915F0"/>
    <w:rsid w:val="009917D8"/>
    <w:rsid w:val="00991A5B"/>
    <w:rsid w:val="00991ADE"/>
    <w:rsid w:val="00991DAD"/>
    <w:rsid w:val="00991F5D"/>
    <w:rsid w:val="00991FD4"/>
    <w:rsid w:val="009921EE"/>
    <w:rsid w:val="0099244B"/>
    <w:rsid w:val="00992644"/>
    <w:rsid w:val="009926A9"/>
    <w:rsid w:val="00992809"/>
    <w:rsid w:val="009929AC"/>
    <w:rsid w:val="00992BD6"/>
    <w:rsid w:val="00992DF0"/>
    <w:rsid w:val="00992E6F"/>
    <w:rsid w:val="00992FCF"/>
    <w:rsid w:val="0099304E"/>
    <w:rsid w:val="00993058"/>
    <w:rsid w:val="00993101"/>
    <w:rsid w:val="00993212"/>
    <w:rsid w:val="009932B0"/>
    <w:rsid w:val="00993402"/>
    <w:rsid w:val="009934DF"/>
    <w:rsid w:val="00993AFE"/>
    <w:rsid w:val="00993CE2"/>
    <w:rsid w:val="00993DC5"/>
    <w:rsid w:val="00993E0A"/>
    <w:rsid w:val="00993EF6"/>
    <w:rsid w:val="0099409A"/>
    <w:rsid w:val="00994115"/>
    <w:rsid w:val="00994238"/>
    <w:rsid w:val="00994347"/>
    <w:rsid w:val="00994397"/>
    <w:rsid w:val="009943F3"/>
    <w:rsid w:val="009944C0"/>
    <w:rsid w:val="009944E0"/>
    <w:rsid w:val="009946F2"/>
    <w:rsid w:val="009949E8"/>
    <w:rsid w:val="00994A0B"/>
    <w:rsid w:val="00994C2C"/>
    <w:rsid w:val="00994C69"/>
    <w:rsid w:val="00994E74"/>
    <w:rsid w:val="00994EF6"/>
    <w:rsid w:val="00994F69"/>
    <w:rsid w:val="00994F88"/>
    <w:rsid w:val="00995217"/>
    <w:rsid w:val="00995236"/>
    <w:rsid w:val="00995267"/>
    <w:rsid w:val="00995399"/>
    <w:rsid w:val="0099553F"/>
    <w:rsid w:val="0099557A"/>
    <w:rsid w:val="009955AA"/>
    <w:rsid w:val="009956E7"/>
    <w:rsid w:val="009956F8"/>
    <w:rsid w:val="00995C50"/>
    <w:rsid w:val="00995EC0"/>
    <w:rsid w:val="00996086"/>
    <w:rsid w:val="0099619C"/>
    <w:rsid w:val="0099619D"/>
    <w:rsid w:val="0099628C"/>
    <w:rsid w:val="0099630B"/>
    <w:rsid w:val="00996537"/>
    <w:rsid w:val="009965BE"/>
    <w:rsid w:val="009966AB"/>
    <w:rsid w:val="0099689A"/>
    <w:rsid w:val="0099689E"/>
    <w:rsid w:val="00996915"/>
    <w:rsid w:val="00996916"/>
    <w:rsid w:val="00996931"/>
    <w:rsid w:val="00996A79"/>
    <w:rsid w:val="00996ABC"/>
    <w:rsid w:val="00996B46"/>
    <w:rsid w:val="00996B7E"/>
    <w:rsid w:val="00996BA1"/>
    <w:rsid w:val="00996C15"/>
    <w:rsid w:val="00996D01"/>
    <w:rsid w:val="00996D9B"/>
    <w:rsid w:val="00996DA6"/>
    <w:rsid w:val="0099705B"/>
    <w:rsid w:val="00997236"/>
    <w:rsid w:val="00997306"/>
    <w:rsid w:val="009973C6"/>
    <w:rsid w:val="009973DC"/>
    <w:rsid w:val="0099746F"/>
    <w:rsid w:val="00997570"/>
    <w:rsid w:val="009976AB"/>
    <w:rsid w:val="009977F9"/>
    <w:rsid w:val="00997856"/>
    <w:rsid w:val="00997967"/>
    <w:rsid w:val="00997AE6"/>
    <w:rsid w:val="00997CA1"/>
    <w:rsid w:val="00997E73"/>
    <w:rsid w:val="00997EC9"/>
    <w:rsid w:val="00997F26"/>
    <w:rsid w:val="00997F2B"/>
    <w:rsid w:val="009A006F"/>
    <w:rsid w:val="009A0112"/>
    <w:rsid w:val="009A01D4"/>
    <w:rsid w:val="009A036A"/>
    <w:rsid w:val="009A03B5"/>
    <w:rsid w:val="009A05EE"/>
    <w:rsid w:val="009A0612"/>
    <w:rsid w:val="009A0794"/>
    <w:rsid w:val="009A083C"/>
    <w:rsid w:val="009A0892"/>
    <w:rsid w:val="009A0D76"/>
    <w:rsid w:val="009A0DE2"/>
    <w:rsid w:val="009A102A"/>
    <w:rsid w:val="009A106C"/>
    <w:rsid w:val="009A13E4"/>
    <w:rsid w:val="009A159F"/>
    <w:rsid w:val="009A1640"/>
    <w:rsid w:val="009A1812"/>
    <w:rsid w:val="009A199B"/>
    <w:rsid w:val="009A19DE"/>
    <w:rsid w:val="009A1B8C"/>
    <w:rsid w:val="009A1BDE"/>
    <w:rsid w:val="009A1C38"/>
    <w:rsid w:val="009A1DAC"/>
    <w:rsid w:val="009A1E63"/>
    <w:rsid w:val="009A1F4F"/>
    <w:rsid w:val="009A217B"/>
    <w:rsid w:val="009A2498"/>
    <w:rsid w:val="009A26AF"/>
    <w:rsid w:val="009A26F1"/>
    <w:rsid w:val="009A2770"/>
    <w:rsid w:val="009A27D2"/>
    <w:rsid w:val="009A28C8"/>
    <w:rsid w:val="009A2AA6"/>
    <w:rsid w:val="009A2C7E"/>
    <w:rsid w:val="009A2F39"/>
    <w:rsid w:val="009A2F93"/>
    <w:rsid w:val="009A302C"/>
    <w:rsid w:val="009A30CC"/>
    <w:rsid w:val="009A3139"/>
    <w:rsid w:val="009A31BA"/>
    <w:rsid w:val="009A3224"/>
    <w:rsid w:val="009A3301"/>
    <w:rsid w:val="009A33C3"/>
    <w:rsid w:val="009A3467"/>
    <w:rsid w:val="009A34D6"/>
    <w:rsid w:val="009A3559"/>
    <w:rsid w:val="009A3668"/>
    <w:rsid w:val="009A36EA"/>
    <w:rsid w:val="009A370B"/>
    <w:rsid w:val="009A38AA"/>
    <w:rsid w:val="009A390E"/>
    <w:rsid w:val="009A3A4F"/>
    <w:rsid w:val="009A3C05"/>
    <w:rsid w:val="009A3CC1"/>
    <w:rsid w:val="009A3EC1"/>
    <w:rsid w:val="009A3EC7"/>
    <w:rsid w:val="009A3F50"/>
    <w:rsid w:val="009A3FDF"/>
    <w:rsid w:val="009A40AC"/>
    <w:rsid w:val="009A42EB"/>
    <w:rsid w:val="009A4845"/>
    <w:rsid w:val="009A4954"/>
    <w:rsid w:val="009A49CC"/>
    <w:rsid w:val="009A4AFD"/>
    <w:rsid w:val="009A4EAB"/>
    <w:rsid w:val="009A51F4"/>
    <w:rsid w:val="009A5206"/>
    <w:rsid w:val="009A528B"/>
    <w:rsid w:val="009A5321"/>
    <w:rsid w:val="009A5406"/>
    <w:rsid w:val="009A588D"/>
    <w:rsid w:val="009A58BB"/>
    <w:rsid w:val="009A58C2"/>
    <w:rsid w:val="009A5937"/>
    <w:rsid w:val="009A5A0E"/>
    <w:rsid w:val="009A5BC4"/>
    <w:rsid w:val="009A5C45"/>
    <w:rsid w:val="009A5C5C"/>
    <w:rsid w:val="009A5CA1"/>
    <w:rsid w:val="009A5E82"/>
    <w:rsid w:val="009A6069"/>
    <w:rsid w:val="009A6151"/>
    <w:rsid w:val="009A6156"/>
    <w:rsid w:val="009A640E"/>
    <w:rsid w:val="009A6477"/>
    <w:rsid w:val="009A64B7"/>
    <w:rsid w:val="009A670D"/>
    <w:rsid w:val="009A6815"/>
    <w:rsid w:val="009A71E3"/>
    <w:rsid w:val="009A757C"/>
    <w:rsid w:val="009A762B"/>
    <w:rsid w:val="009A7701"/>
    <w:rsid w:val="009A7732"/>
    <w:rsid w:val="009A77E0"/>
    <w:rsid w:val="009A78D4"/>
    <w:rsid w:val="009A79AB"/>
    <w:rsid w:val="009A7A1B"/>
    <w:rsid w:val="009A7E8E"/>
    <w:rsid w:val="009A7EEE"/>
    <w:rsid w:val="009A7FC2"/>
    <w:rsid w:val="009B007F"/>
    <w:rsid w:val="009B00BA"/>
    <w:rsid w:val="009B02AD"/>
    <w:rsid w:val="009B0374"/>
    <w:rsid w:val="009B0378"/>
    <w:rsid w:val="009B039E"/>
    <w:rsid w:val="009B0565"/>
    <w:rsid w:val="009B06B4"/>
    <w:rsid w:val="009B08CA"/>
    <w:rsid w:val="009B08EB"/>
    <w:rsid w:val="009B0DDC"/>
    <w:rsid w:val="009B0FBD"/>
    <w:rsid w:val="009B1003"/>
    <w:rsid w:val="009B1064"/>
    <w:rsid w:val="009B134F"/>
    <w:rsid w:val="009B1397"/>
    <w:rsid w:val="009B13E3"/>
    <w:rsid w:val="009B1476"/>
    <w:rsid w:val="009B153C"/>
    <w:rsid w:val="009B1618"/>
    <w:rsid w:val="009B1CEB"/>
    <w:rsid w:val="009B1DF0"/>
    <w:rsid w:val="009B1FEE"/>
    <w:rsid w:val="009B20A6"/>
    <w:rsid w:val="009B210E"/>
    <w:rsid w:val="009B2185"/>
    <w:rsid w:val="009B235C"/>
    <w:rsid w:val="009B2421"/>
    <w:rsid w:val="009B2496"/>
    <w:rsid w:val="009B24A0"/>
    <w:rsid w:val="009B24CC"/>
    <w:rsid w:val="009B25D0"/>
    <w:rsid w:val="009B2636"/>
    <w:rsid w:val="009B278D"/>
    <w:rsid w:val="009B2A57"/>
    <w:rsid w:val="009B2BE6"/>
    <w:rsid w:val="009B2DA4"/>
    <w:rsid w:val="009B2DAA"/>
    <w:rsid w:val="009B2DCA"/>
    <w:rsid w:val="009B2F8C"/>
    <w:rsid w:val="009B3051"/>
    <w:rsid w:val="009B3093"/>
    <w:rsid w:val="009B3118"/>
    <w:rsid w:val="009B319D"/>
    <w:rsid w:val="009B34B7"/>
    <w:rsid w:val="009B34D0"/>
    <w:rsid w:val="009B34DA"/>
    <w:rsid w:val="009B34EC"/>
    <w:rsid w:val="009B3540"/>
    <w:rsid w:val="009B36FC"/>
    <w:rsid w:val="009B3883"/>
    <w:rsid w:val="009B38C1"/>
    <w:rsid w:val="009B3A68"/>
    <w:rsid w:val="009B3AA0"/>
    <w:rsid w:val="009B3B6E"/>
    <w:rsid w:val="009B3F34"/>
    <w:rsid w:val="009B405D"/>
    <w:rsid w:val="009B40AC"/>
    <w:rsid w:val="009B422C"/>
    <w:rsid w:val="009B43B2"/>
    <w:rsid w:val="009B442C"/>
    <w:rsid w:val="009B447A"/>
    <w:rsid w:val="009B44AB"/>
    <w:rsid w:val="009B4523"/>
    <w:rsid w:val="009B459C"/>
    <w:rsid w:val="009B4721"/>
    <w:rsid w:val="009B477A"/>
    <w:rsid w:val="009B4788"/>
    <w:rsid w:val="009B489F"/>
    <w:rsid w:val="009B4A62"/>
    <w:rsid w:val="009B4D87"/>
    <w:rsid w:val="009B4E3C"/>
    <w:rsid w:val="009B4E46"/>
    <w:rsid w:val="009B4F4B"/>
    <w:rsid w:val="009B51F1"/>
    <w:rsid w:val="009B5298"/>
    <w:rsid w:val="009B52D9"/>
    <w:rsid w:val="009B5457"/>
    <w:rsid w:val="009B5650"/>
    <w:rsid w:val="009B5844"/>
    <w:rsid w:val="009B58FD"/>
    <w:rsid w:val="009B5953"/>
    <w:rsid w:val="009B5ADA"/>
    <w:rsid w:val="009B5B05"/>
    <w:rsid w:val="009B5F27"/>
    <w:rsid w:val="009B60D2"/>
    <w:rsid w:val="009B613C"/>
    <w:rsid w:val="009B6307"/>
    <w:rsid w:val="009B6316"/>
    <w:rsid w:val="009B6426"/>
    <w:rsid w:val="009B64B9"/>
    <w:rsid w:val="009B64CE"/>
    <w:rsid w:val="009B65FD"/>
    <w:rsid w:val="009B675D"/>
    <w:rsid w:val="009B67B6"/>
    <w:rsid w:val="009B6B29"/>
    <w:rsid w:val="009B6BC5"/>
    <w:rsid w:val="009B6E08"/>
    <w:rsid w:val="009B7003"/>
    <w:rsid w:val="009B71B9"/>
    <w:rsid w:val="009B72E1"/>
    <w:rsid w:val="009B76CC"/>
    <w:rsid w:val="009B78CD"/>
    <w:rsid w:val="009B7921"/>
    <w:rsid w:val="009B7A8B"/>
    <w:rsid w:val="009B7C30"/>
    <w:rsid w:val="009B7CC0"/>
    <w:rsid w:val="009B7CCF"/>
    <w:rsid w:val="009B7EA7"/>
    <w:rsid w:val="009B7FE1"/>
    <w:rsid w:val="009C00D2"/>
    <w:rsid w:val="009C016A"/>
    <w:rsid w:val="009C0365"/>
    <w:rsid w:val="009C036A"/>
    <w:rsid w:val="009C058E"/>
    <w:rsid w:val="009C05FB"/>
    <w:rsid w:val="009C0669"/>
    <w:rsid w:val="009C078E"/>
    <w:rsid w:val="009C0A12"/>
    <w:rsid w:val="009C0B2E"/>
    <w:rsid w:val="009C0B44"/>
    <w:rsid w:val="009C0B48"/>
    <w:rsid w:val="009C0FF7"/>
    <w:rsid w:val="009C1135"/>
    <w:rsid w:val="009C114D"/>
    <w:rsid w:val="009C1375"/>
    <w:rsid w:val="009C13CB"/>
    <w:rsid w:val="009C1484"/>
    <w:rsid w:val="009C1510"/>
    <w:rsid w:val="009C192C"/>
    <w:rsid w:val="009C1A54"/>
    <w:rsid w:val="009C1A73"/>
    <w:rsid w:val="009C1B93"/>
    <w:rsid w:val="009C1C31"/>
    <w:rsid w:val="009C1D19"/>
    <w:rsid w:val="009C2165"/>
    <w:rsid w:val="009C2418"/>
    <w:rsid w:val="009C243D"/>
    <w:rsid w:val="009C247E"/>
    <w:rsid w:val="009C27D3"/>
    <w:rsid w:val="009C289B"/>
    <w:rsid w:val="009C2998"/>
    <w:rsid w:val="009C29D2"/>
    <w:rsid w:val="009C2C9A"/>
    <w:rsid w:val="009C2D61"/>
    <w:rsid w:val="009C2FCF"/>
    <w:rsid w:val="009C3000"/>
    <w:rsid w:val="009C3380"/>
    <w:rsid w:val="009C33A3"/>
    <w:rsid w:val="009C3581"/>
    <w:rsid w:val="009C3794"/>
    <w:rsid w:val="009C37D0"/>
    <w:rsid w:val="009C389E"/>
    <w:rsid w:val="009C38BD"/>
    <w:rsid w:val="009C3A52"/>
    <w:rsid w:val="009C3BB9"/>
    <w:rsid w:val="009C3C2E"/>
    <w:rsid w:val="009C3E0A"/>
    <w:rsid w:val="009C3F92"/>
    <w:rsid w:val="009C40B0"/>
    <w:rsid w:val="009C4235"/>
    <w:rsid w:val="009C429B"/>
    <w:rsid w:val="009C43A1"/>
    <w:rsid w:val="009C453F"/>
    <w:rsid w:val="009C464E"/>
    <w:rsid w:val="009C4885"/>
    <w:rsid w:val="009C4B4D"/>
    <w:rsid w:val="009C4BD3"/>
    <w:rsid w:val="009C4C04"/>
    <w:rsid w:val="009C4F93"/>
    <w:rsid w:val="009C50AB"/>
    <w:rsid w:val="009C52B4"/>
    <w:rsid w:val="009C52E2"/>
    <w:rsid w:val="009C567F"/>
    <w:rsid w:val="009C5692"/>
    <w:rsid w:val="009C581E"/>
    <w:rsid w:val="009C582A"/>
    <w:rsid w:val="009C58E7"/>
    <w:rsid w:val="009C58EE"/>
    <w:rsid w:val="009C59ED"/>
    <w:rsid w:val="009C5B42"/>
    <w:rsid w:val="009C5C4C"/>
    <w:rsid w:val="009C5D96"/>
    <w:rsid w:val="009C5DBA"/>
    <w:rsid w:val="009C5F41"/>
    <w:rsid w:val="009C620E"/>
    <w:rsid w:val="009C6217"/>
    <w:rsid w:val="009C6250"/>
    <w:rsid w:val="009C6273"/>
    <w:rsid w:val="009C67E2"/>
    <w:rsid w:val="009C6925"/>
    <w:rsid w:val="009C6949"/>
    <w:rsid w:val="009C6A64"/>
    <w:rsid w:val="009C6A84"/>
    <w:rsid w:val="009C6AD4"/>
    <w:rsid w:val="009C6B5A"/>
    <w:rsid w:val="009C6C0D"/>
    <w:rsid w:val="009C6D18"/>
    <w:rsid w:val="009C6E7F"/>
    <w:rsid w:val="009C70E4"/>
    <w:rsid w:val="009C71D8"/>
    <w:rsid w:val="009C72CF"/>
    <w:rsid w:val="009C7374"/>
    <w:rsid w:val="009C7398"/>
    <w:rsid w:val="009C74B3"/>
    <w:rsid w:val="009C75CC"/>
    <w:rsid w:val="009C76BC"/>
    <w:rsid w:val="009C7714"/>
    <w:rsid w:val="009C785C"/>
    <w:rsid w:val="009C79FA"/>
    <w:rsid w:val="009C7ADB"/>
    <w:rsid w:val="009C7BFA"/>
    <w:rsid w:val="009C7E7C"/>
    <w:rsid w:val="009C7E84"/>
    <w:rsid w:val="009C7F86"/>
    <w:rsid w:val="009D017C"/>
    <w:rsid w:val="009D01DD"/>
    <w:rsid w:val="009D030D"/>
    <w:rsid w:val="009D03F9"/>
    <w:rsid w:val="009D049B"/>
    <w:rsid w:val="009D052E"/>
    <w:rsid w:val="009D058E"/>
    <w:rsid w:val="009D0672"/>
    <w:rsid w:val="009D07C4"/>
    <w:rsid w:val="009D0A20"/>
    <w:rsid w:val="009D0B43"/>
    <w:rsid w:val="009D0C51"/>
    <w:rsid w:val="009D0D36"/>
    <w:rsid w:val="009D0E7C"/>
    <w:rsid w:val="009D103D"/>
    <w:rsid w:val="009D1159"/>
    <w:rsid w:val="009D1164"/>
    <w:rsid w:val="009D11B3"/>
    <w:rsid w:val="009D143D"/>
    <w:rsid w:val="009D1546"/>
    <w:rsid w:val="009D1747"/>
    <w:rsid w:val="009D176E"/>
    <w:rsid w:val="009D18A1"/>
    <w:rsid w:val="009D19B4"/>
    <w:rsid w:val="009D1BEE"/>
    <w:rsid w:val="009D1D76"/>
    <w:rsid w:val="009D1D99"/>
    <w:rsid w:val="009D2052"/>
    <w:rsid w:val="009D2111"/>
    <w:rsid w:val="009D21FE"/>
    <w:rsid w:val="009D2327"/>
    <w:rsid w:val="009D246B"/>
    <w:rsid w:val="009D2498"/>
    <w:rsid w:val="009D2530"/>
    <w:rsid w:val="009D267D"/>
    <w:rsid w:val="009D29F1"/>
    <w:rsid w:val="009D2E87"/>
    <w:rsid w:val="009D2FC9"/>
    <w:rsid w:val="009D2FD7"/>
    <w:rsid w:val="009D3111"/>
    <w:rsid w:val="009D328E"/>
    <w:rsid w:val="009D3323"/>
    <w:rsid w:val="009D3335"/>
    <w:rsid w:val="009D3449"/>
    <w:rsid w:val="009D368E"/>
    <w:rsid w:val="009D36AC"/>
    <w:rsid w:val="009D3730"/>
    <w:rsid w:val="009D3777"/>
    <w:rsid w:val="009D386B"/>
    <w:rsid w:val="009D3ACC"/>
    <w:rsid w:val="009D3C35"/>
    <w:rsid w:val="009D3F7B"/>
    <w:rsid w:val="009D3FF0"/>
    <w:rsid w:val="009D40C7"/>
    <w:rsid w:val="009D427A"/>
    <w:rsid w:val="009D4706"/>
    <w:rsid w:val="009D48F1"/>
    <w:rsid w:val="009D4B7F"/>
    <w:rsid w:val="009D4C6D"/>
    <w:rsid w:val="009D4D67"/>
    <w:rsid w:val="009D4EEE"/>
    <w:rsid w:val="009D4F37"/>
    <w:rsid w:val="009D4FCC"/>
    <w:rsid w:val="009D5067"/>
    <w:rsid w:val="009D506B"/>
    <w:rsid w:val="009D5092"/>
    <w:rsid w:val="009D5135"/>
    <w:rsid w:val="009D5399"/>
    <w:rsid w:val="009D55E2"/>
    <w:rsid w:val="009D5788"/>
    <w:rsid w:val="009D583C"/>
    <w:rsid w:val="009D5A45"/>
    <w:rsid w:val="009D5C40"/>
    <w:rsid w:val="009D5E93"/>
    <w:rsid w:val="009D5EA5"/>
    <w:rsid w:val="009D641E"/>
    <w:rsid w:val="009D64A9"/>
    <w:rsid w:val="009D65C5"/>
    <w:rsid w:val="009D6752"/>
    <w:rsid w:val="009D67A4"/>
    <w:rsid w:val="009D6999"/>
    <w:rsid w:val="009D6A9E"/>
    <w:rsid w:val="009D6C65"/>
    <w:rsid w:val="009D6CB3"/>
    <w:rsid w:val="009D6EAD"/>
    <w:rsid w:val="009D733B"/>
    <w:rsid w:val="009D73E6"/>
    <w:rsid w:val="009D73F3"/>
    <w:rsid w:val="009D7445"/>
    <w:rsid w:val="009D7596"/>
    <w:rsid w:val="009D774D"/>
    <w:rsid w:val="009D7802"/>
    <w:rsid w:val="009D7A54"/>
    <w:rsid w:val="009D7A69"/>
    <w:rsid w:val="009D7ABB"/>
    <w:rsid w:val="009D7BD8"/>
    <w:rsid w:val="009D7C80"/>
    <w:rsid w:val="009D7DB3"/>
    <w:rsid w:val="009DCF2E"/>
    <w:rsid w:val="009DF0CA"/>
    <w:rsid w:val="009E0024"/>
    <w:rsid w:val="009E00A3"/>
    <w:rsid w:val="009E00EF"/>
    <w:rsid w:val="009E038F"/>
    <w:rsid w:val="009E0460"/>
    <w:rsid w:val="009E0810"/>
    <w:rsid w:val="009E083C"/>
    <w:rsid w:val="009E09FA"/>
    <w:rsid w:val="009E0AB4"/>
    <w:rsid w:val="009E0B12"/>
    <w:rsid w:val="009E0B88"/>
    <w:rsid w:val="009E0D73"/>
    <w:rsid w:val="009E0DCC"/>
    <w:rsid w:val="009E111D"/>
    <w:rsid w:val="009E1290"/>
    <w:rsid w:val="009E1337"/>
    <w:rsid w:val="009E13C2"/>
    <w:rsid w:val="009E1431"/>
    <w:rsid w:val="009E159B"/>
    <w:rsid w:val="009E172B"/>
    <w:rsid w:val="009E18F6"/>
    <w:rsid w:val="009E1A8E"/>
    <w:rsid w:val="009E2137"/>
    <w:rsid w:val="009E217C"/>
    <w:rsid w:val="009E223F"/>
    <w:rsid w:val="009E2369"/>
    <w:rsid w:val="009E23F5"/>
    <w:rsid w:val="009E248A"/>
    <w:rsid w:val="009E255A"/>
    <w:rsid w:val="009E257C"/>
    <w:rsid w:val="009E260C"/>
    <w:rsid w:val="009E2668"/>
    <w:rsid w:val="009E274E"/>
    <w:rsid w:val="009E2A8A"/>
    <w:rsid w:val="009E2AE6"/>
    <w:rsid w:val="009E2B28"/>
    <w:rsid w:val="009E2BAD"/>
    <w:rsid w:val="009E2CD6"/>
    <w:rsid w:val="009E2CE9"/>
    <w:rsid w:val="009E2D0B"/>
    <w:rsid w:val="009E2EA2"/>
    <w:rsid w:val="009E30ED"/>
    <w:rsid w:val="009E3149"/>
    <w:rsid w:val="009E3419"/>
    <w:rsid w:val="009E35A2"/>
    <w:rsid w:val="009E35D2"/>
    <w:rsid w:val="009E35D5"/>
    <w:rsid w:val="009E390A"/>
    <w:rsid w:val="009E3AE3"/>
    <w:rsid w:val="009E3BE8"/>
    <w:rsid w:val="009E3CE2"/>
    <w:rsid w:val="009E3D74"/>
    <w:rsid w:val="009E432A"/>
    <w:rsid w:val="009E43B4"/>
    <w:rsid w:val="009E45C8"/>
    <w:rsid w:val="009E4719"/>
    <w:rsid w:val="009E47D4"/>
    <w:rsid w:val="009E4835"/>
    <w:rsid w:val="009E485C"/>
    <w:rsid w:val="009E4892"/>
    <w:rsid w:val="009E4BF7"/>
    <w:rsid w:val="009E4C6C"/>
    <w:rsid w:val="009E4C7A"/>
    <w:rsid w:val="009E4EBD"/>
    <w:rsid w:val="009E50B4"/>
    <w:rsid w:val="009E5162"/>
    <w:rsid w:val="009E51E9"/>
    <w:rsid w:val="009E529C"/>
    <w:rsid w:val="009E535A"/>
    <w:rsid w:val="009E53A9"/>
    <w:rsid w:val="009E560A"/>
    <w:rsid w:val="009E5717"/>
    <w:rsid w:val="009E57D8"/>
    <w:rsid w:val="009E5990"/>
    <w:rsid w:val="009E5CBC"/>
    <w:rsid w:val="009E5D64"/>
    <w:rsid w:val="009E5E03"/>
    <w:rsid w:val="009E5FF1"/>
    <w:rsid w:val="009E6205"/>
    <w:rsid w:val="009E6439"/>
    <w:rsid w:val="009E6480"/>
    <w:rsid w:val="009E6552"/>
    <w:rsid w:val="009E6553"/>
    <w:rsid w:val="009E675C"/>
    <w:rsid w:val="009E6896"/>
    <w:rsid w:val="009E69C1"/>
    <w:rsid w:val="009E6AF7"/>
    <w:rsid w:val="009E6B47"/>
    <w:rsid w:val="009E6BDC"/>
    <w:rsid w:val="009E6BEF"/>
    <w:rsid w:val="009E6C90"/>
    <w:rsid w:val="009E6DB5"/>
    <w:rsid w:val="009E6DED"/>
    <w:rsid w:val="009E6DFD"/>
    <w:rsid w:val="009E6EE9"/>
    <w:rsid w:val="009E6F06"/>
    <w:rsid w:val="009E6F46"/>
    <w:rsid w:val="009E72CD"/>
    <w:rsid w:val="009E7348"/>
    <w:rsid w:val="009E73B1"/>
    <w:rsid w:val="009E7610"/>
    <w:rsid w:val="009E7725"/>
    <w:rsid w:val="009E7873"/>
    <w:rsid w:val="009E78C2"/>
    <w:rsid w:val="009E78D2"/>
    <w:rsid w:val="009E7A86"/>
    <w:rsid w:val="009E7D43"/>
    <w:rsid w:val="009E7D69"/>
    <w:rsid w:val="009F004D"/>
    <w:rsid w:val="009F005E"/>
    <w:rsid w:val="009F006E"/>
    <w:rsid w:val="009F03D5"/>
    <w:rsid w:val="009F04ED"/>
    <w:rsid w:val="009F0581"/>
    <w:rsid w:val="009F06A7"/>
    <w:rsid w:val="009F06C9"/>
    <w:rsid w:val="009F0A0C"/>
    <w:rsid w:val="009F0A46"/>
    <w:rsid w:val="009F0CB2"/>
    <w:rsid w:val="009F0CC1"/>
    <w:rsid w:val="009F0D0E"/>
    <w:rsid w:val="009F0DAD"/>
    <w:rsid w:val="009F0E74"/>
    <w:rsid w:val="009F10D5"/>
    <w:rsid w:val="009F116F"/>
    <w:rsid w:val="009F11FD"/>
    <w:rsid w:val="009F12B4"/>
    <w:rsid w:val="009F1338"/>
    <w:rsid w:val="009F138E"/>
    <w:rsid w:val="009F142A"/>
    <w:rsid w:val="009F14A0"/>
    <w:rsid w:val="009F158D"/>
    <w:rsid w:val="009F1616"/>
    <w:rsid w:val="009F16D4"/>
    <w:rsid w:val="009F176D"/>
    <w:rsid w:val="009F1A27"/>
    <w:rsid w:val="009F2039"/>
    <w:rsid w:val="009F21D7"/>
    <w:rsid w:val="009F2417"/>
    <w:rsid w:val="009F2537"/>
    <w:rsid w:val="009F2566"/>
    <w:rsid w:val="009F2687"/>
    <w:rsid w:val="009F2870"/>
    <w:rsid w:val="009F28C7"/>
    <w:rsid w:val="009F29C9"/>
    <w:rsid w:val="009F2AA4"/>
    <w:rsid w:val="009F2BB6"/>
    <w:rsid w:val="009F2BCD"/>
    <w:rsid w:val="009F2C16"/>
    <w:rsid w:val="009F2F68"/>
    <w:rsid w:val="009F2FE9"/>
    <w:rsid w:val="009F31B2"/>
    <w:rsid w:val="009F3232"/>
    <w:rsid w:val="009F346C"/>
    <w:rsid w:val="009F3817"/>
    <w:rsid w:val="009F3876"/>
    <w:rsid w:val="009F3903"/>
    <w:rsid w:val="009F39CE"/>
    <w:rsid w:val="009F3B25"/>
    <w:rsid w:val="009F3B9A"/>
    <w:rsid w:val="009F3BC0"/>
    <w:rsid w:val="009F3C32"/>
    <w:rsid w:val="009F3C8D"/>
    <w:rsid w:val="009F3D63"/>
    <w:rsid w:val="009F3E32"/>
    <w:rsid w:val="009F3F5C"/>
    <w:rsid w:val="009F4275"/>
    <w:rsid w:val="009F4563"/>
    <w:rsid w:val="009F45E1"/>
    <w:rsid w:val="009F471C"/>
    <w:rsid w:val="009F490E"/>
    <w:rsid w:val="009F49CD"/>
    <w:rsid w:val="009F4B0C"/>
    <w:rsid w:val="009F4B7F"/>
    <w:rsid w:val="009F4D1B"/>
    <w:rsid w:val="009F4D2A"/>
    <w:rsid w:val="009F4F33"/>
    <w:rsid w:val="009F4F8C"/>
    <w:rsid w:val="009F4FE0"/>
    <w:rsid w:val="009F5042"/>
    <w:rsid w:val="009F50C6"/>
    <w:rsid w:val="009F5246"/>
    <w:rsid w:val="009F5467"/>
    <w:rsid w:val="009F54E4"/>
    <w:rsid w:val="009F5555"/>
    <w:rsid w:val="009F5729"/>
    <w:rsid w:val="009F58AA"/>
    <w:rsid w:val="009F593B"/>
    <w:rsid w:val="009F5A31"/>
    <w:rsid w:val="009F5ADC"/>
    <w:rsid w:val="009F5C2C"/>
    <w:rsid w:val="009F5C78"/>
    <w:rsid w:val="009F5CDA"/>
    <w:rsid w:val="009F5D93"/>
    <w:rsid w:val="009F5DF7"/>
    <w:rsid w:val="009F5E66"/>
    <w:rsid w:val="009F6066"/>
    <w:rsid w:val="009F61BE"/>
    <w:rsid w:val="009F61CC"/>
    <w:rsid w:val="009F6349"/>
    <w:rsid w:val="009F637B"/>
    <w:rsid w:val="009F63B7"/>
    <w:rsid w:val="009F66FF"/>
    <w:rsid w:val="009F6819"/>
    <w:rsid w:val="009F69AD"/>
    <w:rsid w:val="009F6A37"/>
    <w:rsid w:val="009F6A40"/>
    <w:rsid w:val="009F6A5F"/>
    <w:rsid w:val="009F6BEC"/>
    <w:rsid w:val="009F6C6A"/>
    <w:rsid w:val="009F6E86"/>
    <w:rsid w:val="009F6F61"/>
    <w:rsid w:val="009F7047"/>
    <w:rsid w:val="009F704F"/>
    <w:rsid w:val="009F70AB"/>
    <w:rsid w:val="009F7244"/>
    <w:rsid w:val="009F7345"/>
    <w:rsid w:val="009F73D5"/>
    <w:rsid w:val="009F73E0"/>
    <w:rsid w:val="009F7542"/>
    <w:rsid w:val="009F771D"/>
    <w:rsid w:val="009F787D"/>
    <w:rsid w:val="009F7898"/>
    <w:rsid w:val="009F790D"/>
    <w:rsid w:val="009F79E9"/>
    <w:rsid w:val="009F7B1E"/>
    <w:rsid w:val="009F7BD0"/>
    <w:rsid w:val="009F7EE2"/>
    <w:rsid w:val="009F7F58"/>
    <w:rsid w:val="009F7F6B"/>
    <w:rsid w:val="009F7FAF"/>
    <w:rsid w:val="009F9C9C"/>
    <w:rsid w:val="00A00113"/>
    <w:rsid w:val="00A00225"/>
    <w:rsid w:val="00A00452"/>
    <w:rsid w:val="00A00522"/>
    <w:rsid w:val="00A0071F"/>
    <w:rsid w:val="00A007CA"/>
    <w:rsid w:val="00A0099B"/>
    <w:rsid w:val="00A00A21"/>
    <w:rsid w:val="00A00A4A"/>
    <w:rsid w:val="00A00C07"/>
    <w:rsid w:val="00A00DE7"/>
    <w:rsid w:val="00A00F66"/>
    <w:rsid w:val="00A01091"/>
    <w:rsid w:val="00A010A7"/>
    <w:rsid w:val="00A012F1"/>
    <w:rsid w:val="00A01684"/>
    <w:rsid w:val="00A016FA"/>
    <w:rsid w:val="00A0195A"/>
    <w:rsid w:val="00A01A71"/>
    <w:rsid w:val="00A01D85"/>
    <w:rsid w:val="00A01DD1"/>
    <w:rsid w:val="00A01E64"/>
    <w:rsid w:val="00A01F72"/>
    <w:rsid w:val="00A01F93"/>
    <w:rsid w:val="00A0259A"/>
    <w:rsid w:val="00A025AE"/>
    <w:rsid w:val="00A02727"/>
    <w:rsid w:val="00A028C8"/>
    <w:rsid w:val="00A02953"/>
    <w:rsid w:val="00A02985"/>
    <w:rsid w:val="00A0299A"/>
    <w:rsid w:val="00A02BDF"/>
    <w:rsid w:val="00A02F91"/>
    <w:rsid w:val="00A0308B"/>
    <w:rsid w:val="00A0309C"/>
    <w:rsid w:val="00A03195"/>
    <w:rsid w:val="00A032E9"/>
    <w:rsid w:val="00A03411"/>
    <w:rsid w:val="00A035C8"/>
    <w:rsid w:val="00A03625"/>
    <w:rsid w:val="00A0364D"/>
    <w:rsid w:val="00A037E2"/>
    <w:rsid w:val="00A03862"/>
    <w:rsid w:val="00A03A80"/>
    <w:rsid w:val="00A03BE9"/>
    <w:rsid w:val="00A03EDA"/>
    <w:rsid w:val="00A03F38"/>
    <w:rsid w:val="00A03F58"/>
    <w:rsid w:val="00A04010"/>
    <w:rsid w:val="00A04016"/>
    <w:rsid w:val="00A040C5"/>
    <w:rsid w:val="00A041EA"/>
    <w:rsid w:val="00A0425E"/>
    <w:rsid w:val="00A04414"/>
    <w:rsid w:val="00A046F3"/>
    <w:rsid w:val="00A046F7"/>
    <w:rsid w:val="00A047BA"/>
    <w:rsid w:val="00A0483F"/>
    <w:rsid w:val="00A048C5"/>
    <w:rsid w:val="00A048FA"/>
    <w:rsid w:val="00A0497F"/>
    <w:rsid w:val="00A04995"/>
    <w:rsid w:val="00A04A93"/>
    <w:rsid w:val="00A04ED9"/>
    <w:rsid w:val="00A04F08"/>
    <w:rsid w:val="00A04FC6"/>
    <w:rsid w:val="00A05192"/>
    <w:rsid w:val="00A054C2"/>
    <w:rsid w:val="00A05636"/>
    <w:rsid w:val="00A05838"/>
    <w:rsid w:val="00A05A0A"/>
    <w:rsid w:val="00A05AE4"/>
    <w:rsid w:val="00A05B0B"/>
    <w:rsid w:val="00A05B60"/>
    <w:rsid w:val="00A05B83"/>
    <w:rsid w:val="00A05E15"/>
    <w:rsid w:val="00A05E95"/>
    <w:rsid w:val="00A06113"/>
    <w:rsid w:val="00A0619B"/>
    <w:rsid w:val="00A064D4"/>
    <w:rsid w:val="00A064E9"/>
    <w:rsid w:val="00A0669A"/>
    <w:rsid w:val="00A06754"/>
    <w:rsid w:val="00A0688C"/>
    <w:rsid w:val="00A068E3"/>
    <w:rsid w:val="00A0690E"/>
    <w:rsid w:val="00A0692B"/>
    <w:rsid w:val="00A06A3B"/>
    <w:rsid w:val="00A06B10"/>
    <w:rsid w:val="00A06CE9"/>
    <w:rsid w:val="00A06D56"/>
    <w:rsid w:val="00A06D8D"/>
    <w:rsid w:val="00A06DC4"/>
    <w:rsid w:val="00A06EA5"/>
    <w:rsid w:val="00A06F83"/>
    <w:rsid w:val="00A07041"/>
    <w:rsid w:val="00A070AB"/>
    <w:rsid w:val="00A07205"/>
    <w:rsid w:val="00A073D1"/>
    <w:rsid w:val="00A0752F"/>
    <w:rsid w:val="00A076D3"/>
    <w:rsid w:val="00A076FF"/>
    <w:rsid w:val="00A07799"/>
    <w:rsid w:val="00A07A15"/>
    <w:rsid w:val="00A07AC9"/>
    <w:rsid w:val="00A07C7E"/>
    <w:rsid w:val="00A07CB2"/>
    <w:rsid w:val="00A07CED"/>
    <w:rsid w:val="00A100CA"/>
    <w:rsid w:val="00A10121"/>
    <w:rsid w:val="00A1028B"/>
    <w:rsid w:val="00A10499"/>
    <w:rsid w:val="00A105D1"/>
    <w:rsid w:val="00A10606"/>
    <w:rsid w:val="00A10615"/>
    <w:rsid w:val="00A10678"/>
    <w:rsid w:val="00A1069B"/>
    <w:rsid w:val="00A1071A"/>
    <w:rsid w:val="00A108B1"/>
    <w:rsid w:val="00A10CC7"/>
    <w:rsid w:val="00A1124C"/>
    <w:rsid w:val="00A1170C"/>
    <w:rsid w:val="00A11895"/>
    <w:rsid w:val="00A11DFF"/>
    <w:rsid w:val="00A12201"/>
    <w:rsid w:val="00A124AC"/>
    <w:rsid w:val="00A125D6"/>
    <w:rsid w:val="00A12858"/>
    <w:rsid w:val="00A12A20"/>
    <w:rsid w:val="00A12DBA"/>
    <w:rsid w:val="00A12E40"/>
    <w:rsid w:val="00A12E78"/>
    <w:rsid w:val="00A1329C"/>
    <w:rsid w:val="00A134DC"/>
    <w:rsid w:val="00A1394B"/>
    <w:rsid w:val="00A13A58"/>
    <w:rsid w:val="00A13BA1"/>
    <w:rsid w:val="00A13E30"/>
    <w:rsid w:val="00A13F7D"/>
    <w:rsid w:val="00A13FE1"/>
    <w:rsid w:val="00A1411D"/>
    <w:rsid w:val="00A141BB"/>
    <w:rsid w:val="00A14280"/>
    <w:rsid w:val="00A14311"/>
    <w:rsid w:val="00A145D5"/>
    <w:rsid w:val="00A146C6"/>
    <w:rsid w:val="00A146D8"/>
    <w:rsid w:val="00A1473C"/>
    <w:rsid w:val="00A1473F"/>
    <w:rsid w:val="00A1497C"/>
    <w:rsid w:val="00A14A06"/>
    <w:rsid w:val="00A14EB0"/>
    <w:rsid w:val="00A15022"/>
    <w:rsid w:val="00A150E6"/>
    <w:rsid w:val="00A15134"/>
    <w:rsid w:val="00A15152"/>
    <w:rsid w:val="00A15271"/>
    <w:rsid w:val="00A1539E"/>
    <w:rsid w:val="00A15403"/>
    <w:rsid w:val="00A155D2"/>
    <w:rsid w:val="00A158EC"/>
    <w:rsid w:val="00A1598E"/>
    <w:rsid w:val="00A159F1"/>
    <w:rsid w:val="00A15ABD"/>
    <w:rsid w:val="00A15B39"/>
    <w:rsid w:val="00A15BB1"/>
    <w:rsid w:val="00A15C4E"/>
    <w:rsid w:val="00A15E36"/>
    <w:rsid w:val="00A15F11"/>
    <w:rsid w:val="00A15FCB"/>
    <w:rsid w:val="00A1620C"/>
    <w:rsid w:val="00A163FA"/>
    <w:rsid w:val="00A16483"/>
    <w:rsid w:val="00A16558"/>
    <w:rsid w:val="00A165D8"/>
    <w:rsid w:val="00A16675"/>
    <w:rsid w:val="00A166B5"/>
    <w:rsid w:val="00A1671A"/>
    <w:rsid w:val="00A168BC"/>
    <w:rsid w:val="00A16B84"/>
    <w:rsid w:val="00A16CC5"/>
    <w:rsid w:val="00A16D33"/>
    <w:rsid w:val="00A16F54"/>
    <w:rsid w:val="00A16F9A"/>
    <w:rsid w:val="00A17021"/>
    <w:rsid w:val="00A170CF"/>
    <w:rsid w:val="00A171AC"/>
    <w:rsid w:val="00A1737A"/>
    <w:rsid w:val="00A173AE"/>
    <w:rsid w:val="00A173B3"/>
    <w:rsid w:val="00A173E2"/>
    <w:rsid w:val="00A17513"/>
    <w:rsid w:val="00A175BC"/>
    <w:rsid w:val="00A17864"/>
    <w:rsid w:val="00A179F6"/>
    <w:rsid w:val="00A17A24"/>
    <w:rsid w:val="00A17B64"/>
    <w:rsid w:val="00A17BD8"/>
    <w:rsid w:val="00A17CF9"/>
    <w:rsid w:val="00A17F56"/>
    <w:rsid w:val="00A20005"/>
    <w:rsid w:val="00A200BB"/>
    <w:rsid w:val="00A20135"/>
    <w:rsid w:val="00A204AB"/>
    <w:rsid w:val="00A205C6"/>
    <w:rsid w:val="00A20638"/>
    <w:rsid w:val="00A20852"/>
    <w:rsid w:val="00A208ED"/>
    <w:rsid w:val="00A20A24"/>
    <w:rsid w:val="00A20B66"/>
    <w:rsid w:val="00A20C10"/>
    <w:rsid w:val="00A20C6A"/>
    <w:rsid w:val="00A20CAE"/>
    <w:rsid w:val="00A20D14"/>
    <w:rsid w:val="00A20D7A"/>
    <w:rsid w:val="00A20E1F"/>
    <w:rsid w:val="00A20E8E"/>
    <w:rsid w:val="00A210A2"/>
    <w:rsid w:val="00A21243"/>
    <w:rsid w:val="00A21354"/>
    <w:rsid w:val="00A214AB"/>
    <w:rsid w:val="00A214F8"/>
    <w:rsid w:val="00A215CB"/>
    <w:rsid w:val="00A21795"/>
    <w:rsid w:val="00A217FE"/>
    <w:rsid w:val="00A21D34"/>
    <w:rsid w:val="00A21E89"/>
    <w:rsid w:val="00A220C6"/>
    <w:rsid w:val="00A220D3"/>
    <w:rsid w:val="00A22329"/>
    <w:rsid w:val="00A223BD"/>
    <w:rsid w:val="00A225E9"/>
    <w:rsid w:val="00A22725"/>
    <w:rsid w:val="00A227A8"/>
    <w:rsid w:val="00A227B3"/>
    <w:rsid w:val="00A228C8"/>
    <w:rsid w:val="00A2296E"/>
    <w:rsid w:val="00A22977"/>
    <w:rsid w:val="00A22B60"/>
    <w:rsid w:val="00A22E38"/>
    <w:rsid w:val="00A22F6A"/>
    <w:rsid w:val="00A23146"/>
    <w:rsid w:val="00A231C5"/>
    <w:rsid w:val="00A23224"/>
    <w:rsid w:val="00A232F5"/>
    <w:rsid w:val="00A23525"/>
    <w:rsid w:val="00A2358F"/>
    <w:rsid w:val="00A2364F"/>
    <w:rsid w:val="00A23790"/>
    <w:rsid w:val="00A237D9"/>
    <w:rsid w:val="00A23A5B"/>
    <w:rsid w:val="00A23BBD"/>
    <w:rsid w:val="00A23E89"/>
    <w:rsid w:val="00A24266"/>
    <w:rsid w:val="00A24307"/>
    <w:rsid w:val="00A2449F"/>
    <w:rsid w:val="00A2451C"/>
    <w:rsid w:val="00A246B1"/>
    <w:rsid w:val="00A24851"/>
    <w:rsid w:val="00A24C88"/>
    <w:rsid w:val="00A24CDE"/>
    <w:rsid w:val="00A24D22"/>
    <w:rsid w:val="00A24EA8"/>
    <w:rsid w:val="00A24F5A"/>
    <w:rsid w:val="00A24F62"/>
    <w:rsid w:val="00A2522E"/>
    <w:rsid w:val="00A254B1"/>
    <w:rsid w:val="00A25517"/>
    <w:rsid w:val="00A2553B"/>
    <w:rsid w:val="00A2568B"/>
    <w:rsid w:val="00A25864"/>
    <w:rsid w:val="00A25897"/>
    <w:rsid w:val="00A259F9"/>
    <w:rsid w:val="00A25D40"/>
    <w:rsid w:val="00A25D9B"/>
    <w:rsid w:val="00A25DA0"/>
    <w:rsid w:val="00A25E42"/>
    <w:rsid w:val="00A25F3E"/>
    <w:rsid w:val="00A25F7F"/>
    <w:rsid w:val="00A25FE5"/>
    <w:rsid w:val="00A2608F"/>
    <w:rsid w:val="00A26159"/>
    <w:rsid w:val="00A26169"/>
    <w:rsid w:val="00A26237"/>
    <w:rsid w:val="00A2630D"/>
    <w:rsid w:val="00A26311"/>
    <w:rsid w:val="00A26385"/>
    <w:rsid w:val="00A263F4"/>
    <w:rsid w:val="00A26464"/>
    <w:rsid w:val="00A26585"/>
    <w:rsid w:val="00A26605"/>
    <w:rsid w:val="00A26621"/>
    <w:rsid w:val="00A26833"/>
    <w:rsid w:val="00A2687A"/>
    <w:rsid w:val="00A269C8"/>
    <w:rsid w:val="00A26B70"/>
    <w:rsid w:val="00A26E8E"/>
    <w:rsid w:val="00A26F00"/>
    <w:rsid w:val="00A26F35"/>
    <w:rsid w:val="00A26FC1"/>
    <w:rsid w:val="00A27086"/>
    <w:rsid w:val="00A27277"/>
    <w:rsid w:val="00A272A7"/>
    <w:rsid w:val="00A27482"/>
    <w:rsid w:val="00A27563"/>
    <w:rsid w:val="00A2798B"/>
    <w:rsid w:val="00A27A95"/>
    <w:rsid w:val="00A27AED"/>
    <w:rsid w:val="00A27C6C"/>
    <w:rsid w:val="00A3014B"/>
    <w:rsid w:val="00A30443"/>
    <w:rsid w:val="00A30608"/>
    <w:rsid w:val="00A3060A"/>
    <w:rsid w:val="00A30758"/>
    <w:rsid w:val="00A30A62"/>
    <w:rsid w:val="00A30B13"/>
    <w:rsid w:val="00A30BA4"/>
    <w:rsid w:val="00A30C2D"/>
    <w:rsid w:val="00A30C47"/>
    <w:rsid w:val="00A30C5B"/>
    <w:rsid w:val="00A30EB8"/>
    <w:rsid w:val="00A30EE8"/>
    <w:rsid w:val="00A30F75"/>
    <w:rsid w:val="00A30FAF"/>
    <w:rsid w:val="00A310A6"/>
    <w:rsid w:val="00A314F6"/>
    <w:rsid w:val="00A318A1"/>
    <w:rsid w:val="00A31928"/>
    <w:rsid w:val="00A3196E"/>
    <w:rsid w:val="00A31A6F"/>
    <w:rsid w:val="00A31AE8"/>
    <w:rsid w:val="00A31AEE"/>
    <w:rsid w:val="00A31B78"/>
    <w:rsid w:val="00A31D0B"/>
    <w:rsid w:val="00A31DBF"/>
    <w:rsid w:val="00A31F2F"/>
    <w:rsid w:val="00A32029"/>
    <w:rsid w:val="00A32123"/>
    <w:rsid w:val="00A32228"/>
    <w:rsid w:val="00A32284"/>
    <w:rsid w:val="00A3230D"/>
    <w:rsid w:val="00A32440"/>
    <w:rsid w:val="00A3250F"/>
    <w:rsid w:val="00A3251A"/>
    <w:rsid w:val="00A3252D"/>
    <w:rsid w:val="00A32872"/>
    <w:rsid w:val="00A328EA"/>
    <w:rsid w:val="00A3298B"/>
    <w:rsid w:val="00A329FC"/>
    <w:rsid w:val="00A32B56"/>
    <w:rsid w:val="00A32B94"/>
    <w:rsid w:val="00A32C09"/>
    <w:rsid w:val="00A32C8E"/>
    <w:rsid w:val="00A32D87"/>
    <w:rsid w:val="00A32FD9"/>
    <w:rsid w:val="00A33520"/>
    <w:rsid w:val="00A336E6"/>
    <w:rsid w:val="00A337AC"/>
    <w:rsid w:val="00A339F0"/>
    <w:rsid w:val="00A33C43"/>
    <w:rsid w:val="00A33C50"/>
    <w:rsid w:val="00A33D27"/>
    <w:rsid w:val="00A34010"/>
    <w:rsid w:val="00A3416B"/>
    <w:rsid w:val="00A341C9"/>
    <w:rsid w:val="00A341F5"/>
    <w:rsid w:val="00A34374"/>
    <w:rsid w:val="00A34504"/>
    <w:rsid w:val="00A3464F"/>
    <w:rsid w:val="00A346BB"/>
    <w:rsid w:val="00A34727"/>
    <w:rsid w:val="00A347C1"/>
    <w:rsid w:val="00A34B66"/>
    <w:rsid w:val="00A34C51"/>
    <w:rsid w:val="00A35073"/>
    <w:rsid w:val="00A35428"/>
    <w:rsid w:val="00A357C6"/>
    <w:rsid w:val="00A358E8"/>
    <w:rsid w:val="00A3590F"/>
    <w:rsid w:val="00A35919"/>
    <w:rsid w:val="00A35ABF"/>
    <w:rsid w:val="00A35BA3"/>
    <w:rsid w:val="00A35CB2"/>
    <w:rsid w:val="00A35D0A"/>
    <w:rsid w:val="00A35D3D"/>
    <w:rsid w:val="00A35DA3"/>
    <w:rsid w:val="00A35DF7"/>
    <w:rsid w:val="00A35F3B"/>
    <w:rsid w:val="00A35FE5"/>
    <w:rsid w:val="00A36032"/>
    <w:rsid w:val="00A3606E"/>
    <w:rsid w:val="00A3609F"/>
    <w:rsid w:val="00A3610E"/>
    <w:rsid w:val="00A361E0"/>
    <w:rsid w:val="00A36534"/>
    <w:rsid w:val="00A3679C"/>
    <w:rsid w:val="00A36830"/>
    <w:rsid w:val="00A368AC"/>
    <w:rsid w:val="00A3694A"/>
    <w:rsid w:val="00A36A36"/>
    <w:rsid w:val="00A36B42"/>
    <w:rsid w:val="00A3701D"/>
    <w:rsid w:val="00A3703D"/>
    <w:rsid w:val="00A37070"/>
    <w:rsid w:val="00A370CD"/>
    <w:rsid w:val="00A3729F"/>
    <w:rsid w:val="00A37302"/>
    <w:rsid w:val="00A373EB"/>
    <w:rsid w:val="00A37487"/>
    <w:rsid w:val="00A3748A"/>
    <w:rsid w:val="00A376FD"/>
    <w:rsid w:val="00A3776F"/>
    <w:rsid w:val="00A377DE"/>
    <w:rsid w:val="00A37806"/>
    <w:rsid w:val="00A37820"/>
    <w:rsid w:val="00A3786B"/>
    <w:rsid w:val="00A37918"/>
    <w:rsid w:val="00A379B8"/>
    <w:rsid w:val="00A37A67"/>
    <w:rsid w:val="00A37BC6"/>
    <w:rsid w:val="00A37E8F"/>
    <w:rsid w:val="00A37F61"/>
    <w:rsid w:val="00A400A9"/>
    <w:rsid w:val="00A400D4"/>
    <w:rsid w:val="00A401A3"/>
    <w:rsid w:val="00A401A6"/>
    <w:rsid w:val="00A40212"/>
    <w:rsid w:val="00A402AC"/>
    <w:rsid w:val="00A4041D"/>
    <w:rsid w:val="00A40478"/>
    <w:rsid w:val="00A40522"/>
    <w:rsid w:val="00A407D6"/>
    <w:rsid w:val="00A40A55"/>
    <w:rsid w:val="00A40A97"/>
    <w:rsid w:val="00A40E6C"/>
    <w:rsid w:val="00A40F6B"/>
    <w:rsid w:val="00A40F92"/>
    <w:rsid w:val="00A40FFB"/>
    <w:rsid w:val="00A41381"/>
    <w:rsid w:val="00A413D0"/>
    <w:rsid w:val="00A4146B"/>
    <w:rsid w:val="00A41503"/>
    <w:rsid w:val="00A41589"/>
    <w:rsid w:val="00A415F7"/>
    <w:rsid w:val="00A41656"/>
    <w:rsid w:val="00A4171A"/>
    <w:rsid w:val="00A41817"/>
    <w:rsid w:val="00A419AF"/>
    <w:rsid w:val="00A41D9C"/>
    <w:rsid w:val="00A41DDA"/>
    <w:rsid w:val="00A41E39"/>
    <w:rsid w:val="00A41E76"/>
    <w:rsid w:val="00A41FD3"/>
    <w:rsid w:val="00A4213F"/>
    <w:rsid w:val="00A4217E"/>
    <w:rsid w:val="00A42507"/>
    <w:rsid w:val="00A4257B"/>
    <w:rsid w:val="00A425A0"/>
    <w:rsid w:val="00A4268E"/>
    <w:rsid w:val="00A427F5"/>
    <w:rsid w:val="00A42894"/>
    <w:rsid w:val="00A42900"/>
    <w:rsid w:val="00A42906"/>
    <w:rsid w:val="00A42A19"/>
    <w:rsid w:val="00A42B29"/>
    <w:rsid w:val="00A42BAA"/>
    <w:rsid w:val="00A42DA7"/>
    <w:rsid w:val="00A42DF4"/>
    <w:rsid w:val="00A42F70"/>
    <w:rsid w:val="00A430AD"/>
    <w:rsid w:val="00A430B6"/>
    <w:rsid w:val="00A43139"/>
    <w:rsid w:val="00A43959"/>
    <w:rsid w:val="00A439C1"/>
    <w:rsid w:val="00A43D58"/>
    <w:rsid w:val="00A43D72"/>
    <w:rsid w:val="00A43E0D"/>
    <w:rsid w:val="00A43EB6"/>
    <w:rsid w:val="00A4401F"/>
    <w:rsid w:val="00A4404D"/>
    <w:rsid w:val="00A440D5"/>
    <w:rsid w:val="00A44165"/>
    <w:rsid w:val="00A44228"/>
    <w:rsid w:val="00A44231"/>
    <w:rsid w:val="00A442BD"/>
    <w:rsid w:val="00A442D6"/>
    <w:rsid w:val="00A44312"/>
    <w:rsid w:val="00A444CD"/>
    <w:rsid w:val="00A44572"/>
    <w:rsid w:val="00A4469B"/>
    <w:rsid w:val="00A44988"/>
    <w:rsid w:val="00A44BBA"/>
    <w:rsid w:val="00A44D0C"/>
    <w:rsid w:val="00A44E88"/>
    <w:rsid w:val="00A450E3"/>
    <w:rsid w:val="00A451A2"/>
    <w:rsid w:val="00A4539F"/>
    <w:rsid w:val="00A453F4"/>
    <w:rsid w:val="00A4547E"/>
    <w:rsid w:val="00A455A6"/>
    <w:rsid w:val="00A455B4"/>
    <w:rsid w:val="00A45760"/>
    <w:rsid w:val="00A4578A"/>
    <w:rsid w:val="00A457A8"/>
    <w:rsid w:val="00A457D1"/>
    <w:rsid w:val="00A45907"/>
    <w:rsid w:val="00A45A21"/>
    <w:rsid w:val="00A45A5E"/>
    <w:rsid w:val="00A45B04"/>
    <w:rsid w:val="00A45B35"/>
    <w:rsid w:val="00A45B60"/>
    <w:rsid w:val="00A45F78"/>
    <w:rsid w:val="00A4609A"/>
    <w:rsid w:val="00A46140"/>
    <w:rsid w:val="00A461A9"/>
    <w:rsid w:val="00A462AE"/>
    <w:rsid w:val="00A462BA"/>
    <w:rsid w:val="00A46405"/>
    <w:rsid w:val="00A464FA"/>
    <w:rsid w:val="00A4652F"/>
    <w:rsid w:val="00A46740"/>
    <w:rsid w:val="00A467AD"/>
    <w:rsid w:val="00A467C3"/>
    <w:rsid w:val="00A46948"/>
    <w:rsid w:val="00A46A10"/>
    <w:rsid w:val="00A46C49"/>
    <w:rsid w:val="00A46CF8"/>
    <w:rsid w:val="00A46D35"/>
    <w:rsid w:val="00A46E5A"/>
    <w:rsid w:val="00A46F6D"/>
    <w:rsid w:val="00A46FFA"/>
    <w:rsid w:val="00A4704E"/>
    <w:rsid w:val="00A470A1"/>
    <w:rsid w:val="00A4714C"/>
    <w:rsid w:val="00A4734F"/>
    <w:rsid w:val="00A473CD"/>
    <w:rsid w:val="00A47911"/>
    <w:rsid w:val="00A47B05"/>
    <w:rsid w:val="00A47C95"/>
    <w:rsid w:val="00A47CE0"/>
    <w:rsid w:val="00A47D5B"/>
    <w:rsid w:val="00A47E8C"/>
    <w:rsid w:val="00A47ECA"/>
    <w:rsid w:val="00A4AAEF"/>
    <w:rsid w:val="00A4DD08"/>
    <w:rsid w:val="00A500C1"/>
    <w:rsid w:val="00A501C4"/>
    <w:rsid w:val="00A502CE"/>
    <w:rsid w:val="00A50319"/>
    <w:rsid w:val="00A5034A"/>
    <w:rsid w:val="00A50479"/>
    <w:rsid w:val="00A505A3"/>
    <w:rsid w:val="00A50735"/>
    <w:rsid w:val="00A50841"/>
    <w:rsid w:val="00A509F3"/>
    <w:rsid w:val="00A50AAD"/>
    <w:rsid w:val="00A50C13"/>
    <w:rsid w:val="00A50DE7"/>
    <w:rsid w:val="00A50E35"/>
    <w:rsid w:val="00A50EA5"/>
    <w:rsid w:val="00A51047"/>
    <w:rsid w:val="00A51085"/>
    <w:rsid w:val="00A511E6"/>
    <w:rsid w:val="00A51369"/>
    <w:rsid w:val="00A516A6"/>
    <w:rsid w:val="00A516B8"/>
    <w:rsid w:val="00A5184B"/>
    <w:rsid w:val="00A51A13"/>
    <w:rsid w:val="00A51BD2"/>
    <w:rsid w:val="00A51C78"/>
    <w:rsid w:val="00A51C8E"/>
    <w:rsid w:val="00A51E51"/>
    <w:rsid w:val="00A51E58"/>
    <w:rsid w:val="00A51EBF"/>
    <w:rsid w:val="00A51FE7"/>
    <w:rsid w:val="00A52088"/>
    <w:rsid w:val="00A52263"/>
    <w:rsid w:val="00A524F0"/>
    <w:rsid w:val="00A525B7"/>
    <w:rsid w:val="00A52607"/>
    <w:rsid w:val="00A52A7E"/>
    <w:rsid w:val="00A52ADB"/>
    <w:rsid w:val="00A52BC9"/>
    <w:rsid w:val="00A52DBD"/>
    <w:rsid w:val="00A52E42"/>
    <w:rsid w:val="00A52E4E"/>
    <w:rsid w:val="00A53026"/>
    <w:rsid w:val="00A53379"/>
    <w:rsid w:val="00A536BE"/>
    <w:rsid w:val="00A53872"/>
    <w:rsid w:val="00A53877"/>
    <w:rsid w:val="00A53B48"/>
    <w:rsid w:val="00A53C28"/>
    <w:rsid w:val="00A53C31"/>
    <w:rsid w:val="00A53C74"/>
    <w:rsid w:val="00A53CD0"/>
    <w:rsid w:val="00A53FCE"/>
    <w:rsid w:val="00A542DA"/>
    <w:rsid w:val="00A5430A"/>
    <w:rsid w:val="00A54441"/>
    <w:rsid w:val="00A5451C"/>
    <w:rsid w:val="00A54524"/>
    <w:rsid w:val="00A5454D"/>
    <w:rsid w:val="00A5479E"/>
    <w:rsid w:val="00A547B3"/>
    <w:rsid w:val="00A547BD"/>
    <w:rsid w:val="00A54B27"/>
    <w:rsid w:val="00A54C7B"/>
    <w:rsid w:val="00A54D73"/>
    <w:rsid w:val="00A54F41"/>
    <w:rsid w:val="00A5539A"/>
    <w:rsid w:val="00A55480"/>
    <w:rsid w:val="00A55653"/>
    <w:rsid w:val="00A55841"/>
    <w:rsid w:val="00A55963"/>
    <w:rsid w:val="00A55AF8"/>
    <w:rsid w:val="00A55B7B"/>
    <w:rsid w:val="00A55F6E"/>
    <w:rsid w:val="00A560C6"/>
    <w:rsid w:val="00A56209"/>
    <w:rsid w:val="00A56328"/>
    <w:rsid w:val="00A5636C"/>
    <w:rsid w:val="00A564BC"/>
    <w:rsid w:val="00A56517"/>
    <w:rsid w:val="00A5669D"/>
    <w:rsid w:val="00A568BD"/>
    <w:rsid w:val="00A56B33"/>
    <w:rsid w:val="00A56E4B"/>
    <w:rsid w:val="00A56E81"/>
    <w:rsid w:val="00A56F7E"/>
    <w:rsid w:val="00A57180"/>
    <w:rsid w:val="00A572B6"/>
    <w:rsid w:val="00A572E2"/>
    <w:rsid w:val="00A5735D"/>
    <w:rsid w:val="00A5736B"/>
    <w:rsid w:val="00A574C2"/>
    <w:rsid w:val="00A576BD"/>
    <w:rsid w:val="00A576D6"/>
    <w:rsid w:val="00A576E5"/>
    <w:rsid w:val="00A579B1"/>
    <w:rsid w:val="00A57B28"/>
    <w:rsid w:val="00A57B5E"/>
    <w:rsid w:val="00A57C32"/>
    <w:rsid w:val="00A57CED"/>
    <w:rsid w:val="00A57F89"/>
    <w:rsid w:val="00A60078"/>
    <w:rsid w:val="00A601A9"/>
    <w:rsid w:val="00A6023C"/>
    <w:rsid w:val="00A6039A"/>
    <w:rsid w:val="00A604AE"/>
    <w:rsid w:val="00A605F4"/>
    <w:rsid w:val="00A605FB"/>
    <w:rsid w:val="00A609BF"/>
    <w:rsid w:val="00A60A29"/>
    <w:rsid w:val="00A60A33"/>
    <w:rsid w:val="00A60CE2"/>
    <w:rsid w:val="00A60CFF"/>
    <w:rsid w:val="00A60D24"/>
    <w:rsid w:val="00A60DEA"/>
    <w:rsid w:val="00A60E14"/>
    <w:rsid w:val="00A60F72"/>
    <w:rsid w:val="00A61056"/>
    <w:rsid w:val="00A61260"/>
    <w:rsid w:val="00A61419"/>
    <w:rsid w:val="00A61713"/>
    <w:rsid w:val="00A61822"/>
    <w:rsid w:val="00A618C1"/>
    <w:rsid w:val="00A61932"/>
    <w:rsid w:val="00A61957"/>
    <w:rsid w:val="00A6197D"/>
    <w:rsid w:val="00A619B7"/>
    <w:rsid w:val="00A61A2B"/>
    <w:rsid w:val="00A61C44"/>
    <w:rsid w:val="00A61CD1"/>
    <w:rsid w:val="00A61D3B"/>
    <w:rsid w:val="00A61E07"/>
    <w:rsid w:val="00A61EA6"/>
    <w:rsid w:val="00A6211F"/>
    <w:rsid w:val="00A62145"/>
    <w:rsid w:val="00A62150"/>
    <w:rsid w:val="00A62383"/>
    <w:rsid w:val="00A625EF"/>
    <w:rsid w:val="00A62743"/>
    <w:rsid w:val="00A6279D"/>
    <w:rsid w:val="00A6287F"/>
    <w:rsid w:val="00A628AB"/>
    <w:rsid w:val="00A628EB"/>
    <w:rsid w:val="00A62959"/>
    <w:rsid w:val="00A62989"/>
    <w:rsid w:val="00A62990"/>
    <w:rsid w:val="00A62A4C"/>
    <w:rsid w:val="00A62B3B"/>
    <w:rsid w:val="00A62BC7"/>
    <w:rsid w:val="00A62C16"/>
    <w:rsid w:val="00A62D46"/>
    <w:rsid w:val="00A62F0C"/>
    <w:rsid w:val="00A62F63"/>
    <w:rsid w:val="00A62F9A"/>
    <w:rsid w:val="00A62FE2"/>
    <w:rsid w:val="00A63094"/>
    <w:rsid w:val="00A6309D"/>
    <w:rsid w:val="00A630AC"/>
    <w:rsid w:val="00A630D6"/>
    <w:rsid w:val="00A63159"/>
    <w:rsid w:val="00A63264"/>
    <w:rsid w:val="00A634BE"/>
    <w:rsid w:val="00A63745"/>
    <w:rsid w:val="00A638C5"/>
    <w:rsid w:val="00A63917"/>
    <w:rsid w:val="00A63AE8"/>
    <w:rsid w:val="00A63B8D"/>
    <w:rsid w:val="00A63E25"/>
    <w:rsid w:val="00A63EEF"/>
    <w:rsid w:val="00A64053"/>
    <w:rsid w:val="00A6407A"/>
    <w:rsid w:val="00A640B2"/>
    <w:rsid w:val="00A64158"/>
    <w:rsid w:val="00A6436C"/>
    <w:rsid w:val="00A644C9"/>
    <w:rsid w:val="00A64579"/>
    <w:rsid w:val="00A6462D"/>
    <w:rsid w:val="00A64643"/>
    <w:rsid w:val="00A646D7"/>
    <w:rsid w:val="00A6472C"/>
    <w:rsid w:val="00A64780"/>
    <w:rsid w:val="00A647E4"/>
    <w:rsid w:val="00A648A0"/>
    <w:rsid w:val="00A64A53"/>
    <w:rsid w:val="00A64AD7"/>
    <w:rsid w:val="00A64AE0"/>
    <w:rsid w:val="00A650C7"/>
    <w:rsid w:val="00A65226"/>
    <w:rsid w:val="00A65254"/>
    <w:rsid w:val="00A652DE"/>
    <w:rsid w:val="00A6530E"/>
    <w:rsid w:val="00A65381"/>
    <w:rsid w:val="00A654AC"/>
    <w:rsid w:val="00A6554F"/>
    <w:rsid w:val="00A65697"/>
    <w:rsid w:val="00A6578B"/>
    <w:rsid w:val="00A6585E"/>
    <w:rsid w:val="00A658F4"/>
    <w:rsid w:val="00A65919"/>
    <w:rsid w:val="00A65B67"/>
    <w:rsid w:val="00A65C27"/>
    <w:rsid w:val="00A65C5B"/>
    <w:rsid w:val="00A65C87"/>
    <w:rsid w:val="00A65F91"/>
    <w:rsid w:val="00A6627F"/>
    <w:rsid w:val="00A663ED"/>
    <w:rsid w:val="00A6640E"/>
    <w:rsid w:val="00A665BD"/>
    <w:rsid w:val="00A66659"/>
    <w:rsid w:val="00A6674B"/>
    <w:rsid w:val="00A6675C"/>
    <w:rsid w:val="00A6691F"/>
    <w:rsid w:val="00A66A38"/>
    <w:rsid w:val="00A66B5C"/>
    <w:rsid w:val="00A66B94"/>
    <w:rsid w:val="00A66C9B"/>
    <w:rsid w:val="00A66EAF"/>
    <w:rsid w:val="00A66FD6"/>
    <w:rsid w:val="00A6737C"/>
    <w:rsid w:val="00A67480"/>
    <w:rsid w:val="00A677AB"/>
    <w:rsid w:val="00A677D1"/>
    <w:rsid w:val="00A67A2C"/>
    <w:rsid w:val="00A67C9D"/>
    <w:rsid w:val="00A67DA4"/>
    <w:rsid w:val="00A67EA4"/>
    <w:rsid w:val="00A67EAA"/>
    <w:rsid w:val="00A67F23"/>
    <w:rsid w:val="00A67FDF"/>
    <w:rsid w:val="00A70261"/>
    <w:rsid w:val="00A702D9"/>
    <w:rsid w:val="00A70339"/>
    <w:rsid w:val="00A704BD"/>
    <w:rsid w:val="00A705BD"/>
    <w:rsid w:val="00A705C4"/>
    <w:rsid w:val="00A705DC"/>
    <w:rsid w:val="00A70807"/>
    <w:rsid w:val="00A70891"/>
    <w:rsid w:val="00A708EC"/>
    <w:rsid w:val="00A70A18"/>
    <w:rsid w:val="00A70A1F"/>
    <w:rsid w:val="00A70AE6"/>
    <w:rsid w:val="00A70B3B"/>
    <w:rsid w:val="00A70B5A"/>
    <w:rsid w:val="00A70C0E"/>
    <w:rsid w:val="00A70C5E"/>
    <w:rsid w:val="00A7162C"/>
    <w:rsid w:val="00A71739"/>
    <w:rsid w:val="00A71747"/>
    <w:rsid w:val="00A7176E"/>
    <w:rsid w:val="00A717EA"/>
    <w:rsid w:val="00A71962"/>
    <w:rsid w:val="00A71B76"/>
    <w:rsid w:val="00A71C02"/>
    <w:rsid w:val="00A71D1D"/>
    <w:rsid w:val="00A71DDF"/>
    <w:rsid w:val="00A71E39"/>
    <w:rsid w:val="00A720F8"/>
    <w:rsid w:val="00A7220C"/>
    <w:rsid w:val="00A7230D"/>
    <w:rsid w:val="00A7257B"/>
    <w:rsid w:val="00A72608"/>
    <w:rsid w:val="00A72678"/>
    <w:rsid w:val="00A72953"/>
    <w:rsid w:val="00A72A04"/>
    <w:rsid w:val="00A72A0C"/>
    <w:rsid w:val="00A72AED"/>
    <w:rsid w:val="00A72DCC"/>
    <w:rsid w:val="00A72FF5"/>
    <w:rsid w:val="00A735E9"/>
    <w:rsid w:val="00A7381F"/>
    <w:rsid w:val="00A73851"/>
    <w:rsid w:val="00A73864"/>
    <w:rsid w:val="00A73A03"/>
    <w:rsid w:val="00A73A1B"/>
    <w:rsid w:val="00A73D14"/>
    <w:rsid w:val="00A73DC6"/>
    <w:rsid w:val="00A73F7E"/>
    <w:rsid w:val="00A73FC7"/>
    <w:rsid w:val="00A7432B"/>
    <w:rsid w:val="00A7435B"/>
    <w:rsid w:val="00A7435F"/>
    <w:rsid w:val="00A74668"/>
    <w:rsid w:val="00A746E9"/>
    <w:rsid w:val="00A74776"/>
    <w:rsid w:val="00A74855"/>
    <w:rsid w:val="00A7495E"/>
    <w:rsid w:val="00A74999"/>
    <w:rsid w:val="00A74A89"/>
    <w:rsid w:val="00A74BAF"/>
    <w:rsid w:val="00A74BCB"/>
    <w:rsid w:val="00A74C36"/>
    <w:rsid w:val="00A74D07"/>
    <w:rsid w:val="00A74D11"/>
    <w:rsid w:val="00A74D49"/>
    <w:rsid w:val="00A74D94"/>
    <w:rsid w:val="00A74DB1"/>
    <w:rsid w:val="00A74DB4"/>
    <w:rsid w:val="00A74E90"/>
    <w:rsid w:val="00A74FFC"/>
    <w:rsid w:val="00A7514B"/>
    <w:rsid w:val="00A751BF"/>
    <w:rsid w:val="00A751DB"/>
    <w:rsid w:val="00A751FA"/>
    <w:rsid w:val="00A7528B"/>
    <w:rsid w:val="00A753E2"/>
    <w:rsid w:val="00A7551D"/>
    <w:rsid w:val="00A75684"/>
    <w:rsid w:val="00A75850"/>
    <w:rsid w:val="00A7585A"/>
    <w:rsid w:val="00A759E5"/>
    <w:rsid w:val="00A75A8D"/>
    <w:rsid w:val="00A75A9D"/>
    <w:rsid w:val="00A75AEA"/>
    <w:rsid w:val="00A75AFF"/>
    <w:rsid w:val="00A75C2C"/>
    <w:rsid w:val="00A75D4E"/>
    <w:rsid w:val="00A75E13"/>
    <w:rsid w:val="00A75E55"/>
    <w:rsid w:val="00A7608E"/>
    <w:rsid w:val="00A760AA"/>
    <w:rsid w:val="00A761A1"/>
    <w:rsid w:val="00A763ED"/>
    <w:rsid w:val="00A764E1"/>
    <w:rsid w:val="00A765A2"/>
    <w:rsid w:val="00A76776"/>
    <w:rsid w:val="00A76936"/>
    <w:rsid w:val="00A769E9"/>
    <w:rsid w:val="00A76B27"/>
    <w:rsid w:val="00A76B7E"/>
    <w:rsid w:val="00A76CFB"/>
    <w:rsid w:val="00A76E09"/>
    <w:rsid w:val="00A76E54"/>
    <w:rsid w:val="00A76EB8"/>
    <w:rsid w:val="00A76FBF"/>
    <w:rsid w:val="00A770F0"/>
    <w:rsid w:val="00A771EF"/>
    <w:rsid w:val="00A77319"/>
    <w:rsid w:val="00A77429"/>
    <w:rsid w:val="00A7745C"/>
    <w:rsid w:val="00A774FF"/>
    <w:rsid w:val="00A77699"/>
    <w:rsid w:val="00A777ED"/>
    <w:rsid w:val="00A7788C"/>
    <w:rsid w:val="00A778AC"/>
    <w:rsid w:val="00A779AA"/>
    <w:rsid w:val="00A77A00"/>
    <w:rsid w:val="00A77C32"/>
    <w:rsid w:val="00A77CCC"/>
    <w:rsid w:val="00A77DA2"/>
    <w:rsid w:val="00A77DAE"/>
    <w:rsid w:val="00A77EB6"/>
    <w:rsid w:val="00A801B1"/>
    <w:rsid w:val="00A80285"/>
    <w:rsid w:val="00A802E3"/>
    <w:rsid w:val="00A804A2"/>
    <w:rsid w:val="00A80560"/>
    <w:rsid w:val="00A805B2"/>
    <w:rsid w:val="00A805D3"/>
    <w:rsid w:val="00A8063F"/>
    <w:rsid w:val="00A80688"/>
    <w:rsid w:val="00A80B32"/>
    <w:rsid w:val="00A80B8F"/>
    <w:rsid w:val="00A80CA8"/>
    <w:rsid w:val="00A80F5E"/>
    <w:rsid w:val="00A8106E"/>
    <w:rsid w:val="00A81492"/>
    <w:rsid w:val="00A816C5"/>
    <w:rsid w:val="00A816FB"/>
    <w:rsid w:val="00A81718"/>
    <w:rsid w:val="00A818DA"/>
    <w:rsid w:val="00A8193E"/>
    <w:rsid w:val="00A81A9B"/>
    <w:rsid w:val="00A81C5D"/>
    <w:rsid w:val="00A81DA3"/>
    <w:rsid w:val="00A81DA9"/>
    <w:rsid w:val="00A81DDE"/>
    <w:rsid w:val="00A81FE9"/>
    <w:rsid w:val="00A8209D"/>
    <w:rsid w:val="00A8219E"/>
    <w:rsid w:val="00A82282"/>
    <w:rsid w:val="00A82464"/>
    <w:rsid w:val="00A82495"/>
    <w:rsid w:val="00A82567"/>
    <w:rsid w:val="00A825B4"/>
    <w:rsid w:val="00A82637"/>
    <w:rsid w:val="00A8271F"/>
    <w:rsid w:val="00A82AAF"/>
    <w:rsid w:val="00A82B58"/>
    <w:rsid w:val="00A82B90"/>
    <w:rsid w:val="00A82C7B"/>
    <w:rsid w:val="00A82CF6"/>
    <w:rsid w:val="00A82DC0"/>
    <w:rsid w:val="00A8309B"/>
    <w:rsid w:val="00A830AB"/>
    <w:rsid w:val="00A8311B"/>
    <w:rsid w:val="00A8314C"/>
    <w:rsid w:val="00A83426"/>
    <w:rsid w:val="00A83557"/>
    <w:rsid w:val="00A835AF"/>
    <w:rsid w:val="00A83650"/>
    <w:rsid w:val="00A836C2"/>
    <w:rsid w:val="00A83771"/>
    <w:rsid w:val="00A8385E"/>
    <w:rsid w:val="00A838D5"/>
    <w:rsid w:val="00A83BA6"/>
    <w:rsid w:val="00A83C2B"/>
    <w:rsid w:val="00A83C63"/>
    <w:rsid w:val="00A83D0D"/>
    <w:rsid w:val="00A83D3E"/>
    <w:rsid w:val="00A83EDA"/>
    <w:rsid w:val="00A83F70"/>
    <w:rsid w:val="00A83F90"/>
    <w:rsid w:val="00A840B6"/>
    <w:rsid w:val="00A841E6"/>
    <w:rsid w:val="00A842B4"/>
    <w:rsid w:val="00A84337"/>
    <w:rsid w:val="00A843C8"/>
    <w:rsid w:val="00A844C2"/>
    <w:rsid w:val="00A8450B"/>
    <w:rsid w:val="00A846CC"/>
    <w:rsid w:val="00A84767"/>
    <w:rsid w:val="00A8488F"/>
    <w:rsid w:val="00A849A7"/>
    <w:rsid w:val="00A84A08"/>
    <w:rsid w:val="00A84A26"/>
    <w:rsid w:val="00A84BD7"/>
    <w:rsid w:val="00A84CE8"/>
    <w:rsid w:val="00A8515A"/>
    <w:rsid w:val="00A85198"/>
    <w:rsid w:val="00A851B9"/>
    <w:rsid w:val="00A85248"/>
    <w:rsid w:val="00A8526F"/>
    <w:rsid w:val="00A8542C"/>
    <w:rsid w:val="00A8550E"/>
    <w:rsid w:val="00A85570"/>
    <w:rsid w:val="00A85731"/>
    <w:rsid w:val="00A857FD"/>
    <w:rsid w:val="00A85993"/>
    <w:rsid w:val="00A85A1E"/>
    <w:rsid w:val="00A85A9B"/>
    <w:rsid w:val="00A85AB8"/>
    <w:rsid w:val="00A85B18"/>
    <w:rsid w:val="00A85B90"/>
    <w:rsid w:val="00A85C0C"/>
    <w:rsid w:val="00A85DC2"/>
    <w:rsid w:val="00A85ECA"/>
    <w:rsid w:val="00A86055"/>
    <w:rsid w:val="00A8608F"/>
    <w:rsid w:val="00A86188"/>
    <w:rsid w:val="00A861CB"/>
    <w:rsid w:val="00A865E2"/>
    <w:rsid w:val="00A8670D"/>
    <w:rsid w:val="00A8679F"/>
    <w:rsid w:val="00A867F1"/>
    <w:rsid w:val="00A869F1"/>
    <w:rsid w:val="00A86ADA"/>
    <w:rsid w:val="00A870CF"/>
    <w:rsid w:val="00A87195"/>
    <w:rsid w:val="00A87708"/>
    <w:rsid w:val="00A8772F"/>
    <w:rsid w:val="00A87785"/>
    <w:rsid w:val="00A877CD"/>
    <w:rsid w:val="00A87846"/>
    <w:rsid w:val="00A878E5"/>
    <w:rsid w:val="00A87976"/>
    <w:rsid w:val="00A87B18"/>
    <w:rsid w:val="00A87E39"/>
    <w:rsid w:val="00A87FD8"/>
    <w:rsid w:val="00A8813B"/>
    <w:rsid w:val="00A9052F"/>
    <w:rsid w:val="00A90568"/>
    <w:rsid w:val="00A905FB"/>
    <w:rsid w:val="00A9083A"/>
    <w:rsid w:val="00A90B44"/>
    <w:rsid w:val="00A90CA1"/>
    <w:rsid w:val="00A90D6A"/>
    <w:rsid w:val="00A90E5B"/>
    <w:rsid w:val="00A910A7"/>
    <w:rsid w:val="00A910BA"/>
    <w:rsid w:val="00A91217"/>
    <w:rsid w:val="00A91246"/>
    <w:rsid w:val="00A9151B"/>
    <w:rsid w:val="00A9167B"/>
    <w:rsid w:val="00A916B0"/>
    <w:rsid w:val="00A91763"/>
    <w:rsid w:val="00A91782"/>
    <w:rsid w:val="00A91B80"/>
    <w:rsid w:val="00A91C4B"/>
    <w:rsid w:val="00A91C8C"/>
    <w:rsid w:val="00A91DFD"/>
    <w:rsid w:val="00A91E65"/>
    <w:rsid w:val="00A9204E"/>
    <w:rsid w:val="00A92055"/>
    <w:rsid w:val="00A920A6"/>
    <w:rsid w:val="00A921B4"/>
    <w:rsid w:val="00A9222A"/>
    <w:rsid w:val="00A92339"/>
    <w:rsid w:val="00A9235B"/>
    <w:rsid w:val="00A9237C"/>
    <w:rsid w:val="00A9245C"/>
    <w:rsid w:val="00A92551"/>
    <w:rsid w:val="00A92581"/>
    <w:rsid w:val="00A927D0"/>
    <w:rsid w:val="00A928AC"/>
    <w:rsid w:val="00A92BDE"/>
    <w:rsid w:val="00A92D33"/>
    <w:rsid w:val="00A92D34"/>
    <w:rsid w:val="00A92DF4"/>
    <w:rsid w:val="00A9312D"/>
    <w:rsid w:val="00A93153"/>
    <w:rsid w:val="00A931DC"/>
    <w:rsid w:val="00A931F7"/>
    <w:rsid w:val="00A933D6"/>
    <w:rsid w:val="00A934FE"/>
    <w:rsid w:val="00A935BE"/>
    <w:rsid w:val="00A935D3"/>
    <w:rsid w:val="00A93617"/>
    <w:rsid w:val="00A936F4"/>
    <w:rsid w:val="00A9381E"/>
    <w:rsid w:val="00A9386B"/>
    <w:rsid w:val="00A938B0"/>
    <w:rsid w:val="00A93BE4"/>
    <w:rsid w:val="00A93C60"/>
    <w:rsid w:val="00A93DC3"/>
    <w:rsid w:val="00A93F36"/>
    <w:rsid w:val="00A93F95"/>
    <w:rsid w:val="00A94064"/>
    <w:rsid w:val="00A940EC"/>
    <w:rsid w:val="00A9436F"/>
    <w:rsid w:val="00A94424"/>
    <w:rsid w:val="00A9449F"/>
    <w:rsid w:val="00A94789"/>
    <w:rsid w:val="00A9479C"/>
    <w:rsid w:val="00A948C3"/>
    <w:rsid w:val="00A94BD1"/>
    <w:rsid w:val="00A94CF4"/>
    <w:rsid w:val="00A94E89"/>
    <w:rsid w:val="00A94E96"/>
    <w:rsid w:val="00A95065"/>
    <w:rsid w:val="00A9507A"/>
    <w:rsid w:val="00A95530"/>
    <w:rsid w:val="00A95635"/>
    <w:rsid w:val="00A95751"/>
    <w:rsid w:val="00A958DB"/>
    <w:rsid w:val="00A9592C"/>
    <w:rsid w:val="00A95B19"/>
    <w:rsid w:val="00A95CC4"/>
    <w:rsid w:val="00A95E7F"/>
    <w:rsid w:val="00A95EC1"/>
    <w:rsid w:val="00A95F57"/>
    <w:rsid w:val="00A95F86"/>
    <w:rsid w:val="00A95FCA"/>
    <w:rsid w:val="00A95FE4"/>
    <w:rsid w:val="00A96032"/>
    <w:rsid w:val="00A96061"/>
    <w:rsid w:val="00A966AB"/>
    <w:rsid w:val="00A96716"/>
    <w:rsid w:val="00A9679B"/>
    <w:rsid w:val="00A96887"/>
    <w:rsid w:val="00A968D1"/>
    <w:rsid w:val="00A969CA"/>
    <w:rsid w:val="00A96AB5"/>
    <w:rsid w:val="00A96C34"/>
    <w:rsid w:val="00A96C5C"/>
    <w:rsid w:val="00A96C6B"/>
    <w:rsid w:val="00A96D9C"/>
    <w:rsid w:val="00A96F3D"/>
    <w:rsid w:val="00A97489"/>
    <w:rsid w:val="00A97714"/>
    <w:rsid w:val="00A97805"/>
    <w:rsid w:val="00A97830"/>
    <w:rsid w:val="00A978FE"/>
    <w:rsid w:val="00A97B4D"/>
    <w:rsid w:val="00A97BB6"/>
    <w:rsid w:val="00A97BDA"/>
    <w:rsid w:val="00A97CFF"/>
    <w:rsid w:val="00A97EF3"/>
    <w:rsid w:val="00AA0273"/>
    <w:rsid w:val="00AA028A"/>
    <w:rsid w:val="00AA03E8"/>
    <w:rsid w:val="00AA0458"/>
    <w:rsid w:val="00AA048E"/>
    <w:rsid w:val="00AA0578"/>
    <w:rsid w:val="00AA059A"/>
    <w:rsid w:val="00AA0664"/>
    <w:rsid w:val="00AA0777"/>
    <w:rsid w:val="00AA0786"/>
    <w:rsid w:val="00AA07F7"/>
    <w:rsid w:val="00AA08DC"/>
    <w:rsid w:val="00AA092D"/>
    <w:rsid w:val="00AA10B3"/>
    <w:rsid w:val="00AA125A"/>
    <w:rsid w:val="00AA1282"/>
    <w:rsid w:val="00AA13C3"/>
    <w:rsid w:val="00AA158C"/>
    <w:rsid w:val="00AA1963"/>
    <w:rsid w:val="00AA1F6F"/>
    <w:rsid w:val="00AA20EA"/>
    <w:rsid w:val="00AA2106"/>
    <w:rsid w:val="00AA231B"/>
    <w:rsid w:val="00AA252D"/>
    <w:rsid w:val="00AA25DA"/>
    <w:rsid w:val="00AA2637"/>
    <w:rsid w:val="00AA274F"/>
    <w:rsid w:val="00AA2855"/>
    <w:rsid w:val="00AA28F0"/>
    <w:rsid w:val="00AA29FD"/>
    <w:rsid w:val="00AA2C65"/>
    <w:rsid w:val="00AA2C68"/>
    <w:rsid w:val="00AA2C9C"/>
    <w:rsid w:val="00AA2CDF"/>
    <w:rsid w:val="00AA2D22"/>
    <w:rsid w:val="00AA315C"/>
    <w:rsid w:val="00AA318A"/>
    <w:rsid w:val="00AA321C"/>
    <w:rsid w:val="00AA32C8"/>
    <w:rsid w:val="00AA34A5"/>
    <w:rsid w:val="00AA35FA"/>
    <w:rsid w:val="00AA3675"/>
    <w:rsid w:val="00AA36A7"/>
    <w:rsid w:val="00AA370A"/>
    <w:rsid w:val="00AA3950"/>
    <w:rsid w:val="00AA3AF1"/>
    <w:rsid w:val="00AA3E55"/>
    <w:rsid w:val="00AA3ECA"/>
    <w:rsid w:val="00AA3F5A"/>
    <w:rsid w:val="00AA41F8"/>
    <w:rsid w:val="00AA42FE"/>
    <w:rsid w:val="00AA431E"/>
    <w:rsid w:val="00AA4433"/>
    <w:rsid w:val="00AA44A9"/>
    <w:rsid w:val="00AA482C"/>
    <w:rsid w:val="00AA48E4"/>
    <w:rsid w:val="00AA48E9"/>
    <w:rsid w:val="00AA4945"/>
    <w:rsid w:val="00AA4BEA"/>
    <w:rsid w:val="00AA4CE7"/>
    <w:rsid w:val="00AA4D73"/>
    <w:rsid w:val="00AA4E18"/>
    <w:rsid w:val="00AA4E3B"/>
    <w:rsid w:val="00AA4F51"/>
    <w:rsid w:val="00AA5009"/>
    <w:rsid w:val="00AA5185"/>
    <w:rsid w:val="00AA54E9"/>
    <w:rsid w:val="00AA55D2"/>
    <w:rsid w:val="00AA5754"/>
    <w:rsid w:val="00AA5848"/>
    <w:rsid w:val="00AA591B"/>
    <w:rsid w:val="00AA5A09"/>
    <w:rsid w:val="00AA5A13"/>
    <w:rsid w:val="00AA5D6F"/>
    <w:rsid w:val="00AA5D70"/>
    <w:rsid w:val="00AA5D7E"/>
    <w:rsid w:val="00AA5DD6"/>
    <w:rsid w:val="00AA5E3B"/>
    <w:rsid w:val="00AA5E6C"/>
    <w:rsid w:val="00AA6012"/>
    <w:rsid w:val="00AA60F4"/>
    <w:rsid w:val="00AA6324"/>
    <w:rsid w:val="00AA6364"/>
    <w:rsid w:val="00AA6659"/>
    <w:rsid w:val="00AA670E"/>
    <w:rsid w:val="00AA676A"/>
    <w:rsid w:val="00AA6878"/>
    <w:rsid w:val="00AA68E1"/>
    <w:rsid w:val="00AA6911"/>
    <w:rsid w:val="00AA693C"/>
    <w:rsid w:val="00AA6994"/>
    <w:rsid w:val="00AA69C2"/>
    <w:rsid w:val="00AA69D7"/>
    <w:rsid w:val="00AA69F8"/>
    <w:rsid w:val="00AA6A6A"/>
    <w:rsid w:val="00AA6B7B"/>
    <w:rsid w:val="00AA6C45"/>
    <w:rsid w:val="00AA6D0A"/>
    <w:rsid w:val="00AA6D4B"/>
    <w:rsid w:val="00AA6D8A"/>
    <w:rsid w:val="00AA6DCF"/>
    <w:rsid w:val="00AA6E5C"/>
    <w:rsid w:val="00AA6F17"/>
    <w:rsid w:val="00AA7035"/>
    <w:rsid w:val="00AA7363"/>
    <w:rsid w:val="00AA74B6"/>
    <w:rsid w:val="00AA7516"/>
    <w:rsid w:val="00AA7533"/>
    <w:rsid w:val="00AA7579"/>
    <w:rsid w:val="00AA7902"/>
    <w:rsid w:val="00AA7B6A"/>
    <w:rsid w:val="00AA7BCB"/>
    <w:rsid w:val="00AA7C0D"/>
    <w:rsid w:val="00AA7E46"/>
    <w:rsid w:val="00AA7F24"/>
    <w:rsid w:val="00AA7F98"/>
    <w:rsid w:val="00AB00B7"/>
    <w:rsid w:val="00AB0158"/>
    <w:rsid w:val="00AB017A"/>
    <w:rsid w:val="00AB02F0"/>
    <w:rsid w:val="00AB037B"/>
    <w:rsid w:val="00AB0516"/>
    <w:rsid w:val="00AB0537"/>
    <w:rsid w:val="00AB0586"/>
    <w:rsid w:val="00AB058C"/>
    <w:rsid w:val="00AB069D"/>
    <w:rsid w:val="00AB07D4"/>
    <w:rsid w:val="00AB08B6"/>
    <w:rsid w:val="00AB092F"/>
    <w:rsid w:val="00AB09EC"/>
    <w:rsid w:val="00AB0B8D"/>
    <w:rsid w:val="00AB0B9B"/>
    <w:rsid w:val="00AB0BE8"/>
    <w:rsid w:val="00AB0BFB"/>
    <w:rsid w:val="00AB0CA9"/>
    <w:rsid w:val="00AB0CC6"/>
    <w:rsid w:val="00AB0D08"/>
    <w:rsid w:val="00AB0F1D"/>
    <w:rsid w:val="00AB0F92"/>
    <w:rsid w:val="00AB0FA6"/>
    <w:rsid w:val="00AB10D5"/>
    <w:rsid w:val="00AB115F"/>
    <w:rsid w:val="00AB1577"/>
    <w:rsid w:val="00AB1603"/>
    <w:rsid w:val="00AB16E2"/>
    <w:rsid w:val="00AB18A8"/>
    <w:rsid w:val="00AB19D4"/>
    <w:rsid w:val="00AB1BA2"/>
    <w:rsid w:val="00AB1BDC"/>
    <w:rsid w:val="00AB1D41"/>
    <w:rsid w:val="00AB1DBC"/>
    <w:rsid w:val="00AB213E"/>
    <w:rsid w:val="00AB2491"/>
    <w:rsid w:val="00AB2548"/>
    <w:rsid w:val="00AB2652"/>
    <w:rsid w:val="00AB26D5"/>
    <w:rsid w:val="00AB270C"/>
    <w:rsid w:val="00AB2876"/>
    <w:rsid w:val="00AB287F"/>
    <w:rsid w:val="00AB289F"/>
    <w:rsid w:val="00AB296D"/>
    <w:rsid w:val="00AB2BB5"/>
    <w:rsid w:val="00AB2D59"/>
    <w:rsid w:val="00AB2E00"/>
    <w:rsid w:val="00AB2E4B"/>
    <w:rsid w:val="00AB2FAF"/>
    <w:rsid w:val="00AB3049"/>
    <w:rsid w:val="00AB336F"/>
    <w:rsid w:val="00AB3414"/>
    <w:rsid w:val="00AB348E"/>
    <w:rsid w:val="00AB3667"/>
    <w:rsid w:val="00AB36A1"/>
    <w:rsid w:val="00AB3702"/>
    <w:rsid w:val="00AB3792"/>
    <w:rsid w:val="00AB37B6"/>
    <w:rsid w:val="00AB388C"/>
    <w:rsid w:val="00AB38DC"/>
    <w:rsid w:val="00AB3965"/>
    <w:rsid w:val="00AB39E7"/>
    <w:rsid w:val="00AB3C1D"/>
    <w:rsid w:val="00AB3E54"/>
    <w:rsid w:val="00AB3ED3"/>
    <w:rsid w:val="00AB3F26"/>
    <w:rsid w:val="00AB400B"/>
    <w:rsid w:val="00AB40B1"/>
    <w:rsid w:val="00AB41F0"/>
    <w:rsid w:val="00AB426C"/>
    <w:rsid w:val="00AB42B1"/>
    <w:rsid w:val="00AB42F6"/>
    <w:rsid w:val="00AB4400"/>
    <w:rsid w:val="00AB4507"/>
    <w:rsid w:val="00AB4766"/>
    <w:rsid w:val="00AB47A8"/>
    <w:rsid w:val="00AB48D9"/>
    <w:rsid w:val="00AB49DD"/>
    <w:rsid w:val="00AB4CD6"/>
    <w:rsid w:val="00AB4D1B"/>
    <w:rsid w:val="00AB4D1E"/>
    <w:rsid w:val="00AB4DCE"/>
    <w:rsid w:val="00AB4E18"/>
    <w:rsid w:val="00AB4F49"/>
    <w:rsid w:val="00AB507E"/>
    <w:rsid w:val="00AB5092"/>
    <w:rsid w:val="00AB5190"/>
    <w:rsid w:val="00AB5231"/>
    <w:rsid w:val="00AB579C"/>
    <w:rsid w:val="00AB5AB9"/>
    <w:rsid w:val="00AB5C5C"/>
    <w:rsid w:val="00AB5C81"/>
    <w:rsid w:val="00AB5C9C"/>
    <w:rsid w:val="00AB5D86"/>
    <w:rsid w:val="00AB5FF9"/>
    <w:rsid w:val="00AB611F"/>
    <w:rsid w:val="00AB6194"/>
    <w:rsid w:val="00AB6198"/>
    <w:rsid w:val="00AB6290"/>
    <w:rsid w:val="00AB62BD"/>
    <w:rsid w:val="00AB643A"/>
    <w:rsid w:val="00AB643F"/>
    <w:rsid w:val="00AB6453"/>
    <w:rsid w:val="00AB6476"/>
    <w:rsid w:val="00AB65E3"/>
    <w:rsid w:val="00AB6650"/>
    <w:rsid w:val="00AB6690"/>
    <w:rsid w:val="00AB66F7"/>
    <w:rsid w:val="00AB6884"/>
    <w:rsid w:val="00AB6929"/>
    <w:rsid w:val="00AB69D9"/>
    <w:rsid w:val="00AB6F68"/>
    <w:rsid w:val="00AB70D6"/>
    <w:rsid w:val="00AB717D"/>
    <w:rsid w:val="00AB7279"/>
    <w:rsid w:val="00AB757C"/>
    <w:rsid w:val="00AB76DE"/>
    <w:rsid w:val="00AB7739"/>
    <w:rsid w:val="00AB7749"/>
    <w:rsid w:val="00AB7817"/>
    <w:rsid w:val="00AB783E"/>
    <w:rsid w:val="00AB7946"/>
    <w:rsid w:val="00AB7A08"/>
    <w:rsid w:val="00AB7CD2"/>
    <w:rsid w:val="00AB7D2E"/>
    <w:rsid w:val="00AB7DFB"/>
    <w:rsid w:val="00AB7E9B"/>
    <w:rsid w:val="00AB7F61"/>
    <w:rsid w:val="00AB8E68"/>
    <w:rsid w:val="00AC001C"/>
    <w:rsid w:val="00AC01D8"/>
    <w:rsid w:val="00AC02FA"/>
    <w:rsid w:val="00AC0490"/>
    <w:rsid w:val="00AC0A0B"/>
    <w:rsid w:val="00AC0A4B"/>
    <w:rsid w:val="00AC0BF1"/>
    <w:rsid w:val="00AC0C2E"/>
    <w:rsid w:val="00AC0D7D"/>
    <w:rsid w:val="00AC0EC4"/>
    <w:rsid w:val="00AC0F9D"/>
    <w:rsid w:val="00AC1129"/>
    <w:rsid w:val="00AC1143"/>
    <w:rsid w:val="00AC136A"/>
    <w:rsid w:val="00AC13AD"/>
    <w:rsid w:val="00AC13E4"/>
    <w:rsid w:val="00AC14C5"/>
    <w:rsid w:val="00AC1574"/>
    <w:rsid w:val="00AC1712"/>
    <w:rsid w:val="00AC178D"/>
    <w:rsid w:val="00AC1876"/>
    <w:rsid w:val="00AC196D"/>
    <w:rsid w:val="00AC19B6"/>
    <w:rsid w:val="00AC1A3D"/>
    <w:rsid w:val="00AC1AEF"/>
    <w:rsid w:val="00AC1B8C"/>
    <w:rsid w:val="00AC1C9F"/>
    <w:rsid w:val="00AC1CBC"/>
    <w:rsid w:val="00AC20F3"/>
    <w:rsid w:val="00AC2210"/>
    <w:rsid w:val="00AC22B7"/>
    <w:rsid w:val="00AC2338"/>
    <w:rsid w:val="00AC2680"/>
    <w:rsid w:val="00AC277F"/>
    <w:rsid w:val="00AC2895"/>
    <w:rsid w:val="00AC2908"/>
    <w:rsid w:val="00AC2A33"/>
    <w:rsid w:val="00AC2B94"/>
    <w:rsid w:val="00AC2C79"/>
    <w:rsid w:val="00AC2DE5"/>
    <w:rsid w:val="00AC3031"/>
    <w:rsid w:val="00AC30C7"/>
    <w:rsid w:val="00AC313F"/>
    <w:rsid w:val="00AC3408"/>
    <w:rsid w:val="00AC350C"/>
    <w:rsid w:val="00AC35AA"/>
    <w:rsid w:val="00AC390C"/>
    <w:rsid w:val="00AC3ECE"/>
    <w:rsid w:val="00AC3EDF"/>
    <w:rsid w:val="00AC3EE2"/>
    <w:rsid w:val="00AC4171"/>
    <w:rsid w:val="00AC44C2"/>
    <w:rsid w:val="00AC453B"/>
    <w:rsid w:val="00AC4694"/>
    <w:rsid w:val="00AC470F"/>
    <w:rsid w:val="00AC4796"/>
    <w:rsid w:val="00AC4895"/>
    <w:rsid w:val="00AC48B8"/>
    <w:rsid w:val="00AC4C15"/>
    <w:rsid w:val="00AC4CB8"/>
    <w:rsid w:val="00AC4D60"/>
    <w:rsid w:val="00AC4EBE"/>
    <w:rsid w:val="00AC4ED5"/>
    <w:rsid w:val="00AC4FE2"/>
    <w:rsid w:val="00AC5423"/>
    <w:rsid w:val="00AC54D3"/>
    <w:rsid w:val="00AC5886"/>
    <w:rsid w:val="00AC593B"/>
    <w:rsid w:val="00AC596C"/>
    <w:rsid w:val="00AC59A5"/>
    <w:rsid w:val="00AC5ADA"/>
    <w:rsid w:val="00AC5B41"/>
    <w:rsid w:val="00AC5B8F"/>
    <w:rsid w:val="00AC5C9A"/>
    <w:rsid w:val="00AC5D35"/>
    <w:rsid w:val="00AC5E60"/>
    <w:rsid w:val="00AC5EC3"/>
    <w:rsid w:val="00AC5ECC"/>
    <w:rsid w:val="00AC5F38"/>
    <w:rsid w:val="00AC61C9"/>
    <w:rsid w:val="00AC62E1"/>
    <w:rsid w:val="00AC648A"/>
    <w:rsid w:val="00AC64EF"/>
    <w:rsid w:val="00AC669C"/>
    <w:rsid w:val="00AC6809"/>
    <w:rsid w:val="00AC6853"/>
    <w:rsid w:val="00AC6A0C"/>
    <w:rsid w:val="00AC6A9B"/>
    <w:rsid w:val="00AC6B28"/>
    <w:rsid w:val="00AC6B9B"/>
    <w:rsid w:val="00AC6BA2"/>
    <w:rsid w:val="00AC6E45"/>
    <w:rsid w:val="00AC6E70"/>
    <w:rsid w:val="00AC6ED0"/>
    <w:rsid w:val="00AC6FCD"/>
    <w:rsid w:val="00AC7019"/>
    <w:rsid w:val="00AC71A9"/>
    <w:rsid w:val="00AC7251"/>
    <w:rsid w:val="00AC7335"/>
    <w:rsid w:val="00AC7442"/>
    <w:rsid w:val="00AC7641"/>
    <w:rsid w:val="00AC769B"/>
    <w:rsid w:val="00AC778F"/>
    <w:rsid w:val="00AC797C"/>
    <w:rsid w:val="00AC79FC"/>
    <w:rsid w:val="00AC7A4B"/>
    <w:rsid w:val="00AC7A79"/>
    <w:rsid w:val="00AC7B21"/>
    <w:rsid w:val="00AC7C98"/>
    <w:rsid w:val="00AC7CFD"/>
    <w:rsid w:val="00AC7DF4"/>
    <w:rsid w:val="00AC7E1A"/>
    <w:rsid w:val="00AC7E1E"/>
    <w:rsid w:val="00AC7E79"/>
    <w:rsid w:val="00AC7FB5"/>
    <w:rsid w:val="00ACFF15"/>
    <w:rsid w:val="00AD0055"/>
    <w:rsid w:val="00AD0069"/>
    <w:rsid w:val="00AD022C"/>
    <w:rsid w:val="00AD0240"/>
    <w:rsid w:val="00AD0277"/>
    <w:rsid w:val="00AD05EF"/>
    <w:rsid w:val="00AD05F7"/>
    <w:rsid w:val="00AD0A3A"/>
    <w:rsid w:val="00AD0A88"/>
    <w:rsid w:val="00AD0DD1"/>
    <w:rsid w:val="00AD0FF9"/>
    <w:rsid w:val="00AD129A"/>
    <w:rsid w:val="00AD12BB"/>
    <w:rsid w:val="00AD136A"/>
    <w:rsid w:val="00AD1391"/>
    <w:rsid w:val="00AD14A5"/>
    <w:rsid w:val="00AD15F0"/>
    <w:rsid w:val="00AD1822"/>
    <w:rsid w:val="00AD18F8"/>
    <w:rsid w:val="00AD1A6D"/>
    <w:rsid w:val="00AD1AF1"/>
    <w:rsid w:val="00AD1B5F"/>
    <w:rsid w:val="00AD1D67"/>
    <w:rsid w:val="00AD1E4B"/>
    <w:rsid w:val="00AD1E93"/>
    <w:rsid w:val="00AD1F9E"/>
    <w:rsid w:val="00AD249D"/>
    <w:rsid w:val="00AD2783"/>
    <w:rsid w:val="00AD2796"/>
    <w:rsid w:val="00AD27E6"/>
    <w:rsid w:val="00AD2884"/>
    <w:rsid w:val="00AD28F7"/>
    <w:rsid w:val="00AD2910"/>
    <w:rsid w:val="00AD29DD"/>
    <w:rsid w:val="00AD2B7B"/>
    <w:rsid w:val="00AD2CC4"/>
    <w:rsid w:val="00AD2CD6"/>
    <w:rsid w:val="00AD2D7F"/>
    <w:rsid w:val="00AD2F19"/>
    <w:rsid w:val="00AD2FD3"/>
    <w:rsid w:val="00AD3168"/>
    <w:rsid w:val="00AD3173"/>
    <w:rsid w:val="00AD3348"/>
    <w:rsid w:val="00AD33F5"/>
    <w:rsid w:val="00AD3423"/>
    <w:rsid w:val="00AD35B6"/>
    <w:rsid w:val="00AD3C00"/>
    <w:rsid w:val="00AD3C17"/>
    <w:rsid w:val="00AD3CD9"/>
    <w:rsid w:val="00AD3D80"/>
    <w:rsid w:val="00AD3F37"/>
    <w:rsid w:val="00AD3F54"/>
    <w:rsid w:val="00AD401E"/>
    <w:rsid w:val="00AD461E"/>
    <w:rsid w:val="00AD479A"/>
    <w:rsid w:val="00AD47AE"/>
    <w:rsid w:val="00AD47D2"/>
    <w:rsid w:val="00AD4A2D"/>
    <w:rsid w:val="00AD4E38"/>
    <w:rsid w:val="00AD4F0D"/>
    <w:rsid w:val="00AD4F63"/>
    <w:rsid w:val="00AD51B0"/>
    <w:rsid w:val="00AD5299"/>
    <w:rsid w:val="00AD5316"/>
    <w:rsid w:val="00AD53E5"/>
    <w:rsid w:val="00AD5493"/>
    <w:rsid w:val="00AD54BA"/>
    <w:rsid w:val="00AD56BF"/>
    <w:rsid w:val="00AD56E2"/>
    <w:rsid w:val="00AD5725"/>
    <w:rsid w:val="00AD5742"/>
    <w:rsid w:val="00AD5790"/>
    <w:rsid w:val="00AD57A8"/>
    <w:rsid w:val="00AD57D8"/>
    <w:rsid w:val="00AD5885"/>
    <w:rsid w:val="00AD5953"/>
    <w:rsid w:val="00AD5AFE"/>
    <w:rsid w:val="00AD5B8E"/>
    <w:rsid w:val="00AD5C6D"/>
    <w:rsid w:val="00AD5CEB"/>
    <w:rsid w:val="00AD5D3C"/>
    <w:rsid w:val="00AD5DD6"/>
    <w:rsid w:val="00AD60D9"/>
    <w:rsid w:val="00AD611D"/>
    <w:rsid w:val="00AD61FC"/>
    <w:rsid w:val="00AD636D"/>
    <w:rsid w:val="00AD64F2"/>
    <w:rsid w:val="00AD6805"/>
    <w:rsid w:val="00AD68E4"/>
    <w:rsid w:val="00AD696E"/>
    <w:rsid w:val="00AD69B1"/>
    <w:rsid w:val="00AD6AB4"/>
    <w:rsid w:val="00AD6C98"/>
    <w:rsid w:val="00AD6D33"/>
    <w:rsid w:val="00AD6F4D"/>
    <w:rsid w:val="00AD7026"/>
    <w:rsid w:val="00AD72FB"/>
    <w:rsid w:val="00AD73FC"/>
    <w:rsid w:val="00AD7657"/>
    <w:rsid w:val="00AD781E"/>
    <w:rsid w:val="00AD7A86"/>
    <w:rsid w:val="00AD7A8D"/>
    <w:rsid w:val="00AD7B4D"/>
    <w:rsid w:val="00AD7B8D"/>
    <w:rsid w:val="00AD7B91"/>
    <w:rsid w:val="00AD7B9E"/>
    <w:rsid w:val="00AD7C73"/>
    <w:rsid w:val="00AD7CCE"/>
    <w:rsid w:val="00AD7E5F"/>
    <w:rsid w:val="00AD7EFA"/>
    <w:rsid w:val="00AE0349"/>
    <w:rsid w:val="00AE03CF"/>
    <w:rsid w:val="00AE04E1"/>
    <w:rsid w:val="00AE0595"/>
    <w:rsid w:val="00AE0775"/>
    <w:rsid w:val="00AE082C"/>
    <w:rsid w:val="00AE0C90"/>
    <w:rsid w:val="00AE0DE6"/>
    <w:rsid w:val="00AE0E06"/>
    <w:rsid w:val="00AE0F4D"/>
    <w:rsid w:val="00AE10ED"/>
    <w:rsid w:val="00AE1158"/>
    <w:rsid w:val="00AE11FA"/>
    <w:rsid w:val="00AE1382"/>
    <w:rsid w:val="00AE1403"/>
    <w:rsid w:val="00AE14B1"/>
    <w:rsid w:val="00AE160F"/>
    <w:rsid w:val="00AE1776"/>
    <w:rsid w:val="00AE17B7"/>
    <w:rsid w:val="00AE1838"/>
    <w:rsid w:val="00AE18E4"/>
    <w:rsid w:val="00AE1970"/>
    <w:rsid w:val="00AE1BDF"/>
    <w:rsid w:val="00AE1C64"/>
    <w:rsid w:val="00AE1D19"/>
    <w:rsid w:val="00AE1D60"/>
    <w:rsid w:val="00AE1DAD"/>
    <w:rsid w:val="00AE1E1E"/>
    <w:rsid w:val="00AE1F10"/>
    <w:rsid w:val="00AE20D1"/>
    <w:rsid w:val="00AE20E4"/>
    <w:rsid w:val="00AE21E9"/>
    <w:rsid w:val="00AE22F7"/>
    <w:rsid w:val="00AE249E"/>
    <w:rsid w:val="00AE2509"/>
    <w:rsid w:val="00AE25E1"/>
    <w:rsid w:val="00AE2673"/>
    <w:rsid w:val="00AE26D2"/>
    <w:rsid w:val="00AE26DD"/>
    <w:rsid w:val="00AE28C1"/>
    <w:rsid w:val="00AE2BB4"/>
    <w:rsid w:val="00AE2F6A"/>
    <w:rsid w:val="00AE2FC7"/>
    <w:rsid w:val="00AE3009"/>
    <w:rsid w:val="00AE3461"/>
    <w:rsid w:val="00AE3508"/>
    <w:rsid w:val="00AE3573"/>
    <w:rsid w:val="00AE35CF"/>
    <w:rsid w:val="00AE35D6"/>
    <w:rsid w:val="00AE36D9"/>
    <w:rsid w:val="00AE3833"/>
    <w:rsid w:val="00AE383B"/>
    <w:rsid w:val="00AE3AB3"/>
    <w:rsid w:val="00AE3C2D"/>
    <w:rsid w:val="00AE3CBF"/>
    <w:rsid w:val="00AE3EE6"/>
    <w:rsid w:val="00AE3F1A"/>
    <w:rsid w:val="00AE40ED"/>
    <w:rsid w:val="00AE423E"/>
    <w:rsid w:val="00AE43A2"/>
    <w:rsid w:val="00AE4575"/>
    <w:rsid w:val="00AE477A"/>
    <w:rsid w:val="00AE4785"/>
    <w:rsid w:val="00AE47B3"/>
    <w:rsid w:val="00AE4805"/>
    <w:rsid w:val="00AE484C"/>
    <w:rsid w:val="00AE48EC"/>
    <w:rsid w:val="00AE4A23"/>
    <w:rsid w:val="00AE4ABE"/>
    <w:rsid w:val="00AE4D23"/>
    <w:rsid w:val="00AE4D3A"/>
    <w:rsid w:val="00AE4F59"/>
    <w:rsid w:val="00AE4F60"/>
    <w:rsid w:val="00AE4FBD"/>
    <w:rsid w:val="00AE507A"/>
    <w:rsid w:val="00AE52C4"/>
    <w:rsid w:val="00AE5413"/>
    <w:rsid w:val="00AE54B2"/>
    <w:rsid w:val="00AE558B"/>
    <w:rsid w:val="00AE56B2"/>
    <w:rsid w:val="00AE5749"/>
    <w:rsid w:val="00AE57D3"/>
    <w:rsid w:val="00AE587E"/>
    <w:rsid w:val="00AE599C"/>
    <w:rsid w:val="00AE5ADA"/>
    <w:rsid w:val="00AE5BE7"/>
    <w:rsid w:val="00AE5BEC"/>
    <w:rsid w:val="00AE5FA7"/>
    <w:rsid w:val="00AE6038"/>
    <w:rsid w:val="00AE60D1"/>
    <w:rsid w:val="00AE62C9"/>
    <w:rsid w:val="00AE645A"/>
    <w:rsid w:val="00AE655D"/>
    <w:rsid w:val="00AE67F0"/>
    <w:rsid w:val="00AE685F"/>
    <w:rsid w:val="00AE6952"/>
    <w:rsid w:val="00AE6A12"/>
    <w:rsid w:val="00AE6A9B"/>
    <w:rsid w:val="00AE6C3C"/>
    <w:rsid w:val="00AE6CE3"/>
    <w:rsid w:val="00AE6D55"/>
    <w:rsid w:val="00AE6DD6"/>
    <w:rsid w:val="00AE6ECE"/>
    <w:rsid w:val="00AE6FD4"/>
    <w:rsid w:val="00AE6FDF"/>
    <w:rsid w:val="00AE6FF1"/>
    <w:rsid w:val="00AE7452"/>
    <w:rsid w:val="00AE752E"/>
    <w:rsid w:val="00AE7694"/>
    <w:rsid w:val="00AE77EB"/>
    <w:rsid w:val="00AE77F5"/>
    <w:rsid w:val="00AE793A"/>
    <w:rsid w:val="00AE7960"/>
    <w:rsid w:val="00AE7AB4"/>
    <w:rsid w:val="00AE7BDB"/>
    <w:rsid w:val="00AE7C2F"/>
    <w:rsid w:val="00AE7D15"/>
    <w:rsid w:val="00AE7F20"/>
    <w:rsid w:val="00AE7FAF"/>
    <w:rsid w:val="00AF018C"/>
    <w:rsid w:val="00AF01F5"/>
    <w:rsid w:val="00AF048B"/>
    <w:rsid w:val="00AF0502"/>
    <w:rsid w:val="00AF066C"/>
    <w:rsid w:val="00AF0775"/>
    <w:rsid w:val="00AF07CB"/>
    <w:rsid w:val="00AF0899"/>
    <w:rsid w:val="00AF0B04"/>
    <w:rsid w:val="00AF0BA3"/>
    <w:rsid w:val="00AF0CE0"/>
    <w:rsid w:val="00AF0D82"/>
    <w:rsid w:val="00AF0DA6"/>
    <w:rsid w:val="00AF0DC1"/>
    <w:rsid w:val="00AF0EBD"/>
    <w:rsid w:val="00AF0F9A"/>
    <w:rsid w:val="00AF1159"/>
    <w:rsid w:val="00AF1164"/>
    <w:rsid w:val="00AF12F4"/>
    <w:rsid w:val="00AF14B3"/>
    <w:rsid w:val="00AF16C1"/>
    <w:rsid w:val="00AF185E"/>
    <w:rsid w:val="00AF18CB"/>
    <w:rsid w:val="00AF194E"/>
    <w:rsid w:val="00AF19CD"/>
    <w:rsid w:val="00AF1CF3"/>
    <w:rsid w:val="00AF1D34"/>
    <w:rsid w:val="00AF1DDD"/>
    <w:rsid w:val="00AF1E3A"/>
    <w:rsid w:val="00AF1E9B"/>
    <w:rsid w:val="00AF1F43"/>
    <w:rsid w:val="00AF2071"/>
    <w:rsid w:val="00AF2238"/>
    <w:rsid w:val="00AF2506"/>
    <w:rsid w:val="00AF27BB"/>
    <w:rsid w:val="00AF2859"/>
    <w:rsid w:val="00AF28CA"/>
    <w:rsid w:val="00AF2AC7"/>
    <w:rsid w:val="00AF2AC8"/>
    <w:rsid w:val="00AF2D65"/>
    <w:rsid w:val="00AF2E05"/>
    <w:rsid w:val="00AF2E91"/>
    <w:rsid w:val="00AF3062"/>
    <w:rsid w:val="00AF31DB"/>
    <w:rsid w:val="00AF3251"/>
    <w:rsid w:val="00AF34FD"/>
    <w:rsid w:val="00AF3525"/>
    <w:rsid w:val="00AF3680"/>
    <w:rsid w:val="00AF36CF"/>
    <w:rsid w:val="00AF36EA"/>
    <w:rsid w:val="00AF3A7C"/>
    <w:rsid w:val="00AF3CB7"/>
    <w:rsid w:val="00AF3D25"/>
    <w:rsid w:val="00AF4073"/>
    <w:rsid w:val="00AF4173"/>
    <w:rsid w:val="00AF42D4"/>
    <w:rsid w:val="00AF4A7B"/>
    <w:rsid w:val="00AF4B18"/>
    <w:rsid w:val="00AF4F03"/>
    <w:rsid w:val="00AF4FCE"/>
    <w:rsid w:val="00AF5160"/>
    <w:rsid w:val="00AF51B0"/>
    <w:rsid w:val="00AF522B"/>
    <w:rsid w:val="00AF5235"/>
    <w:rsid w:val="00AF53BE"/>
    <w:rsid w:val="00AF53FB"/>
    <w:rsid w:val="00AF544D"/>
    <w:rsid w:val="00AF5667"/>
    <w:rsid w:val="00AF568B"/>
    <w:rsid w:val="00AF57D1"/>
    <w:rsid w:val="00AF5801"/>
    <w:rsid w:val="00AF591F"/>
    <w:rsid w:val="00AF5A94"/>
    <w:rsid w:val="00AF5F7A"/>
    <w:rsid w:val="00AF612F"/>
    <w:rsid w:val="00AF61E7"/>
    <w:rsid w:val="00AF628F"/>
    <w:rsid w:val="00AF62F4"/>
    <w:rsid w:val="00AF653A"/>
    <w:rsid w:val="00AF665B"/>
    <w:rsid w:val="00AF66E1"/>
    <w:rsid w:val="00AF6819"/>
    <w:rsid w:val="00AF68D7"/>
    <w:rsid w:val="00AF6A31"/>
    <w:rsid w:val="00AF6A4A"/>
    <w:rsid w:val="00AF6B73"/>
    <w:rsid w:val="00AF6BCC"/>
    <w:rsid w:val="00AF6BED"/>
    <w:rsid w:val="00AF6FD6"/>
    <w:rsid w:val="00AF7293"/>
    <w:rsid w:val="00AF7321"/>
    <w:rsid w:val="00AF74F6"/>
    <w:rsid w:val="00AF75FD"/>
    <w:rsid w:val="00AF762C"/>
    <w:rsid w:val="00AF769F"/>
    <w:rsid w:val="00AF796D"/>
    <w:rsid w:val="00AF7A43"/>
    <w:rsid w:val="00AF7B5B"/>
    <w:rsid w:val="00AF7B7A"/>
    <w:rsid w:val="00AF7B9A"/>
    <w:rsid w:val="00AF7B9C"/>
    <w:rsid w:val="00AF7D6A"/>
    <w:rsid w:val="00AF7E7F"/>
    <w:rsid w:val="00AF7F54"/>
    <w:rsid w:val="00AF7F78"/>
    <w:rsid w:val="00AFB6FA"/>
    <w:rsid w:val="00B00007"/>
    <w:rsid w:val="00B0001E"/>
    <w:rsid w:val="00B0011A"/>
    <w:rsid w:val="00B00141"/>
    <w:rsid w:val="00B003A7"/>
    <w:rsid w:val="00B00447"/>
    <w:rsid w:val="00B004A4"/>
    <w:rsid w:val="00B005D4"/>
    <w:rsid w:val="00B005E2"/>
    <w:rsid w:val="00B00620"/>
    <w:rsid w:val="00B006B5"/>
    <w:rsid w:val="00B008AC"/>
    <w:rsid w:val="00B008FF"/>
    <w:rsid w:val="00B0097B"/>
    <w:rsid w:val="00B00CC5"/>
    <w:rsid w:val="00B010FF"/>
    <w:rsid w:val="00B01269"/>
    <w:rsid w:val="00B013CD"/>
    <w:rsid w:val="00B0144E"/>
    <w:rsid w:val="00B01604"/>
    <w:rsid w:val="00B0194C"/>
    <w:rsid w:val="00B01A55"/>
    <w:rsid w:val="00B01B06"/>
    <w:rsid w:val="00B01B61"/>
    <w:rsid w:val="00B01BD4"/>
    <w:rsid w:val="00B01C6C"/>
    <w:rsid w:val="00B01DB1"/>
    <w:rsid w:val="00B01F76"/>
    <w:rsid w:val="00B0230F"/>
    <w:rsid w:val="00B0238C"/>
    <w:rsid w:val="00B02593"/>
    <w:rsid w:val="00B02600"/>
    <w:rsid w:val="00B02609"/>
    <w:rsid w:val="00B02654"/>
    <w:rsid w:val="00B0277A"/>
    <w:rsid w:val="00B02780"/>
    <w:rsid w:val="00B02A06"/>
    <w:rsid w:val="00B02A68"/>
    <w:rsid w:val="00B02B5E"/>
    <w:rsid w:val="00B02BCF"/>
    <w:rsid w:val="00B02C03"/>
    <w:rsid w:val="00B02F82"/>
    <w:rsid w:val="00B03198"/>
    <w:rsid w:val="00B0331D"/>
    <w:rsid w:val="00B03701"/>
    <w:rsid w:val="00B038B1"/>
    <w:rsid w:val="00B03912"/>
    <w:rsid w:val="00B039CB"/>
    <w:rsid w:val="00B03D13"/>
    <w:rsid w:val="00B03D41"/>
    <w:rsid w:val="00B03D5A"/>
    <w:rsid w:val="00B03D85"/>
    <w:rsid w:val="00B03DD5"/>
    <w:rsid w:val="00B03F3B"/>
    <w:rsid w:val="00B03F65"/>
    <w:rsid w:val="00B04131"/>
    <w:rsid w:val="00B04194"/>
    <w:rsid w:val="00B0424C"/>
    <w:rsid w:val="00B0441A"/>
    <w:rsid w:val="00B04431"/>
    <w:rsid w:val="00B04684"/>
    <w:rsid w:val="00B047CA"/>
    <w:rsid w:val="00B04908"/>
    <w:rsid w:val="00B0499D"/>
    <w:rsid w:val="00B04B7B"/>
    <w:rsid w:val="00B04D20"/>
    <w:rsid w:val="00B04DFB"/>
    <w:rsid w:val="00B04E73"/>
    <w:rsid w:val="00B051C4"/>
    <w:rsid w:val="00B053FF"/>
    <w:rsid w:val="00B05474"/>
    <w:rsid w:val="00B055A5"/>
    <w:rsid w:val="00B059E6"/>
    <w:rsid w:val="00B05C2B"/>
    <w:rsid w:val="00B05F24"/>
    <w:rsid w:val="00B06077"/>
    <w:rsid w:val="00B061F5"/>
    <w:rsid w:val="00B0632B"/>
    <w:rsid w:val="00B064BC"/>
    <w:rsid w:val="00B0650F"/>
    <w:rsid w:val="00B0652B"/>
    <w:rsid w:val="00B0664C"/>
    <w:rsid w:val="00B0680D"/>
    <w:rsid w:val="00B06DAF"/>
    <w:rsid w:val="00B06E6C"/>
    <w:rsid w:val="00B0701F"/>
    <w:rsid w:val="00B073D1"/>
    <w:rsid w:val="00B07621"/>
    <w:rsid w:val="00B07736"/>
    <w:rsid w:val="00B0773B"/>
    <w:rsid w:val="00B07874"/>
    <w:rsid w:val="00B101A4"/>
    <w:rsid w:val="00B10254"/>
    <w:rsid w:val="00B1036B"/>
    <w:rsid w:val="00B10505"/>
    <w:rsid w:val="00B10676"/>
    <w:rsid w:val="00B1078B"/>
    <w:rsid w:val="00B10794"/>
    <w:rsid w:val="00B107B6"/>
    <w:rsid w:val="00B1086B"/>
    <w:rsid w:val="00B1092C"/>
    <w:rsid w:val="00B109C2"/>
    <w:rsid w:val="00B10AE9"/>
    <w:rsid w:val="00B10B73"/>
    <w:rsid w:val="00B10B78"/>
    <w:rsid w:val="00B10D4D"/>
    <w:rsid w:val="00B10DB5"/>
    <w:rsid w:val="00B112D0"/>
    <w:rsid w:val="00B11361"/>
    <w:rsid w:val="00B113F5"/>
    <w:rsid w:val="00B116D5"/>
    <w:rsid w:val="00B1177E"/>
    <w:rsid w:val="00B117FF"/>
    <w:rsid w:val="00B11D2C"/>
    <w:rsid w:val="00B11EC9"/>
    <w:rsid w:val="00B11FCA"/>
    <w:rsid w:val="00B11FCC"/>
    <w:rsid w:val="00B11FED"/>
    <w:rsid w:val="00B12376"/>
    <w:rsid w:val="00B123CF"/>
    <w:rsid w:val="00B123D6"/>
    <w:rsid w:val="00B124E4"/>
    <w:rsid w:val="00B1252B"/>
    <w:rsid w:val="00B12652"/>
    <w:rsid w:val="00B12663"/>
    <w:rsid w:val="00B12992"/>
    <w:rsid w:val="00B12A1C"/>
    <w:rsid w:val="00B12A2D"/>
    <w:rsid w:val="00B12AB2"/>
    <w:rsid w:val="00B12B7B"/>
    <w:rsid w:val="00B12BDF"/>
    <w:rsid w:val="00B12BEE"/>
    <w:rsid w:val="00B12D7A"/>
    <w:rsid w:val="00B12E28"/>
    <w:rsid w:val="00B13003"/>
    <w:rsid w:val="00B13299"/>
    <w:rsid w:val="00B132AE"/>
    <w:rsid w:val="00B133BA"/>
    <w:rsid w:val="00B136AE"/>
    <w:rsid w:val="00B136D0"/>
    <w:rsid w:val="00B13763"/>
    <w:rsid w:val="00B13933"/>
    <w:rsid w:val="00B13A65"/>
    <w:rsid w:val="00B13AEA"/>
    <w:rsid w:val="00B13BAC"/>
    <w:rsid w:val="00B13CFD"/>
    <w:rsid w:val="00B14222"/>
    <w:rsid w:val="00B1426C"/>
    <w:rsid w:val="00B14413"/>
    <w:rsid w:val="00B14598"/>
    <w:rsid w:val="00B14697"/>
    <w:rsid w:val="00B1479B"/>
    <w:rsid w:val="00B1484D"/>
    <w:rsid w:val="00B14936"/>
    <w:rsid w:val="00B14986"/>
    <w:rsid w:val="00B149D2"/>
    <w:rsid w:val="00B14AA9"/>
    <w:rsid w:val="00B14B34"/>
    <w:rsid w:val="00B14D65"/>
    <w:rsid w:val="00B14EB1"/>
    <w:rsid w:val="00B14EEC"/>
    <w:rsid w:val="00B150D9"/>
    <w:rsid w:val="00B15167"/>
    <w:rsid w:val="00B151D3"/>
    <w:rsid w:val="00B1524F"/>
    <w:rsid w:val="00B15554"/>
    <w:rsid w:val="00B1577A"/>
    <w:rsid w:val="00B157AD"/>
    <w:rsid w:val="00B158F6"/>
    <w:rsid w:val="00B15935"/>
    <w:rsid w:val="00B15B71"/>
    <w:rsid w:val="00B15C12"/>
    <w:rsid w:val="00B15F4E"/>
    <w:rsid w:val="00B15FB4"/>
    <w:rsid w:val="00B161FF"/>
    <w:rsid w:val="00B163B2"/>
    <w:rsid w:val="00B165B2"/>
    <w:rsid w:val="00B1683A"/>
    <w:rsid w:val="00B16A2C"/>
    <w:rsid w:val="00B16C3E"/>
    <w:rsid w:val="00B16D88"/>
    <w:rsid w:val="00B16E6E"/>
    <w:rsid w:val="00B16FF6"/>
    <w:rsid w:val="00B171F0"/>
    <w:rsid w:val="00B1720F"/>
    <w:rsid w:val="00B1769C"/>
    <w:rsid w:val="00B176B5"/>
    <w:rsid w:val="00B176D9"/>
    <w:rsid w:val="00B1788C"/>
    <w:rsid w:val="00B17BD8"/>
    <w:rsid w:val="00B17C2F"/>
    <w:rsid w:val="00B17CA7"/>
    <w:rsid w:val="00B17D09"/>
    <w:rsid w:val="00B17E36"/>
    <w:rsid w:val="00B20165"/>
    <w:rsid w:val="00B2019E"/>
    <w:rsid w:val="00B202A1"/>
    <w:rsid w:val="00B202E4"/>
    <w:rsid w:val="00B20395"/>
    <w:rsid w:val="00B203E7"/>
    <w:rsid w:val="00B203F9"/>
    <w:rsid w:val="00B2063C"/>
    <w:rsid w:val="00B20643"/>
    <w:rsid w:val="00B20754"/>
    <w:rsid w:val="00B2093F"/>
    <w:rsid w:val="00B20A3B"/>
    <w:rsid w:val="00B20C22"/>
    <w:rsid w:val="00B20C44"/>
    <w:rsid w:val="00B20CB5"/>
    <w:rsid w:val="00B20D23"/>
    <w:rsid w:val="00B20EDF"/>
    <w:rsid w:val="00B210CF"/>
    <w:rsid w:val="00B212A8"/>
    <w:rsid w:val="00B2135B"/>
    <w:rsid w:val="00B2137A"/>
    <w:rsid w:val="00B213F2"/>
    <w:rsid w:val="00B21601"/>
    <w:rsid w:val="00B21904"/>
    <w:rsid w:val="00B2191F"/>
    <w:rsid w:val="00B21935"/>
    <w:rsid w:val="00B2193F"/>
    <w:rsid w:val="00B21A5B"/>
    <w:rsid w:val="00B21B3C"/>
    <w:rsid w:val="00B21C18"/>
    <w:rsid w:val="00B21C72"/>
    <w:rsid w:val="00B21D04"/>
    <w:rsid w:val="00B21DEA"/>
    <w:rsid w:val="00B21F17"/>
    <w:rsid w:val="00B22358"/>
    <w:rsid w:val="00B224A7"/>
    <w:rsid w:val="00B224DA"/>
    <w:rsid w:val="00B2268E"/>
    <w:rsid w:val="00B226FC"/>
    <w:rsid w:val="00B2275B"/>
    <w:rsid w:val="00B229AD"/>
    <w:rsid w:val="00B22A68"/>
    <w:rsid w:val="00B22AB0"/>
    <w:rsid w:val="00B22C8D"/>
    <w:rsid w:val="00B22D13"/>
    <w:rsid w:val="00B22D41"/>
    <w:rsid w:val="00B22DD9"/>
    <w:rsid w:val="00B230F4"/>
    <w:rsid w:val="00B2314B"/>
    <w:rsid w:val="00B231F1"/>
    <w:rsid w:val="00B23498"/>
    <w:rsid w:val="00B234BF"/>
    <w:rsid w:val="00B235A4"/>
    <w:rsid w:val="00B2361C"/>
    <w:rsid w:val="00B23620"/>
    <w:rsid w:val="00B237AB"/>
    <w:rsid w:val="00B239A3"/>
    <w:rsid w:val="00B23AB3"/>
    <w:rsid w:val="00B23BDD"/>
    <w:rsid w:val="00B23C36"/>
    <w:rsid w:val="00B23E05"/>
    <w:rsid w:val="00B23E7E"/>
    <w:rsid w:val="00B23EB4"/>
    <w:rsid w:val="00B23FB3"/>
    <w:rsid w:val="00B2405B"/>
    <w:rsid w:val="00B24112"/>
    <w:rsid w:val="00B2412C"/>
    <w:rsid w:val="00B24263"/>
    <w:rsid w:val="00B244B7"/>
    <w:rsid w:val="00B244D5"/>
    <w:rsid w:val="00B24678"/>
    <w:rsid w:val="00B246A0"/>
    <w:rsid w:val="00B248D6"/>
    <w:rsid w:val="00B24A03"/>
    <w:rsid w:val="00B24A2A"/>
    <w:rsid w:val="00B24B64"/>
    <w:rsid w:val="00B24C7F"/>
    <w:rsid w:val="00B24D50"/>
    <w:rsid w:val="00B24DC2"/>
    <w:rsid w:val="00B24E04"/>
    <w:rsid w:val="00B250E0"/>
    <w:rsid w:val="00B25123"/>
    <w:rsid w:val="00B25218"/>
    <w:rsid w:val="00B25351"/>
    <w:rsid w:val="00B25491"/>
    <w:rsid w:val="00B2554B"/>
    <w:rsid w:val="00B2576A"/>
    <w:rsid w:val="00B257B5"/>
    <w:rsid w:val="00B25817"/>
    <w:rsid w:val="00B258B3"/>
    <w:rsid w:val="00B25A61"/>
    <w:rsid w:val="00B25B77"/>
    <w:rsid w:val="00B25D10"/>
    <w:rsid w:val="00B25D19"/>
    <w:rsid w:val="00B25DC5"/>
    <w:rsid w:val="00B26033"/>
    <w:rsid w:val="00B260D1"/>
    <w:rsid w:val="00B26137"/>
    <w:rsid w:val="00B26264"/>
    <w:rsid w:val="00B263CE"/>
    <w:rsid w:val="00B2640E"/>
    <w:rsid w:val="00B26511"/>
    <w:rsid w:val="00B26540"/>
    <w:rsid w:val="00B2658D"/>
    <w:rsid w:val="00B265DE"/>
    <w:rsid w:val="00B265F5"/>
    <w:rsid w:val="00B26882"/>
    <w:rsid w:val="00B268C7"/>
    <w:rsid w:val="00B2696C"/>
    <w:rsid w:val="00B26E13"/>
    <w:rsid w:val="00B270C6"/>
    <w:rsid w:val="00B2712F"/>
    <w:rsid w:val="00B27183"/>
    <w:rsid w:val="00B274FF"/>
    <w:rsid w:val="00B2760F"/>
    <w:rsid w:val="00B2778C"/>
    <w:rsid w:val="00B278DA"/>
    <w:rsid w:val="00B2791C"/>
    <w:rsid w:val="00B27BF3"/>
    <w:rsid w:val="00B27C8E"/>
    <w:rsid w:val="00B27D1F"/>
    <w:rsid w:val="00B27D22"/>
    <w:rsid w:val="00B27FCF"/>
    <w:rsid w:val="00B302FB"/>
    <w:rsid w:val="00B30371"/>
    <w:rsid w:val="00B30399"/>
    <w:rsid w:val="00B3044B"/>
    <w:rsid w:val="00B3053E"/>
    <w:rsid w:val="00B305DD"/>
    <w:rsid w:val="00B3068B"/>
    <w:rsid w:val="00B307A9"/>
    <w:rsid w:val="00B30B05"/>
    <w:rsid w:val="00B30C90"/>
    <w:rsid w:val="00B30D76"/>
    <w:rsid w:val="00B30E7D"/>
    <w:rsid w:val="00B31095"/>
    <w:rsid w:val="00B313F7"/>
    <w:rsid w:val="00B31474"/>
    <w:rsid w:val="00B31620"/>
    <w:rsid w:val="00B316A1"/>
    <w:rsid w:val="00B31894"/>
    <w:rsid w:val="00B318BD"/>
    <w:rsid w:val="00B318EC"/>
    <w:rsid w:val="00B31AE1"/>
    <w:rsid w:val="00B31DE7"/>
    <w:rsid w:val="00B31E92"/>
    <w:rsid w:val="00B31F5C"/>
    <w:rsid w:val="00B32242"/>
    <w:rsid w:val="00B323A1"/>
    <w:rsid w:val="00B323AF"/>
    <w:rsid w:val="00B324D9"/>
    <w:rsid w:val="00B3251F"/>
    <w:rsid w:val="00B32610"/>
    <w:rsid w:val="00B3267F"/>
    <w:rsid w:val="00B3278C"/>
    <w:rsid w:val="00B32908"/>
    <w:rsid w:val="00B32923"/>
    <w:rsid w:val="00B32C20"/>
    <w:rsid w:val="00B32D81"/>
    <w:rsid w:val="00B32DC0"/>
    <w:rsid w:val="00B32DFE"/>
    <w:rsid w:val="00B33354"/>
    <w:rsid w:val="00B33467"/>
    <w:rsid w:val="00B3352C"/>
    <w:rsid w:val="00B3354A"/>
    <w:rsid w:val="00B336A4"/>
    <w:rsid w:val="00B33867"/>
    <w:rsid w:val="00B338EC"/>
    <w:rsid w:val="00B338F4"/>
    <w:rsid w:val="00B3393F"/>
    <w:rsid w:val="00B33A9F"/>
    <w:rsid w:val="00B33AA2"/>
    <w:rsid w:val="00B33FD7"/>
    <w:rsid w:val="00B3464B"/>
    <w:rsid w:val="00B348C7"/>
    <w:rsid w:val="00B34C5A"/>
    <w:rsid w:val="00B34C6C"/>
    <w:rsid w:val="00B34EA0"/>
    <w:rsid w:val="00B34F72"/>
    <w:rsid w:val="00B35117"/>
    <w:rsid w:val="00B3529E"/>
    <w:rsid w:val="00B352AF"/>
    <w:rsid w:val="00B353CB"/>
    <w:rsid w:val="00B3543C"/>
    <w:rsid w:val="00B35489"/>
    <w:rsid w:val="00B354C1"/>
    <w:rsid w:val="00B35729"/>
    <w:rsid w:val="00B357A3"/>
    <w:rsid w:val="00B359D8"/>
    <w:rsid w:val="00B35AD0"/>
    <w:rsid w:val="00B35B05"/>
    <w:rsid w:val="00B35B06"/>
    <w:rsid w:val="00B35C5A"/>
    <w:rsid w:val="00B35D26"/>
    <w:rsid w:val="00B35ED1"/>
    <w:rsid w:val="00B35EFF"/>
    <w:rsid w:val="00B36077"/>
    <w:rsid w:val="00B36267"/>
    <w:rsid w:val="00B3645F"/>
    <w:rsid w:val="00B364F1"/>
    <w:rsid w:val="00B36537"/>
    <w:rsid w:val="00B36627"/>
    <w:rsid w:val="00B366D9"/>
    <w:rsid w:val="00B36966"/>
    <w:rsid w:val="00B36CC4"/>
    <w:rsid w:val="00B36D79"/>
    <w:rsid w:val="00B36E06"/>
    <w:rsid w:val="00B37036"/>
    <w:rsid w:val="00B37117"/>
    <w:rsid w:val="00B371E4"/>
    <w:rsid w:val="00B37297"/>
    <w:rsid w:val="00B37332"/>
    <w:rsid w:val="00B3776C"/>
    <w:rsid w:val="00B377BE"/>
    <w:rsid w:val="00B37969"/>
    <w:rsid w:val="00B37A85"/>
    <w:rsid w:val="00B37B37"/>
    <w:rsid w:val="00B37C41"/>
    <w:rsid w:val="00B37CAA"/>
    <w:rsid w:val="00B37CB1"/>
    <w:rsid w:val="00B400B6"/>
    <w:rsid w:val="00B401B1"/>
    <w:rsid w:val="00B40387"/>
    <w:rsid w:val="00B403BB"/>
    <w:rsid w:val="00B4063C"/>
    <w:rsid w:val="00B407F4"/>
    <w:rsid w:val="00B4088A"/>
    <w:rsid w:val="00B40962"/>
    <w:rsid w:val="00B40CCE"/>
    <w:rsid w:val="00B40CF9"/>
    <w:rsid w:val="00B40E0D"/>
    <w:rsid w:val="00B40FEB"/>
    <w:rsid w:val="00B4103F"/>
    <w:rsid w:val="00B410FF"/>
    <w:rsid w:val="00B41289"/>
    <w:rsid w:val="00B4159E"/>
    <w:rsid w:val="00B416B3"/>
    <w:rsid w:val="00B4171E"/>
    <w:rsid w:val="00B418BB"/>
    <w:rsid w:val="00B41A0E"/>
    <w:rsid w:val="00B41BF2"/>
    <w:rsid w:val="00B41E92"/>
    <w:rsid w:val="00B4206D"/>
    <w:rsid w:val="00B420DD"/>
    <w:rsid w:val="00B421EC"/>
    <w:rsid w:val="00B42259"/>
    <w:rsid w:val="00B4238F"/>
    <w:rsid w:val="00B424F3"/>
    <w:rsid w:val="00B4267A"/>
    <w:rsid w:val="00B4269D"/>
    <w:rsid w:val="00B4280D"/>
    <w:rsid w:val="00B428CB"/>
    <w:rsid w:val="00B429BA"/>
    <w:rsid w:val="00B42B0A"/>
    <w:rsid w:val="00B42C55"/>
    <w:rsid w:val="00B42D45"/>
    <w:rsid w:val="00B42F62"/>
    <w:rsid w:val="00B42FD8"/>
    <w:rsid w:val="00B430B6"/>
    <w:rsid w:val="00B432D6"/>
    <w:rsid w:val="00B433B9"/>
    <w:rsid w:val="00B434A6"/>
    <w:rsid w:val="00B43659"/>
    <w:rsid w:val="00B43879"/>
    <w:rsid w:val="00B4398B"/>
    <w:rsid w:val="00B439BF"/>
    <w:rsid w:val="00B439EE"/>
    <w:rsid w:val="00B43BBB"/>
    <w:rsid w:val="00B43CAB"/>
    <w:rsid w:val="00B43E90"/>
    <w:rsid w:val="00B43EF7"/>
    <w:rsid w:val="00B43FF7"/>
    <w:rsid w:val="00B442A1"/>
    <w:rsid w:val="00B443F6"/>
    <w:rsid w:val="00B44471"/>
    <w:rsid w:val="00B444FA"/>
    <w:rsid w:val="00B4456B"/>
    <w:rsid w:val="00B445E3"/>
    <w:rsid w:val="00B445FF"/>
    <w:rsid w:val="00B44782"/>
    <w:rsid w:val="00B4478F"/>
    <w:rsid w:val="00B447CA"/>
    <w:rsid w:val="00B448B3"/>
    <w:rsid w:val="00B4493B"/>
    <w:rsid w:val="00B44A07"/>
    <w:rsid w:val="00B44A10"/>
    <w:rsid w:val="00B44B72"/>
    <w:rsid w:val="00B44C52"/>
    <w:rsid w:val="00B44D03"/>
    <w:rsid w:val="00B44D7E"/>
    <w:rsid w:val="00B450D1"/>
    <w:rsid w:val="00B455B5"/>
    <w:rsid w:val="00B455C6"/>
    <w:rsid w:val="00B4570F"/>
    <w:rsid w:val="00B457DA"/>
    <w:rsid w:val="00B457DF"/>
    <w:rsid w:val="00B45BF7"/>
    <w:rsid w:val="00B45C8F"/>
    <w:rsid w:val="00B45D98"/>
    <w:rsid w:val="00B4601B"/>
    <w:rsid w:val="00B460A8"/>
    <w:rsid w:val="00B460F9"/>
    <w:rsid w:val="00B461E3"/>
    <w:rsid w:val="00B4632F"/>
    <w:rsid w:val="00B4645A"/>
    <w:rsid w:val="00B4654F"/>
    <w:rsid w:val="00B465D0"/>
    <w:rsid w:val="00B466C8"/>
    <w:rsid w:val="00B46783"/>
    <w:rsid w:val="00B46989"/>
    <w:rsid w:val="00B469AB"/>
    <w:rsid w:val="00B46A74"/>
    <w:rsid w:val="00B46B18"/>
    <w:rsid w:val="00B46B28"/>
    <w:rsid w:val="00B46DB1"/>
    <w:rsid w:val="00B46DD6"/>
    <w:rsid w:val="00B46F3F"/>
    <w:rsid w:val="00B46FD5"/>
    <w:rsid w:val="00B4718C"/>
    <w:rsid w:val="00B47268"/>
    <w:rsid w:val="00B4735A"/>
    <w:rsid w:val="00B473E2"/>
    <w:rsid w:val="00B47443"/>
    <w:rsid w:val="00B474ED"/>
    <w:rsid w:val="00B4758D"/>
    <w:rsid w:val="00B478B4"/>
    <w:rsid w:val="00B47942"/>
    <w:rsid w:val="00B47948"/>
    <w:rsid w:val="00B47ABD"/>
    <w:rsid w:val="00B47AE3"/>
    <w:rsid w:val="00B47C69"/>
    <w:rsid w:val="00B47CEE"/>
    <w:rsid w:val="00B47F4C"/>
    <w:rsid w:val="00B50504"/>
    <w:rsid w:val="00B50637"/>
    <w:rsid w:val="00B5070A"/>
    <w:rsid w:val="00B5071A"/>
    <w:rsid w:val="00B50AE8"/>
    <w:rsid w:val="00B50B22"/>
    <w:rsid w:val="00B50B42"/>
    <w:rsid w:val="00B50BD5"/>
    <w:rsid w:val="00B50BF6"/>
    <w:rsid w:val="00B50CAC"/>
    <w:rsid w:val="00B50DAF"/>
    <w:rsid w:val="00B50E2F"/>
    <w:rsid w:val="00B50F8B"/>
    <w:rsid w:val="00B50FE3"/>
    <w:rsid w:val="00B5153B"/>
    <w:rsid w:val="00B516AB"/>
    <w:rsid w:val="00B516FB"/>
    <w:rsid w:val="00B5174D"/>
    <w:rsid w:val="00B51775"/>
    <w:rsid w:val="00B51AAE"/>
    <w:rsid w:val="00B51AF7"/>
    <w:rsid w:val="00B51D30"/>
    <w:rsid w:val="00B51E7B"/>
    <w:rsid w:val="00B51EA7"/>
    <w:rsid w:val="00B51EAF"/>
    <w:rsid w:val="00B51F67"/>
    <w:rsid w:val="00B52002"/>
    <w:rsid w:val="00B5214C"/>
    <w:rsid w:val="00B521E8"/>
    <w:rsid w:val="00B52213"/>
    <w:rsid w:val="00B522C2"/>
    <w:rsid w:val="00B522DD"/>
    <w:rsid w:val="00B52510"/>
    <w:rsid w:val="00B52854"/>
    <w:rsid w:val="00B52962"/>
    <w:rsid w:val="00B52A44"/>
    <w:rsid w:val="00B52C57"/>
    <w:rsid w:val="00B52C7A"/>
    <w:rsid w:val="00B52E8B"/>
    <w:rsid w:val="00B52F65"/>
    <w:rsid w:val="00B52FC1"/>
    <w:rsid w:val="00B5308A"/>
    <w:rsid w:val="00B531AF"/>
    <w:rsid w:val="00B531EB"/>
    <w:rsid w:val="00B53203"/>
    <w:rsid w:val="00B53283"/>
    <w:rsid w:val="00B5342C"/>
    <w:rsid w:val="00B53454"/>
    <w:rsid w:val="00B534C0"/>
    <w:rsid w:val="00B534DC"/>
    <w:rsid w:val="00B53723"/>
    <w:rsid w:val="00B53882"/>
    <w:rsid w:val="00B538A6"/>
    <w:rsid w:val="00B53908"/>
    <w:rsid w:val="00B53982"/>
    <w:rsid w:val="00B539C2"/>
    <w:rsid w:val="00B53B2A"/>
    <w:rsid w:val="00B53C96"/>
    <w:rsid w:val="00B53D06"/>
    <w:rsid w:val="00B53F20"/>
    <w:rsid w:val="00B53F3E"/>
    <w:rsid w:val="00B542E1"/>
    <w:rsid w:val="00B543C4"/>
    <w:rsid w:val="00B54423"/>
    <w:rsid w:val="00B54492"/>
    <w:rsid w:val="00B54520"/>
    <w:rsid w:val="00B5454A"/>
    <w:rsid w:val="00B5456B"/>
    <w:rsid w:val="00B545F9"/>
    <w:rsid w:val="00B54723"/>
    <w:rsid w:val="00B5476C"/>
    <w:rsid w:val="00B547BB"/>
    <w:rsid w:val="00B547F8"/>
    <w:rsid w:val="00B54AFF"/>
    <w:rsid w:val="00B54DEE"/>
    <w:rsid w:val="00B54FFF"/>
    <w:rsid w:val="00B5511E"/>
    <w:rsid w:val="00B5523A"/>
    <w:rsid w:val="00B553DD"/>
    <w:rsid w:val="00B55496"/>
    <w:rsid w:val="00B554A9"/>
    <w:rsid w:val="00B55634"/>
    <w:rsid w:val="00B556AC"/>
    <w:rsid w:val="00B557E0"/>
    <w:rsid w:val="00B55B21"/>
    <w:rsid w:val="00B55B6F"/>
    <w:rsid w:val="00B55F9A"/>
    <w:rsid w:val="00B560AC"/>
    <w:rsid w:val="00B5627F"/>
    <w:rsid w:val="00B56546"/>
    <w:rsid w:val="00B56572"/>
    <w:rsid w:val="00B565A8"/>
    <w:rsid w:val="00B565AB"/>
    <w:rsid w:val="00B568E6"/>
    <w:rsid w:val="00B56905"/>
    <w:rsid w:val="00B569E8"/>
    <w:rsid w:val="00B56A67"/>
    <w:rsid w:val="00B56DA4"/>
    <w:rsid w:val="00B56DB9"/>
    <w:rsid w:val="00B56EBD"/>
    <w:rsid w:val="00B56ECF"/>
    <w:rsid w:val="00B56F3A"/>
    <w:rsid w:val="00B570FE"/>
    <w:rsid w:val="00B57549"/>
    <w:rsid w:val="00B57695"/>
    <w:rsid w:val="00B57755"/>
    <w:rsid w:val="00B57880"/>
    <w:rsid w:val="00B57B32"/>
    <w:rsid w:val="00B57BE8"/>
    <w:rsid w:val="00B57C94"/>
    <w:rsid w:val="00B57D55"/>
    <w:rsid w:val="00B57FEB"/>
    <w:rsid w:val="00B600D8"/>
    <w:rsid w:val="00B60235"/>
    <w:rsid w:val="00B60632"/>
    <w:rsid w:val="00B6073E"/>
    <w:rsid w:val="00B609BD"/>
    <w:rsid w:val="00B60AFF"/>
    <w:rsid w:val="00B60BD5"/>
    <w:rsid w:val="00B60C9E"/>
    <w:rsid w:val="00B60DCC"/>
    <w:rsid w:val="00B60F00"/>
    <w:rsid w:val="00B60F5C"/>
    <w:rsid w:val="00B61266"/>
    <w:rsid w:val="00B612D2"/>
    <w:rsid w:val="00B6136C"/>
    <w:rsid w:val="00B61394"/>
    <w:rsid w:val="00B61438"/>
    <w:rsid w:val="00B615C4"/>
    <w:rsid w:val="00B617CD"/>
    <w:rsid w:val="00B617FF"/>
    <w:rsid w:val="00B61929"/>
    <w:rsid w:val="00B61A24"/>
    <w:rsid w:val="00B61B65"/>
    <w:rsid w:val="00B61EF8"/>
    <w:rsid w:val="00B61F5B"/>
    <w:rsid w:val="00B61FEE"/>
    <w:rsid w:val="00B620F0"/>
    <w:rsid w:val="00B62196"/>
    <w:rsid w:val="00B621F9"/>
    <w:rsid w:val="00B62280"/>
    <w:rsid w:val="00B6247E"/>
    <w:rsid w:val="00B62600"/>
    <w:rsid w:val="00B62922"/>
    <w:rsid w:val="00B6293E"/>
    <w:rsid w:val="00B62A54"/>
    <w:rsid w:val="00B62B61"/>
    <w:rsid w:val="00B62DEC"/>
    <w:rsid w:val="00B62E3C"/>
    <w:rsid w:val="00B62F53"/>
    <w:rsid w:val="00B62FB2"/>
    <w:rsid w:val="00B63233"/>
    <w:rsid w:val="00B632B8"/>
    <w:rsid w:val="00B632E6"/>
    <w:rsid w:val="00B632FE"/>
    <w:rsid w:val="00B633B2"/>
    <w:rsid w:val="00B635A3"/>
    <w:rsid w:val="00B6379B"/>
    <w:rsid w:val="00B638D6"/>
    <w:rsid w:val="00B638F5"/>
    <w:rsid w:val="00B639C0"/>
    <w:rsid w:val="00B63EF2"/>
    <w:rsid w:val="00B63FB3"/>
    <w:rsid w:val="00B64019"/>
    <w:rsid w:val="00B64225"/>
    <w:rsid w:val="00B643D4"/>
    <w:rsid w:val="00B645EC"/>
    <w:rsid w:val="00B647B8"/>
    <w:rsid w:val="00B647ED"/>
    <w:rsid w:val="00B648F8"/>
    <w:rsid w:val="00B649C2"/>
    <w:rsid w:val="00B64B27"/>
    <w:rsid w:val="00B64B35"/>
    <w:rsid w:val="00B64B75"/>
    <w:rsid w:val="00B64B8F"/>
    <w:rsid w:val="00B64D92"/>
    <w:rsid w:val="00B64EC9"/>
    <w:rsid w:val="00B64F42"/>
    <w:rsid w:val="00B64F74"/>
    <w:rsid w:val="00B64FBD"/>
    <w:rsid w:val="00B65097"/>
    <w:rsid w:val="00B650AF"/>
    <w:rsid w:val="00B6518E"/>
    <w:rsid w:val="00B655F0"/>
    <w:rsid w:val="00B65728"/>
    <w:rsid w:val="00B6595B"/>
    <w:rsid w:val="00B65B86"/>
    <w:rsid w:val="00B65C07"/>
    <w:rsid w:val="00B65C48"/>
    <w:rsid w:val="00B65C5C"/>
    <w:rsid w:val="00B65C98"/>
    <w:rsid w:val="00B65D2C"/>
    <w:rsid w:val="00B65E6B"/>
    <w:rsid w:val="00B65F62"/>
    <w:rsid w:val="00B6601F"/>
    <w:rsid w:val="00B66216"/>
    <w:rsid w:val="00B6624B"/>
    <w:rsid w:val="00B6629B"/>
    <w:rsid w:val="00B663D4"/>
    <w:rsid w:val="00B66448"/>
    <w:rsid w:val="00B66631"/>
    <w:rsid w:val="00B66668"/>
    <w:rsid w:val="00B66713"/>
    <w:rsid w:val="00B6679F"/>
    <w:rsid w:val="00B668B9"/>
    <w:rsid w:val="00B66B79"/>
    <w:rsid w:val="00B66BF1"/>
    <w:rsid w:val="00B66BFE"/>
    <w:rsid w:val="00B66CB0"/>
    <w:rsid w:val="00B66EAB"/>
    <w:rsid w:val="00B66FD0"/>
    <w:rsid w:val="00B671CA"/>
    <w:rsid w:val="00B67320"/>
    <w:rsid w:val="00B6736D"/>
    <w:rsid w:val="00B673B3"/>
    <w:rsid w:val="00B67434"/>
    <w:rsid w:val="00B67462"/>
    <w:rsid w:val="00B6747D"/>
    <w:rsid w:val="00B67613"/>
    <w:rsid w:val="00B6761A"/>
    <w:rsid w:val="00B6778A"/>
    <w:rsid w:val="00B67806"/>
    <w:rsid w:val="00B67A15"/>
    <w:rsid w:val="00B67D4F"/>
    <w:rsid w:val="00B67DE9"/>
    <w:rsid w:val="00B67E1B"/>
    <w:rsid w:val="00B67E5F"/>
    <w:rsid w:val="00B67F06"/>
    <w:rsid w:val="00B67F3F"/>
    <w:rsid w:val="00B6DDCE"/>
    <w:rsid w:val="00B701F0"/>
    <w:rsid w:val="00B702AA"/>
    <w:rsid w:val="00B70389"/>
    <w:rsid w:val="00B704D6"/>
    <w:rsid w:val="00B704EC"/>
    <w:rsid w:val="00B705BC"/>
    <w:rsid w:val="00B705C2"/>
    <w:rsid w:val="00B70694"/>
    <w:rsid w:val="00B7077E"/>
    <w:rsid w:val="00B70937"/>
    <w:rsid w:val="00B709C3"/>
    <w:rsid w:val="00B709EA"/>
    <w:rsid w:val="00B70A28"/>
    <w:rsid w:val="00B70A8C"/>
    <w:rsid w:val="00B70B15"/>
    <w:rsid w:val="00B70B65"/>
    <w:rsid w:val="00B70E34"/>
    <w:rsid w:val="00B70E94"/>
    <w:rsid w:val="00B710F9"/>
    <w:rsid w:val="00B71135"/>
    <w:rsid w:val="00B7118A"/>
    <w:rsid w:val="00B71289"/>
    <w:rsid w:val="00B713B1"/>
    <w:rsid w:val="00B713CB"/>
    <w:rsid w:val="00B713E6"/>
    <w:rsid w:val="00B713E9"/>
    <w:rsid w:val="00B716F9"/>
    <w:rsid w:val="00B7193D"/>
    <w:rsid w:val="00B71957"/>
    <w:rsid w:val="00B71976"/>
    <w:rsid w:val="00B719C8"/>
    <w:rsid w:val="00B71A8C"/>
    <w:rsid w:val="00B71B6B"/>
    <w:rsid w:val="00B71D3C"/>
    <w:rsid w:val="00B71D7F"/>
    <w:rsid w:val="00B71E54"/>
    <w:rsid w:val="00B71F9C"/>
    <w:rsid w:val="00B7215B"/>
    <w:rsid w:val="00B7215D"/>
    <w:rsid w:val="00B721A0"/>
    <w:rsid w:val="00B72388"/>
    <w:rsid w:val="00B723E9"/>
    <w:rsid w:val="00B72431"/>
    <w:rsid w:val="00B72565"/>
    <w:rsid w:val="00B7271D"/>
    <w:rsid w:val="00B72763"/>
    <w:rsid w:val="00B7276C"/>
    <w:rsid w:val="00B7277B"/>
    <w:rsid w:val="00B72923"/>
    <w:rsid w:val="00B72982"/>
    <w:rsid w:val="00B729C6"/>
    <w:rsid w:val="00B72C7E"/>
    <w:rsid w:val="00B72CB4"/>
    <w:rsid w:val="00B73128"/>
    <w:rsid w:val="00B73430"/>
    <w:rsid w:val="00B734AC"/>
    <w:rsid w:val="00B735F4"/>
    <w:rsid w:val="00B73B3F"/>
    <w:rsid w:val="00B73BA5"/>
    <w:rsid w:val="00B73D9E"/>
    <w:rsid w:val="00B73E72"/>
    <w:rsid w:val="00B740BC"/>
    <w:rsid w:val="00B7435F"/>
    <w:rsid w:val="00B74637"/>
    <w:rsid w:val="00B74728"/>
    <w:rsid w:val="00B747CF"/>
    <w:rsid w:val="00B749B4"/>
    <w:rsid w:val="00B74A7E"/>
    <w:rsid w:val="00B74ABD"/>
    <w:rsid w:val="00B74AE0"/>
    <w:rsid w:val="00B74D21"/>
    <w:rsid w:val="00B74D78"/>
    <w:rsid w:val="00B74D81"/>
    <w:rsid w:val="00B74DE0"/>
    <w:rsid w:val="00B75100"/>
    <w:rsid w:val="00B751F6"/>
    <w:rsid w:val="00B75205"/>
    <w:rsid w:val="00B75332"/>
    <w:rsid w:val="00B753E4"/>
    <w:rsid w:val="00B75464"/>
    <w:rsid w:val="00B754E3"/>
    <w:rsid w:val="00B75558"/>
    <w:rsid w:val="00B75623"/>
    <w:rsid w:val="00B75735"/>
    <w:rsid w:val="00B75970"/>
    <w:rsid w:val="00B75A2F"/>
    <w:rsid w:val="00B75B4D"/>
    <w:rsid w:val="00B75BB9"/>
    <w:rsid w:val="00B75CAF"/>
    <w:rsid w:val="00B75CFD"/>
    <w:rsid w:val="00B75DEC"/>
    <w:rsid w:val="00B760DF"/>
    <w:rsid w:val="00B760FF"/>
    <w:rsid w:val="00B7612E"/>
    <w:rsid w:val="00B761C2"/>
    <w:rsid w:val="00B762E4"/>
    <w:rsid w:val="00B76493"/>
    <w:rsid w:val="00B764BA"/>
    <w:rsid w:val="00B76508"/>
    <w:rsid w:val="00B765CA"/>
    <w:rsid w:val="00B76850"/>
    <w:rsid w:val="00B768A1"/>
    <w:rsid w:val="00B7692D"/>
    <w:rsid w:val="00B769D5"/>
    <w:rsid w:val="00B76A0B"/>
    <w:rsid w:val="00B76A64"/>
    <w:rsid w:val="00B76A6E"/>
    <w:rsid w:val="00B76A88"/>
    <w:rsid w:val="00B76BB1"/>
    <w:rsid w:val="00B76CA9"/>
    <w:rsid w:val="00B76CE5"/>
    <w:rsid w:val="00B771FA"/>
    <w:rsid w:val="00B77256"/>
    <w:rsid w:val="00B77292"/>
    <w:rsid w:val="00B772BA"/>
    <w:rsid w:val="00B777FD"/>
    <w:rsid w:val="00B7780A"/>
    <w:rsid w:val="00B77A0A"/>
    <w:rsid w:val="00B77A76"/>
    <w:rsid w:val="00B77E5B"/>
    <w:rsid w:val="00B77F13"/>
    <w:rsid w:val="00B80225"/>
    <w:rsid w:val="00B803CA"/>
    <w:rsid w:val="00B80458"/>
    <w:rsid w:val="00B80478"/>
    <w:rsid w:val="00B80501"/>
    <w:rsid w:val="00B805D1"/>
    <w:rsid w:val="00B8086E"/>
    <w:rsid w:val="00B808AA"/>
    <w:rsid w:val="00B809B2"/>
    <w:rsid w:val="00B80A33"/>
    <w:rsid w:val="00B80B94"/>
    <w:rsid w:val="00B80BA3"/>
    <w:rsid w:val="00B80C6E"/>
    <w:rsid w:val="00B8100A"/>
    <w:rsid w:val="00B8108E"/>
    <w:rsid w:val="00B8111E"/>
    <w:rsid w:val="00B81152"/>
    <w:rsid w:val="00B8161F"/>
    <w:rsid w:val="00B816D3"/>
    <w:rsid w:val="00B81797"/>
    <w:rsid w:val="00B81809"/>
    <w:rsid w:val="00B818E0"/>
    <w:rsid w:val="00B81927"/>
    <w:rsid w:val="00B81C92"/>
    <w:rsid w:val="00B81F5D"/>
    <w:rsid w:val="00B820B5"/>
    <w:rsid w:val="00B8210A"/>
    <w:rsid w:val="00B823B4"/>
    <w:rsid w:val="00B823C7"/>
    <w:rsid w:val="00B825D9"/>
    <w:rsid w:val="00B825FE"/>
    <w:rsid w:val="00B8270A"/>
    <w:rsid w:val="00B8281D"/>
    <w:rsid w:val="00B829F4"/>
    <w:rsid w:val="00B82D38"/>
    <w:rsid w:val="00B82E31"/>
    <w:rsid w:val="00B83024"/>
    <w:rsid w:val="00B831F6"/>
    <w:rsid w:val="00B8337A"/>
    <w:rsid w:val="00B83383"/>
    <w:rsid w:val="00B833E6"/>
    <w:rsid w:val="00B8373D"/>
    <w:rsid w:val="00B8378B"/>
    <w:rsid w:val="00B83DA4"/>
    <w:rsid w:val="00B83F95"/>
    <w:rsid w:val="00B8407E"/>
    <w:rsid w:val="00B84375"/>
    <w:rsid w:val="00B84579"/>
    <w:rsid w:val="00B84610"/>
    <w:rsid w:val="00B848B4"/>
    <w:rsid w:val="00B849D0"/>
    <w:rsid w:val="00B849F6"/>
    <w:rsid w:val="00B84A7E"/>
    <w:rsid w:val="00B84C25"/>
    <w:rsid w:val="00B84D6E"/>
    <w:rsid w:val="00B84EC3"/>
    <w:rsid w:val="00B84FDB"/>
    <w:rsid w:val="00B850F8"/>
    <w:rsid w:val="00B8527D"/>
    <w:rsid w:val="00B852BF"/>
    <w:rsid w:val="00B85505"/>
    <w:rsid w:val="00B85523"/>
    <w:rsid w:val="00B8577A"/>
    <w:rsid w:val="00B857C7"/>
    <w:rsid w:val="00B8599B"/>
    <w:rsid w:val="00B85D6C"/>
    <w:rsid w:val="00B85F66"/>
    <w:rsid w:val="00B860AF"/>
    <w:rsid w:val="00B861FC"/>
    <w:rsid w:val="00B8646C"/>
    <w:rsid w:val="00B864EA"/>
    <w:rsid w:val="00B86559"/>
    <w:rsid w:val="00B8679A"/>
    <w:rsid w:val="00B868F1"/>
    <w:rsid w:val="00B86972"/>
    <w:rsid w:val="00B86A57"/>
    <w:rsid w:val="00B86C8E"/>
    <w:rsid w:val="00B86CC0"/>
    <w:rsid w:val="00B86CD0"/>
    <w:rsid w:val="00B86D1B"/>
    <w:rsid w:val="00B86D86"/>
    <w:rsid w:val="00B86F28"/>
    <w:rsid w:val="00B8704A"/>
    <w:rsid w:val="00B8718B"/>
    <w:rsid w:val="00B8723A"/>
    <w:rsid w:val="00B87544"/>
    <w:rsid w:val="00B87664"/>
    <w:rsid w:val="00B876E2"/>
    <w:rsid w:val="00B877AE"/>
    <w:rsid w:val="00B8783B"/>
    <w:rsid w:val="00B8789E"/>
    <w:rsid w:val="00B8793A"/>
    <w:rsid w:val="00B87AAB"/>
    <w:rsid w:val="00B87C36"/>
    <w:rsid w:val="00B87CF0"/>
    <w:rsid w:val="00B87D39"/>
    <w:rsid w:val="00B87DD3"/>
    <w:rsid w:val="00B87E6D"/>
    <w:rsid w:val="00B87E97"/>
    <w:rsid w:val="00B901AD"/>
    <w:rsid w:val="00B901D8"/>
    <w:rsid w:val="00B902D1"/>
    <w:rsid w:val="00B905EE"/>
    <w:rsid w:val="00B90770"/>
    <w:rsid w:val="00B907D7"/>
    <w:rsid w:val="00B9084B"/>
    <w:rsid w:val="00B908D6"/>
    <w:rsid w:val="00B90AA7"/>
    <w:rsid w:val="00B90B5C"/>
    <w:rsid w:val="00B90C1A"/>
    <w:rsid w:val="00B90D11"/>
    <w:rsid w:val="00B90EF5"/>
    <w:rsid w:val="00B90F1C"/>
    <w:rsid w:val="00B90F97"/>
    <w:rsid w:val="00B91033"/>
    <w:rsid w:val="00B91229"/>
    <w:rsid w:val="00B91311"/>
    <w:rsid w:val="00B91320"/>
    <w:rsid w:val="00B9150F"/>
    <w:rsid w:val="00B9171C"/>
    <w:rsid w:val="00B91839"/>
    <w:rsid w:val="00B91897"/>
    <w:rsid w:val="00B91915"/>
    <w:rsid w:val="00B91935"/>
    <w:rsid w:val="00B91995"/>
    <w:rsid w:val="00B91BAA"/>
    <w:rsid w:val="00B91CD0"/>
    <w:rsid w:val="00B91DCA"/>
    <w:rsid w:val="00B91ECC"/>
    <w:rsid w:val="00B92156"/>
    <w:rsid w:val="00B921AC"/>
    <w:rsid w:val="00B921F2"/>
    <w:rsid w:val="00B921F5"/>
    <w:rsid w:val="00B922D0"/>
    <w:rsid w:val="00B9230F"/>
    <w:rsid w:val="00B92352"/>
    <w:rsid w:val="00B926C2"/>
    <w:rsid w:val="00B92758"/>
    <w:rsid w:val="00B9289C"/>
    <w:rsid w:val="00B92A3B"/>
    <w:rsid w:val="00B92B2B"/>
    <w:rsid w:val="00B92B44"/>
    <w:rsid w:val="00B92DC8"/>
    <w:rsid w:val="00B92E42"/>
    <w:rsid w:val="00B92EA4"/>
    <w:rsid w:val="00B92F01"/>
    <w:rsid w:val="00B930F9"/>
    <w:rsid w:val="00B93147"/>
    <w:rsid w:val="00B9323F"/>
    <w:rsid w:val="00B9340C"/>
    <w:rsid w:val="00B9357B"/>
    <w:rsid w:val="00B93AE6"/>
    <w:rsid w:val="00B93B28"/>
    <w:rsid w:val="00B93B66"/>
    <w:rsid w:val="00B93C56"/>
    <w:rsid w:val="00B93D37"/>
    <w:rsid w:val="00B93DAB"/>
    <w:rsid w:val="00B93DB0"/>
    <w:rsid w:val="00B93DEE"/>
    <w:rsid w:val="00B93E09"/>
    <w:rsid w:val="00B93F24"/>
    <w:rsid w:val="00B9407A"/>
    <w:rsid w:val="00B94164"/>
    <w:rsid w:val="00B9428F"/>
    <w:rsid w:val="00B943E8"/>
    <w:rsid w:val="00B94457"/>
    <w:rsid w:val="00B94469"/>
    <w:rsid w:val="00B944A5"/>
    <w:rsid w:val="00B94584"/>
    <w:rsid w:val="00B947B3"/>
    <w:rsid w:val="00B94881"/>
    <w:rsid w:val="00B949C5"/>
    <w:rsid w:val="00B94AED"/>
    <w:rsid w:val="00B94D33"/>
    <w:rsid w:val="00B94F00"/>
    <w:rsid w:val="00B9501F"/>
    <w:rsid w:val="00B95088"/>
    <w:rsid w:val="00B950B2"/>
    <w:rsid w:val="00B9543D"/>
    <w:rsid w:val="00B954F0"/>
    <w:rsid w:val="00B9559D"/>
    <w:rsid w:val="00B956B8"/>
    <w:rsid w:val="00B95715"/>
    <w:rsid w:val="00B95774"/>
    <w:rsid w:val="00B95833"/>
    <w:rsid w:val="00B958F5"/>
    <w:rsid w:val="00B95B1C"/>
    <w:rsid w:val="00B95BD4"/>
    <w:rsid w:val="00B95C01"/>
    <w:rsid w:val="00B96014"/>
    <w:rsid w:val="00B96015"/>
    <w:rsid w:val="00B96242"/>
    <w:rsid w:val="00B964F6"/>
    <w:rsid w:val="00B965B8"/>
    <w:rsid w:val="00B9687E"/>
    <w:rsid w:val="00B96919"/>
    <w:rsid w:val="00B96973"/>
    <w:rsid w:val="00B969F0"/>
    <w:rsid w:val="00B969F3"/>
    <w:rsid w:val="00B96AC5"/>
    <w:rsid w:val="00B96C0B"/>
    <w:rsid w:val="00B96CA8"/>
    <w:rsid w:val="00B96E62"/>
    <w:rsid w:val="00B96EEC"/>
    <w:rsid w:val="00B96F3F"/>
    <w:rsid w:val="00B97129"/>
    <w:rsid w:val="00B972B7"/>
    <w:rsid w:val="00B972E9"/>
    <w:rsid w:val="00B97839"/>
    <w:rsid w:val="00B97854"/>
    <w:rsid w:val="00B9789C"/>
    <w:rsid w:val="00B9796A"/>
    <w:rsid w:val="00B97A01"/>
    <w:rsid w:val="00B97C46"/>
    <w:rsid w:val="00B97D28"/>
    <w:rsid w:val="00B97E2B"/>
    <w:rsid w:val="00B97EB8"/>
    <w:rsid w:val="00B97EEE"/>
    <w:rsid w:val="00B97F56"/>
    <w:rsid w:val="00BA01FD"/>
    <w:rsid w:val="00BA02FD"/>
    <w:rsid w:val="00BA03C4"/>
    <w:rsid w:val="00BA03D4"/>
    <w:rsid w:val="00BA0443"/>
    <w:rsid w:val="00BA0459"/>
    <w:rsid w:val="00BA04E3"/>
    <w:rsid w:val="00BA062F"/>
    <w:rsid w:val="00BA0796"/>
    <w:rsid w:val="00BA08C0"/>
    <w:rsid w:val="00BA0E0C"/>
    <w:rsid w:val="00BA0FB3"/>
    <w:rsid w:val="00BA1296"/>
    <w:rsid w:val="00BA1355"/>
    <w:rsid w:val="00BA1575"/>
    <w:rsid w:val="00BA15FC"/>
    <w:rsid w:val="00BA17D0"/>
    <w:rsid w:val="00BA1915"/>
    <w:rsid w:val="00BA19E5"/>
    <w:rsid w:val="00BA1B66"/>
    <w:rsid w:val="00BA1CD1"/>
    <w:rsid w:val="00BA1D40"/>
    <w:rsid w:val="00BA2006"/>
    <w:rsid w:val="00BA2314"/>
    <w:rsid w:val="00BA2645"/>
    <w:rsid w:val="00BA26F9"/>
    <w:rsid w:val="00BA2726"/>
    <w:rsid w:val="00BA27A6"/>
    <w:rsid w:val="00BA2CA0"/>
    <w:rsid w:val="00BA2D01"/>
    <w:rsid w:val="00BA2D61"/>
    <w:rsid w:val="00BA2E5D"/>
    <w:rsid w:val="00BA2E74"/>
    <w:rsid w:val="00BA2F9C"/>
    <w:rsid w:val="00BA3047"/>
    <w:rsid w:val="00BA32F4"/>
    <w:rsid w:val="00BA3409"/>
    <w:rsid w:val="00BA3431"/>
    <w:rsid w:val="00BA37C9"/>
    <w:rsid w:val="00BA3A39"/>
    <w:rsid w:val="00BA3FA4"/>
    <w:rsid w:val="00BA40E0"/>
    <w:rsid w:val="00BA4140"/>
    <w:rsid w:val="00BA4288"/>
    <w:rsid w:val="00BA4313"/>
    <w:rsid w:val="00BA4380"/>
    <w:rsid w:val="00BA44E7"/>
    <w:rsid w:val="00BA463B"/>
    <w:rsid w:val="00BA46A8"/>
    <w:rsid w:val="00BA48E6"/>
    <w:rsid w:val="00BA4AC1"/>
    <w:rsid w:val="00BA4E73"/>
    <w:rsid w:val="00BA4ED5"/>
    <w:rsid w:val="00BA5335"/>
    <w:rsid w:val="00BA5409"/>
    <w:rsid w:val="00BA5473"/>
    <w:rsid w:val="00BA54E2"/>
    <w:rsid w:val="00BA55DC"/>
    <w:rsid w:val="00BA59F2"/>
    <w:rsid w:val="00BA5A60"/>
    <w:rsid w:val="00BA5B85"/>
    <w:rsid w:val="00BA5DCD"/>
    <w:rsid w:val="00BA5E8A"/>
    <w:rsid w:val="00BA5EA4"/>
    <w:rsid w:val="00BA5EBC"/>
    <w:rsid w:val="00BA5F69"/>
    <w:rsid w:val="00BA615D"/>
    <w:rsid w:val="00BA62E6"/>
    <w:rsid w:val="00BA6352"/>
    <w:rsid w:val="00BA6354"/>
    <w:rsid w:val="00BA6430"/>
    <w:rsid w:val="00BA64BE"/>
    <w:rsid w:val="00BA6549"/>
    <w:rsid w:val="00BA6550"/>
    <w:rsid w:val="00BA6779"/>
    <w:rsid w:val="00BA6791"/>
    <w:rsid w:val="00BA67C9"/>
    <w:rsid w:val="00BA6C31"/>
    <w:rsid w:val="00BA6C46"/>
    <w:rsid w:val="00BA6DC3"/>
    <w:rsid w:val="00BA6E26"/>
    <w:rsid w:val="00BA7064"/>
    <w:rsid w:val="00BA70C7"/>
    <w:rsid w:val="00BA7446"/>
    <w:rsid w:val="00BA755D"/>
    <w:rsid w:val="00BA75B3"/>
    <w:rsid w:val="00BA7761"/>
    <w:rsid w:val="00BA77B4"/>
    <w:rsid w:val="00BA78AF"/>
    <w:rsid w:val="00BA78E7"/>
    <w:rsid w:val="00BA7971"/>
    <w:rsid w:val="00BA7B9A"/>
    <w:rsid w:val="00BA7BF1"/>
    <w:rsid w:val="00BA7E35"/>
    <w:rsid w:val="00BA7E78"/>
    <w:rsid w:val="00BA7FAE"/>
    <w:rsid w:val="00BB0068"/>
    <w:rsid w:val="00BB00D7"/>
    <w:rsid w:val="00BB00DE"/>
    <w:rsid w:val="00BB018F"/>
    <w:rsid w:val="00BB01EE"/>
    <w:rsid w:val="00BB0300"/>
    <w:rsid w:val="00BB042B"/>
    <w:rsid w:val="00BB0470"/>
    <w:rsid w:val="00BB05ED"/>
    <w:rsid w:val="00BB0732"/>
    <w:rsid w:val="00BB07BD"/>
    <w:rsid w:val="00BB07FB"/>
    <w:rsid w:val="00BB0944"/>
    <w:rsid w:val="00BB0C1C"/>
    <w:rsid w:val="00BB0E48"/>
    <w:rsid w:val="00BB0FC0"/>
    <w:rsid w:val="00BB10CB"/>
    <w:rsid w:val="00BB1470"/>
    <w:rsid w:val="00BB158D"/>
    <w:rsid w:val="00BB17C5"/>
    <w:rsid w:val="00BB1861"/>
    <w:rsid w:val="00BB1906"/>
    <w:rsid w:val="00BB1982"/>
    <w:rsid w:val="00BB19D6"/>
    <w:rsid w:val="00BB1A5C"/>
    <w:rsid w:val="00BB1B2F"/>
    <w:rsid w:val="00BB1B95"/>
    <w:rsid w:val="00BB1F99"/>
    <w:rsid w:val="00BB2344"/>
    <w:rsid w:val="00BB2807"/>
    <w:rsid w:val="00BB298C"/>
    <w:rsid w:val="00BB2CE7"/>
    <w:rsid w:val="00BB313C"/>
    <w:rsid w:val="00BB3191"/>
    <w:rsid w:val="00BB319E"/>
    <w:rsid w:val="00BB3273"/>
    <w:rsid w:val="00BB32EA"/>
    <w:rsid w:val="00BB33FF"/>
    <w:rsid w:val="00BB360F"/>
    <w:rsid w:val="00BB3752"/>
    <w:rsid w:val="00BB375C"/>
    <w:rsid w:val="00BB383A"/>
    <w:rsid w:val="00BB395F"/>
    <w:rsid w:val="00BB39CA"/>
    <w:rsid w:val="00BB3A2F"/>
    <w:rsid w:val="00BB3A93"/>
    <w:rsid w:val="00BB3D3F"/>
    <w:rsid w:val="00BB3F34"/>
    <w:rsid w:val="00BB3FE5"/>
    <w:rsid w:val="00BB40D1"/>
    <w:rsid w:val="00BB443E"/>
    <w:rsid w:val="00BB44AD"/>
    <w:rsid w:val="00BB488D"/>
    <w:rsid w:val="00BB48C2"/>
    <w:rsid w:val="00BB48C3"/>
    <w:rsid w:val="00BB4966"/>
    <w:rsid w:val="00BB4B9D"/>
    <w:rsid w:val="00BB4C55"/>
    <w:rsid w:val="00BB4F02"/>
    <w:rsid w:val="00BB4FF0"/>
    <w:rsid w:val="00BB5020"/>
    <w:rsid w:val="00BB53A9"/>
    <w:rsid w:val="00BB542F"/>
    <w:rsid w:val="00BB5667"/>
    <w:rsid w:val="00BB5897"/>
    <w:rsid w:val="00BB591B"/>
    <w:rsid w:val="00BB59F5"/>
    <w:rsid w:val="00BB5C1F"/>
    <w:rsid w:val="00BB5C6C"/>
    <w:rsid w:val="00BB5DB5"/>
    <w:rsid w:val="00BB5DCA"/>
    <w:rsid w:val="00BB5F30"/>
    <w:rsid w:val="00BB5FEE"/>
    <w:rsid w:val="00BB606A"/>
    <w:rsid w:val="00BB6078"/>
    <w:rsid w:val="00BB622A"/>
    <w:rsid w:val="00BB6342"/>
    <w:rsid w:val="00BB63DD"/>
    <w:rsid w:val="00BB63F1"/>
    <w:rsid w:val="00BB66F6"/>
    <w:rsid w:val="00BB69D9"/>
    <w:rsid w:val="00BB6B55"/>
    <w:rsid w:val="00BB6BE1"/>
    <w:rsid w:val="00BB6BEF"/>
    <w:rsid w:val="00BB6DDF"/>
    <w:rsid w:val="00BB7133"/>
    <w:rsid w:val="00BB71BF"/>
    <w:rsid w:val="00BB727D"/>
    <w:rsid w:val="00BB75D1"/>
    <w:rsid w:val="00BB7854"/>
    <w:rsid w:val="00BB78B1"/>
    <w:rsid w:val="00BB78B9"/>
    <w:rsid w:val="00BB7963"/>
    <w:rsid w:val="00BB7992"/>
    <w:rsid w:val="00BB7E78"/>
    <w:rsid w:val="00BB7FA3"/>
    <w:rsid w:val="00BB7FF8"/>
    <w:rsid w:val="00BC00E5"/>
    <w:rsid w:val="00BC01F1"/>
    <w:rsid w:val="00BC0233"/>
    <w:rsid w:val="00BC03BF"/>
    <w:rsid w:val="00BC063E"/>
    <w:rsid w:val="00BC06AC"/>
    <w:rsid w:val="00BC071D"/>
    <w:rsid w:val="00BC073E"/>
    <w:rsid w:val="00BC0782"/>
    <w:rsid w:val="00BC089B"/>
    <w:rsid w:val="00BC08EA"/>
    <w:rsid w:val="00BC0A27"/>
    <w:rsid w:val="00BC0B41"/>
    <w:rsid w:val="00BC0BDD"/>
    <w:rsid w:val="00BC0F75"/>
    <w:rsid w:val="00BC0F77"/>
    <w:rsid w:val="00BC1045"/>
    <w:rsid w:val="00BC10E7"/>
    <w:rsid w:val="00BC145C"/>
    <w:rsid w:val="00BC1499"/>
    <w:rsid w:val="00BC14C0"/>
    <w:rsid w:val="00BC15AA"/>
    <w:rsid w:val="00BC15E2"/>
    <w:rsid w:val="00BC16E7"/>
    <w:rsid w:val="00BC19E0"/>
    <w:rsid w:val="00BC19F1"/>
    <w:rsid w:val="00BC1A26"/>
    <w:rsid w:val="00BC1B43"/>
    <w:rsid w:val="00BC1C1F"/>
    <w:rsid w:val="00BC25AF"/>
    <w:rsid w:val="00BC288F"/>
    <w:rsid w:val="00BC2A9A"/>
    <w:rsid w:val="00BC2A9C"/>
    <w:rsid w:val="00BC2C7D"/>
    <w:rsid w:val="00BC2CC7"/>
    <w:rsid w:val="00BC2DD3"/>
    <w:rsid w:val="00BC2DD7"/>
    <w:rsid w:val="00BC2FF9"/>
    <w:rsid w:val="00BC34BB"/>
    <w:rsid w:val="00BC3956"/>
    <w:rsid w:val="00BC3980"/>
    <w:rsid w:val="00BC3A18"/>
    <w:rsid w:val="00BC3A62"/>
    <w:rsid w:val="00BC3A68"/>
    <w:rsid w:val="00BC3E09"/>
    <w:rsid w:val="00BC3F1B"/>
    <w:rsid w:val="00BC412E"/>
    <w:rsid w:val="00BC4238"/>
    <w:rsid w:val="00BC495A"/>
    <w:rsid w:val="00BC49A8"/>
    <w:rsid w:val="00BC4A44"/>
    <w:rsid w:val="00BC4BF8"/>
    <w:rsid w:val="00BC4C0D"/>
    <w:rsid w:val="00BC4C15"/>
    <w:rsid w:val="00BC4DC4"/>
    <w:rsid w:val="00BC4DD5"/>
    <w:rsid w:val="00BC5094"/>
    <w:rsid w:val="00BC50FF"/>
    <w:rsid w:val="00BC5107"/>
    <w:rsid w:val="00BC5174"/>
    <w:rsid w:val="00BC5330"/>
    <w:rsid w:val="00BC5397"/>
    <w:rsid w:val="00BC53C8"/>
    <w:rsid w:val="00BC53DE"/>
    <w:rsid w:val="00BC573C"/>
    <w:rsid w:val="00BC5789"/>
    <w:rsid w:val="00BC58B6"/>
    <w:rsid w:val="00BC58C6"/>
    <w:rsid w:val="00BC5963"/>
    <w:rsid w:val="00BC5AEC"/>
    <w:rsid w:val="00BC5BCD"/>
    <w:rsid w:val="00BC5C9B"/>
    <w:rsid w:val="00BC5D82"/>
    <w:rsid w:val="00BC5E33"/>
    <w:rsid w:val="00BC5E9B"/>
    <w:rsid w:val="00BC6056"/>
    <w:rsid w:val="00BC6132"/>
    <w:rsid w:val="00BC6362"/>
    <w:rsid w:val="00BC6482"/>
    <w:rsid w:val="00BC66F4"/>
    <w:rsid w:val="00BC6724"/>
    <w:rsid w:val="00BC674F"/>
    <w:rsid w:val="00BC6929"/>
    <w:rsid w:val="00BC69B4"/>
    <w:rsid w:val="00BC69FC"/>
    <w:rsid w:val="00BC6B16"/>
    <w:rsid w:val="00BC6C68"/>
    <w:rsid w:val="00BC6D23"/>
    <w:rsid w:val="00BC6D91"/>
    <w:rsid w:val="00BC6E27"/>
    <w:rsid w:val="00BC6EB3"/>
    <w:rsid w:val="00BC700D"/>
    <w:rsid w:val="00BC7160"/>
    <w:rsid w:val="00BC7212"/>
    <w:rsid w:val="00BC7317"/>
    <w:rsid w:val="00BC7478"/>
    <w:rsid w:val="00BC74EA"/>
    <w:rsid w:val="00BC76DE"/>
    <w:rsid w:val="00BC79F3"/>
    <w:rsid w:val="00BC7A7D"/>
    <w:rsid w:val="00BC7B47"/>
    <w:rsid w:val="00BC7F7B"/>
    <w:rsid w:val="00BD00CA"/>
    <w:rsid w:val="00BD03D5"/>
    <w:rsid w:val="00BD047E"/>
    <w:rsid w:val="00BD04AB"/>
    <w:rsid w:val="00BD0634"/>
    <w:rsid w:val="00BD09C2"/>
    <w:rsid w:val="00BD09DF"/>
    <w:rsid w:val="00BD0B1A"/>
    <w:rsid w:val="00BD0E22"/>
    <w:rsid w:val="00BD1099"/>
    <w:rsid w:val="00BD11F7"/>
    <w:rsid w:val="00BD14BF"/>
    <w:rsid w:val="00BD165F"/>
    <w:rsid w:val="00BD1723"/>
    <w:rsid w:val="00BD17DC"/>
    <w:rsid w:val="00BD17E8"/>
    <w:rsid w:val="00BD1A55"/>
    <w:rsid w:val="00BD1AFA"/>
    <w:rsid w:val="00BD1B5A"/>
    <w:rsid w:val="00BD1BD6"/>
    <w:rsid w:val="00BD1CE9"/>
    <w:rsid w:val="00BD1D32"/>
    <w:rsid w:val="00BD1E64"/>
    <w:rsid w:val="00BD1E9F"/>
    <w:rsid w:val="00BD1FA8"/>
    <w:rsid w:val="00BD245C"/>
    <w:rsid w:val="00BD245E"/>
    <w:rsid w:val="00BD2CCA"/>
    <w:rsid w:val="00BD2CCD"/>
    <w:rsid w:val="00BD2CFE"/>
    <w:rsid w:val="00BD2EB7"/>
    <w:rsid w:val="00BD2FCE"/>
    <w:rsid w:val="00BD3134"/>
    <w:rsid w:val="00BD3156"/>
    <w:rsid w:val="00BD350C"/>
    <w:rsid w:val="00BD3600"/>
    <w:rsid w:val="00BD3852"/>
    <w:rsid w:val="00BD39B9"/>
    <w:rsid w:val="00BD3A04"/>
    <w:rsid w:val="00BD3E45"/>
    <w:rsid w:val="00BD3E4C"/>
    <w:rsid w:val="00BD3EAA"/>
    <w:rsid w:val="00BD3FE4"/>
    <w:rsid w:val="00BD40C6"/>
    <w:rsid w:val="00BD417B"/>
    <w:rsid w:val="00BD4202"/>
    <w:rsid w:val="00BD422D"/>
    <w:rsid w:val="00BD42FC"/>
    <w:rsid w:val="00BD43A7"/>
    <w:rsid w:val="00BD450E"/>
    <w:rsid w:val="00BD4537"/>
    <w:rsid w:val="00BD463B"/>
    <w:rsid w:val="00BD4793"/>
    <w:rsid w:val="00BD4860"/>
    <w:rsid w:val="00BD497C"/>
    <w:rsid w:val="00BD4B18"/>
    <w:rsid w:val="00BD4B21"/>
    <w:rsid w:val="00BD4BFD"/>
    <w:rsid w:val="00BD4C06"/>
    <w:rsid w:val="00BD4C58"/>
    <w:rsid w:val="00BD4D07"/>
    <w:rsid w:val="00BD4FC4"/>
    <w:rsid w:val="00BD501F"/>
    <w:rsid w:val="00BD516F"/>
    <w:rsid w:val="00BD574E"/>
    <w:rsid w:val="00BD593D"/>
    <w:rsid w:val="00BD5AEC"/>
    <w:rsid w:val="00BD5D27"/>
    <w:rsid w:val="00BD5D2F"/>
    <w:rsid w:val="00BD5FEF"/>
    <w:rsid w:val="00BD60F2"/>
    <w:rsid w:val="00BD63D1"/>
    <w:rsid w:val="00BD6646"/>
    <w:rsid w:val="00BD6780"/>
    <w:rsid w:val="00BD69FC"/>
    <w:rsid w:val="00BD6B7C"/>
    <w:rsid w:val="00BD6D05"/>
    <w:rsid w:val="00BD6E44"/>
    <w:rsid w:val="00BD6FED"/>
    <w:rsid w:val="00BD70C5"/>
    <w:rsid w:val="00BD7112"/>
    <w:rsid w:val="00BD729E"/>
    <w:rsid w:val="00BD74DE"/>
    <w:rsid w:val="00BD763E"/>
    <w:rsid w:val="00BD76DA"/>
    <w:rsid w:val="00BD76E3"/>
    <w:rsid w:val="00BD76E5"/>
    <w:rsid w:val="00BD7C46"/>
    <w:rsid w:val="00BD7CAC"/>
    <w:rsid w:val="00BD7F6A"/>
    <w:rsid w:val="00BD7FB8"/>
    <w:rsid w:val="00BDCCAC"/>
    <w:rsid w:val="00BE00CE"/>
    <w:rsid w:val="00BE024D"/>
    <w:rsid w:val="00BE0493"/>
    <w:rsid w:val="00BE04C7"/>
    <w:rsid w:val="00BE05FE"/>
    <w:rsid w:val="00BE0B41"/>
    <w:rsid w:val="00BE0B5E"/>
    <w:rsid w:val="00BE0D93"/>
    <w:rsid w:val="00BE1059"/>
    <w:rsid w:val="00BE1074"/>
    <w:rsid w:val="00BE11B1"/>
    <w:rsid w:val="00BE139D"/>
    <w:rsid w:val="00BE149B"/>
    <w:rsid w:val="00BE159A"/>
    <w:rsid w:val="00BE15C5"/>
    <w:rsid w:val="00BE16A2"/>
    <w:rsid w:val="00BE174A"/>
    <w:rsid w:val="00BE17F6"/>
    <w:rsid w:val="00BE1B6C"/>
    <w:rsid w:val="00BE1B76"/>
    <w:rsid w:val="00BE1C65"/>
    <w:rsid w:val="00BE1C7F"/>
    <w:rsid w:val="00BE1D03"/>
    <w:rsid w:val="00BE2112"/>
    <w:rsid w:val="00BE2430"/>
    <w:rsid w:val="00BE2622"/>
    <w:rsid w:val="00BE2866"/>
    <w:rsid w:val="00BE2870"/>
    <w:rsid w:val="00BE2975"/>
    <w:rsid w:val="00BE29A2"/>
    <w:rsid w:val="00BE2B15"/>
    <w:rsid w:val="00BE2B9B"/>
    <w:rsid w:val="00BE2B9C"/>
    <w:rsid w:val="00BE2BA9"/>
    <w:rsid w:val="00BE2E2E"/>
    <w:rsid w:val="00BE3035"/>
    <w:rsid w:val="00BE3152"/>
    <w:rsid w:val="00BE316B"/>
    <w:rsid w:val="00BE3513"/>
    <w:rsid w:val="00BE352F"/>
    <w:rsid w:val="00BE36DD"/>
    <w:rsid w:val="00BE386E"/>
    <w:rsid w:val="00BE3901"/>
    <w:rsid w:val="00BE3935"/>
    <w:rsid w:val="00BE3BDA"/>
    <w:rsid w:val="00BE3CA2"/>
    <w:rsid w:val="00BE3D13"/>
    <w:rsid w:val="00BE3DA7"/>
    <w:rsid w:val="00BE3F92"/>
    <w:rsid w:val="00BE4059"/>
    <w:rsid w:val="00BE4166"/>
    <w:rsid w:val="00BE41C9"/>
    <w:rsid w:val="00BE45C2"/>
    <w:rsid w:val="00BE470D"/>
    <w:rsid w:val="00BE47D0"/>
    <w:rsid w:val="00BE489A"/>
    <w:rsid w:val="00BE4AFA"/>
    <w:rsid w:val="00BE4BF4"/>
    <w:rsid w:val="00BE4BFB"/>
    <w:rsid w:val="00BE4DC0"/>
    <w:rsid w:val="00BE4DF7"/>
    <w:rsid w:val="00BE4E50"/>
    <w:rsid w:val="00BE5005"/>
    <w:rsid w:val="00BE50A9"/>
    <w:rsid w:val="00BE518B"/>
    <w:rsid w:val="00BE547B"/>
    <w:rsid w:val="00BE5545"/>
    <w:rsid w:val="00BE559A"/>
    <w:rsid w:val="00BE5745"/>
    <w:rsid w:val="00BE584B"/>
    <w:rsid w:val="00BE5933"/>
    <w:rsid w:val="00BE5965"/>
    <w:rsid w:val="00BE5977"/>
    <w:rsid w:val="00BE5A0E"/>
    <w:rsid w:val="00BE5A20"/>
    <w:rsid w:val="00BE5B6E"/>
    <w:rsid w:val="00BE5B8C"/>
    <w:rsid w:val="00BE5C5B"/>
    <w:rsid w:val="00BE5E33"/>
    <w:rsid w:val="00BE60C7"/>
    <w:rsid w:val="00BE64A7"/>
    <w:rsid w:val="00BE65BF"/>
    <w:rsid w:val="00BE6688"/>
    <w:rsid w:val="00BE6811"/>
    <w:rsid w:val="00BE68A7"/>
    <w:rsid w:val="00BE68C0"/>
    <w:rsid w:val="00BE6943"/>
    <w:rsid w:val="00BE6A85"/>
    <w:rsid w:val="00BE6C5B"/>
    <w:rsid w:val="00BE6CF5"/>
    <w:rsid w:val="00BE6CF8"/>
    <w:rsid w:val="00BE6E03"/>
    <w:rsid w:val="00BE6E2F"/>
    <w:rsid w:val="00BE6F74"/>
    <w:rsid w:val="00BE7001"/>
    <w:rsid w:val="00BE708B"/>
    <w:rsid w:val="00BE75B4"/>
    <w:rsid w:val="00BE76BF"/>
    <w:rsid w:val="00BE7715"/>
    <w:rsid w:val="00BE79CC"/>
    <w:rsid w:val="00BE7A39"/>
    <w:rsid w:val="00BE7A64"/>
    <w:rsid w:val="00BE7BAB"/>
    <w:rsid w:val="00BE7C17"/>
    <w:rsid w:val="00BE7C65"/>
    <w:rsid w:val="00BE7CF5"/>
    <w:rsid w:val="00BE7F02"/>
    <w:rsid w:val="00BE7F36"/>
    <w:rsid w:val="00BE9489"/>
    <w:rsid w:val="00BF00BF"/>
    <w:rsid w:val="00BF0525"/>
    <w:rsid w:val="00BF066F"/>
    <w:rsid w:val="00BF07C4"/>
    <w:rsid w:val="00BF0883"/>
    <w:rsid w:val="00BF0886"/>
    <w:rsid w:val="00BF08D1"/>
    <w:rsid w:val="00BF09AA"/>
    <w:rsid w:val="00BF09EB"/>
    <w:rsid w:val="00BF0A33"/>
    <w:rsid w:val="00BF0B62"/>
    <w:rsid w:val="00BF0BFA"/>
    <w:rsid w:val="00BF0C4D"/>
    <w:rsid w:val="00BF0C6A"/>
    <w:rsid w:val="00BF0DA0"/>
    <w:rsid w:val="00BF0DBD"/>
    <w:rsid w:val="00BF0EFD"/>
    <w:rsid w:val="00BF0F7A"/>
    <w:rsid w:val="00BF0FE1"/>
    <w:rsid w:val="00BF117A"/>
    <w:rsid w:val="00BF121D"/>
    <w:rsid w:val="00BF124F"/>
    <w:rsid w:val="00BF12DB"/>
    <w:rsid w:val="00BF18B3"/>
    <w:rsid w:val="00BF1B56"/>
    <w:rsid w:val="00BF1DA2"/>
    <w:rsid w:val="00BF1DCC"/>
    <w:rsid w:val="00BF1E0E"/>
    <w:rsid w:val="00BF208C"/>
    <w:rsid w:val="00BF20E1"/>
    <w:rsid w:val="00BF210B"/>
    <w:rsid w:val="00BF218D"/>
    <w:rsid w:val="00BF21B1"/>
    <w:rsid w:val="00BF24C6"/>
    <w:rsid w:val="00BF26A0"/>
    <w:rsid w:val="00BF29AA"/>
    <w:rsid w:val="00BF2A3F"/>
    <w:rsid w:val="00BF2B02"/>
    <w:rsid w:val="00BF2BB1"/>
    <w:rsid w:val="00BF2EB6"/>
    <w:rsid w:val="00BF2F81"/>
    <w:rsid w:val="00BF2FCC"/>
    <w:rsid w:val="00BF2FF8"/>
    <w:rsid w:val="00BF3163"/>
    <w:rsid w:val="00BF31A8"/>
    <w:rsid w:val="00BF327D"/>
    <w:rsid w:val="00BF32ED"/>
    <w:rsid w:val="00BF32FE"/>
    <w:rsid w:val="00BF338A"/>
    <w:rsid w:val="00BF351B"/>
    <w:rsid w:val="00BF366B"/>
    <w:rsid w:val="00BF3705"/>
    <w:rsid w:val="00BF399C"/>
    <w:rsid w:val="00BF3B27"/>
    <w:rsid w:val="00BF3B4B"/>
    <w:rsid w:val="00BF3C4B"/>
    <w:rsid w:val="00BF3C8D"/>
    <w:rsid w:val="00BF3D52"/>
    <w:rsid w:val="00BF3DD8"/>
    <w:rsid w:val="00BF3E08"/>
    <w:rsid w:val="00BF3E94"/>
    <w:rsid w:val="00BF41C7"/>
    <w:rsid w:val="00BF4235"/>
    <w:rsid w:val="00BF441B"/>
    <w:rsid w:val="00BF4553"/>
    <w:rsid w:val="00BF469C"/>
    <w:rsid w:val="00BF47EF"/>
    <w:rsid w:val="00BF4864"/>
    <w:rsid w:val="00BF4A48"/>
    <w:rsid w:val="00BF4C57"/>
    <w:rsid w:val="00BF4DA1"/>
    <w:rsid w:val="00BF4DAE"/>
    <w:rsid w:val="00BF4DD7"/>
    <w:rsid w:val="00BF4FA2"/>
    <w:rsid w:val="00BF5077"/>
    <w:rsid w:val="00BF5408"/>
    <w:rsid w:val="00BF54F9"/>
    <w:rsid w:val="00BF550B"/>
    <w:rsid w:val="00BF5526"/>
    <w:rsid w:val="00BF554A"/>
    <w:rsid w:val="00BF5651"/>
    <w:rsid w:val="00BF5685"/>
    <w:rsid w:val="00BF569F"/>
    <w:rsid w:val="00BF56F0"/>
    <w:rsid w:val="00BF5910"/>
    <w:rsid w:val="00BF5ADE"/>
    <w:rsid w:val="00BF5D12"/>
    <w:rsid w:val="00BF60AD"/>
    <w:rsid w:val="00BF63B2"/>
    <w:rsid w:val="00BF6410"/>
    <w:rsid w:val="00BF6452"/>
    <w:rsid w:val="00BF64AC"/>
    <w:rsid w:val="00BF671F"/>
    <w:rsid w:val="00BF6751"/>
    <w:rsid w:val="00BF693B"/>
    <w:rsid w:val="00BF6A89"/>
    <w:rsid w:val="00BF6AB4"/>
    <w:rsid w:val="00BF6B69"/>
    <w:rsid w:val="00BF6B7F"/>
    <w:rsid w:val="00BF6C3B"/>
    <w:rsid w:val="00BF6DB9"/>
    <w:rsid w:val="00BF71C6"/>
    <w:rsid w:val="00BF721B"/>
    <w:rsid w:val="00BF7273"/>
    <w:rsid w:val="00BF7304"/>
    <w:rsid w:val="00BF7430"/>
    <w:rsid w:val="00BF7432"/>
    <w:rsid w:val="00BF75D7"/>
    <w:rsid w:val="00BF7663"/>
    <w:rsid w:val="00BF7666"/>
    <w:rsid w:val="00BF767B"/>
    <w:rsid w:val="00BF797A"/>
    <w:rsid w:val="00BF7B4F"/>
    <w:rsid w:val="00BF7D03"/>
    <w:rsid w:val="00BF7D21"/>
    <w:rsid w:val="00BF7DBF"/>
    <w:rsid w:val="00BF7E14"/>
    <w:rsid w:val="00BF7FE5"/>
    <w:rsid w:val="00C0007E"/>
    <w:rsid w:val="00C00171"/>
    <w:rsid w:val="00C001A2"/>
    <w:rsid w:val="00C00421"/>
    <w:rsid w:val="00C0046A"/>
    <w:rsid w:val="00C0053A"/>
    <w:rsid w:val="00C006FF"/>
    <w:rsid w:val="00C00938"/>
    <w:rsid w:val="00C009AB"/>
    <w:rsid w:val="00C00A35"/>
    <w:rsid w:val="00C00B6C"/>
    <w:rsid w:val="00C00B6E"/>
    <w:rsid w:val="00C00BBF"/>
    <w:rsid w:val="00C00C4A"/>
    <w:rsid w:val="00C00E37"/>
    <w:rsid w:val="00C00F06"/>
    <w:rsid w:val="00C00F3E"/>
    <w:rsid w:val="00C010FC"/>
    <w:rsid w:val="00C0136D"/>
    <w:rsid w:val="00C015CF"/>
    <w:rsid w:val="00C01668"/>
    <w:rsid w:val="00C016C8"/>
    <w:rsid w:val="00C018FA"/>
    <w:rsid w:val="00C01BCA"/>
    <w:rsid w:val="00C01DEF"/>
    <w:rsid w:val="00C01E6C"/>
    <w:rsid w:val="00C01F73"/>
    <w:rsid w:val="00C02378"/>
    <w:rsid w:val="00C02B6E"/>
    <w:rsid w:val="00C02D7C"/>
    <w:rsid w:val="00C02E87"/>
    <w:rsid w:val="00C02EAC"/>
    <w:rsid w:val="00C02F28"/>
    <w:rsid w:val="00C02FCA"/>
    <w:rsid w:val="00C031A4"/>
    <w:rsid w:val="00C0338A"/>
    <w:rsid w:val="00C03463"/>
    <w:rsid w:val="00C0348F"/>
    <w:rsid w:val="00C034D5"/>
    <w:rsid w:val="00C0363D"/>
    <w:rsid w:val="00C038E0"/>
    <w:rsid w:val="00C03909"/>
    <w:rsid w:val="00C03A66"/>
    <w:rsid w:val="00C03AB5"/>
    <w:rsid w:val="00C03ABF"/>
    <w:rsid w:val="00C03B0E"/>
    <w:rsid w:val="00C041D5"/>
    <w:rsid w:val="00C0441B"/>
    <w:rsid w:val="00C045B3"/>
    <w:rsid w:val="00C0466C"/>
    <w:rsid w:val="00C047E6"/>
    <w:rsid w:val="00C04915"/>
    <w:rsid w:val="00C0492E"/>
    <w:rsid w:val="00C0493C"/>
    <w:rsid w:val="00C04A26"/>
    <w:rsid w:val="00C04AD6"/>
    <w:rsid w:val="00C04B06"/>
    <w:rsid w:val="00C04B25"/>
    <w:rsid w:val="00C04B4D"/>
    <w:rsid w:val="00C04C67"/>
    <w:rsid w:val="00C04C6B"/>
    <w:rsid w:val="00C04D0E"/>
    <w:rsid w:val="00C050EE"/>
    <w:rsid w:val="00C05105"/>
    <w:rsid w:val="00C051C3"/>
    <w:rsid w:val="00C051F2"/>
    <w:rsid w:val="00C0525F"/>
    <w:rsid w:val="00C052D0"/>
    <w:rsid w:val="00C0531A"/>
    <w:rsid w:val="00C0531D"/>
    <w:rsid w:val="00C053DE"/>
    <w:rsid w:val="00C0540F"/>
    <w:rsid w:val="00C05649"/>
    <w:rsid w:val="00C05698"/>
    <w:rsid w:val="00C05758"/>
    <w:rsid w:val="00C0590E"/>
    <w:rsid w:val="00C059A0"/>
    <w:rsid w:val="00C059AE"/>
    <w:rsid w:val="00C05C21"/>
    <w:rsid w:val="00C05C2B"/>
    <w:rsid w:val="00C05C9F"/>
    <w:rsid w:val="00C05CA8"/>
    <w:rsid w:val="00C05F38"/>
    <w:rsid w:val="00C05FD9"/>
    <w:rsid w:val="00C05FF3"/>
    <w:rsid w:val="00C062AF"/>
    <w:rsid w:val="00C06464"/>
    <w:rsid w:val="00C06667"/>
    <w:rsid w:val="00C06ABB"/>
    <w:rsid w:val="00C06B1A"/>
    <w:rsid w:val="00C06B95"/>
    <w:rsid w:val="00C06C2A"/>
    <w:rsid w:val="00C06ECB"/>
    <w:rsid w:val="00C0713A"/>
    <w:rsid w:val="00C0722F"/>
    <w:rsid w:val="00C0743F"/>
    <w:rsid w:val="00C0744E"/>
    <w:rsid w:val="00C074E1"/>
    <w:rsid w:val="00C074EF"/>
    <w:rsid w:val="00C07523"/>
    <w:rsid w:val="00C07695"/>
    <w:rsid w:val="00C07994"/>
    <w:rsid w:val="00C07A00"/>
    <w:rsid w:val="00C07A10"/>
    <w:rsid w:val="00C07A6B"/>
    <w:rsid w:val="00C07B12"/>
    <w:rsid w:val="00C07B74"/>
    <w:rsid w:val="00C07F93"/>
    <w:rsid w:val="00C07FBE"/>
    <w:rsid w:val="00C07FFC"/>
    <w:rsid w:val="00C096F1"/>
    <w:rsid w:val="00C10015"/>
    <w:rsid w:val="00C1005A"/>
    <w:rsid w:val="00C10544"/>
    <w:rsid w:val="00C10664"/>
    <w:rsid w:val="00C1069C"/>
    <w:rsid w:val="00C1079F"/>
    <w:rsid w:val="00C10924"/>
    <w:rsid w:val="00C1096A"/>
    <w:rsid w:val="00C109C8"/>
    <w:rsid w:val="00C109CF"/>
    <w:rsid w:val="00C10ABA"/>
    <w:rsid w:val="00C10B8A"/>
    <w:rsid w:val="00C10BF2"/>
    <w:rsid w:val="00C10ED6"/>
    <w:rsid w:val="00C10F5E"/>
    <w:rsid w:val="00C110D5"/>
    <w:rsid w:val="00C11175"/>
    <w:rsid w:val="00C1133A"/>
    <w:rsid w:val="00C113E2"/>
    <w:rsid w:val="00C115FA"/>
    <w:rsid w:val="00C11784"/>
    <w:rsid w:val="00C11957"/>
    <w:rsid w:val="00C119A0"/>
    <w:rsid w:val="00C119AD"/>
    <w:rsid w:val="00C11A61"/>
    <w:rsid w:val="00C12144"/>
    <w:rsid w:val="00C121FE"/>
    <w:rsid w:val="00C123DC"/>
    <w:rsid w:val="00C12497"/>
    <w:rsid w:val="00C1268F"/>
    <w:rsid w:val="00C126BE"/>
    <w:rsid w:val="00C12A13"/>
    <w:rsid w:val="00C12AF6"/>
    <w:rsid w:val="00C12E48"/>
    <w:rsid w:val="00C12E84"/>
    <w:rsid w:val="00C12E8A"/>
    <w:rsid w:val="00C13279"/>
    <w:rsid w:val="00C1345F"/>
    <w:rsid w:val="00C134A4"/>
    <w:rsid w:val="00C134B9"/>
    <w:rsid w:val="00C135CD"/>
    <w:rsid w:val="00C1383E"/>
    <w:rsid w:val="00C13A5F"/>
    <w:rsid w:val="00C13C41"/>
    <w:rsid w:val="00C13CAE"/>
    <w:rsid w:val="00C13E85"/>
    <w:rsid w:val="00C13FD2"/>
    <w:rsid w:val="00C13FF4"/>
    <w:rsid w:val="00C14139"/>
    <w:rsid w:val="00C141B4"/>
    <w:rsid w:val="00C141F4"/>
    <w:rsid w:val="00C142AA"/>
    <w:rsid w:val="00C143C4"/>
    <w:rsid w:val="00C143ED"/>
    <w:rsid w:val="00C1443D"/>
    <w:rsid w:val="00C1445A"/>
    <w:rsid w:val="00C145F1"/>
    <w:rsid w:val="00C146BA"/>
    <w:rsid w:val="00C1489C"/>
    <w:rsid w:val="00C1491C"/>
    <w:rsid w:val="00C14B73"/>
    <w:rsid w:val="00C14EAB"/>
    <w:rsid w:val="00C14FBE"/>
    <w:rsid w:val="00C15069"/>
    <w:rsid w:val="00C153E5"/>
    <w:rsid w:val="00C15434"/>
    <w:rsid w:val="00C1543F"/>
    <w:rsid w:val="00C15534"/>
    <w:rsid w:val="00C156D5"/>
    <w:rsid w:val="00C157C2"/>
    <w:rsid w:val="00C158D6"/>
    <w:rsid w:val="00C158D7"/>
    <w:rsid w:val="00C15C6A"/>
    <w:rsid w:val="00C15D42"/>
    <w:rsid w:val="00C15E98"/>
    <w:rsid w:val="00C15ECF"/>
    <w:rsid w:val="00C1604F"/>
    <w:rsid w:val="00C16065"/>
    <w:rsid w:val="00C160C4"/>
    <w:rsid w:val="00C16201"/>
    <w:rsid w:val="00C162DB"/>
    <w:rsid w:val="00C164A1"/>
    <w:rsid w:val="00C16703"/>
    <w:rsid w:val="00C16890"/>
    <w:rsid w:val="00C16982"/>
    <w:rsid w:val="00C16B68"/>
    <w:rsid w:val="00C16BE1"/>
    <w:rsid w:val="00C16C7D"/>
    <w:rsid w:val="00C16C96"/>
    <w:rsid w:val="00C16E84"/>
    <w:rsid w:val="00C16E86"/>
    <w:rsid w:val="00C16E8A"/>
    <w:rsid w:val="00C16ECF"/>
    <w:rsid w:val="00C16F41"/>
    <w:rsid w:val="00C16F66"/>
    <w:rsid w:val="00C17384"/>
    <w:rsid w:val="00C17495"/>
    <w:rsid w:val="00C176BB"/>
    <w:rsid w:val="00C17825"/>
    <w:rsid w:val="00C17A4C"/>
    <w:rsid w:val="00C17AD2"/>
    <w:rsid w:val="00C17B1B"/>
    <w:rsid w:val="00C17B87"/>
    <w:rsid w:val="00C17C44"/>
    <w:rsid w:val="00C17CDD"/>
    <w:rsid w:val="00C17D9D"/>
    <w:rsid w:val="00C17DDA"/>
    <w:rsid w:val="00C17FDE"/>
    <w:rsid w:val="00C17FF0"/>
    <w:rsid w:val="00C1989F"/>
    <w:rsid w:val="00C20056"/>
    <w:rsid w:val="00C200EC"/>
    <w:rsid w:val="00C201FE"/>
    <w:rsid w:val="00C2062E"/>
    <w:rsid w:val="00C20735"/>
    <w:rsid w:val="00C20740"/>
    <w:rsid w:val="00C20AEB"/>
    <w:rsid w:val="00C20DFF"/>
    <w:rsid w:val="00C20E07"/>
    <w:rsid w:val="00C20EC9"/>
    <w:rsid w:val="00C211A6"/>
    <w:rsid w:val="00C21235"/>
    <w:rsid w:val="00C21244"/>
    <w:rsid w:val="00C21368"/>
    <w:rsid w:val="00C21371"/>
    <w:rsid w:val="00C213EE"/>
    <w:rsid w:val="00C2159F"/>
    <w:rsid w:val="00C215B6"/>
    <w:rsid w:val="00C21923"/>
    <w:rsid w:val="00C21966"/>
    <w:rsid w:val="00C21A07"/>
    <w:rsid w:val="00C21ACA"/>
    <w:rsid w:val="00C21AF2"/>
    <w:rsid w:val="00C21B9B"/>
    <w:rsid w:val="00C21BEF"/>
    <w:rsid w:val="00C21D13"/>
    <w:rsid w:val="00C22746"/>
    <w:rsid w:val="00C22755"/>
    <w:rsid w:val="00C228F3"/>
    <w:rsid w:val="00C22C2F"/>
    <w:rsid w:val="00C22C57"/>
    <w:rsid w:val="00C22D8C"/>
    <w:rsid w:val="00C22FCD"/>
    <w:rsid w:val="00C23045"/>
    <w:rsid w:val="00C23208"/>
    <w:rsid w:val="00C2342E"/>
    <w:rsid w:val="00C23606"/>
    <w:rsid w:val="00C23616"/>
    <w:rsid w:val="00C237E9"/>
    <w:rsid w:val="00C2398B"/>
    <w:rsid w:val="00C239AC"/>
    <w:rsid w:val="00C239E9"/>
    <w:rsid w:val="00C239FE"/>
    <w:rsid w:val="00C23C09"/>
    <w:rsid w:val="00C23CB7"/>
    <w:rsid w:val="00C23DF3"/>
    <w:rsid w:val="00C23E6B"/>
    <w:rsid w:val="00C23F4A"/>
    <w:rsid w:val="00C245A2"/>
    <w:rsid w:val="00C246D7"/>
    <w:rsid w:val="00C24796"/>
    <w:rsid w:val="00C2493B"/>
    <w:rsid w:val="00C2503D"/>
    <w:rsid w:val="00C250CE"/>
    <w:rsid w:val="00C253CF"/>
    <w:rsid w:val="00C25714"/>
    <w:rsid w:val="00C25835"/>
    <w:rsid w:val="00C258E6"/>
    <w:rsid w:val="00C25A18"/>
    <w:rsid w:val="00C25A6A"/>
    <w:rsid w:val="00C25A8C"/>
    <w:rsid w:val="00C25A95"/>
    <w:rsid w:val="00C25AF6"/>
    <w:rsid w:val="00C25DDA"/>
    <w:rsid w:val="00C25EC4"/>
    <w:rsid w:val="00C260D6"/>
    <w:rsid w:val="00C261CB"/>
    <w:rsid w:val="00C262B1"/>
    <w:rsid w:val="00C263F1"/>
    <w:rsid w:val="00C263FA"/>
    <w:rsid w:val="00C2654A"/>
    <w:rsid w:val="00C2656D"/>
    <w:rsid w:val="00C26649"/>
    <w:rsid w:val="00C266F2"/>
    <w:rsid w:val="00C26777"/>
    <w:rsid w:val="00C269A9"/>
    <w:rsid w:val="00C26AC9"/>
    <w:rsid w:val="00C26B1C"/>
    <w:rsid w:val="00C26B8B"/>
    <w:rsid w:val="00C26F79"/>
    <w:rsid w:val="00C27260"/>
    <w:rsid w:val="00C272A6"/>
    <w:rsid w:val="00C27330"/>
    <w:rsid w:val="00C275BC"/>
    <w:rsid w:val="00C27634"/>
    <w:rsid w:val="00C27679"/>
    <w:rsid w:val="00C276FD"/>
    <w:rsid w:val="00C278E7"/>
    <w:rsid w:val="00C27941"/>
    <w:rsid w:val="00C27AA5"/>
    <w:rsid w:val="00C27B4B"/>
    <w:rsid w:val="00C27BDB"/>
    <w:rsid w:val="00C27C52"/>
    <w:rsid w:val="00C27C5E"/>
    <w:rsid w:val="00C27EA8"/>
    <w:rsid w:val="00C30096"/>
    <w:rsid w:val="00C300EE"/>
    <w:rsid w:val="00C30209"/>
    <w:rsid w:val="00C3033D"/>
    <w:rsid w:val="00C30465"/>
    <w:rsid w:val="00C3047B"/>
    <w:rsid w:val="00C304F6"/>
    <w:rsid w:val="00C306B6"/>
    <w:rsid w:val="00C30EDE"/>
    <w:rsid w:val="00C30F31"/>
    <w:rsid w:val="00C31229"/>
    <w:rsid w:val="00C312CA"/>
    <w:rsid w:val="00C3161A"/>
    <w:rsid w:val="00C31647"/>
    <w:rsid w:val="00C31760"/>
    <w:rsid w:val="00C31B14"/>
    <w:rsid w:val="00C32061"/>
    <w:rsid w:val="00C321DE"/>
    <w:rsid w:val="00C322C5"/>
    <w:rsid w:val="00C32398"/>
    <w:rsid w:val="00C32834"/>
    <w:rsid w:val="00C32994"/>
    <w:rsid w:val="00C329A1"/>
    <w:rsid w:val="00C32AB7"/>
    <w:rsid w:val="00C32ADF"/>
    <w:rsid w:val="00C32B78"/>
    <w:rsid w:val="00C32C70"/>
    <w:rsid w:val="00C32C82"/>
    <w:rsid w:val="00C32D8E"/>
    <w:rsid w:val="00C32FB7"/>
    <w:rsid w:val="00C33141"/>
    <w:rsid w:val="00C331E2"/>
    <w:rsid w:val="00C331F5"/>
    <w:rsid w:val="00C33439"/>
    <w:rsid w:val="00C3345E"/>
    <w:rsid w:val="00C3348A"/>
    <w:rsid w:val="00C33510"/>
    <w:rsid w:val="00C33961"/>
    <w:rsid w:val="00C339C7"/>
    <w:rsid w:val="00C33AB3"/>
    <w:rsid w:val="00C33B03"/>
    <w:rsid w:val="00C33D2A"/>
    <w:rsid w:val="00C33F24"/>
    <w:rsid w:val="00C34070"/>
    <w:rsid w:val="00C34368"/>
    <w:rsid w:val="00C343E6"/>
    <w:rsid w:val="00C344BD"/>
    <w:rsid w:val="00C344E0"/>
    <w:rsid w:val="00C347CB"/>
    <w:rsid w:val="00C34819"/>
    <w:rsid w:val="00C348CB"/>
    <w:rsid w:val="00C348F9"/>
    <w:rsid w:val="00C3492B"/>
    <w:rsid w:val="00C34C0A"/>
    <w:rsid w:val="00C34C75"/>
    <w:rsid w:val="00C34CB0"/>
    <w:rsid w:val="00C34D68"/>
    <w:rsid w:val="00C34FEE"/>
    <w:rsid w:val="00C3519F"/>
    <w:rsid w:val="00C3526E"/>
    <w:rsid w:val="00C356D2"/>
    <w:rsid w:val="00C35902"/>
    <w:rsid w:val="00C35995"/>
    <w:rsid w:val="00C35A09"/>
    <w:rsid w:val="00C35A0F"/>
    <w:rsid w:val="00C35A46"/>
    <w:rsid w:val="00C35B0D"/>
    <w:rsid w:val="00C35B6C"/>
    <w:rsid w:val="00C35F85"/>
    <w:rsid w:val="00C36066"/>
    <w:rsid w:val="00C36358"/>
    <w:rsid w:val="00C363CE"/>
    <w:rsid w:val="00C3649B"/>
    <w:rsid w:val="00C366DD"/>
    <w:rsid w:val="00C36760"/>
    <w:rsid w:val="00C36777"/>
    <w:rsid w:val="00C36AD8"/>
    <w:rsid w:val="00C36C4B"/>
    <w:rsid w:val="00C36F75"/>
    <w:rsid w:val="00C37034"/>
    <w:rsid w:val="00C3703C"/>
    <w:rsid w:val="00C37110"/>
    <w:rsid w:val="00C3715A"/>
    <w:rsid w:val="00C3734A"/>
    <w:rsid w:val="00C373EA"/>
    <w:rsid w:val="00C37492"/>
    <w:rsid w:val="00C375C5"/>
    <w:rsid w:val="00C375E1"/>
    <w:rsid w:val="00C37625"/>
    <w:rsid w:val="00C3794A"/>
    <w:rsid w:val="00C379EA"/>
    <w:rsid w:val="00C37A67"/>
    <w:rsid w:val="00C37D24"/>
    <w:rsid w:val="00C37D7B"/>
    <w:rsid w:val="00C37DCF"/>
    <w:rsid w:val="00C37DFC"/>
    <w:rsid w:val="00C37F30"/>
    <w:rsid w:val="00C37FC4"/>
    <w:rsid w:val="00C4029E"/>
    <w:rsid w:val="00C402AC"/>
    <w:rsid w:val="00C40420"/>
    <w:rsid w:val="00C408CA"/>
    <w:rsid w:val="00C40BAF"/>
    <w:rsid w:val="00C40C61"/>
    <w:rsid w:val="00C40D1F"/>
    <w:rsid w:val="00C40F44"/>
    <w:rsid w:val="00C41046"/>
    <w:rsid w:val="00C41088"/>
    <w:rsid w:val="00C4112B"/>
    <w:rsid w:val="00C411B2"/>
    <w:rsid w:val="00C41448"/>
    <w:rsid w:val="00C4147B"/>
    <w:rsid w:val="00C41599"/>
    <w:rsid w:val="00C419F2"/>
    <w:rsid w:val="00C41AD9"/>
    <w:rsid w:val="00C41B41"/>
    <w:rsid w:val="00C41D21"/>
    <w:rsid w:val="00C41DD8"/>
    <w:rsid w:val="00C41DE0"/>
    <w:rsid w:val="00C41E16"/>
    <w:rsid w:val="00C41E93"/>
    <w:rsid w:val="00C41F8D"/>
    <w:rsid w:val="00C422D9"/>
    <w:rsid w:val="00C42373"/>
    <w:rsid w:val="00C4277E"/>
    <w:rsid w:val="00C42798"/>
    <w:rsid w:val="00C42932"/>
    <w:rsid w:val="00C42A72"/>
    <w:rsid w:val="00C42B2A"/>
    <w:rsid w:val="00C42B68"/>
    <w:rsid w:val="00C42BE1"/>
    <w:rsid w:val="00C42BEE"/>
    <w:rsid w:val="00C42D6F"/>
    <w:rsid w:val="00C42E05"/>
    <w:rsid w:val="00C42E46"/>
    <w:rsid w:val="00C42E96"/>
    <w:rsid w:val="00C4300E"/>
    <w:rsid w:val="00C431AA"/>
    <w:rsid w:val="00C431D0"/>
    <w:rsid w:val="00C4321E"/>
    <w:rsid w:val="00C4325C"/>
    <w:rsid w:val="00C43340"/>
    <w:rsid w:val="00C433E1"/>
    <w:rsid w:val="00C434C9"/>
    <w:rsid w:val="00C4360E"/>
    <w:rsid w:val="00C43783"/>
    <w:rsid w:val="00C437E5"/>
    <w:rsid w:val="00C438BF"/>
    <w:rsid w:val="00C43B7F"/>
    <w:rsid w:val="00C43B9D"/>
    <w:rsid w:val="00C43C2A"/>
    <w:rsid w:val="00C43C5B"/>
    <w:rsid w:val="00C43CD6"/>
    <w:rsid w:val="00C43D2E"/>
    <w:rsid w:val="00C43F1E"/>
    <w:rsid w:val="00C44014"/>
    <w:rsid w:val="00C4451E"/>
    <w:rsid w:val="00C44908"/>
    <w:rsid w:val="00C44926"/>
    <w:rsid w:val="00C44A1A"/>
    <w:rsid w:val="00C44B0E"/>
    <w:rsid w:val="00C44BF1"/>
    <w:rsid w:val="00C44CF0"/>
    <w:rsid w:val="00C44DA9"/>
    <w:rsid w:val="00C44DEB"/>
    <w:rsid w:val="00C4503D"/>
    <w:rsid w:val="00C450B6"/>
    <w:rsid w:val="00C4521C"/>
    <w:rsid w:val="00C45232"/>
    <w:rsid w:val="00C45334"/>
    <w:rsid w:val="00C453C8"/>
    <w:rsid w:val="00C454C6"/>
    <w:rsid w:val="00C45518"/>
    <w:rsid w:val="00C457CD"/>
    <w:rsid w:val="00C458B4"/>
    <w:rsid w:val="00C45A57"/>
    <w:rsid w:val="00C45A5F"/>
    <w:rsid w:val="00C45AF8"/>
    <w:rsid w:val="00C45CFA"/>
    <w:rsid w:val="00C45D22"/>
    <w:rsid w:val="00C45E04"/>
    <w:rsid w:val="00C45EF5"/>
    <w:rsid w:val="00C46004"/>
    <w:rsid w:val="00C461D6"/>
    <w:rsid w:val="00C461EE"/>
    <w:rsid w:val="00C465C7"/>
    <w:rsid w:val="00C467A9"/>
    <w:rsid w:val="00C46802"/>
    <w:rsid w:val="00C468FC"/>
    <w:rsid w:val="00C46C4C"/>
    <w:rsid w:val="00C46E67"/>
    <w:rsid w:val="00C4752A"/>
    <w:rsid w:val="00C47989"/>
    <w:rsid w:val="00C47A72"/>
    <w:rsid w:val="00C47A97"/>
    <w:rsid w:val="00C47AB0"/>
    <w:rsid w:val="00C47D33"/>
    <w:rsid w:val="00C47D95"/>
    <w:rsid w:val="00C47E51"/>
    <w:rsid w:val="00C50110"/>
    <w:rsid w:val="00C501A3"/>
    <w:rsid w:val="00C501E5"/>
    <w:rsid w:val="00C501E7"/>
    <w:rsid w:val="00C502DA"/>
    <w:rsid w:val="00C5033F"/>
    <w:rsid w:val="00C503CA"/>
    <w:rsid w:val="00C505A7"/>
    <w:rsid w:val="00C505E5"/>
    <w:rsid w:val="00C5066C"/>
    <w:rsid w:val="00C50C02"/>
    <w:rsid w:val="00C50FA1"/>
    <w:rsid w:val="00C50FD3"/>
    <w:rsid w:val="00C51232"/>
    <w:rsid w:val="00C512E5"/>
    <w:rsid w:val="00C51334"/>
    <w:rsid w:val="00C5135E"/>
    <w:rsid w:val="00C51493"/>
    <w:rsid w:val="00C51938"/>
    <w:rsid w:val="00C5196B"/>
    <w:rsid w:val="00C51AB7"/>
    <w:rsid w:val="00C51BC9"/>
    <w:rsid w:val="00C51E27"/>
    <w:rsid w:val="00C51E49"/>
    <w:rsid w:val="00C51F29"/>
    <w:rsid w:val="00C51FDE"/>
    <w:rsid w:val="00C5203E"/>
    <w:rsid w:val="00C5205E"/>
    <w:rsid w:val="00C522C4"/>
    <w:rsid w:val="00C52411"/>
    <w:rsid w:val="00C52475"/>
    <w:rsid w:val="00C52483"/>
    <w:rsid w:val="00C52647"/>
    <w:rsid w:val="00C527E3"/>
    <w:rsid w:val="00C528CE"/>
    <w:rsid w:val="00C530A8"/>
    <w:rsid w:val="00C5330D"/>
    <w:rsid w:val="00C5372D"/>
    <w:rsid w:val="00C537EE"/>
    <w:rsid w:val="00C53811"/>
    <w:rsid w:val="00C5382C"/>
    <w:rsid w:val="00C53A60"/>
    <w:rsid w:val="00C53B40"/>
    <w:rsid w:val="00C53D63"/>
    <w:rsid w:val="00C53E10"/>
    <w:rsid w:val="00C53F58"/>
    <w:rsid w:val="00C54253"/>
    <w:rsid w:val="00C54679"/>
    <w:rsid w:val="00C546D2"/>
    <w:rsid w:val="00C5482D"/>
    <w:rsid w:val="00C54A10"/>
    <w:rsid w:val="00C54A31"/>
    <w:rsid w:val="00C54AF2"/>
    <w:rsid w:val="00C54B21"/>
    <w:rsid w:val="00C54EEF"/>
    <w:rsid w:val="00C54FD1"/>
    <w:rsid w:val="00C55251"/>
    <w:rsid w:val="00C554B5"/>
    <w:rsid w:val="00C555C0"/>
    <w:rsid w:val="00C55600"/>
    <w:rsid w:val="00C556C8"/>
    <w:rsid w:val="00C5572F"/>
    <w:rsid w:val="00C558C1"/>
    <w:rsid w:val="00C558CD"/>
    <w:rsid w:val="00C559B5"/>
    <w:rsid w:val="00C55A44"/>
    <w:rsid w:val="00C55C65"/>
    <w:rsid w:val="00C55CC6"/>
    <w:rsid w:val="00C55DED"/>
    <w:rsid w:val="00C5600A"/>
    <w:rsid w:val="00C5608A"/>
    <w:rsid w:val="00C560C2"/>
    <w:rsid w:val="00C560CF"/>
    <w:rsid w:val="00C56143"/>
    <w:rsid w:val="00C5625C"/>
    <w:rsid w:val="00C5627D"/>
    <w:rsid w:val="00C562C0"/>
    <w:rsid w:val="00C564F3"/>
    <w:rsid w:val="00C56516"/>
    <w:rsid w:val="00C56898"/>
    <w:rsid w:val="00C56961"/>
    <w:rsid w:val="00C56A00"/>
    <w:rsid w:val="00C56A09"/>
    <w:rsid w:val="00C56A90"/>
    <w:rsid w:val="00C56A92"/>
    <w:rsid w:val="00C56B85"/>
    <w:rsid w:val="00C56C4F"/>
    <w:rsid w:val="00C56DDC"/>
    <w:rsid w:val="00C56F9D"/>
    <w:rsid w:val="00C56FCB"/>
    <w:rsid w:val="00C571AF"/>
    <w:rsid w:val="00C5723A"/>
    <w:rsid w:val="00C576DA"/>
    <w:rsid w:val="00C5779D"/>
    <w:rsid w:val="00C57817"/>
    <w:rsid w:val="00C57848"/>
    <w:rsid w:val="00C57A78"/>
    <w:rsid w:val="00C57B69"/>
    <w:rsid w:val="00C57B6E"/>
    <w:rsid w:val="00C57CA8"/>
    <w:rsid w:val="00C57DEF"/>
    <w:rsid w:val="00C57DFE"/>
    <w:rsid w:val="00C57EF1"/>
    <w:rsid w:val="00C57FDF"/>
    <w:rsid w:val="00C6003C"/>
    <w:rsid w:val="00C6016B"/>
    <w:rsid w:val="00C6018F"/>
    <w:rsid w:val="00C6084A"/>
    <w:rsid w:val="00C60AC7"/>
    <w:rsid w:val="00C60B14"/>
    <w:rsid w:val="00C60D52"/>
    <w:rsid w:val="00C60DCC"/>
    <w:rsid w:val="00C60E7E"/>
    <w:rsid w:val="00C60F06"/>
    <w:rsid w:val="00C60F10"/>
    <w:rsid w:val="00C60F3B"/>
    <w:rsid w:val="00C61151"/>
    <w:rsid w:val="00C611C0"/>
    <w:rsid w:val="00C61233"/>
    <w:rsid w:val="00C61276"/>
    <w:rsid w:val="00C612CC"/>
    <w:rsid w:val="00C61403"/>
    <w:rsid w:val="00C6149B"/>
    <w:rsid w:val="00C614B9"/>
    <w:rsid w:val="00C61548"/>
    <w:rsid w:val="00C6192A"/>
    <w:rsid w:val="00C61CE6"/>
    <w:rsid w:val="00C61D2C"/>
    <w:rsid w:val="00C620D6"/>
    <w:rsid w:val="00C621DA"/>
    <w:rsid w:val="00C621DB"/>
    <w:rsid w:val="00C62262"/>
    <w:rsid w:val="00C624EE"/>
    <w:rsid w:val="00C625DC"/>
    <w:rsid w:val="00C6262B"/>
    <w:rsid w:val="00C62664"/>
    <w:rsid w:val="00C62676"/>
    <w:rsid w:val="00C6278A"/>
    <w:rsid w:val="00C6284D"/>
    <w:rsid w:val="00C6287D"/>
    <w:rsid w:val="00C62883"/>
    <w:rsid w:val="00C6295E"/>
    <w:rsid w:val="00C62A95"/>
    <w:rsid w:val="00C62B2E"/>
    <w:rsid w:val="00C62C3A"/>
    <w:rsid w:val="00C62D06"/>
    <w:rsid w:val="00C62EFE"/>
    <w:rsid w:val="00C63084"/>
    <w:rsid w:val="00C631B2"/>
    <w:rsid w:val="00C634F7"/>
    <w:rsid w:val="00C635E2"/>
    <w:rsid w:val="00C63719"/>
    <w:rsid w:val="00C63756"/>
    <w:rsid w:val="00C63A44"/>
    <w:rsid w:val="00C63DAC"/>
    <w:rsid w:val="00C63F44"/>
    <w:rsid w:val="00C63F84"/>
    <w:rsid w:val="00C64304"/>
    <w:rsid w:val="00C6430C"/>
    <w:rsid w:val="00C64423"/>
    <w:rsid w:val="00C6478B"/>
    <w:rsid w:val="00C647C3"/>
    <w:rsid w:val="00C649B8"/>
    <w:rsid w:val="00C64A4E"/>
    <w:rsid w:val="00C64CF0"/>
    <w:rsid w:val="00C64E76"/>
    <w:rsid w:val="00C64F89"/>
    <w:rsid w:val="00C6500E"/>
    <w:rsid w:val="00C65071"/>
    <w:rsid w:val="00C6526F"/>
    <w:rsid w:val="00C6563C"/>
    <w:rsid w:val="00C65816"/>
    <w:rsid w:val="00C65CA2"/>
    <w:rsid w:val="00C65CC5"/>
    <w:rsid w:val="00C65DA0"/>
    <w:rsid w:val="00C65E49"/>
    <w:rsid w:val="00C65E7D"/>
    <w:rsid w:val="00C65F8D"/>
    <w:rsid w:val="00C65F91"/>
    <w:rsid w:val="00C661CF"/>
    <w:rsid w:val="00C6627D"/>
    <w:rsid w:val="00C662C4"/>
    <w:rsid w:val="00C66338"/>
    <w:rsid w:val="00C66562"/>
    <w:rsid w:val="00C665D9"/>
    <w:rsid w:val="00C66674"/>
    <w:rsid w:val="00C66711"/>
    <w:rsid w:val="00C669A0"/>
    <w:rsid w:val="00C66B25"/>
    <w:rsid w:val="00C66C30"/>
    <w:rsid w:val="00C66E1A"/>
    <w:rsid w:val="00C67000"/>
    <w:rsid w:val="00C67146"/>
    <w:rsid w:val="00C671A9"/>
    <w:rsid w:val="00C671E6"/>
    <w:rsid w:val="00C672DA"/>
    <w:rsid w:val="00C6731E"/>
    <w:rsid w:val="00C673D1"/>
    <w:rsid w:val="00C6751E"/>
    <w:rsid w:val="00C676DF"/>
    <w:rsid w:val="00C67817"/>
    <w:rsid w:val="00C6787A"/>
    <w:rsid w:val="00C67895"/>
    <w:rsid w:val="00C67A32"/>
    <w:rsid w:val="00C67A66"/>
    <w:rsid w:val="00C67BB5"/>
    <w:rsid w:val="00C67C64"/>
    <w:rsid w:val="00C67D5B"/>
    <w:rsid w:val="00C67DE3"/>
    <w:rsid w:val="00C7017C"/>
    <w:rsid w:val="00C701D6"/>
    <w:rsid w:val="00C702CD"/>
    <w:rsid w:val="00C704B5"/>
    <w:rsid w:val="00C704E4"/>
    <w:rsid w:val="00C70589"/>
    <w:rsid w:val="00C70594"/>
    <w:rsid w:val="00C705E8"/>
    <w:rsid w:val="00C7063E"/>
    <w:rsid w:val="00C70B76"/>
    <w:rsid w:val="00C70BA1"/>
    <w:rsid w:val="00C70F76"/>
    <w:rsid w:val="00C71158"/>
    <w:rsid w:val="00C711E0"/>
    <w:rsid w:val="00C713CF"/>
    <w:rsid w:val="00C713F4"/>
    <w:rsid w:val="00C713FD"/>
    <w:rsid w:val="00C7151E"/>
    <w:rsid w:val="00C71541"/>
    <w:rsid w:val="00C717FB"/>
    <w:rsid w:val="00C71971"/>
    <w:rsid w:val="00C71A1E"/>
    <w:rsid w:val="00C71A7F"/>
    <w:rsid w:val="00C71F97"/>
    <w:rsid w:val="00C71FAA"/>
    <w:rsid w:val="00C72009"/>
    <w:rsid w:val="00C7216B"/>
    <w:rsid w:val="00C721E6"/>
    <w:rsid w:val="00C72272"/>
    <w:rsid w:val="00C7240C"/>
    <w:rsid w:val="00C725CF"/>
    <w:rsid w:val="00C72833"/>
    <w:rsid w:val="00C728C1"/>
    <w:rsid w:val="00C72A37"/>
    <w:rsid w:val="00C72B56"/>
    <w:rsid w:val="00C72BF0"/>
    <w:rsid w:val="00C72CDA"/>
    <w:rsid w:val="00C72D8B"/>
    <w:rsid w:val="00C73169"/>
    <w:rsid w:val="00C732DF"/>
    <w:rsid w:val="00C733F5"/>
    <w:rsid w:val="00C73566"/>
    <w:rsid w:val="00C735B3"/>
    <w:rsid w:val="00C73689"/>
    <w:rsid w:val="00C7368C"/>
    <w:rsid w:val="00C73790"/>
    <w:rsid w:val="00C737B8"/>
    <w:rsid w:val="00C7390D"/>
    <w:rsid w:val="00C7395A"/>
    <w:rsid w:val="00C73A23"/>
    <w:rsid w:val="00C73BA9"/>
    <w:rsid w:val="00C73C19"/>
    <w:rsid w:val="00C73F07"/>
    <w:rsid w:val="00C73F4D"/>
    <w:rsid w:val="00C74005"/>
    <w:rsid w:val="00C740D0"/>
    <w:rsid w:val="00C741D8"/>
    <w:rsid w:val="00C741E3"/>
    <w:rsid w:val="00C74225"/>
    <w:rsid w:val="00C74304"/>
    <w:rsid w:val="00C7430E"/>
    <w:rsid w:val="00C743D9"/>
    <w:rsid w:val="00C743EE"/>
    <w:rsid w:val="00C744E1"/>
    <w:rsid w:val="00C74A57"/>
    <w:rsid w:val="00C74B7D"/>
    <w:rsid w:val="00C74F1B"/>
    <w:rsid w:val="00C7505B"/>
    <w:rsid w:val="00C75099"/>
    <w:rsid w:val="00C75315"/>
    <w:rsid w:val="00C7540E"/>
    <w:rsid w:val="00C75449"/>
    <w:rsid w:val="00C754E0"/>
    <w:rsid w:val="00C754E2"/>
    <w:rsid w:val="00C755BD"/>
    <w:rsid w:val="00C75B69"/>
    <w:rsid w:val="00C76026"/>
    <w:rsid w:val="00C760BE"/>
    <w:rsid w:val="00C760EA"/>
    <w:rsid w:val="00C7614A"/>
    <w:rsid w:val="00C761B7"/>
    <w:rsid w:val="00C765AC"/>
    <w:rsid w:val="00C765E2"/>
    <w:rsid w:val="00C76659"/>
    <w:rsid w:val="00C7667C"/>
    <w:rsid w:val="00C768FF"/>
    <w:rsid w:val="00C76AED"/>
    <w:rsid w:val="00C76B1B"/>
    <w:rsid w:val="00C76C50"/>
    <w:rsid w:val="00C76DB5"/>
    <w:rsid w:val="00C76DBF"/>
    <w:rsid w:val="00C76FA2"/>
    <w:rsid w:val="00C772ED"/>
    <w:rsid w:val="00C773EF"/>
    <w:rsid w:val="00C776B3"/>
    <w:rsid w:val="00C7783A"/>
    <w:rsid w:val="00C77BE2"/>
    <w:rsid w:val="00C77C72"/>
    <w:rsid w:val="00C77CFD"/>
    <w:rsid w:val="00C77D4E"/>
    <w:rsid w:val="00C77F8A"/>
    <w:rsid w:val="00C80160"/>
    <w:rsid w:val="00C801AF"/>
    <w:rsid w:val="00C801C3"/>
    <w:rsid w:val="00C802BE"/>
    <w:rsid w:val="00C8043D"/>
    <w:rsid w:val="00C8059C"/>
    <w:rsid w:val="00C80887"/>
    <w:rsid w:val="00C80932"/>
    <w:rsid w:val="00C80953"/>
    <w:rsid w:val="00C809CE"/>
    <w:rsid w:val="00C809D4"/>
    <w:rsid w:val="00C80A38"/>
    <w:rsid w:val="00C80B5B"/>
    <w:rsid w:val="00C80C98"/>
    <w:rsid w:val="00C80EB7"/>
    <w:rsid w:val="00C80EEA"/>
    <w:rsid w:val="00C8107F"/>
    <w:rsid w:val="00C8109F"/>
    <w:rsid w:val="00C81495"/>
    <w:rsid w:val="00C8159E"/>
    <w:rsid w:val="00C81A33"/>
    <w:rsid w:val="00C81B20"/>
    <w:rsid w:val="00C81B2F"/>
    <w:rsid w:val="00C82085"/>
    <w:rsid w:val="00C820B7"/>
    <w:rsid w:val="00C82249"/>
    <w:rsid w:val="00C8231A"/>
    <w:rsid w:val="00C823E8"/>
    <w:rsid w:val="00C8244B"/>
    <w:rsid w:val="00C82502"/>
    <w:rsid w:val="00C82622"/>
    <w:rsid w:val="00C827A6"/>
    <w:rsid w:val="00C82811"/>
    <w:rsid w:val="00C8291E"/>
    <w:rsid w:val="00C82A3F"/>
    <w:rsid w:val="00C82D8F"/>
    <w:rsid w:val="00C82EB3"/>
    <w:rsid w:val="00C82ED1"/>
    <w:rsid w:val="00C83143"/>
    <w:rsid w:val="00C83170"/>
    <w:rsid w:val="00C831EA"/>
    <w:rsid w:val="00C832B8"/>
    <w:rsid w:val="00C833AA"/>
    <w:rsid w:val="00C83401"/>
    <w:rsid w:val="00C83431"/>
    <w:rsid w:val="00C83443"/>
    <w:rsid w:val="00C83523"/>
    <w:rsid w:val="00C83809"/>
    <w:rsid w:val="00C83905"/>
    <w:rsid w:val="00C8391F"/>
    <w:rsid w:val="00C8397E"/>
    <w:rsid w:val="00C83A39"/>
    <w:rsid w:val="00C83A57"/>
    <w:rsid w:val="00C83B49"/>
    <w:rsid w:val="00C83B68"/>
    <w:rsid w:val="00C83C79"/>
    <w:rsid w:val="00C83C7F"/>
    <w:rsid w:val="00C83D2C"/>
    <w:rsid w:val="00C83F7E"/>
    <w:rsid w:val="00C841E7"/>
    <w:rsid w:val="00C84331"/>
    <w:rsid w:val="00C844DB"/>
    <w:rsid w:val="00C84519"/>
    <w:rsid w:val="00C84559"/>
    <w:rsid w:val="00C84754"/>
    <w:rsid w:val="00C847FA"/>
    <w:rsid w:val="00C84966"/>
    <w:rsid w:val="00C849DC"/>
    <w:rsid w:val="00C84C36"/>
    <w:rsid w:val="00C84E25"/>
    <w:rsid w:val="00C84ED0"/>
    <w:rsid w:val="00C84F1B"/>
    <w:rsid w:val="00C85026"/>
    <w:rsid w:val="00C85064"/>
    <w:rsid w:val="00C8518D"/>
    <w:rsid w:val="00C8530A"/>
    <w:rsid w:val="00C85353"/>
    <w:rsid w:val="00C85639"/>
    <w:rsid w:val="00C85699"/>
    <w:rsid w:val="00C858A6"/>
    <w:rsid w:val="00C858EA"/>
    <w:rsid w:val="00C85B67"/>
    <w:rsid w:val="00C85EBC"/>
    <w:rsid w:val="00C86114"/>
    <w:rsid w:val="00C86190"/>
    <w:rsid w:val="00C86380"/>
    <w:rsid w:val="00C8647A"/>
    <w:rsid w:val="00C864B7"/>
    <w:rsid w:val="00C86516"/>
    <w:rsid w:val="00C86871"/>
    <w:rsid w:val="00C86A02"/>
    <w:rsid w:val="00C86A9C"/>
    <w:rsid w:val="00C86B8F"/>
    <w:rsid w:val="00C86BCB"/>
    <w:rsid w:val="00C86D07"/>
    <w:rsid w:val="00C86E08"/>
    <w:rsid w:val="00C86E1B"/>
    <w:rsid w:val="00C8706D"/>
    <w:rsid w:val="00C87076"/>
    <w:rsid w:val="00C87162"/>
    <w:rsid w:val="00C8718D"/>
    <w:rsid w:val="00C8737D"/>
    <w:rsid w:val="00C8755D"/>
    <w:rsid w:val="00C875DA"/>
    <w:rsid w:val="00C8764F"/>
    <w:rsid w:val="00C876D9"/>
    <w:rsid w:val="00C8777C"/>
    <w:rsid w:val="00C8781B"/>
    <w:rsid w:val="00C87B2C"/>
    <w:rsid w:val="00C87B35"/>
    <w:rsid w:val="00C87B6A"/>
    <w:rsid w:val="00C87B9D"/>
    <w:rsid w:val="00C87BAB"/>
    <w:rsid w:val="00C87C6E"/>
    <w:rsid w:val="00C87DCF"/>
    <w:rsid w:val="00C90099"/>
    <w:rsid w:val="00C90185"/>
    <w:rsid w:val="00C901E1"/>
    <w:rsid w:val="00C902FB"/>
    <w:rsid w:val="00C9033D"/>
    <w:rsid w:val="00C90481"/>
    <w:rsid w:val="00C904B9"/>
    <w:rsid w:val="00C9067B"/>
    <w:rsid w:val="00C906A6"/>
    <w:rsid w:val="00C90961"/>
    <w:rsid w:val="00C90AEA"/>
    <w:rsid w:val="00C90C81"/>
    <w:rsid w:val="00C90E59"/>
    <w:rsid w:val="00C911B9"/>
    <w:rsid w:val="00C91532"/>
    <w:rsid w:val="00C918AE"/>
    <w:rsid w:val="00C919E2"/>
    <w:rsid w:val="00C919E7"/>
    <w:rsid w:val="00C91A39"/>
    <w:rsid w:val="00C91A42"/>
    <w:rsid w:val="00C91C2A"/>
    <w:rsid w:val="00C91D09"/>
    <w:rsid w:val="00C91D73"/>
    <w:rsid w:val="00C91EC5"/>
    <w:rsid w:val="00C92069"/>
    <w:rsid w:val="00C920D2"/>
    <w:rsid w:val="00C9228D"/>
    <w:rsid w:val="00C923B4"/>
    <w:rsid w:val="00C92413"/>
    <w:rsid w:val="00C92449"/>
    <w:rsid w:val="00C924E0"/>
    <w:rsid w:val="00C927D6"/>
    <w:rsid w:val="00C92818"/>
    <w:rsid w:val="00C9294D"/>
    <w:rsid w:val="00C929A4"/>
    <w:rsid w:val="00C929CE"/>
    <w:rsid w:val="00C929F8"/>
    <w:rsid w:val="00C92B81"/>
    <w:rsid w:val="00C92BD9"/>
    <w:rsid w:val="00C92DA5"/>
    <w:rsid w:val="00C92F7F"/>
    <w:rsid w:val="00C92FEE"/>
    <w:rsid w:val="00C9307A"/>
    <w:rsid w:val="00C930F8"/>
    <w:rsid w:val="00C9324C"/>
    <w:rsid w:val="00C932C2"/>
    <w:rsid w:val="00C935CE"/>
    <w:rsid w:val="00C9368E"/>
    <w:rsid w:val="00C93719"/>
    <w:rsid w:val="00C937E5"/>
    <w:rsid w:val="00C93A21"/>
    <w:rsid w:val="00C93D16"/>
    <w:rsid w:val="00C93EC1"/>
    <w:rsid w:val="00C93F39"/>
    <w:rsid w:val="00C93F94"/>
    <w:rsid w:val="00C94291"/>
    <w:rsid w:val="00C943AB"/>
    <w:rsid w:val="00C9444F"/>
    <w:rsid w:val="00C94463"/>
    <w:rsid w:val="00C945E1"/>
    <w:rsid w:val="00C94844"/>
    <w:rsid w:val="00C94A7A"/>
    <w:rsid w:val="00C94AC9"/>
    <w:rsid w:val="00C94AD7"/>
    <w:rsid w:val="00C94C8B"/>
    <w:rsid w:val="00C94D7B"/>
    <w:rsid w:val="00C94E54"/>
    <w:rsid w:val="00C94F29"/>
    <w:rsid w:val="00C950B2"/>
    <w:rsid w:val="00C95214"/>
    <w:rsid w:val="00C952D8"/>
    <w:rsid w:val="00C9558B"/>
    <w:rsid w:val="00C95752"/>
    <w:rsid w:val="00C9595B"/>
    <w:rsid w:val="00C959FD"/>
    <w:rsid w:val="00C95A78"/>
    <w:rsid w:val="00C95BD7"/>
    <w:rsid w:val="00C95BD9"/>
    <w:rsid w:val="00C95C35"/>
    <w:rsid w:val="00C95F0B"/>
    <w:rsid w:val="00C95FBB"/>
    <w:rsid w:val="00C95FC2"/>
    <w:rsid w:val="00C962B4"/>
    <w:rsid w:val="00C96650"/>
    <w:rsid w:val="00C96721"/>
    <w:rsid w:val="00C967B2"/>
    <w:rsid w:val="00C968B6"/>
    <w:rsid w:val="00C96931"/>
    <w:rsid w:val="00C969E6"/>
    <w:rsid w:val="00C96C0F"/>
    <w:rsid w:val="00C96D08"/>
    <w:rsid w:val="00C96D7C"/>
    <w:rsid w:val="00C96F6B"/>
    <w:rsid w:val="00C96FF1"/>
    <w:rsid w:val="00C96FF8"/>
    <w:rsid w:val="00C97396"/>
    <w:rsid w:val="00C9740E"/>
    <w:rsid w:val="00C97710"/>
    <w:rsid w:val="00C97761"/>
    <w:rsid w:val="00C97762"/>
    <w:rsid w:val="00C97B13"/>
    <w:rsid w:val="00C97F87"/>
    <w:rsid w:val="00C97FEE"/>
    <w:rsid w:val="00C97FF9"/>
    <w:rsid w:val="00CA0119"/>
    <w:rsid w:val="00CA017F"/>
    <w:rsid w:val="00CA0185"/>
    <w:rsid w:val="00CA01C7"/>
    <w:rsid w:val="00CA0238"/>
    <w:rsid w:val="00CA060C"/>
    <w:rsid w:val="00CA06E0"/>
    <w:rsid w:val="00CA0B43"/>
    <w:rsid w:val="00CA0EE2"/>
    <w:rsid w:val="00CA0F90"/>
    <w:rsid w:val="00CA12B9"/>
    <w:rsid w:val="00CA12D6"/>
    <w:rsid w:val="00CA12F9"/>
    <w:rsid w:val="00CA1B2B"/>
    <w:rsid w:val="00CA1BF5"/>
    <w:rsid w:val="00CA1C3C"/>
    <w:rsid w:val="00CA1F09"/>
    <w:rsid w:val="00CA1FAB"/>
    <w:rsid w:val="00CA20C3"/>
    <w:rsid w:val="00CA2139"/>
    <w:rsid w:val="00CA22BC"/>
    <w:rsid w:val="00CA2366"/>
    <w:rsid w:val="00CA2559"/>
    <w:rsid w:val="00CA2637"/>
    <w:rsid w:val="00CA286F"/>
    <w:rsid w:val="00CA296B"/>
    <w:rsid w:val="00CA297D"/>
    <w:rsid w:val="00CA2E68"/>
    <w:rsid w:val="00CA3032"/>
    <w:rsid w:val="00CA30F0"/>
    <w:rsid w:val="00CA3231"/>
    <w:rsid w:val="00CA337E"/>
    <w:rsid w:val="00CA343C"/>
    <w:rsid w:val="00CA35F4"/>
    <w:rsid w:val="00CA36AF"/>
    <w:rsid w:val="00CA36D2"/>
    <w:rsid w:val="00CA377F"/>
    <w:rsid w:val="00CA39D0"/>
    <w:rsid w:val="00CA3B4D"/>
    <w:rsid w:val="00CA3D74"/>
    <w:rsid w:val="00CA3D9C"/>
    <w:rsid w:val="00CA3DC6"/>
    <w:rsid w:val="00CA4108"/>
    <w:rsid w:val="00CA4321"/>
    <w:rsid w:val="00CA456C"/>
    <w:rsid w:val="00CA46E7"/>
    <w:rsid w:val="00CA47E0"/>
    <w:rsid w:val="00CA4B1B"/>
    <w:rsid w:val="00CA4B34"/>
    <w:rsid w:val="00CA4C87"/>
    <w:rsid w:val="00CA4CBC"/>
    <w:rsid w:val="00CA4CC0"/>
    <w:rsid w:val="00CA4CF6"/>
    <w:rsid w:val="00CA4D4F"/>
    <w:rsid w:val="00CA4F7E"/>
    <w:rsid w:val="00CA5148"/>
    <w:rsid w:val="00CA5257"/>
    <w:rsid w:val="00CA558D"/>
    <w:rsid w:val="00CA56B1"/>
    <w:rsid w:val="00CA583E"/>
    <w:rsid w:val="00CA5881"/>
    <w:rsid w:val="00CA5AE3"/>
    <w:rsid w:val="00CA5AE5"/>
    <w:rsid w:val="00CA5E1F"/>
    <w:rsid w:val="00CA6263"/>
    <w:rsid w:val="00CA6328"/>
    <w:rsid w:val="00CA63F1"/>
    <w:rsid w:val="00CA6430"/>
    <w:rsid w:val="00CA6761"/>
    <w:rsid w:val="00CA677F"/>
    <w:rsid w:val="00CA6782"/>
    <w:rsid w:val="00CA6810"/>
    <w:rsid w:val="00CA6825"/>
    <w:rsid w:val="00CA69B5"/>
    <w:rsid w:val="00CA6AB1"/>
    <w:rsid w:val="00CA6B4D"/>
    <w:rsid w:val="00CA6B54"/>
    <w:rsid w:val="00CA6DE6"/>
    <w:rsid w:val="00CA706A"/>
    <w:rsid w:val="00CA7147"/>
    <w:rsid w:val="00CA7360"/>
    <w:rsid w:val="00CA7390"/>
    <w:rsid w:val="00CA73F5"/>
    <w:rsid w:val="00CA74E0"/>
    <w:rsid w:val="00CA7538"/>
    <w:rsid w:val="00CA75B0"/>
    <w:rsid w:val="00CA765A"/>
    <w:rsid w:val="00CA7688"/>
    <w:rsid w:val="00CA76ED"/>
    <w:rsid w:val="00CA76F3"/>
    <w:rsid w:val="00CA77B1"/>
    <w:rsid w:val="00CA7894"/>
    <w:rsid w:val="00CA7B17"/>
    <w:rsid w:val="00CA7B39"/>
    <w:rsid w:val="00CA7B7F"/>
    <w:rsid w:val="00CA7B8E"/>
    <w:rsid w:val="00CA7E65"/>
    <w:rsid w:val="00CB00FC"/>
    <w:rsid w:val="00CB0427"/>
    <w:rsid w:val="00CB047E"/>
    <w:rsid w:val="00CB063B"/>
    <w:rsid w:val="00CB074A"/>
    <w:rsid w:val="00CB095D"/>
    <w:rsid w:val="00CB09A0"/>
    <w:rsid w:val="00CB09FF"/>
    <w:rsid w:val="00CB0A8A"/>
    <w:rsid w:val="00CB0BAA"/>
    <w:rsid w:val="00CB0BAE"/>
    <w:rsid w:val="00CB0DE0"/>
    <w:rsid w:val="00CB0E48"/>
    <w:rsid w:val="00CB0E6B"/>
    <w:rsid w:val="00CB0FFB"/>
    <w:rsid w:val="00CB12E7"/>
    <w:rsid w:val="00CB14B4"/>
    <w:rsid w:val="00CB162F"/>
    <w:rsid w:val="00CB17A5"/>
    <w:rsid w:val="00CB17A7"/>
    <w:rsid w:val="00CB18EF"/>
    <w:rsid w:val="00CB1997"/>
    <w:rsid w:val="00CB1BD4"/>
    <w:rsid w:val="00CB1CF7"/>
    <w:rsid w:val="00CB1D76"/>
    <w:rsid w:val="00CB1DA2"/>
    <w:rsid w:val="00CB2033"/>
    <w:rsid w:val="00CB2180"/>
    <w:rsid w:val="00CB21A4"/>
    <w:rsid w:val="00CB21D4"/>
    <w:rsid w:val="00CB253D"/>
    <w:rsid w:val="00CB2570"/>
    <w:rsid w:val="00CB25E6"/>
    <w:rsid w:val="00CB25F7"/>
    <w:rsid w:val="00CB2657"/>
    <w:rsid w:val="00CB26B7"/>
    <w:rsid w:val="00CB2948"/>
    <w:rsid w:val="00CB2A7B"/>
    <w:rsid w:val="00CB2DF8"/>
    <w:rsid w:val="00CB2F0A"/>
    <w:rsid w:val="00CB2F69"/>
    <w:rsid w:val="00CB2F99"/>
    <w:rsid w:val="00CB3000"/>
    <w:rsid w:val="00CB31E2"/>
    <w:rsid w:val="00CB361B"/>
    <w:rsid w:val="00CB3750"/>
    <w:rsid w:val="00CB3792"/>
    <w:rsid w:val="00CB3823"/>
    <w:rsid w:val="00CB384F"/>
    <w:rsid w:val="00CB38C6"/>
    <w:rsid w:val="00CB39F3"/>
    <w:rsid w:val="00CB3B7D"/>
    <w:rsid w:val="00CB3BC0"/>
    <w:rsid w:val="00CB3D56"/>
    <w:rsid w:val="00CB3E2F"/>
    <w:rsid w:val="00CB404E"/>
    <w:rsid w:val="00CB41A2"/>
    <w:rsid w:val="00CB4522"/>
    <w:rsid w:val="00CB46E7"/>
    <w:rsid w:val="00CB47AB"/>
    <w:rsid w:val="00CB4C00"/>
    <w:rsid w:val="00CB4EA6"/>
    <w:rsid w:val="00CB4F45"/>
    <w:rsid w:val="00CB501B"/>
    <w:rsid w:val="00CB50D2"/>
    <w:rsid w:val="00CB5197"/>
    <w:rsid w:val="00CB57DC"/>
    <w:rsid w:val="00CB5B2F"/>
    <w:rsid w:val="00CB5E65"/>
    <w:rsid w:val="00CB6021"/>
    <w:rsid w:val="00CB613F"/>
    <w:rsid w:val="00CB61BE"/>
    <w:rsid w:val="00CB6273"/>
    <w:rsid w:val="00CB6547"/>
    <w:rsid w:val="00CB663E"/>
    <w:rsid w:val="00CB6914"/>
    <w:rsid w:val="00CB6C46"/>
    <w:rsid w:val="00CB6CA0"/>
    <w:rsid w:val="00CB6CB4"/>
    <w:rsid w:val="00CB6D0B"/>
    <w:rsid w:val="00CB6E35"/>
    <w:rsid w:val="00CB6E45"/>
    <w:rsid w:val="00CB6E55"/>
    <w:rsid w:val="00CB6EB4"/>
    <w:rsid w:val="00CB6F95"/>
    <w:rsid w:val="00CB7012"/>
    <w:rsid w:val="00CB7460"/>
    <w:rsid w:val="00CB74AC"/>
    <w:rsid w:val="00CB74BD"/>
    <w:rsid w:val="00CB7541"/>
    <w:rsid w:val="00CB75F6"/>
    <w:rsid w:val="00CB774E"/>
    <w:rsid w:val="00CB781D"/>
    <w:rsid w:val="00CB7860"/>
    <w:rsid w:val="00CB7914"/>
    <w:rsid w:val="00CB798D"/>
    <w:rsid w:val="00CB7A33"/>
    <w:rsid w:val="00CB7C30"/>
    <w:rsid w:val="00CB7F92"/>
    <w:rsid w:val="00CB7FE5"/>
    <w:rsid w:val="00CC0170"/>
    <w:rsid w:val="00CC02F2"/>
    <w:rsid w:val="00CC033D"/>
    <w:rsid w:val="00CC0389"/>
    <w:rsid w:val="00CC04C4"/>
    <w:rsid w:val="00CC04C5"/>
    <w:rsid w:val="00CC0585"/>
    <w:rsid w:val="00CC0655"/>
    <w:rsid w:val="00CC0665"/>
    <w:rsid w:val="00CC068F"/>
    <w:rsid w:val="00CC0749"/>
    <w:rsid w:val="00CC0BB7"/>
    <w:rsid w:val="00CC0BEC"/>
    <w:rsid w:val="00CC0C09"/>
    <w:rsid w:val="00CC0C5B"/>
    <w:rsid w:val="00CC0DF9"/>
    <w:rsid w:val="00CC0FA6"/>
    <w:rsid w:val="00CC1069"/>
    <w:rsid w:val="00CC1215"/>
    <w:rsid w:val="00CC1228"/>
    <w:rsid w:val="00CC12FB"/>
    <w:rsid w:val="00CC131C"/>
    <w:rsid w:val="00CC1373"/>
    <w:rsid w:val="00CC144E"/>
    <w:rsid w:val="00CC150D"/>
    <w:rsid w:val="00CC1568"/>
    <w:rsid w:val="00CC1619"/>
    <w:rsid w:val="00CC161F"/>
    <w:rsid w:val="00CC1656"/>
    <w:rsid w:val="00CC17BE"/>
    <w:rsid w:val="00CC17CC"/>
    <w:rsid w:val="00CC1996"/>
    <w:rsid w:val="00CC2156"/>
    <w:rsid w:val="00CC21EE"/>
    <w:rsid w:val="00CC235F"/>
    <w:rsid w:val="00CC2418"/>
    <w:rsid w:val="00CC245D"/>
    <w:rsid w:val="00CC247E"/>
    <w:rsid w:val="00CC2735"/>
    <w:rsid w:val="00CC28D8"/>
    <w:rsid w:val="00CC2A3B"/>
    <w:rsid w:val="00CC2AC4"/>
    <w:rsid w:val="00CC2CEE"/>
    <w:rsid w:val="00CC2D8A"/>
    <w:rsid w:val="00CC2F4D"/>
    <w:rsid w:val="00CC3025"/>
    <w:rsid w:val="00CC3039"/>
    <w:rsid w:val="00CC3309"/>
    <w:rsid w:val="00CC3391"/>
    <w:rsid w:val="00CC33CF"/>
    <w:rsid w:val="00CC3558"/>
    <w:rsid w:val="00CC35D5"/>
    <w:rsid w:val="00CC366D"/>
    <w:rsid w:val="00CC36C1"/>
    <w:rsid w:val="00CC3729"/>
    <w:rsid w:val="00CC388F"/>
    <w:rsid w:val="00CC38EC"/>
    <w:rsid w:val="00CC3B36"/>
    <w:rsid w:val="00CC3BEA"/>
    <w:rsid w:val="00CC3D02"/>
    <w:rsid w:val="00CC3D20"/>
    <w:rsid w:val="00CC3ED7"/>
    <w:rsid w:val="00CC3ED9"/>
    <w:rsid w:val="00CC4726"/>
    <w:rsid w:val="00CC476B"/>
    <w:rsid w:val="00CC4ACC"/>
    <w:rsid w:val="00CC4B71"/>
    <w:rsid w:val="00CC4B8B"/>
    <w:rsid w:val="00CC4B9E"/>
    <w:rsid w:val="00CC4D30"/>
    <w:rsid w:val="00CC4F3A"/>
    <w:rsid w:val="00CC4F48"/>
    <w:rsid w:val="00CC5052"/>
    <w:rsid w:val="00CC50FA"/>
    <w:rsid w:val="00CC5139"/>
    <w:rsid w:val="00CC545D"/>
    <w:rsid w:val="00CC54F2"/>
    <w:rsid w:val="00CC5633"/>
    <w:rsid w:val="00CC57AB"/>
    <w:rsid w:val="00CC57C6"/>
    <w:rsid w:val="00CC57CF"/>
    <w:rsid w:val="00CC5812"/>
    <w:rsid w:val="00CC5912"/>
    <w:rsid w:val="00CC5A2F"/>
    <w:rsid w:val="00CC5B59"/>
    <w:rsid w:val="00CC5C06"/>
    <w:rsid w:val="00CC5C8F"/>
    <w:rsid w:val="00CC5D03"/>
    <w:rsid w:val="00CC5D63"/>
    <w:rsid w:val="00CC5F5C"/>
    <w:rsid w:val="00CC600B"/>
    <w:rsid w:val="00CC6361"/>
    <w:rsid w:val="00CC6376"/>
    <w:rsid w:val="00CC6451"/>
    <w:rsid w:val="00CC6734"/>
    <w:rsid w:val="00CC6854"/>
    <w:rsid w:val="00CC69BB"/>
    <w:rsid w:val="00CC6A6C"/>
    <w:rsid w:val="00CC6AF4"/>
    <w:rsid w:val="00CC6B74"/>
    <w:rsid w:val="00CC6C97"/>
    <w:rsid w:val="00CC6CD8"/>
    <w:rsid w:val="00CC6F20"/>
    <w:rsid w:val="00CC70A2"/>
    <w:rsid w:val="00CC70AF"/>
    <w:rsid w:val="00CC7409"/>
    <w:rsid w:val="00CC75E4"/>
    <w:rsid w:val="00CC7677"/>
    <w:rsid w:val="00CC7876"/>
    <w:rsid w:val="00CC788A"/>
    <w:rsid w:val="00CC78B6"/>
    <w:rsid w:val="00CC792A"/>
    <w:rsid w:val="00CC7949"/>
    <w:rsid w:val="00CC7965"/>
    <w:rsid w:val="00CC7BFB"/>
    <w:rsid w:val="00CC7C69"/>
    <w:rsid w:val="00CC7CC6"/>
    <w:rsid w:val="00CC7CCD"/>
    <w:rsid w:val="00CC7D80"/>
    <w:rsid w:val="00CC7FDB"/>
    <w:rsid w:val="00CD0011"/>
    <w:rsid w:val="00CD0014"/>
    <w:rsid w:val="00CD011B"/>
    <w:rsid w:val="00CD01ED"/>
    <w:rsid w:val="00CD023E"/>
    <w:rsid w:val="00CD0515"/>
    <w:rsid w:val="00CD082B"/>
    <w:rsid w:val="00CD083E"/>
    <w:rsid w:val="00CD0CBC"/>
    <w:rsid w:val="00CD0DF4"/>
    <w:rsid w:val="00CD0E52"/>
    <w:rsid w:val="00CD0F84"/>
    <w:rsid w:val="00CD1157"/>
    <w:rsid w:val="00CD116F"/>
    <w:rsid w:val="00CD1587"/>
    <w:rsid w:val="00CD1612"/>
    <w:rsid w:val="00CD168D"/>
    <w:rsid w:val="00CD184F"/>
    <w:rsid w:val="00CD1855"/>
    <w:rsid w:val="00CD1992"/>
    <w:rsid w:val="00CD1A48"/>
    <w:rsid w:val="00CD1A62"/>
    <w:rsid w:val="00CD1B30"/>
    <w:rsid w:val="00CD1C09"/>
    <w:rsid w:val="00CD1E71"/>
    <w:rsid w:val="00CD2111"/>
    <w:rsid w:val="00CD22DF"/>
    <w:rsid w:val="00CD2569"/>
    <w:rsid w:val="00CD2585"/>
    <w:rsid w:val="00CD2837"/>
    <w:rsid w:val="00CD285C"/>
    <w:rsid w:val="00CD292D"/>
    <w:rsid w:val="00CD2A1D"/>
    <w:rsid w:val="00CD2A47"/>
    <w:rsid w:val="00CD2BBD"/>
    <w:rsid w:val="00CD2BE7"/>
    <w:rsid w:val="00CD2BF8"/>
    <w:rsid w:val="00CD2CFF"/>
    <w:rsid w:val="00CD2EDB"/>
    <w:rsid w:val="00CD2F72"/>
    <w:rsid w:val="00CD3107"/>
    <w:rsid w:val="00CD3479"/>
    <w:rsid w:val="00CD34EA"/>
    <w:rsid w:val="00CD3539"/>
    <w:rsid w:val="00CD368F"/>
    <w:rsid w:val="00CD3749"/>
    <w:rsid w:val="00CD3817"/>
    <w:rsid w:val="00CD3943"/>
    <w:rsid w:val="00CD39BF"/>
    <w:rsid w:val="00CD3A65"/>
    <w:rsid w:val="00CD3D53"/>
    <w:rsid w:val="00CD404E"/>
    <w:rsid w:val="00CD40DF"/>
    <w:rsid w:val="00CD4182"/>
    <w:rsid w:val="00CD41B9"/>
    <w:rsid w:val="00CD4265"/>
    <w:rsid w:val="00CD42F6"/>
    <w:rsid w:val="00CD46C7"/>
    <w:rsid w:val="00CD477F"/>
    <w:rsid w:val="00CD490B"/>
    <w:rsid w:val="00CD4A79"/>
    <w:rsid w:val="00CD4C17"/>
    <w:rsid w:val="00CD4C25"/>
    <w:rsid w:val="00CD4D0C"/>
    <w:rsid w:val="00CD4FF6"/>
    <w:rsid w:val="00CD5124"/>
    <w:rsid w:val="00CD5133"/>
    <w:rsid w:val="00CD55D6"/>
    <w:rsid w:val="00CD594A"/>
    <w:rsid w:val="00CD596F"/>
    <w:rsid w:val="00CD5AF3"/>
    <w:rsid w:val="00CD5B65"/>
    <w:rsid w:val="00CD5BF3"/>
    <w:rsid w:val="00CD5DC9"/>
    <w:rsid w:val="00CD605F"/>
    <w:rsid w:val="00CD6165"/>
    <w:rsid w:val="00CD61B4"/>
    <w:rsid w:val="00CD61CE"/>
    <w:rsid w:val="00CD622D"/>
    <w:rsid w:val="00CD624C"/>
    <w:rsid w:val="00CD62AB"/>
    <w:rsid w:val="00CD62B8"/>
    <w:rsid w:val="00CD6499"/>
    <w:rsid w:val="00CD6538"/>
    <w:rsid w:val="00CD668D"/>
    <w:rsid w:val="00CD67B3"/>
    <w:rsid w:val="00CD6834"/>
    <w:rsid w:val="00CD686B"/>
    <w:rsid w:val="00CD68BE"/>
    <w:rsid w:val="00CD6A47"/>
    <w:rsid w:val="00CD6BF2"/>
    <w:rsid w:val="00CD6C53"/>
    <w:rsid w:val="00CD6D91"/>
    <w:rsid w:val="00CD702B"/>
    <w:rsid w:val="00CD703E"/>
    <w:rsid w:val="00CD7055"/>
    <w:rsid w:val="00CD7093"/>
    <w:rsid w:val="00CD71CF"/>
    <w:rsid w:val="00CD7399"/>
    <w:rsid w:val="00CD739F"/>
    <w:rsid w:val="00CD73A4"/>
    <w:rsid w:val="00CD73A8"/>
    <w:rsid w:val="00CD7419"/>
    <w:rsid w:val="00CD7465"/>
    <w:rsid w:val="00CD7634"/>
    <w:rsid w:val="00CD765A"/>
    <w:rsid w:val="00CD7771"/>
    <w:rsid w:val="00CD7818"/>
    <w:rsid w:val="00CD7845"/>
    <w:rsid w:val="00CD7990"/>
    <w:rsid w:val="00CD7E01"/>
    <w:rsid w:val="00CD7E51"/>
    <w:rsid w:val="00CD7ED1"/>
    <w:rsid w:val="00CD7EDC"/>
    <w:rsid w:val="00CD7EEE"/>
    <w:rsid w:val="00CDFEDF"/>
    <w:rsid w:val="00CE036D"/>
    <w:rsid w:val="00CE0537"/>
    <w:rsid w:val="00CE0671"/>
    <w:rsid w:val="00CE0746"/>
    <w:rsid w:val="00CE07AA"/>
    <w:rsid w:val="00CE0814"/>
    <w:rsid w:val="00CE0895"/>
    <w:rsid w:val="00CE08B5"/>
    <w:rsid w:val="00CE0993"/>
    <w:rsid w:val="00CE09B7"/>
    <w:rsid w:val="00CE0ADF"/>
    <w:rsid w:val="00CE0B38"/>
    <w:rsid w:val="00CE0B70"/>
    <w:rsid w:val="00CE0C23"/>
    <w:rsid w:val="00CE0C94"/>
    <w:rsid w:val="00CE0DA3"/>
    <w:rsid w:val="00CE0F50"/>
    <w:rsid w:val="00CE0FB0"/>
    <w:rsid w:val="00CE118E"/>
    <w:rsid w:val="00CE1220"/>
    <w:rsid w:val="00CE1329"/>
    <w:rsid w:val="00CE1339"/>
    <w:rsid w:val="00CE1448"/>
    <w:rsid w:val="00CE156E"/>
    <w:rsid w:val="00CE1A06"/>
    <w:rsid w:val="00CE1A3F"/>
    <w:rsid w:val="00CE1CD6"/>
    <w:rsid w:val="00CE1EBF"/>
    <w:rsid w:val="00CE1ED6"/>
    <w:rsid w:val="00CE1FDE"/>
    <w:rsid w:val="00CE2078"/>
    <w:rsid w:val="00CE2136"/>
    <w:rsid w:val="00CE2547"/>
    <w:rsid w:val="00CE264C"/>
    <w:rsid w:val="00CE28C6"/>
    <w:rsid w:val="00CE2BB8"/>
    <w:rsid w:val="00CE2BC2"/>
    <w:rsid w:val="00CE2C10"/>
    <w:rsid w:val="00CE2CB7"/>
    <w:rsid w:val="00CE2D23"/>
    <w:rsid w:val="00CE2DE9"/>
    <w:rsid w:val="00CE2E85"/>
    <w:rsid w:val="00CE30CF"/>
    <w:rsid w:val="00CE313B"/>
    <w:rsid w:val="00CE3584"/>
    <w:rsid w:val="00CE3942"/>
    <w:rsid w:val="00CE39BC"/>
    <w:rsid w:val="00CE3BEA"/>
    <w:rsid w:val="00CE3D45"/>
    <w:rsid w:val="00CE3DFD"/>
    <w:rsid w:val="00CE3EFE"/>
    <w:rsid w:val="00CE3F8D"/>
    <w:rsid w:val="00CE41F9"/>
    <w:rsid w:val="00CE43CD"/>
    <w:rsid w:val="00CE4469"/>
    <w:rsid w:val="00CE462B"/>
    <w:rsid w:val="00CE46CE"/>
    <w:rsid w:val="00CE482E"/>
    <w:rsid w:val="00CE49E0"/>
    <w:rsid w:val="00CE4AA0"/>
    <w:rsid w:val="00CE4C6C"/>
    <w:rsid w:val="00CE4CF9"/>
    <w:rsid w:val="00CE4CFE"/>
    <w:rsid w:val="00CE4DC6"/>
    <w:rsid w:val="00CE4DD1"/>
    <w:rsid w:val="00CE515B"/>
    <w:rsid w:val="00CE5180"/>
    <w:rsid w:val="00CE518C"/>
    <w:rsid w:val="00CE528E"/>
    <w:rsid w:val="00CE5467"/>
    <w:rsid w:val="00CE5589"/>
    <w:rsid w:val="00CE55EB"/>
    <w:rsid w:val="00CE57EA"/>
    <w:rsid w:val="00CE58F8"/>
    <w:rsid w:val="00CE5B35"/>
    <w:rsid w:val="00CE5B79"/>
    <w:rsid w:val="00CE5BC3"/>
    <w:rsid w:val="00CE5CE6"/>
    <w:rsid w:val="00CE5DC3"/>
    <w:rsid w:val="00CE5F25"/>
    <w:rsid w:val="00CE6099"/>
    <w:rsid w:val="00CE63E9"/>
    <w:rsid w:val="00CE6464"/>
    <w:rsid w:val="00CE6509"/>
    <w:rsid w:val="00CE6512"/>
    <w:rsid w:val="00CE65BC"/>
    <w:rsid w:val="00CE65FD"/>
    <w:rsid w:val="00CE66C4"/>
    <w:rsid w:val="00CE66FF"/>
    <w:rsid w:val="00CE670B"/>
    <w:rsid w:val="00CE671B"/>
    <w:rsid w:val="00CE6729"/>
    <w:rsid w:val="00CE6AEC"/>
    <w:rsid w:val="00CE6D1D"/>
    <w:rsid w:val="00CE6F20"/>
    <w:rsid w:val="00CE6F3B"/>
    <w:rsid w:val="00CE6F87"/>
    <w:rsid w:val="00CE7343"/>
    <w:rsid w:val="00CE7394"/>
    <w:rsid w:val="00CE73A9"/>
    <w:rsid w:val="00CE73D9"/>
    <w:rsid w:val="00CE73DE"/>
    <w:rsid w:val="00CE754E"/>
    <w:rsid w:val="00CE7737"/>
    <w:rsid w:val="00CE78D9"/>
    <w:rsid w:val="00CE793D"/>
    <w:rsid w:val="00CE7DCC"/>
    <w:rsid w:val="00CE7E5E"/>
    <w:rsid w:val="00CE7F8E"/>
    <w:rsid w:val="00CE7F90"/>
    <w:rsid w:val="00CF00C3"/>
    <w:rsid w:val="00CF0297"/>
    <w:rsid w:val="00CF02D0"/>
    <w:rsid w:val="00CF0381"/>
    <w:rsid w:val="00CF0411"/>
    <w:rsid w:val="00CF048C"/>
    <w:rsid w:val="00CF04C0"/>
    <w:rsid w:val="00CF057A"/>
    <w:rsid w:val="00CF0782"/>
    <w:rsid w:val="00CF08AC"/>
    <w:rsid w:val="00CF08C0"/>
    <w:rsid w:val="00CF09AA"/>
    <w:rsid w:val="00CF0B21"/>
    <w:rsid w:val="00CF0BD9"/>
    <w:rsid w:val="00CF0CA3"/>
    <w:rsid w:val="00CF0D64"/>
    <w:rsid w:val="00CF0E0C"/>
    <w:rsid w:val="00CF0E8D"/>
    <w:rsid w:val="00CF0E99"/>
    <w:rsid w:val="00CF1116"/>
    <w:rsid w:val="00CF127A"/>
    <w:rsid w:val="00CF147F"/>
    <w:rsid w:val="00CF14D4"/>
    <w:rsid w:val="00CF15DF"/>
    <w:rsid w:val="00CF168B"/>
    <w:rsid w:val="00CF190C"/>
    <w:rsid w:val="00CF1A07"/>
    <w:rsid w:val="00CF1B34"/>
    <w:rsid w:val="00CF1C55"/>
    <w:rsid w:val="00CF1C89"/>
    <w:rsid w:val="00CF1F22"/>
    <w:rsid w:val="00CF2084"/>
    <w:rsid w:val="00CF20AA"/>
    <w:rsid w:val="00CF212D"/>
    <w:rsid w:val="00CF21B7"/>
    <w:rsid w:val="00CF220E"/>
    <w:rsid w:val="00CF2281"/>
    <w:rsid w:val="00CF2391"/>
    <w:rsid w:val="00CF2455"/>
    <w:rsid w:val="00CF26B8"/>
    <w:rsid w:val="00CF2894"/>
    <w:rsid w:val="00CF28F8"/>
    <w:rsid w:val="00CF2A0E"/>
    <w:rsid w:val="00CF2A22"/>
    <w:rsid w:val="00CF2D41"/>
    <w:rsid w:val="00CF2DD3"/>
    <w:rsid w:val="00CF2EE4"/>
    <w:rsid w:val="00CF2F1A"/>
    <w:rsid w:val="00CF3020"/>
    <w:rsid w:val="00CF307D"/>
    <w:rsid w:val="00CF30EA"/>
    <w:rsid w:val="00CF32AF"/>
    <w:rsid w:val="00CF32B3"/>
    <w:rsid w:val="00CF343E"/>
    <w:rsid w:val="00CF346F"/>
    <w:rsid w:val="00CF384B"/>
    <w:rsid w:val="00CF40D7"/>
    <w:rsid w:val="00CF4175"/>
    <w:rsid w:val="00CF44BF"/>
    <w:rsid w:val="00CF44E0"/>
    <w:rsid w:val="00CF45FD"/>
    <w:rsid w:val="00CF4649"/>
    <w:rsid w:val="00CF4684"/>
    <w:rsid w:val="00CF47D8"/>
    <w:rsid w:val="00CF4B21"/>
    <w:rsid w:val="00CF4B32"/>
    <w:rsid w:val="00CF4B6E"/>
    <w:rsid w:val="00CF4B88"/>
    <w:rsid w:val="00CF4BC7"/>
    <w:rsid w:val="00CF4D45"/>
    <w:rsid w:val="00CF4E03"/>
    <w:rsid w:val="00CF50F7"/>
    <w:rsid w:val="00CF5136"/>
    <w:rsid w:val="00CF52AE"/>
    <w:rsid w:val="00CF541D"/>
    <w:rsid w:val="00CF560F"/>
    <w:rsid w:val="00CF5711"/>
    <w:rsid w:val="00CF579F"/>
    <w:rsid w:val="00CF57B6"/>
    <w:rsid w:val="00CF5828"/>
    <w:rsid w:val="00CF5852"/>
    <w:rsid w:val="00CF585D"/>
    <w:rsid w:val="00CF58EC"/>
    <w:rsid w:val="00CF58FE"/>
    <w:rsid w:val="00CF59DA"/>
    <w:rsid w:val="00CF5BE9"/>
    <w:rsid w:val="00CF5D52"/>
    <w:rsid w:val="00CF5DE7"/>
    <w:rsid w:val="00CF5E15"/>
    <w:rsid w:val="00CF5E8B"/>
    <w:rsid w:val="00CF5F17"/>
    <w:rsid w:val="00CF5F24"/>
    <w:rsid w:val="00CF5F96"/>
    <w:rsid w:val="00CF60B3"/>
    <w:rsid w:val="00CF62B7"/>
    <w:rsid w:val="00CF62BF"/>
    <w:rsid w:val="00CF64BF"/>
    <w:rsid w:val="00CF661E"/>
    <w:rsid w:val="00CF664A"/>
    <w:rsid w:val="00CF670D"/>
    <w:rsid w:val="00CF6756"/>
    <w:rsid w:val="00CF6759"/>
    <w:rsid w:val="00CF6A86"/>
    <w:rsid w:val="00CF6D91"/>
    <w:rsid w:val="00CF70A4"/>
    <w:rsid w:val="00CF70E0"/>
    <w:rsid w:val="00CF719F"/>
    <w:rsid w:val="00CF730E"/>
    <w:rsid w:val="00CF7423"/>
    <w:rsid w:val="00CF7AD9"/>
    <w:rsid w:val="00CF7BE3"/>
    <w:rsid w:val="00CF7D00"/>
    <w:rsid w:val="00CF7D87"/>
    <w:rsid w:val="00CFBFCE"/>
    <w:rsid w:val="00D000E0"/>
    <w:rsid w:val="00D002D0"/>
    <w:rsid w:val="00D00330"/>
    <w:rsid w:val="00D003AD"/>
    <w:rsid w:val="00D003F8"/>
    <w:rsid w:val="00D004DC"/>
    <w:rsid w:val="00D008DE"/>
    <w:rsid w:val="00D00956"/>
    <w:rsid w:val="00D009BF"/>
    <w:rsid w:val="00D00ABE"/>
    <w:rsid w:val="00D00F16"/>
    <w:rsid w:val="00D00F72"/>
    <w:rsid w:val="00D010E4"/>
    <w:rsid w:val="00D01360"/>
    <w:rsid w:val="00D01434"/>
    <w:rsid w:val="00D01690"/>
    <w:rsid w:val="00D018DC"/>
    <w:rsid w:val="00D01949"/>
    <w:rsid w:val="00D01F2E"/>
    <w:rsid w:val="00D0206E"/>
    <w:rsid w:val="00D021A2"/>
    <w:rsid w:val="00D021BE"/>
    <w:rsid w:val="00D021F0"/>
    <w:rsid w:val="00D02231"/>
    <w:rsid w:val="00D02405"/>
    <w:rsid w:val="00D024A8"/>
    <w:rsid w:val="00D02664"/>
    <w:rsid w:val="00D027BF"/>
    <w:rsid w:val="00D0296B"/>
    <w:rsid w:val="00D0297C"/>
    <w:rsid w:val="00D02A4C"/>
    <w:rsid w:val="00D02D1D"/>
    <w:rsid w:val="00D02D95"/>
    <w:rsid w:val="00D02E53"/>
    <w:rsid w:val="00D02ECE"/>
    <w:rsid w:val="00D02EDD"/>
    <w:rsid w:val="00D02F54"/>
    <w:rsid w:val="00D0331E"/>
    <w:rsid w:val="00D03336"/>
    <w:rsid w:val="00D034D5"/>
    <w:rsid w:val="00D0365F"/>
    <w:rsid w:val="00D03758"/>
    <w:rsid w:val="00D037EC"/>
    <w:rsid w:val="00D03909"/>
    <w:rsid w:val="00D03B78"/>
    <w:rsid w:val="00D03FC6"/>
    <w:rsid w:val="00D04068"/>
    <w:rsid w:val="00D04112"/>
    <w:rsid w:val="00D04151"/>
    <w:rsid w:val="00D0419D"/>
    <w:rsid w:val="00D04269"/>
    <w:rsid w:val="00D04407"/>
    <w:rsid w:val="00D044D7"/>
    <w:rsid w:val="00D045DA"/>
    <w:rsid w:val="00D04990"/>
    <w:rsid w:val="00D049BD"/>
    <w:rsid w:val="00D04B2E"/>
    <w:rsid w:val="00D04B67"/>
    <w:rsid w:val="00D04C84"/>
    <w:rsid w:val="00D04D0C"/>
    <w:rsid w:val="00D04D6E"/>
    <w:rsid w:val="00D05169"/>
    <w:rsid w:val="00D051F0"/>
    <w:rsid w:val="00D05516"/>
    <w:rsid w:val="00D05A49"/>
    <w:rsid w:val="00D05A50"/>
    <w:rsid w:val="00D05A7B"/>
    <w:rsid w:val="00D05AE6"/>
    <w:rsid w:val="00D05E0D"/>
    <w:rsid w:val="00D06017"/>
    <w:rsid w:val="00D0604E"/>
    <w:rsid w:val="00D0612B"/>
    <w:rsid w:val="00D0632B"/>
    <w:rsid w:val="00D063AE"/>
    <w:rsid w:val="00D0659D"/>
    <w:rsid w:val="00D06726"/>
    <w:rsid w:val="00D06787"/>
    <w:rsid w:val="00D0684B"/>
    <w:rsid w:val="00D068C1"/>
    <w:rsid w:val="00D06C38"/>
    <w:rsid w:val="00D06DEB"/>
    <w:rsid w:val="00D06E39"/>
    <w:rsid w:val="00D073F9"/>
    <w:rsid w:val="00D07402"/>
    <w:rsid w:val="00D0748E"/>
    <w:rsid w:val="00D07758"/>
    <w:rsid w:val="00D0787B"/>
    <w:rsid w:val="00D10092"/>
    <w:rsid w:val="00D100B0"/>
    <w:rsid w:val="00D101E9"/>
    <w:rsid w:val="00D104C1"/>
    <w:rsid w:val="00D10649"/>
    <w:rsid w:val="00D106CD"/>
    <w:rsid w:val="00D106D9"/>
    <w:rsid w:val="00D10700"/>
    <w:rsid w:val="00D107F6"/>
    <w:rsid w:val="00D10A6A"/>
    <w:rsid w:val="00D10B53"/>
    <w:rsid w:val="00D10B77"/>
    <w:rsid w:val="00D10CCF"/>
    <w:rsid w:val="00D10DB8"/>
    <w:rsid w:val="00D10DE9"/>
    <w:rsid w:val="00D10F7A"/>
    <w:rsid w:val="00D11031"/>
    <w:rsid w:val="00D112F0"/>
    <w:rsid w:val="00D1149E"/>
    <w:rsid w:val="00D11532"/>
    <w:rsid w:val="00D11993"/>
    <w:rsid w:val="00D11BCA"/>
    <w:rsid w:val="00D11CB1"/>
    <w:rsid w:val="00D11D16"/>
    <w:rsid w:val="00D1205C"/>
    <w:rsid w:val="00D121A1"/>
    <w:rsid w:val="00D1225D"/>
    <w:rsid w:val="00D1249A"/>
    <w:rsid w:val="00D125B3"/>
    <w:rsid w:val="00D1280F"/>
    <w:rsid w:val="00D1288D"/>
    <w:rsid w:val="00D12AAD"/>
    <w:rsid w:val="00D12AF0"/>
    <w:rsid w:val="00D12C15"/>
    <w:rsid w:val="00D13073"/>
    <w:rsid w:val="00D13148"/>
    <w:rsid w:val="00D132B0"/>
    <w:rsid w:val="00D13553"/>
    <w:rsid w:val="00D1356B"/>
    <w:rsid w:val="00D135D6"/>
    <w:rsid w:val="00D136C2"/>
    <w:rsid w:val="00D137CE"/>
    <w:rsid w:val="00D13804"/>
    <w:rsid w:val="00D13B4F"/>
    <w:rsid w:val="00D13B54"/>
    <w:rsid w:val="00D13C40"/>
    <w:rsid w:val="00D13D3D"/>
    <w:rsid w:val="00D13DB3"/>
    <w:rsid w:val="00D13E60"/>
    <w:rsid w:val="00D13E77"/>
    <w:rsid w:val="00D14032"/>
    <w:rsid w:val="00D14310"/>
    <w:rsid w:val="00D14392"/>
    <w:rsid w:val="00D1442D"/>
    <w:rsid w:val="00D1452D"/>
    <w:rsid w:val="00D146C5"/>
    <w:rsid w:val="00D14A03"/>
    <w:rsid w:val="00D14B8C"/>
    <w:rsid w:val="00D14BB2"/>
    <w:rsid w:val="00D14C3B"/>
    <w:rsid w:val="00D14D32"/>
    <w:rsid w:val="00D14E2F"/>
    <w:rsid w:val="00D15118"/>
    <w:rsid w:val="00D152B0"/>
    <w:rsid w:val="00D15364"/>
    <w:rsid w:val="00D1540D"/>
    <w:rsid w:val="00D155BF"/>
    <w:rsid w:val="00D1572C"/>
    <w:rsid w:val="00D15798"/>
    <w:rsid w:val="00D1588C"/>
    <w:rsid w:val="00D15900"/>
    <w:rsid w:val="00D15980"/>
    <w:rsid w:val="00D15C64"/>
    <w:rsid w:val="00D15C7E"/>
    <w:rsid w:val="00D15EF8"/>
    <w:rsid w:val="00D15F73"/>
    <w:rsid w:val="00D15FFA"/>
    <w:rsid w:val="00D1613F"/>
    <w:rsid w:val="00D1631F"/>
    <w:rsid w:val="00D1637B"/>
    <w:rsid w:val="00D16408"/>
    <w:rsid w:val="00D16546"/>
    <w:rsid w:val="00D16636"/>
    <w:rsid w:val="00D16A70"/>
    <w:rsid w:val="00D16A86"/>
    <w:rsid w:val="00D16AC0"/>
    <w:rsid w:val="00D16BFE"/>
    <w:rsid w:val="00D16D76"/>
    <w:rsid w:val="00D17027"/>
    <w:rsid w:val="00D1710B"/>
    <w:rsid w:val="00D171C9"/>
    <w:rsid w:val="00D171E5"/>
    <w:rsid w:val="00D172DB"/>
    <w:rsid w:val="00D1730D"/>
    <w:rsid w:val="00D17349"/>
    <w:rsid w:val="00D1738E"/>
    <w:rsid w:val="00D174BA"/>
    <w:rsid w:val="00D175C8"/>
    <w:rsid w:val="00D1766D"/>
    <w:rsid w:val="00D176E3"/>
    <w:rsid w:val="00D17A95"/>
    <w:rsid w:val="00D17CFA"/>
    <w:rsid w:val="00D17D9B"/>
    <w:rsid w:val="00D17DDB"/>
    <w:rsid w:val="00D17F3C"/>
    <w:rsid w:val="00D200CC"/>
    <w:rsid w:val="00D20345"/>
    <w:rsid w:val="00D2052E"/>
    <w:rsid w:val="00D20671"/>
    <w:rsid w:val="00D20915"/>
    <w:rsid w:val="00D20BB6"/>
    <w:rsid w:val="00D20E3E"/>
    <w:rsid w:val="00D2118D"/>
    <w:rsid w:val="00D21278"/>
    <w:rsid w:val="00D2141E"/>
    <w:rsid w:val="00D214E4"/>
    <w:rsid w:val="00D21508"/>
    <w:rsid w:val="00D215DE"/>
    <w:rsid w:val="00D21666"/>
    <w:rsid w:val="00D216C1"/>
    <w:rsid w:val="00D21854"/>
    <w:rsid w:val="00D21AC0"/>
    <w:rsid w:val="00D21E2F"/>
    <w:rsid w:val="00D21EDD"/>
    <w:rsid w:val="00D21F31"/>
    <w:rsid w:val="00D21FB5"/>
    <w:rsid w:val="00D2215C"/>
    <w:rsid w:val="00D2224F"/>
    <w:rsid w:val="00D2233E"/>
    <w:rsid w:val="00D223BF"/>
    <w:rsid w:val="00D22645"/>
    <w:rsid w:val="00D22728"/>
    <w:rsid w:val="00D227B5"/>
    <w:rsid w:val="00D2284B"/>
    <w:rsid w:val="00D22960"/>
    <w:rsid w:val="00D2298B"/>
    <w:rsid w:val="00D22995"/>
    <w:rsid w:val="00D22A81"/>
    <w:rsid w:val="00D22B22"/>
    <w:rsid w:val="00D22BFA"/>
    <w:rsid w:val="00D22C1F"/>
    <w:rsid w:val="00D22C27"/>
    <w:rsid w:val="00D22C4B"/>
    <w:rsid w:val="00D22E4F"/>
    <w:rsid w:val="00D22F6C"/>
    <w:rsid w:val="00D22FE8"/>
    <w:rsid w:val="00D23019"/>
    <w:rsid w:val="00D2321D"/>
    <w:rsid w:val="00D2329D"/>
    <w:rsid w:val="00D23473"/>
    <w:rsid w:val="00D235B3"/>
    <w:rsid w:val="00D236D6"/>
    <w:rsid w:val="00D23738"/>
    <w:rsid w:val="00D23787"/>
    <w:rsid w:val="00D238C8"/>
    <w:rsid w:val="00D238D4"/>
    <w:rsid w:val="00D23A6E"/>
    <w:rsid w:val="00D23B50"/>
    <w:rsid w:val="00D23CC6"/>
    <w:rsid w:val="00D23DC7"/>
    <w:rsid w:val="00D23EAE"/>
    <w:rsid w:val="00D23FD3"/>
    <w:rsid w:val="00D240C7"/>
    <w:rsid w:val="00D241F9"/>
    <w:rsid w:val="00D2427A"/>
    <w:rsid w:val="00D24382"/>
    <w:rsid w:val="00D24550"/>
    <w:rsid w:val="00D2469D"/>
    <w:rsid w:val="00D24713"/>
    <w:rsid w:val="00D24782"/>
    <w:rsid w:val="00D24825"/>
    <w:rsid w:val="00D24935"/>
    <w:rsid w:val="00D24A2A"/>
    <w:rsid w:val="00D24A46"/>
    <w:rsid w:val="00D24A78"/>
    <w:rsid w:val="00D24AE6"/>
    <w:rsid w:val="00D24AFE"/>
    <w:rsid w:val="00D24B77"/>
    <w:rsid w:val="00D24BFD"/>
    <w:rsid w:val="00D24C46"/>
    <w:rsid w:val="00D24D0F"/>
    <w:rsid w:val="00D24DA5"/>
    <w:rsid w:val="00D24F76"/>
    <w:rsid w:val="00D24F7C"/>
    <w:rsid w:val="00D2507C"/>
    <w:rsid w:val="00D25217"/>
    <w:rsid w:val="00D25493"/>
    <w:rsid w:val="00D2551D"/>
    <w:rsid w:val="00D2554C"/>
    <w:rsid w:val="00D25607"/>
    <w:rsid w:val="00D256B7"/>
    <w:rsid w:val="00D256FC"/>
    <w:rsid w:val="00D25788"/>
    <w:rsid w:val="00D257F2"/>
    <w:rsid w:val="00D25932"/>
    <w:rsid w:val="00D2597E"/>
    <w:rsid w:val="00D25AFD"/>
    <w:rsid w:val="00D25EE6"/>
    <w:rsid w:val="00D25FD2"/>
    <w:rsid w:val="00D26281"/>
    <w:rsid w:val="00D262BA"/>
    <w:rsid w:val="00D2641C"/>
    <w:rsid w:val="00D26771"/>
    <w:rsid w:val="00D267E6"/>
    <w:rsid w:val="00D26945"/>
    <w:rsid w:val="00D26C17"/>
    <w:rsid w:val="00D26CDC"/>
    <w:rsid w:val="00D26E53"/>
    <w:rsid w:val="00D27140"/>
    <w:rsid w:val="00D2729A"/>
    <w:rsid w:val="00D273B7"/>
    <w:rsid w:val="00D27490"/>
    <w:rsid w:val="00D274B7"/>
    <w:rsid w:val="00D274EA"/>
    <w:rsid w:val="00D2752D"/>
    <w:rsid w:val="00D2753F"/>
    <w:rsid w:val="00D27576"/>
    <w:rsid w:val="00D27663"/>
    <w:rsid w:val="00D2768C"/>
    <w:rsid w:val="00D27811"/>
    <w:rsid w:val="00D278EC"/>
    <w:rsid w:val="00D27943"/>
    <w:rsid w:val="00D2798B"/>
    <w:rsid w:val="00D27A07"/>
    <w:rsid w:val="00D27A92"/>
    <w:rsid w:val="00D27C2C"/>
    <w:rsid w:val="00D27F98"/>
    <w:rsid w:val="00D30114"/>
    <w:rsid w:val="00D3014B"/>
    <w:rsid w:val="00D30286"/>
    <w:rsid w:val="00D30587"/>
    <w:rsid w:val="00D305E2"/>
    <w:rsid w:val="00D3069E"/>
    <w:rsid w:val="00D3097B"/>
    <w:rsid w:val="00D309FC"/>
    <w:rsid w:val="00D30ADA"/>
    <w:rsid w:val="00D30B36"/>
    <w:rsid w:val="00D30C20"/>
    <w:rsid w:val="00D30C7D"/>
    <w:rsid w:val="00D30CF4"/>
    <w:rsid w:val="00D30D79"/>
    <w:rsid w:val="00D30F37"/>
    <w:rsid w:val="00D310C3"/>
    <w:rsid w:val="00D31229"/>
    <w:rsid w:val="00D312AA"/>
    <w:rsid w:val="00D312E8"/>
    <w:rsid w:val="00D314BD"/>
    <w:rsid w:val="00D319B8"/>
    <w:rsid w:val="00D31A0C"/>
    <w:rsid w:val="00D31B49"/>
    <w:rsid w:val="00D31F1E"/>
    <w:rsid w:val="00D32041"/>
    <w:rsid w:val="00D32450"/>
    <w:rsid w:val="00D32509"/>
    <w:rsid w:val="00D32513"/>
    <w:rsid w:val="00D32660"/>
    <w:rsid w:val="00D32896"/>
    <w:rsid w:val="00D3292F"/>
    <w:rsid w:val="00D3295B"/>
    <w:rsid w:val="00D32D77"/>
    <w:rsid w:val="00D32DF3"/>
    <w:rsid w:val="00D32DF4"/>
    <w:rsid w:val="00D32E13"/>
    <w:rsid w:val="00D32F65"/>
    <w:rsid w:val="00D32FA5"/>
    <w:rsid w:val="00D32FFD"/>
    <w:rsid w:val="00D33061"/>
    <w:rsid w:val="00D33184"/>
    <w:rsid w:val="00D333B0"/>
    <w:rsid w:val="00D333CC"/>
    <w:rsid w:val="00D33449"/>
    <w:rsid w:val="00D334FE"/>
    <w:rsid w:val="00D33549"/>
    <w:rsid w:val="00D3356A"/>
    <w:rsid w:val="00D335E4"/>
    <w:rsid w:val="00D335EA"/>
    <w:rsid w:val="00D33733"/>
    <w:rsid w:val="00D3385D"/>
    <w:rsid w:val="00D33863"/>
    <w:rsid w:val="00D33881"/>
    <w:rsid w:val="00D33888"/>
    <w:rsid w:val="00D3390F"/>
    <w:rsid w:val="00D33950"/>
    <w:rsid w:val="00D339DC"/>
    <w:rsid w:val="00D33A0A"/>
    <w:rsid w:val="00D33A58"/>
    <w:rsid w:val="00D33AED"/>
    <w:rsid w:val="00D33BB6"/>
    <w:rsid w:val="00D33C55"/>
    <w:rsid w:val="00D33CAD"/>
    <w:rsid w:val="00D3423E"/>
    <w:rsid w:val="00D34345"/>
    <w:rsid w:val="00D344EB"/>
    <w:rsid w:val="00D345B4"/>
    <w:rsid w:val="00D345BA"/>
    <w:rsid w:val="00D3463A"/>
    <w:rsid w:val="00D346E1"/>
    <w:rsid w:val="00D34783"/>
    <w:rsid w:val="00D347F8"/>
    <w:rsid w:val="00D348AD"/>
    <w:rsid w:val="00D348BB"/>
    <w:rsid w:val="00D3490A"/>
    <w:rsid w:val="00D34915"/>
    <w:rsid w:val="00D34B66"/>
    <w:rsid w:val="00D34D62"/>
    <w:rsid w:val="00D34E68"/>
    <w:rsid w:val="00D34FC8"/>
    <w:rsid w:val="00D35280"/>
    <w:rsid w:val="00D354A8"/>
    <w:rsid w:val="00D35626"/>
    <w:rsid w:val="00D35637"/>
    <w:rsid w:val="00D3596A"/>
    <w:rsid w:val="00D35A68"/>
    <w:rsid w:val="00D35BC8"/>
    <w:rsid w:val="00D35BE5"/>
    <w:rsid w:val="00D35D50"/>
    <w:rsid w:val="00D35E67"/>
    <w:rsid w:val="00D35EF5"/>
    <w:rsid w:val="00D35F0D"/>
    <w:rsid w:val="00D3615C"/>
    <w:rsid w:val="00D3621C"/>
    <w:rsid w:val="00D36391"/>
    <w:rsid w:val="00D3642A"/>
    <w:rsid w:val="00D3647C"/>
    <w:rsid w:val="00D36603"/>
    <w:rsid w:val="00D36606"/>
    <w:rsid w:val="00D3668C"/>
    <w:rsid w:val="00D3669C"/>
    <w:rsid w:val="00D366E4"/>
    <w:rsid w:val="00D3682D"/>
    <w:rsid w:val="00D3695C"/>
    <w:rsid w:val="00D36963"/>
    <w:rsid w:val="00D373E6"/>
    <w:rsid w:val="00D376D9"/>
    <w:rsid w:val="00D37CB2"/>
    <w:rsid w:val="00D37E12"/>
    <w:rsid w:val="00D37E50"/>
    <w:rsid w:val="00D37EE7"/>
    <w:rsid w:val="00D40019"/>
    <w:rsid w:val="00D400A2"/>
    <w:rsid w:val="00D4013F"/>
    <w:rsid w:val="00D402BC"/>
    <w:rsid w:val="00D40455"/>
    <w:rsid w:val="00D406E6"/>
    <w:rsid w:val="00D407E4"/>
    <w:rsid w:val="00D409EB"/>
    <w:rsid w:val="00D40A74"/>
    <w:rsid w:val="00D40ADB"/>
    <w:rsid w:val="00D40AF2"/>
    <w:rsid w:val="00D40B08"/>
    <w:rsid w:val="00D40B72"/>
    <w:rsid w:val="00D40D52"/>
    <w:rsid w:val="00D40D70"/>
    <w:rsid w:val="00D40DE5"/>
    <w:rsid w:val="00D40FA4"/>
    <w:rsid w:val="00D4112E"/>
    <w:rsid w:val="00D4153E"/>
    <w:rsid w:val="00D415F9"/>
    <w:rsid w:val="00D41792"/>
    <w:rsid w:val="00D41975"/>
    <w:rsid w:val="00D41A0D"/>
    <w:rsid w:val="00D41ADC"/>
    <w:rsid w:val="00D41C25"/>
    <w:rsid w:val="00D41C3E"/>
    <w:rsid w:val="00D41D66"/>
    <w:rsid w:val="00D4209C"/>
    <w:rsid w:val="00D42177"/>
    <w:rsid w:val="00D42221"/>
    <w:rsid w:val="00D42281"/>
    <w:rsid w:val="00D423C5"/>
    <w:rsid w:val="00D42400"/>
    <w:rsid w:val="00D4256A"/>
    <w:rsid w:val="00D42A6B"/>
    <w:rsid w:val="00D42B27"/>
    <w:rsid w:val="00D42BCC"/>
    <w:rsid w:val="00D42C5E"/>
    <w:rsid w:val="00D42CCE"/>
    <w:rsid w:val="00D42DEE"/>
    <w:rsid w:val="00D42FA4"/>
    <w:rsid w:val="00D430C8"/>
    <w:rsid w:val="00D43151"/>
    <w:rsid w:val="00D431BB"/>
    <w:rsid w:val="00D431D4"/>
    <w:rsid w:val="00D43268"/>
    <w:rsid w:val="00D43425"/>
    <w:rsid w:val="00D435F4"/>
    <w:rsid w:val="00D4373F"/>
    <w:rsid w:val="00D437EF"/>
    <w:rsid w:val="00D4382C"/>
    <w:rsid w:val="00D43918"/>
    <w:rsid w:val="00D43A4E"/>
    <w:rsid w:val="00D43A6E"/>
    <w:rsid w:val="00D43B5C"/>
    <w:rsid w:val="00D43BAC"/>
    <w:rsid w:val="00D43C4A"/>
    <w:rsid w:val="00D43C54"/>
    <w:rsid w:val="00D43C69"/>
    <w:rsid w:val="00D43CFC"/>
    <w:rsid w:val="00D43D10"/>
    <w:rsid w:val="00D43F15"/>
    <w:rsid w:val="00D44238"/>
    <w:rsid w:val="00D4427D"/>
    <w:rsid w:val="00D44287"/>
    <w:rsid w:val="00D4430B"/>
    <w:rsid w:val="00D4431D"/>
    <w:rsid w:val="00D444E6"/>
    <w:rsid w:val="00D444EE"/>
    <w:rsid w:val="00D44557"/>
    <w:rsid w:val="00D4458E"/>
    <w:rsid w:val="00D445FD"/>
    <w:rsid w:val="00D446D1"/>
    <w:rsid w:val="00D44A29"/>
    <w:rsid w:val="00D44A80"/>
    <w:rsid w:val="00D44CFB"/>
    <w:rsid w:val="00D44D24"/>
    <w:rsid w:val="00D44D85"/>
    <w:rsid w:val="00D44DEF"/>
    <w:rsid w:val="00D44DFC"/>
    <w:rsid w:val="00D4510A"/>
    <w:rsid w:val="00D45128"/>
    <w:rsid w:val="00D45142"/>
    <w:rsid w:val="00D4539E"/>
    <w:rsid w:val="00D45412"/>
    <w:rsid w:val="00D4574C"/>
    <w:rsid w:val="00D4590A"/>
    <w:rsid w:val="00D45964"/>
    <w:rsid w:val="00D45B5C"/>
    <w:rsid w:val="00D45C6E"/>
    <w:rsid w:val="00D45D0D"/>
    <w:rsid w:val="00D45E4D"/>
    <w:rsid w:val="00D45EC9"/>
    <w:rsid w:val="00D45F93"/>
    <w:rsid w:val="00D45FFE"/>
    <w:rsid w:val="00D460D3"/>
    <w:rsid w:val="00D46185"/>
    <w:rsid w:val="00D46191"/>
    <w:rsid w:val="00D4619C"/>
    <w:rsid w:val="00D46348"/>
    <w:rsid w:val="00D4637B"/>
    <w:rsid w:val="00D4669D"/>
    <w:rsid w:val="00D4673D"/>
    <w:rsid w:val="00D46925"/>
    <w:rsid w:val="00D46A47"/>
    <w:rsid w:val="00D46EE1"/>
    <w:rsid w:val="00D46F61"/>
    <w:rsid w:val="00D470EC"/>
    <w:rsid w:val="00D4710B"/>
    <w:rsid w:val="00D47473"/>
    <w:rsid w:val="00D475A3"/>
    <w:rsid w:val="00D475BD"/>
    <w:rsid w:val="00D475D5"/>
    <w:rsid w:val="00D47833"/>
    <w:rsid w:val="00D47927"/>
    <w:rsid w:val="00D47BCF"/>
    <w:rsid w:val="00D47C9F"/>
    <w:rsid w:val="00D47E8E"/>
    <w:rsid w:val="00D47E9E"/>
    <w:rsid w:val="00D50227"/>
    <w:rsid w:val="00D50232"/>
    <w:rsid w:val="00D503CF"/>
    <w:rsid w:val="00D5059B"/>
    <w:rsid w:val="00D505CA"/>
    <w:rsid w:val="00D5067E"/>
    <w:rsid w:val="00D506D2"/>
    <w:rsid w:val="00D50871"/>
    <w:rsid w:val="00D5089B"/>
    <w:rsid w:val="00D50A89"/>
    <w:rsid w:val="00D50EF0"/>
    <w:rsid w:val="00D50F64"/>
    <w:rsid w:val="00D50FE8"/>
    <w:rsid w:val="00D5102A"/>
    <w:rsid w:val="00D5103A"/>
    <w:rsid w:val="00D51065"/>
    <w:rsid w:val="00D51110"/>
    <w:rsid w:val="00D5157F"/>
    <w:rsid w:val="00D5184A"/>
    <w:rsid w:val="00D51AB2"/>
    <w:rsid w:val="00D51B5F"/>
    <w:rsid w:val="00D51E2C"/>
    <w:rsid w:val="00D51EB8"/>
    <w:rsid w:val="00D51EDB"/>
    <w:rsid w:val="00D51FD2"/>
    <w:rsid w:val="00D520BB"/>
    <w:rsid w:val="00D52136"/>
    <w:rsid w:val="00D523AB"/>
    <w:rsid w:val="00D5259C"/>
    <w:rsid w:val="00D5260F"/>
    <w:rsid w:val="00D52663"/>
    <w:rsid w:val="00D526B1"/>
    <w:rsid w:val="00D528C2"/>
    <w:rsid w:val="00D52A5D"/>
    <w:rsid w:val="00D52CE1"/>
    <w:rsid w:val="00D52CF1"/>
    <w:rsid w:val="00D52FAC"/>
    <w:rsid w:val="00D531B1"/>
    <w:rsid w:val="00D531B9"/>
    <w:rsid w:val="00D532E7"/>
    <w:rsid w:val="00D534ED"/>
    <w:rsid w:val="00D53763"/>
    <w:rsid w:val="00D537F5"/>
    <w:rsid w:val="00D53AED"/>
    <w:rsid w:val="00D53C8C"/>
    <w:rsid w:val="00D53D2E"/>
    <w:rsid w:val="00D53E01"/>
    <w:rsid w:val="00D53F90"/>
    <w:rsid w:val="00D53FE9"/>
    <w:rsid w:val="00D54048"/>
    <w:rsid w:val="00D540E2"/>
    <w:rsid w:val="00D544AD"/>
    <w:rsid w:val="00D548D5"/>
    <w:rsid w:val="00D548FD"/>
    <w:rsid w:val="00D54A6E"/>
    <w:rsid w:val="00D54B2E"/>
    <w:rsid w:val="00D54C42"/>
    <w:rsid w:val="00D54C7C"/>
    <w:rsid w:val="00D54CB4"/>
    <w:rsid w:val="00D54E70"/>
    <w:rsid w:val="00D54ECE"/>
    <w:rsid w:val="00D54FAA"/>
    <w:rsid w:val="00D55048"/>
    <w:rsid w:val="00D55151"/>
    <w:rsid w:val="00D55258"/>
    <w:rsid w:val="00D5531D"/>
    <w:rsid w:val="00D553D2"/>
    <w:rsid w:val="00D556CC"/>
    <w:rsid w:val="00D559C6"/>
    <w:rsid w:val="00D559D8"/>
    <w:rsid w:val="00D55C4A"/>
    <w:rsid w:val="00D56334"/>
    <w:rsid w:val="00D563C5"/>
    <w:rsid w:val="00D56463"/>
    <w:rsid w:val="00D5658F"/>
    <w:rsid w:val="00D565A3"/>
    <w:rsid w:val="00D56662"/>
    <w:rsid w:val="00D566EC"/>
    <w:rsid w:val="00D567AE"/>
    <w:rsid w:val="00D56868"/>
    <w:rsid w:val="00D568CD"/>
    <w:rsid w:val="00D56A34"/>
    <w:rsid w:val="00D56B0E"/>
    <w:rsid w:val="00D56B25"/>
    <w:rsid w:val="00D56B92"/>
    <w:rsid w:val="00D56E6F"/>
    <w:rsid w:val="00D56F59"/>
    <w:rsid w:val="00D56FB4"/>
    <w:rsid w:val="00D570AD"/>
    <w:rsid w:val="00D571FB"/>
    <w:rsid w:val="00D57257"/>
    <w:rsid w:val="00D57268"/>
    <w:rsid w:val="00D573DA"/>
    <w:rsid w:val="00D57417"/>
    <w:rsid w:val="00D575EE"/>
    <w:rsid w:val="00D5772F"/>
    <w:rsid w:val="00D5779E"/>
    <w:rsid w:val="00D5791E"/>
    <w:rsid w:val="00D57979"/>
    <w:rsid w:val="00D57A34"/>
    <w:rsid w:val="00D57A3E"/>
    <w:rsid w:val="00D57A7B"/>
    <w:rsid w:val="00D57B12"/>
    <w:rsid w:val="00D57B3C"/>
    <w:rsid w:val="00D57DD9"/>
    <w:rsid w:val="00D57DDF"/>
    <w:rsid w:val="00D600C2"/>
    <w:rsid w:val="00D601BD"/>
    <w:rsid w:val="00D6050B"/>
    <w:rsid w:val="00D6055F"/>
    <w:rsid w:val="00D6063B"/>
    <w:rsid w:val="00D607A4"/>
    <w:rsid w:val="00D608DF"/>
    <w:rsid w:val="00D609E3"/>
    <w:rsid w:val="00D60BA3"/>
    <w:rsid w:val="00D60C87"/>
    <w:rsid w:val="00D60F5A"/>
    <w:rsid w:val="00D6123C"/>
    <w:rsid w:val="00D616A1"/>
    <w:rsid w:val="00D61ABD"/>
    <w:rsid w:val="00D61D8A"/>
    <w:rsid w:val="00D61E04"/>
    <w:rsid w:val="00D61F19"/>
    <w:rsid w:val="00D61F42"/>
    <w:rsid w:val="00D61FAE"/>
    <w:rsid w:val="00D62049"/>
    <w:rsid w:val="00D62126"/>
    <w:rsid w:val="00D62160"/>
    <w:rsid w:val="00D62199"/>
    <w:rsid w:val="00D62228"/>
    <w:rsid w:val="00D6233A"/>
    <w:rsid w:val="00D6235E"/>
    <w:rsid w:val="00D623DF"/>
    <w:rsid w:val="00D624CE"/>
    <w:rsid w:val="00D6253D"/>
    <w:rsid w:val="00D62705"/>
    <w:rsid w:val="00D62787"/>
    <w:rsid w:val="00D62827"/>
    <w:rsid w:val="00D62869"/>
    <w:rsid w:val="00D62934"/>
    <w:rsid w:val="00D62959"/>
    <w:rsid w:val="00D62989"/>
    <w:rsid w:val="00D629DB"/>
    <w:rsid w:val="00D62AD1"/>
    <w:rsid w:val="00D62AEE"/>
    <w:rsid w:val="00D62B41"/>
    <w:rsid w:val="00D62D07"/>
    <w:rsid w:val="00D62EB1"/>
    <w:rsid w:val="00D63040"/>
    <w:rsid w:val="00D63057"/>
    <w:rsid w:val="00D63175"/>
    <w:rsid w:val="00D632F0"/>
    <w:rsid w:val="00D6342D"/>
    <w:rsid w:val="00D6351A"/>
    <w:rsid w:val="00D636EB"/>
    <w:rsid w:val="00D63722"/>
    <w:rsid w:val="00D6390E"/>
    <w:rsid w:val="00D63BD7"/>
    <w:rsid w:val="00D63F2A"/>
    <w:rsid w:val="00D63F49"/>
    <w:rsid w:val="00D6400D"/>
    <w:rsid w:val="00D640F0"/>
    <w:rsid w:val="00D64294"/>
    <w:rsid w:val="00D643A8"/>
    <w:rsid w:val="00D643EB"/>
    <w:rsid w:val="00D64481"/>
    <w:rsid w:val="00D6457F"/>
    <w:rsid w:val="00D6459F"/>
    <w:rsid w:val="00D6469A"/>
    <w:rsid w:val="00D64AA3"/>
    <w:rsid w:val="00D64ADC"/>
    <w:rsid w:val="00D64BE6"/>
    <w:rsid w:val="00D64BF8"/>
    <w:rsid w:val="00D64C0A"/>
    <w:rsid w:val="00D64CF2"/>
    <w:rsid w:val="00D64D7D"/>
    <w:rsid w:val="00D64F82"/>
    <w:rsid w:val="00D650D8"/>
    <w:rsid w:val="00D65214"/>
    <w:rsid w:val="00D65481"/>
    <w:rsid w:val="00D656D2"/>
    <w:rsid w:val="00D65762"/>
    <w:rsid w:val="00D65A3F"/>
    <w:rsid w:val="00D65A62"/>
    <w:rsid w:val="00D65CFA"/>
    <w:rsid w:val="00D65CFB"/>
    <w:rsid w:val="00D65E27"/>
    <w:rsid w:val="00D65E7A"/>
    <w:rsid w:val="00D65EB0"/>
    <w:rsid w:val="00D65F1C"/>
    <w:rsid w:val="00D65F86"/>
    <w:rsid w:val="00D66415"/>
    <w:rsid w:val="00D6648F"/>
    <w:rsid w:val="00D665ED"/>
    <w:rsid w:val="00D66682"/>
    <w:rsid w:val="00D6680B"/>
    <w:rsid w:val="00D668DD"/>
    <w:rsid w:val="00D66A1F"/>
    <w:rsid w:val="00D66A59"/>
    <w:rsid w:val="00D66AE4"/>
    <w:rsid w:val="00D66B5F"/>
    <w:rsid w:val="00D66E21"/>
    <w:rsid w:val="00D66E32"/>
    <w:rsid w:val="00D66E58"/>
    <w:rsid w:val="00D670E8"/>
    <w:rsid w:val="00D6711D"/>
    <w:rsid w:val="00D671AF"/>
    <w:rsid w:val="00D6720E"/>
    <w:rsid w:val="00D6725C"/>
    <w:rsid w:val="00D67364"/>
    <w:rsid w:val="00D6737A"/>
    <w:rsid w:val="00D67393"/>
    <w:rsid w:val="00D673BB"/>
    <w:rsid w:val="00D67579"/>
    <w:rsid w:val="00D67862"/>
    <w:rsid w:val="00D67995"/>
    <w:rsid w:val="00D67BC9"/>
    <w:rsid w:val="00D67F02"/>
    <w:rsid w:val="00D6B129"/>
    <w:rsid w:val="00D6C198"/>
    <w:rsid w:val="00D7001D"/>
    <w:rsid w:val="00D702A7"/>
    <w:rsid w:val="00D703DD"/>
    <w:rsid w:val="00D70607"/>
    <w:rsid w:val="00D707EE"/>
    <w:rsid w:val="00D70A3C"/>
    <w:rsid w:val="00D70DF8"/>
    <w:rsid w:val="00D70E45"/>
    <w:rsid w:val="00D70ED6"/>
    <w:rsid w:val="00D70F56"/>
    <w:rsid w:val="00D71041"/>
    <w:rsid w:val="00D71063"/>
    <w:rsid w:val="00D712EA"/>
    <w:rsid w:val="00D71A86"/>
    <w:rsid w:val="00D71AA4"/>
    <w:rsid w:val="00D71B13"/>
    <w:rsid w:val="00D71BE8"/>
    <w:rsid w:val="00D71C90"/>
    <w:rsid w:val="00D71D82"/>
    <w:rsid w:val="00D71E24"/>
    <w:rsid w:val="00D71EAB"/>
    <w:rsid w:val="00D71EEB"/>
    <w:rsid w:val="00D720AD"/>
    <w:rsid w:val="00D72179"/>
    <w:rsid w:val="00D7243C"/>
    <w:rsid w:val="00D725E1"/>
    <w:rsid w:val="00D725F5"/>
    <w:rsid w:val="00D728EA"/>
    <w:rsid w:val="00D7293C"/>
    <w:rsid w:val="00D72978"/>
    <w:rsid w:val="00D72B00"/>
    <w:rsid w:val="00D72DAB"/>
    <w:rsid w:val="00D72E52"/>
    <w:rsid w:val="00D7300B"/>
    <w:rsid w:val="00D730D6"/>
    <w:rsid w:val="00D73158"/>
    <w:rsid w:val="00D734FD"/>
    <w:rsid w:val="00D738C9"/>
    <w:rsid w:val="00D73C5A"/>
    <w:rsid w:val="00D73CAC"/>
    <w:rsid w:val="00D73D2C"/>
    <w:rsid w:val="00D73D4B"/>
    <w:rsid w:val="00D73EC0"/>
    <w:rsid w:val="00D73F3C"/>
    <w:rsid w:val="00D73F4B"/>
    <w:rsid w:val="00D740A9"/>
    <w:rsid w:val="00D741BC"/>
    <w:rsid w:val="00D743C6"/>
    <w:rsid w:val="00D74631"/>
    <w:rsid w:val="00D746CA"/>
    <w:rsid w:val="00D747C8"/>
    <w:rsid w:val="00D747D1"/>
    <w:rsid w:val="00D74985"/>
    <w:rsid w:val="00D74C44"/>
    <w:rsid w:val="00D7517D"/>
    <w:rsid w:val="00D75194"/>
    <w:rsid w:val="00D7521D"/>
    <w:rsid w:val="00D7540F"/>
    <w:rsid w:val="00D754C9"/>
    <w:rsid w:val="00D755F7"/>
    <w:rsid w:val="00D75AB9"/>
    <w:rsid w:val="00D75B14"/>
    <w:rsid w:val="00D75C04"/>
    <w:rsid w:val="00D75DBC"/>
    <w:rsid w:val="00D75EEA"/>
    <w:rsid w:val="00D75FE8"/>
    <w:rsid w:val="00D761FC"/>
    <w:rsid w:val="00D7682B"/>
    <w:rsid w:val="00D7689C"/>
    <w:rsid w:val="00D76963"/>
    <w:rsid w:val="00D76974"/>
    <w:rsid w:val="00D76A66"/>
    <w:rsid w:val="00D76C73"/>
    <w:rsid w:val="00D76E88"/>
    <w:rsid w:val="00D770BF"/>
    <w:rsid w:val="00D770F4"/>
    <w:rsid w:val="00D77184"/>
    <w:rsid w:val="00D772DE"/>
    <w:rsid w:val="00D772EC"/>
    <w:rsid w:val="00D77396"/>
    <w:rsid w:val="00D7741C"/>
    <w:rsid w:val="00D77612"/>
    <w:rsid w:val="00D777C0"/>
    <w:rsid w:val="00D778A5"/>
    <w:rsid w:val="00D77A51"/>
    <w:rsid w:val="00D8006E"/>
    <w:rsid w:val="00D803E4"/>
    <w:rsid w:val="00D8041C"/>
    <w:rsid w:val="00D805A6"/>
    <w:rsid w:val="00D806E1"/>
    <w:rsid w:val="00D807B7"/>
    <w:rsid w:val="00D80955"/>
    <w:rsid w:val="00D80981"/>
    <w:rsid w:val="00D80988"/>
    <w:rsid w:val="00D809E3"/>
    <w:rsid w:val="00D80A3F"/>
    <w:rsid w:val="00D80B22"/>
    <w:rsid w:val="00D80B24"/>
    <w:rsid w:val="00D80B59"/>
    <w:rsid w:val="00D80D20"/>
    <w:rsid w:val="00D80D91"/>
    <w:rsid w:val="00D80E22"/>
    <w:rsid w:val="00D81049"/>
    <w:rsid w:val="00D8105D"/>
    <w:rsid w:val="00D81101"/>
    <w:rsid w:val="00D811F4"/>
    <w:rsid w:val="00D81241"/>
    <w:rsid w:val="00D813D4"/>
    <w:rsid w:val="00D813F4"/>
    <w:rsid w:val="00D81872"/>
    <w:rsid w:val="00D81A61"/>
    <w:rsid w:val="00D81ABA"/>
    <w:rsid w:val="00D81B65"/>
    <w:rsid w:val="00D81BCE"/>
    <w:rsid w:val="00D81C87"/>
    <w:rsid w:val="00D81D88"/>
    <w:rsid w:val="00D81DC9"/>
    <w:rsid w:val="00D81E99"/>
    <w:rsid w:val="00D81FE6"/>
    <w:rsid w:val="00D820F3"/>
    <w:rsid w:val="00D821DC"/>
    <w:rsid w:val="00D8238D"/>
    <w:rsid w:val="00D82488"/>
    <w:rsid w:val="00D8267D"/>
    <w:rsid w:val="00D827C1"/>
    <w:rsid w:val="00D82A50"/>
    <w:rsid w:val="00D8305B"/>
    <w:rsid w:val="00D831BB"/>
    <w:rsid w:val="00D8323E"/>
    <w:rsid w:val="00D832EA"/>
    <w:rsid w:val="00D83316"/>
    <w:rsid w:val="00D83545"/>
    <w:rsid w:val="00D8387E"/>
    <w:rsid w:val="00D838DE"/>
    <w:rsid w:val="00D8393A"/>
    <w:rsid w:val="00D839C9"/>
    <w:rsid w:val="00D83B9E"/>
    <w:rsid w:val="00D83D44"/>
    <w:rsid w:val="00D83EB3"/>
    <w:rsid w:val="00D84012"/>
    <w:rsid w:val="00D84274"/>
    <w:rsid w:val="00D8427D"/>
    <w:rsid w:val="00D84308"/>
    <w:rsid w:val="00D84537"/>
    <w:rsid w:val="00D84548"/>
    <w:rsid w:val="00D845B6"/>
    <w:rsid w:val="00D84696"/>
    <w:rsid w:val="00D84715"/>
    <w:rsid w:val="00D847FF"/>
    <w:rsid w:val="00D84857"/>
    <w:rsid w:val="00D848C2"/>
    <w:rsid w:val="00D84975"/>
    <w:rsid w:val="00D849B9"/>
    <w:rsid w:val="00D84A1D"/>
    <w:rsid w:val="00D84D78"/>
    <w:rsid w:val="00D84F69"/>
    <w:rsid w:val="00D84F8A"/>
    <w:rsid w:val="00D84FC6"/>
    <w:rsid w:val="00D850A6"/>
    <w:rsid w:val="00D853FC"/>
    <w:rsid w:val="00D855AB"/>
    <w:rsid w:val="00D855F5"/>
    <w:rsid w:val="00D8563B"/>
    <w:rsid w:val="00D85876"/>
    <w:rsid w:val="00D85AC9"/>
    <w:rsid w:val="00D85B09"/>
    <w:rsid w:val="00D85C78"/>
    <w:rsid w:val="00D85EFA"/>
    <w:rsid w:val="00D8604C"/>
    <w:rsid w:val="00D8615F"/>
    <w:rsid w:val="00D861AC"/>
    <w:rsid w:val="00D8622F"/>
    <w:rsid w:val="00D8628C"/>
    <w:rsid w:val="00D86428"/>
    <w:rsid w:val="00D865C9"/>
    <w:rsid w:val="00D866BD"/>
    <w:rsid w:val="00D86759"/>
    <w:rsid w:val="00D86777"/>
    <w:rsid w:val="00D8677F"/>
    <w:rsid w:val="00D869FA"/>
    <w:rsid w:val="00D86B43"/>
    <w:rsid w:val="00D86BCF"/>
    <w:rsid w:val="00D86DA8"/>
    <w:rsid w:val="00D86EF7"/>
    <w:rsid w:val="00D8704F"/>
    <w:rsid w:val="00D870B7"/>
    <w:rsid w:val="00D872F4"/>
    <w:rsid w:val="00D873A5"/>
    <w:rsid w:val="00D87536"/>
    <w:rsid w:val="00D8754A"/>
    <w:rsid w:val="00D8756B"/>
    <w:rsid w:val="00D8761C"/>
    <w:rsid w:val="00D877AC"/>
    <w:rsid w:val="00D87820"/>
    <w:rsid w:val="00D87A4E"/>
    <w:rsid w:val="00D87BE6"/>
    <w:rsid w:val="00D87D0C"/>
    <w:rsid w:val="00D87E90"/>
    <w:rsid w:val="00D90232"/>
    <w:rsid w:val="00D902B4"/>
    <w:rsid w:val="00D903AB"/>
    <w:rsid w:val="00D903E6"/>
    <w:rsid w:val="00D90539"/>
    <w:rsid w:val="00D9059C"/>
    <w:rsid w:val="00D905D0"/>
    <w:rsid w:val="00D90A9E"/>
    <w:rsid w:val="00D90BEA"/>
    <w:rsid w:val="00D90C58"/>
    <w:rsid w:val="00D90C95"/>
    <w:rsid w:val="00D90DD1"/>
    <w:rsid w:val="00D90F1E"/>
    <w:rsid w:val="00D913B4"/>
    <w:rsid w:val="00D9145B"/>
    <w:rsid w:val="00D9166D"/>
    <w:rsid w:val="00D9175A"/>
    <w:rsid w:val="00D9181E"/>
    <w:rsid w:val="00D9199B"/>
    <w:rsid w:val="00D91A6A"/>
    <w:rsid w:val="00D91D02"/>
    <w:rsid w:val="00D91DD1"/>
    <w:rsid w:val="00D91F5D"/>
    <w:rsid w:val="00D9200F"/>
    <w:rsid w:val="00D9232E"/>
    <w:rsid w:val="00D92630"/>
    <w:rsid w:val="00D928AC"/>
    <w:rsid w:val="00D929C6"/>
    <w:rsid w:val="00D92CD5"/>
    <w:rsid w:val="00D92D38"/>
    <w:rsid w:val="00D92F01"/>
    <w:rsid w:val="00D92FE9"/>
    <w:rsid w:val="00D93005"/>
    <w:rsid w:val="00D9316A"/>
    <w:rsid w:val="00D932E5"/>
    <w:rsid w:val="00D93320"/>
    <w:rsid w:val="00D93691"/>
    <w:rsid w:val="00D936E1"/>
    <w:rsid w:val="00D93807"/>
    <w:rsid w:val="00D938F4"/>
    <w:rsid w:val="00D93A70"/>
    <w:rsid w:val="00D93B49"/>
    <w:rsid w:val="00D93D38"/>
    <w:rsid w:val="00D93D83"/>
    <w:rsid w:val="00D93E23"/>
    <w:rsid w:val="00D93E9A"/>
    <w:rsid w:val="00D93EC3"/>
    <w:rsid w:val="00D940E1"/>
    <w:rsid w:val="00D94488"/>
    <w:rsid w:val="00D944D7"/>
    <w:rsid w:val="00D94549"/>
    <w:rsid w:val="00D94560"/>
    <w:rsid w:val="00D94570"/>
    <w:rsid w:val="00D9496E"/>
    <w:rsid w:val="00D94AF6"/>
    <w:rsid w:val="00D94B21"/>
    <w:rsid w:val="00D94C46"/>
    <w:rsid w:val="00D95022"/>
    <w:rsid w:val="00D95091"/>
    <w:rsid w:val="00D951BF"/>
    <w:rsid w:val="00D95354"/>
    <w:rsid w:val="00D954E9"/>
    <w:rsid w:val="00D95774"/>
    <w:rsid w:val="00D957B3"/>
    <w:rsid w:val="00D95937"/>
    <w:rsid w:val="00D95AC3"/>
    <w:rsid w:val="00D95BF2"/>
    <w:rsid w:val="00D95C2B"/>
    <w:rsid w:val="00D95C7A"/>
    <w:rsid w:val="00D95D26"/>
    <w:rsid w:val="00D95EA5"/>
    <w:rsid w:val="00D95F93"/>
    <w:rsid w:val="00D95FA6"/>
    <w:rsid w:val="00D961DC"/>
    <w:rsid w:val="00D96265"/>
    <w:rsid w:val="00D96370"/>
    <w:rsid w:val="00D96371"/>
    <w:rsid w:val="00D963F4"/>
    <w:rsid w:val="00D9673F"/>
    <w:rsid w:val="00D96871"/>
    <w:rsid w:val="00D9695E"/>
    <w:rsid w:val="00D969EE"/>
    <w:rsid w:val="00D96A23"/>
    <w:rsid w:val="00D96B71"/>
    <w:rsid w:val="00D96E60"/>
    <w:rsid w:val="00D96EFB"/>
    <w:rsid w:val="00D970E2"/>
    <w:rsid w:val="00D97101"/>
    <w:rsid w:val="00D97422"/>
    <w:rsid w:val="00D9745D"/>
    <w:rsid w:val="00D9747C"/>
    <w:rsid w:val="00D97AF0"/>
    <w:rsid w:val="00D97BBC"/>
    <w:rsid w:val="00D97D52"/>
    <w:rsid w:val="00D97D74"/>
    <w:rsid w:val="00D97DBA"/>
    <w:rsid w:val="00D97DDB"/>
    <w:rsid w:val="00D97DEB"/>
    <w:rsid w:val="00D97F09"/>
    <w:rsid w:val="00D97F67"/>
    <w:rsid w:val="00DA0093"/>
    <w:rsid w:val="00DA0095"/>
    <w:rsid w:val="00DA017F"/>
    <w:rsid w:val="00DA01F9"/>
    <w:rsid w:val="00DA0443"/>
    <w:rsid w:val="00DA0665"/>
    <w:rsid w:val="00DA0696"/>
    <w:rsid w:val="00DA06E1"/>
    <w:rsid w:val="00DA070B"/>
    <w:rsid w:val="00DA0787"/>
    <w:rsid w:val="00DA07D3"/>
    <w:rsid w:val="00DA0AC9"/>
    <w:rsid w:val="00DA0ACA"/>
    <w:rsid w:val="00DA0B11"/>
    <w:rsid w:val="00DA0C39"/>
    <w:rsid w:val="00DA0C61"/>
    <w:rsid w:val="00DA0C86"/>
    <w:rsid w:val="00DA0CD6"/>
    <w:rsid w:val="00DA0D18"/>
    <w:rsid w:val="00DA0D1F"/>
    <w:rsid w:val="00DA0D87"/>
    <w:rsid w:val="00DA0E35"/>
    <w:rsid w:val="00DA0EC8"/>
    <w:rsid w:val="00DA0EF6"/>
    <w:rsid w:val="00DA0F39"/>
    <w:rsid w:val="00DA0F94"/>
    <w:rsid w:val="00DA0FF5"/>
    <w:rsid w:val="00DA114E"/>
    <w:rsid w:val="00DA12C7"/>
    <w:rsid w:val="00DA12CC"/>
    <w:rsid w:val="00DA1595"/>
    <w:rsid w:val="00DA1613"/>
    <w:rsid w:val="00DA188F"/>
    <w:rsid w:val="00DA192C"/>
    <w:rsid w:val="00DA1968"/>
    <w:rsid w:val="00DA1B9D"/>
    <w:rsid w:val="00DA1C58"/>
    <w:rsid w:val="00DA1CC5"/>
    <w:rsid w:val="00DA1DB1"/>
    <w:rsid w:val="00DA1E7B"/>
    <w:rsid w:val="00DA1F7F"/>
    <w:rsid w:val="00DA2052"/>
    <w:rsid w:val="00DA20F1"/>
    <w:rsid w:val="00DA2168"/>
    <w:rsid w:val="00DA218A"/>
    <w:rsid w:val="00DA22AF"/>
    <w:rsid w:val="00DA2445"/>
    <w:rsid w:val="00DA24A4"/>
    <w:rsid w:val="00DA25DE"/>
    <w:rsid w:val="00DA2610"/>
    <w:rsid w:val="00DA2736"/>
    <w:rsid w:val="00DA29EB"/>
    <w:rsid w:val="00DA2CF9"/>
    <w:rsid w:val="00DA2F56"/>
    <w:rsid w:val="00DA31CB"/>
    <w:rsid w:val="00DA3248"/>
    <w:rsid w:val="00DA326F"/>
    <w:rsid w:val="00DA3395"/>
    <w:rsid w:val="00DA3516"/>
    <w:rsid w:val="00DA354C"/>
    <w:rsid w:val="00DA3646"/>
    <w:rsid w:val="00DA36D5"/>
    <w:rsid w:val="00DA375D"/>
    <w:rsid w:val="00DA3E83"/>
    <w:rsid w:val="00DA3F0A"/>
    <w:rsid w:val="00DA4154"/>
    <w:rsid w:val="00DA41D9"/>
    <w:rsid w:val="00DA41FA"/>
    <w:rsid w:val="00DA44DE"/>
    <w:rsid w:val="00DA45BB"/>
    <w:rsid w:val="00DA4657"/>
    <w:rsid w:val="00DA47A0"/>
    <w:rsid w:val="00DA4923"/>
    <w:rsid w:val="00DA4B57"/>
    <w:rsid w:val="00DA4BCE"/>
    <w:rsid w:val="00DA4BD3"/>
    <w:rsid w:val="00DA4CD9"/>
    <w:rsid w:val="00DA4D82"/>
    <w:rsid w:val="00DA4DFC"/>
    <w:rsid w:val="00DA4F3A"/>
    <w:rsid w:val="00DA5132"/>
    <w:rsid w:val="00DA5165"/>
    <w:rsid w:val="00DA535C"/>
    <w:rsid w:val="00DA5486"/>
    <w:rsid w:val="00DA5559"/>
    <w:rsid w:val="00DA55C9"/>
    <w:rsid w:val="00DA5632"/>
    <w:rsid w:val="00DA56E5"/>
    <w:rsid w:val="00DA5711"/>
    <w:rsid w:val="00DA57B0"/>
    <w:rsid w:val="00DA589A"/>
    <w:rsid w:val="00DA5A35"/>
    <w:rsid w:val="00DA5A4F"/>
    <w:rsid w:val="00DA5E2F"/>
    <w:rsid w:val="00DA5E46"/>
    <w:rsid w:val="00DA5F01"/>
    <w:rsid w:val="00DA5F6C"/>
    <w:rsid w:val="00DA60D0"/>
    <w:rsid w:val="00DA60EF"/>
    <w:rsid w:val="00DA6409"/>
    <w:rsid w:val="00DA64D9"/>
    <w:rsid w:val="00DA6694"/>
    <w:rsid w:val="00DA66B0"/>
    <w:rsid w:val="00DA6750"/>
    <w:rsid w:val="00DA68BA"/>
    <w:rsid w:val="00DA69D4"/>
    <w:rsid w:val="00DA6AB5"/>
    <w:rsid w:val="00DA6C60"/>
    <w:rsid w:val="00DA6C87"/>
    <w:rsid w:val="00DA6E0A"/>
    <w:rsid w:val="00DA6E61"/>
    <w:rsid w:val="00DA6EDE"/>
    <w:rsid w:val="00DA7141"/>
    <w:rsid w:val="00DA7393"/>
    <w:rsid w:val="00DA74F2"/>
    <w:rsid w:val="00DA75D3"/>
    <w:rsid w:val="00DA766C"/>
    <w:rsid w:val="00DA79ED"/>
    <w:rsid w:val="00DA7A82"/>
    <w:rsid w:val="00DA7C93"/>
    <w:rsid w:val="00DB0027"/>
    <w:rsid w:val="00DB0153"/>
    <w:rsid w:val="00DB02F7"/>
    <w:rsid w:val="00DB0507"/>
    <w:rsid w:val="00DB0517"/>
    <w:rsid w:val="00DB0548"/>
    <w:rsid w:val="00DB054B"/>
    <w:rsid w:val="00DB05ED"/>
    <w:rsid w:val="00DB06B2"/>
    <w:rsid w:val="00DB070E"/>
    <w:rsid w:val="00DB07BF"/>
    <w:rsid w:val="00DB0857"/>
    <w:rsid w:val="00DB09FF"/>
    <w:rsid w:val="00DB0AF1"/>
    <w:rsid w:val="00DB0BE8"/>
    <w:rsid w:val="00DB0DEE"/>
    <w:rsid w:val="00DB0E25"/>
    <w:rsid w:val="00DB0E51"/>
    <w:rsid w:val="00DB0ED0"/>
    <w:rsid w:val="00DB0EEF"/>
    <w:rsid w:val="00DB0FA1"/>
    <w:rsid w:val="00DB0FA3"/>
    <w:rsid w:val="00DB1121"/>
    <w:rsid w:val="00DB1212"/>
    <w:rsid w:val="00DB1353"/>
    <w:rsid w:val="00DB13B5"/>
    <w:rsid w:val="00DB14B7"/>
    <w:rsid w:val="00DB1574"/>
    <w:rsid w:val="00DB1602"/>
    <w:rsid w:val="00DB19E8"/>
    <w:rsid w:val="00DB1BEC"/>
    <w:rsid w:val="00DB1C99"/>
    <w:rsid w:val="00DB1D18"/>
    <w:rsid w:val="00DB1EA6"/>
    <w:rsid w:val="00DB2098"/>
    <w:rsid w:val="00DB2122"/>
    <w:rsid w:val="00DB21E6"/>
    <w:rsid w:val="00DB2317"/>
    <w:rsid w:val="00DB23EF"/>
    <w:rsid w:val="00DB23F5"/>
    <w:rsid w:val="00DB24C1"/>
    <w:rsid w:val="00DB24F6"/>
    <w:rsid w:val="00DB25B6"/>
    <w:rsid w:val="00DB25FC"/>
    <w:rsid w:val="00DB2842"/>
    <w:rsid w:val="00DB2904"/>
    <w:rsid w:val="00DB2931"/>
    <w:rsid w:val="00DB2A1C"/>
    <w:rsid w:val="00DB2A3E"/>
    <w:rsid w:val="00DB2E94"/>
    <w:rsid w:val="00DB2EA7"/>
    <w:rsid w:val="00DB2EDD"/>
    <w:rsid w:val="00DB2F04"/>
    <w:rsid w:val="00DB2F0B"/>
    <w:rsid w:val="00DB2FEE"/>
    <w:rsid w:val="00DB3017"/>
    <w:rsid w:val="00DB31F0"/>
    <w:rsid w:val="00DB34C4"/>
    <w:rsid w:val="00DB3507"/>
    <w:rsid w:val="00DB3602"/>
    <w:rsid w:val="00DB3663"/>
    <w:rsid w:val="00DB375E"/>
    <w:rsid w:val="00DB3872"/>
    <w:rsid w:val="00DB38FF"/>
    <w:rsid w:val="00DB392C"/>
    <w:rsid w:val="00DB3B59"/>
    <w:rsid w:val="00DB3D1C"/>
    <w:rsid w:val="00DB3DA5"/>
    <w:rsid w:val="00DB3E3A"/>
    <w:rsid w:val="00DB3FBA"/>
    <w:rsid w:val="00DB404B"/>
    <w:rsid w:val="00DB41FC"/>
    <w:rsid w:val="00DB4438"/>
    <w:rsid w:val="00DB4645"/>
    <w:rsid w:val="00DB4675"/>
    <w:rsid w:val="00DB46CA"/>
    <w:rsid w:val="00DB477E"/>
    <w:rsid w:val="00DB47E4"/>
    <w:rsid w:val="00DB4822"/>
    <w:rsid w:val="00DB4AAC"/>
    <w:rsid w:val="00DB4DFF"/>
    <w:rsid w:val="00DB4F85"/>
    <w:rsid w:val="00DB5046"/>
    <w:rsid w:val="00DB506A"/>
    <w:rsid w:val="00DB50E6"/>
    <w:rsid w:val="00DB5112"/>
    <w:rsid w:val="00DB5493"/>
    <w:rsid w:val="00DB55CB"/>
    <w:rsid w:val="00DB55DD"/>
    <w:rsid w:val="00DB5643"/>
    <w:rsid w:val="00DB568D"/>
    <w:rsid w:val="00DB5691"/>
    <w:rsid w:val="00DB56A4"/>
    <w:rsid w:val="00DB57B2"/>
    <w:rsid w:val="00DB58D7"/>
    <w:rsid w:val="00DB5D0F"/>
    <w:rsid w:val="00DB5F56"/>
    <w:rsid w:val="00DB5F65"/>
    <w:rsid w:val="00DB6032"/>
    <w:rsid w:val="00DB6088"/>
    <w:rsid w:val="00DB60CA"/>
    <w:rsid w:val="00DB60CB"/>
    <w:rsid w:val="00DB622A"/>
    <w:rsid w:val="00DB62C1"/>
    <w:rsid w:val="00DB62EF"/>
    <w:rsid w:val="00DB643D"/>
    <w:rsid w:val="00DB6485"/>
    <w:rsid w:val="00DB64E5"/>
    <w:rsid w:val="00DB6655"/>
    <w:rsid w:val="00DB6665"/>
    <w:rsid w:val="00DB6722"/>
    <w:rsid w:val="00DB679D"/>
    <w:rsid w:val="00DB6906"/>
    <w:rsid w:val="00DB69C4"/>
    <w:rsid w:val="00DB69D6"/>
    <w:rsid w:val="00DB6AB4"/>
    <w:rsid w:val="00DB6B5E"/>
    <w:rsid w:val="00DB6CFD"/>
    <w:rsid w:val="00DB6F1F"/>
    <w:rsid w:val="00DB6F45"/>
    <w:rsid w:val="00DB6FCE"/>
    <w:rsid w:val="00DB722D"/>
    <w:rsid w:val="00DB7263"/>
    <w:rsid w:val="00DB7536"/>
    <w:rsid w:val="00DB75BC"/>
    <w:rsid w:val="00DB78E7"/>
    <w:rsid w:val="00DB7974"/>
    <w:rsid w:val="00DB7A21"/>
    <w:rsid w:val="00DB7D08"/>
    <w:rsid w:val="00DB7DDF"/>
    <w:rsid w:val="00DB7E42"/>
    <w:rsid w:val="00DC0142"/>
    <w:rsid w:val="00DC0309"/>
    <w:rsid w:val="00DC051B"/>
    <w:rsid w:val="00DC07C6"/>
    <w:rsid w:val="00DC07D1"/>
    <w:rsid w:val="00DC09A9"/>
    <w:rsid w:val="00DC0AC6"/>
    <w:rsid w:val="00DC0C49"/>
    <w:rsid w:val="00DC0C82"/>
    <w:rsid w:val="00DC0E0D"/>
    <w:rsid w:val="00DC0F44"/>
    <w:rsid w:val="00DC116C"/>
    <w:rsid w:val="00DC11AF"/>
    <w:rsid w:val="00DC13AE"/>
    <w:rsid w:val="00DC1556"/>
    <w:rsid w:val="00DC158E"/>
    <w:rsid w:val="00DC15CE"/>
    <w:rsid w:val="00DC167D"/>
    <w:rsid w:val="00DC170F"/>
    <w:rsid w:val="00DC1892"/>
    <w:rsid w:val="00DC1A09"/>
    <w:rsid w:val="00DC1A94"/>
    <w:rsid w:val="00DC1BE0"/>
    <w:rsid w:val="00DC1C74"/>
    <w:rsid w:val="00DC1D36"/>
    <w:rsid w:val="00DC1ED4"/>
    <w:rsid w:val="00DC226F"/>
    <w:rsid w:val="00DC2285"/>
    <w:rsid w:val="00DC23A5"/>
    <w:rsid w:val="00DC2459"/>
    <w:rsid w:val="00DC25BB"/>
    <w:rsid w:val="00DC2616"/>
    <w:rsid w:val="00DC26D2"/>
    <w:rsid w:val="00DC28FD"/>
    <w:rsid w:val="00DC2946"/>
    <w:rsid w:val="00DC29A4"/>
    <w:rsid w:val="00DC29A5"/>
    <w:rsid w:val="00DC2DAE"/>
    <w:rsid w:val="00DC2DF5"/>
    <w:rsid w:val="00DC2F62"/>
    <w:rsid w:val="00DC30A3"/>
    <w:rsid w:val="00DC30F4"/>
    <w:rsid w:val="00DC3180"/>
    <w:rsid w:val="00DC3421"/>
    <w:rsid w:val="00DC34BA"/>
    <w:rsid w:val="00DC35E0"/>
    <w:rsid w:val="00DC3793"/>
    <w:rsid w:val="00DC39B2"/>
    <w:rsid w:val="00DC39F7"/>
    <w:rsid w:val="00DC3B4E"/>
    <w:rsid w:val="00DC3B69"/>
    <w:rsid w:val="00DC3CAA"/>
    <w:rsid w:val="00DC3ED1"/>
    <w:rsid w:val="00DC4059"/>
    <w:rsid w:val="00DC40DC"/>
    <w:rsid w:val="00DC4207"/>
    <w:rsid w:val="00DC4243"/>
    <w:rsid w:val="00DC427F"/>
    <w:rsid w:val="00DC43BD"/>
    <w:rsid w:val="00DC44EA"/>
    <w:rsid w:val="00DC44FB"/>
    <w:rsid w:val="00DC453A"/>
    <w:rsid w:val="00DC45C5"/>
    <w:rsid w:val="00DC4602"/>
    <w:rsid w:val="00DC4988"/>
    <w:rsid w:val="00DC4CC9"/>
    <w:rsid w:val="00DC4DAC"/>
    <w:rsid w:val="00DC51EB"/>
    <w:rsid w:val="00DC52CC"/>
    <w:rsid w:val="00DC540E"/>
    <w:rsid w:val="00DC5463"/>
    <w:rsid w:val="00DC54A4"/>
    <w:rsid w:val="00DC5510"/>
    <w:rsid w:val="00DC55AA"/>
    <w:rsid w:val="00DC582E"/>
    <w:rsid w:val="00DC59AA"/>
    <w:rsid w:val="00DC5B3A"/>
    <w:rsid w:val="00DC5C2A"/>
    <w:rsid w:val="00DC5E59"/>
    <w:rsid w:val="00DC6074"/>
    <w:rsid w:val="00DC6262"/>
    <w:rsid w:val="00DC631F"/>
    <w:rsid w:val="00DC63B8"/>
    <w:rsid w:val="00DC63D6"/>
    <w:rsid w:val="00DC65E7"/>
    <w:rsid w:val="00DC679D"/>
    <w:rsid w:val="00DC698D"/>
    <w:rsid w:val="00DC6A82"/>
    <w:rsid w:val="00DC6B63"/>
    <w:rsid w:val="00DC6DAF"/>
    <w:rsid w:val="00DC6E7D"/>
    <w:rsid w:val="00DC6F31"/>
    <w:rsid w:val="00DC6F5B"/>
    <w:rsid w:val="00DC6FAA"/>
    <w:rsid w:val="00DC6FB4"/>
    <w:rsid w:val="00DC6FCF"/>
    <w:rsid w:val="00DC7021"/>
    <w:rsid w:val="00DC7416"/>
    <w:rsid w:val="00DC752F"/>
    <w:rsid w:val="00DC75CC"/>
    <w:rsid w:val="00DC7635"/>
    <w:rsid w:val="00DC76B7"/>
    <w:rsid w:val="00DC773E"/>
    <w:rsid w:val="00DC779C"/>
    <w:rsid w:val="00DC782A"/>
    <w:rsid w:val="00DC78BE"/>
    <w:rsid w:val="00DC78FE"/>
    <w:rsid w:val="00DC7A55"/>
    <w:rsid w:val="00DC7A6C"/>
    <w:rsid w:val="00DC7C1A"/>
    <w:rsid w:val="00DC7D2D"/>
    <w:rsid w:val="00DD01B7"/>
    <w:rsid w:val="00DD044B"/>
    <w:rsid w:val="00DD0550"/>
    <w:rsid w:val="00DD062B"/>
    <w:rsid w:val="00DD0675"/>
    <w:rsid w:val="00DD098B"/>
    <w:rsid w:val="00DD0A34"/>
    <w:rsid w:val="00DD0AE5"/>
    <w:rsid w:val="00DD0BAB"/>
    <w:rsid w:val="00DD0C0C"/>
    <w:rsid w:val="00DD0E0A"/>
    <w:rsid w:val="00DD102D"/>
    <w:rsid w:val="00DD1088"/>
    <w:rsid w:val="00DD10EE"/>
    <w:rsid w:val="00DD1239"/>
    <w:rsid w:val="00DD1334"/>
    <w:rsid w:val="00DD1448"/>
    <w:rsid w:val="00DD157C"/>
    <w:rsid w:val="00DD1617"/>
    <w:rsid w:val="00DD17FE"/>
    <w:rsid w:val="00DD19F5"/>
    <w:rsid w:val="00DD1B40"/>
    <w:rsid w:val="00DD1CF0"/>
    <w:rsid w:val="00DD1E95"/>
    <w:rsid w:val="00DD2352"/>
    <w:rsid w:val="00DD25F5"/>
    <w:rsid w:val="00DD28FF"/>
    <w:rsid w:val="00DD2925"/>
    <w:rsid w:val="00DD2B38"/>
    <w:rsid w:val="00DD2B62"/>
    <w:rsid w:val="00DD2BCB"/>
    <w:rsid w:val="00DD2C2C"/>
    <w:rsid w:val="00DD2C71"/>
    <w:rsid w:val="00DD2CFA"/>
    <w:rsid w:val="00DD3181"/>
    <w:rsid w:val="00DD3200"/>
    <w:rsid w:val="00DD32A9"/>
    <w:rsid w:val="00DD32B6"/>
    <w:rsid w:val="00DD32EC"/>
    <w:rsid w:val="00DD356B"/>
    <w:rsid w:val="00DD368F"/>
    <w:rsid w:val="00DD37AB"/>
    <w:rsid w:val="00DD37AF"/>
    <w:rsid w:val="00DD37B5"/>
    <w:rsid w:val="00DD383D"/>
    <w:rsid w:val="00DD3A04"/>
    <w:rsid w:val="00DD3A10"/>
    <w:rsid w:val="00DD3A35"/>
    <w:rsid w:val="00DD3A3C"/>
    <w:rsid w:val="00DD3AD3"/>
    <w:rsid w:val="00DD3DFB"/>
    <w:rsid w:val="00DD4895"/>
    <w:rsid w:val="00DD48C0"/>
    <w:rsid w:val="00DD490C"/>
    <w:rsid w:val="00DD49A3"/>
    <w:rsid w:val="00DD49D9"/>
    <w:rsid w:val="00DD4A76"/>
    <w:rsid w:val="00DD4B98"/>
    <w:rsid w:val="00DD4C48"/>
    <w:rsid w:val="00DD4C7C"/>
    <w:rsid w:val="00DD4C8E"/>
    <w:rsid w:val="00DD4DBD"/>
    <w:rsid w:val="00DD524C"/>
    <w:rsid w:val="00DD55AD"/>
    <w:rsid w:val="00DD5ACE"/>
    <w:rsid w:val="00DD5B10"/>
    <w:rsid w:val="00DD5C2A"/>
    <w:rsid w:val="00DD5C70"/>
    <w:rsid w:val="00DD5C97"/>
    <w:rsid w:val="00DD5DC9"/>
    <w:rsid w:val="00DD5DF7"/>
    <w:rsid w:val="00DD5E48"/>
    <w:rsid w:val="00DD6100"/>
    <w:rsid w:val="00DD6162"/>
    <w:rsid w:val="00DD61C2"/>
    <w:rsid w:val="00DD62FD"/>
    <w:rsid w:val="00DD63D1"/>
    <w:rsid w:val="00DD6421"/>
    <w:rsid w:val="00DD653F"/>
    <w:rsid w:val="00DD65A1"/>
    <w:rsid w:val="00DD65E8"/>
    <w:rsid w:val="00DD6730"/>
    <w:rsid w:val="00DD6822"/>
    <w:rsid w:val="00DD6873"/>
    <w:rsid w:val="00DD6913"/>
    <w:rsid w:val="00DD6B4C"/>
    <w:rsid w:val="00DD6B73"/>
    <w:rsid w:val="00DD6B7A"/>
    <w:rsid w:val="00DD6B8B"/>
    <w:rsid w:val="00DD6D49"/>
    <w:rsid w:val="00DD6DDD"/>
    <w:rsid w:val="00DD6E56"/>
    <w:rsid w:val="00DD6F64"/>
    <w:rsid w:val="00DD6FA6"/>
    <w:rsid w:val="00DD6FAD"/>
    <w:rsid w:val="00DD6FD6"/>
    <w:rsid w:val="00DD724C"/>
    <w:rsid w:val="00DD7311"/>
    <w:rsid w:val="00DD7381"/>
    <w:rsid w:val="00DD740D"/>
    <w:rsid w:val="00DD74BB"/>
    <w:rsid w:val="00DD769D"/>
    <w:rsid w:val="00DD76E3"/>
    <w:rsid w:val="00DD7832"/>
    <w:rsid w:val="00DD791E"/>
    <w:rsid w:val="00DD7A2D"/>
    <w:rsid w:val="00DD7AE4"/>
    <w:rsid w:val="00DD7B6F"/>
    <w:rsid w:val="00DD7BAD"/>
    <w:rsid w:val="00DD7D99"/>
    <w:rsid w:val="00DD7DD4"/>
    <w:rsid w:val="00DD7F8F"/>
    <w:rsid w:val="00DE04B7"/>
    <w:rsid w:val="00DE0550"/>
    <w:rsid w:val="00DE0678"/>
    <w:rsid w:val="00DE085C"/>
    <w:rsid w:val="00DE0928"/>
    <w:rsid w:val="00DE0931"/>
    <w:rsid w:val="00DE0DFA"/>
    <w:rsid w:val="00DE0EBC"/>
    <w:rsid w:val="00DE0F3F"/>
    <w:rsid w:val="00DE0F46"/>
    <w:rsid w:val="00DE0F5A"/>
    <w:rsid w:val="00DE111B"/>
    <w:rsid w:val="00DE119C"/>
    <w:rsid w:val="00DE123D"/>
    <w:rsid w:val="00DE1456"/>
    <w:rsid w:val="00DE14DA"/>
    <w:rsid w:val="00DE16F5"/>
    <w:rsid w:val="00DE1707"/>
    <w:rsid w:val="00DE1AEF"/>
    <w:rsid w:val="00DE1B48"/>
    <w:rsid w:val="00DE1B56"/>
    <w:rsid w:val="00DE1C46"/>
    <w:rsid w:val="00DE2002"/>
    <w:rsid w:val="00DE210F"/>
    <w:rsid w:val="00DE2177"/>
    <w:rsid w:val="00DE2233"/>
    <w:rsid w:val="00DE247D"/>
    <w:rsid w:val="00DE24BD"/>
    <w:rsid w:val="00DE253C"/>
    <w:rsid w:val="00DE260E"/>
    <w:rsid w:val="00DE2626"/>
    <w:rsid w:val="00DE274A"/>
    <w:rsid w:val="00DE282B"/>
    <w:rsid w:val="00DE2A93"/>
    <w:rsid w:val="00DE2A9D"/>
    <w:rsid w:val="00DE2ACB"/>
    <w:rsid w:val="00DE2B1C"/>
    <w:rsid w:val="00DE2B2C"/>
    <w:rsid w:val="00DE2BC2"/>
    <w:rsid w:val="00DE2C35"/>
    <w:rsid w:val="00DE2CD3"/>
    <w:rsid w:val="00DE2FDC"/>
    <w:rsid w:val="00DE310A"/>
    <w:rsid w:val="00DE3119"/>
    <w:rsid w:val="00DE3403"/>
    <w:rsid w:val="00DE34B6"/>
    <w:rsid w:val="00DE3591"/>
    <w:rsid w:val="00DE3743"/>
    <w:rsid w:val="00DE3874"/>
    <w:rsid w:val="00DE3AC6"/>
    <w:rsid w:val="00DE3C95"/>
    <w:rsid w:val="00DE3CEB"/>
    <w:rsid w:val="00DE3E27"/>
    <w:rsid w:val="00DE3EFA"/>
    <w:rsid w:val="00DE3F44"/>
    <w:rsid w:val="00DE4070"/>
    <w:rsid w:val="00DE428A"/>
    <w:rsid w:val="00DE42EC"/>
    <w:rsid w:val="00DE43BE"/>
    <w:rsid w:val="00DE447A"/>
    <w:rsid w:val="00DE44A8"/>
    <w:rsid w:val="00DE44C8"/>
    <w:rsid w:val="00DE451C"/>
    <w:rsid w:val="00DE45F2"/>
    <w:rsid w:val="00DE47F4"/>
    <w:rsid w:val="00DE49EE"/>
    <w:rsid w:val="00DE4A8D"/>
    <w:rsid w:val="00DE4F47"/>
    <w:rsid w:val="00DE4FF5"/>
    <w:rsid w:val="00DE505B"/>
    <w:rsid w:val="00DE5265"/>
    <w:rsid w:val="00DE5437"/>
    <w:rsid w:val="00DE548F"/>
    <w:rsid w:val="00DE572A"/>
    <w:rsid w:val="00DE5848"/>
    <w:rsid w:val="00DE597A"/>
    <w:rsid w:val="00DE5BE2"/>
    <w:rsid w:val="00DE5BE4"/>
    <w:rsid w:val="00DE5C18"/>
    <w:rsid w:val="00DE5C48"/>
    <w:rsid w:val="00DE5CBA"/>
    <w:rsid w:val="00DE5EF8"/>
    <w:rsid w:val="00DE6456"/>
    <w:rsid w:val="00DE6513"/>
    <w:rsid w:val="00DE657F"/>
    <w:rsid w:val="00DE659C"/>
    <w:rsid w:val="00DE6610"/>
    <w:rsid w:val="00DE6875"/>
    <w:rsid w:val="00DE6A15"/>
    <w:rsid w:val="00DE6B4D"/>
    <w:rsid w:val="00DE6B54"/>
    <w:rsid w:val="00DE6C2A"/>
    <w:rsid w:val="00DE6EBD"/>
    <w:rsid w:val="00DE702D"/>
    <w:rsid w:val="00DE714B"/>
    <w:rsid w:val="00DE7368"/>
    <w:rsid w:val="00DE745A"/>
    <w:rsid w:val="00DE761F"/>
    <w:rsid w:val="00DE79CB"/>
    <w:rsid w:val="00DE7B81"/>
    <w:rsid w:val="00DE7BBC"/>
    <w:rsid w:val="00DE7C3B"/>
    <w:rsid w:val="00DE7C9B"/>
    <w:rsid w:val="00DE7D33"/>
    <w:rsid w:val="00DE7D7A"/>
    <w:rsid w:val="00DE7DDF"/>
    <w:rsid w:val="00DF014B"/>
    <w:rsid w:val="00DF01F7"/>
    <w:rsid w:val="00DF0254"/>
    <w:rsid w:val="00DF0256"/>
    <w:rsid w:val="00DF0264"/>
    <w:rsid w:val="00DF026E"/>
    <w:rsid w:val="00DF0274"/>
    <w:rsid w:val="00DF05BC"/>
    <w:rsid w:val="00DF072E"/>
    <w:rsid w:val="00DF080B"/>
    <w:rsid w:val="00DF0872"/>
    <w:rsid w:val="00DF0A0D"/>
    <w:rsid w:val="00DF0AC1"/>
    <w:rsid w:val="00DF0CD9"/>
    <w:rsid w:val="00DF0DD1"/>
    <w:rsid w:val="00DF0FFE"/>
    <w:rsid w:val="00DF1079"/>
    <w:rsid w:val="00DF1127"/>
    <w:rsid w:val="00DF11B9"/>
    <w:rsid w:val="00DF14F3"/>
    <w:rsid w:val="00DF1510"/>
    <w:rsid w:val="00DF16C0"/>
    <w:rsid w:val="00DF16EF"/>
    <w:rsid w:val="00DF173C"/>
    <w:rsid w:val="00DF1781"/>
    <w:rsid w:val="00DF19C7"/>
    <w:rsid w:val="00DF1A90"/>
    <w:rsid w:val="00DF1B43"/>
    <w:rsid w:val="00DF1BE0"/>
    <w:rsid w:val="00DF1CBA"/>
    <w:rsid w:val="00DF1EC7"/>
    <w:rsid w:val="00DF2111"/>
    <w:rsid w:val="00DF221D"/>
    <w:rsid w:val="00DF23FB"/>
    <w:rsid w:val="00DF2537"/>
    <w:rsid w:val="00DF2654"/>
    <w:rsid w:val="00DF26C8"/>
    <w:rsid w:val="00DF29E0"/>
    <w:rsid w:val="00DF2B9D"/>
    <w:rsid w:val="00DF2C54"/>
    <w:rsid w:val="00DF2CEC"/>
    <w:rsid w:val="00DF307D"/>
    <w:rsid w:val="00DF30E4"/>
    <w:rsid w:val="00DF313A"/>
    <w:rsid w:val="00DF334B"/>
    <w:rsid w:val="00DF35C7"/>
    <w:rsid w:val="00DF35CA"/>
    <w:rsid w:val="00DF3614"/>
    <w:rsid w:val="00DF3636"/>
    <w:rsid w:val="00DF3799"/>
    <w:rsid w:val="00DF3847"/>
    <w:rsid w:val="00DF39C3"/>
    <w:rsid w:val="00DF3A07"/>
    <w:rsid w:val="00DF3A32"/>
    <w:rsid w:val="00DF3B4F"/>
    <w:rsid w:val="00DF3B7E"/>
    <w:rsid w:val="00DF3CCC"/>
    <w:rsid w:val="00DF3D15"/>
    <w:rsid w:val="00DF3D94"/>
    <w:rsid w:val="00DF3DD0"/>
    <w:rsid w:val="00DF3EFA"/>
    <w:rsid w:val="00DF4052"/>
    <w:rsid w:val="00DF4169"/>
    <w:rsid w:val="00DF4186"/>
    <w:rsid w:val="00DF42F8"/>
    <w:rsid w:val="00DF433A"/>
    <w:rsid w:val="00DF43A4"/>
    <w:rsid w:val="00DF468F"/>
    <w:rsid w:val="00DF4859"/>
    <w:rsid w:val="00DF4893"/>
    <w:rsid w:val="00DF495D"/>
    <w:rsid w:val="00DF4A6C"/>
    <w:rsid w:val="00DF4A87"/>
    <w:rsid w:val="00DF4B20"/>
    <w:rsid w:val="00DF4C56"/>
    <w:rsid w:val="00DF4F52"/>
    <w:rsid w:val="00DF51DD"/>
    <w:rsid w:val="00DF521F"/>
    <w:rsid w:val="00DF552D"/>
    <w:rsid w:val="00DF5913"/>
    <w:rsid w:val="00DF5BC1"/>
    <w:rsid w:val="00DF5D8D"/>
    <w:rsid w:val="00DF5DFF"/>
    <w:rsid w:val="00DF6009"/>
    <w:rsid w:val="00DF605C"/>
    <w:rsid w:val="00DF6397"/>
    <w:rsid w:val="00DF63D7"/>
    <w:rsid w:val="00DF6444"/>
    <w:rsid w:val="00DF66E0"/>
    <w:rsid w:val="00DF671D"/>
    <w:rsid w:val="00DF67B7"/>
    <w:rsid w:val="00DF68FE"/>
    <w:rsid w:val="00DF69F4"/>
    <w:rsid w:val="00DF6D3F"/>
    <w:rsid w:val="00DF6FB1"/>
    <w:rsid w:val="00DF6FB9"/>
    <w:rsid w:val="00DF70A5"/>
    <w:rsid w:val="00DF71B9"/>
    <w:rsid w:val="00DF769A"/>
    <w:rsid w:val="00DF7AC1"/>
    <w:rsid w:val="00DF7B10"/>
    <w:rsid w:val="00DF7BC3"/>
    <w:rsid w:val="00DF7D8C"/>
    <w:rsid w:val="00DF7E4C"/>
    <w:rsid w:val="00DF7EB6"/>
    <w:rsid w:val="00E00076"/>
    <w:rsid w:val="00E0016A"/>
    <w:rsid w:val="00E0029D"/>
    <w:rsid w:val="00E003C4"/>
    <w:rsid w:val="00E0040B"/>
    <w:rsid w:val="00E00604"/>
    <w:rsid w:val="00E0064F"/>
    <w:rsid w:val="00E00782"/>
    <w:rsid w:val="00E00861"/>
    <w:rsid w:val="00E00957"/>
    <w:rsid w:val="00E009CB"/>
    <w:rsid w:val="00E00C08"/>
    <w:rsid w:val="00E00D36"/>
    <w:rsid w:val="00E00D3E"/>
    <w:rsid w:val="00E00F4F"/>
    <w:rsid w:val="00E00F85"/>
    <w:rsid w:val="00E01013"/>
    <w:rsid w:val="00E01085"/>
    <w:rsid w:val="00E01476"/>
    <w:rsid w:val="00E0156A"/>
    <w:rsid w:val="00E0159C"/>
    <w:rsid w:val="00E01814"/>
    <w:rsid w:val="00E01912"/>
    <w:rsid w:val="00E0191F"/>
    <w:rsid w:val="00E019FE"/>
    <w:rsid w:val="00E01B1F"/>
    <w:rsid w:val="00E01E4C"/>
    <w:rsid w:val="00E01FE7"/>
    <w:rsid w:val="00E02217"/>
    <w:rsid w:val="00E0232B"/>
    <w:rsid w:val="00E023CD"/>
    <w:rsid w:val="00E02521"/>
    <w:rsid w:val="00E0258F"/>
    <w:rsid w:val="00E02591"/>
    <w:rsid w:val="00E02899"/>
    <w:rsid w:val="00E02B1A"/>
    <w:rsid w:val="00E02C62"/>
    <w:rsid w:val="00E02D3E"/>
    <w:rsid w:val="00E02FC9"/>
    <w:rsid w:val="00E03059"/>
    <w:rsid w:val="00E0322B"/>
    <w:rsid w:val="00E0334E"/>
    <w:rsid w:val="00E033F6"/>
    <w:rsid w:val="00E03405"/>
    <w:rsid w:val="00E035A3"/>
    <w:rsid w:val="00E03700"/>
    <w:rsid w:val="00E03867"/>
    <w:rsid w:val="00E039BE"/>
    <w:rsid w:val="00E03B5B"/>
    <w:rsid w:val="00E03C20"/>
    <w:rsid w:val="00E03C27"/>
    <w:rsid w:val="00E03EBF"/>
    <w:rsid w:val="00E03F2A"/>
    <w:rsid w:val="00E040F9"/>
    <w:rsid w:val="00E0423F"/>
    <w:rsid w:val="00E043AD"/>
    <w:rsid w:val="00E0443D"/>
    <w:rsid w:val="00E0465D"/>
    <w:rsid w:val="00E04A83"/>
    <w:rsid w:val="00E04A94"/>
    <w:rsid w:val="00E04C17"/>
    <w:rsid w:val="00E04D7C"/>
    <w:rsid w:val="00E04E9B"/>
    <w:rsid w:val="00E04F04"/>
    <w:rsid w:val="00E04FAA"/>
    <w:rsid w:val="00E05270"/>
    <w:rsid w:val="00E05291"/>
    <w:rsid w:val="00E052C0"/>
    <w:rsid w:val="00E05305"/>
    <w:rsid w:val="00E05347"/>
    <w:rsid w:val="00E0566E"/>
    <w:rsid w:val="00E05702"/>
    <w:rsid w:val="00E057B1"/>
    <w:rsid w:val="00E057DD"/>
    <w:rsid w:val="00E059F7"/>
    <w:rsid w:val="00E05A58"/>
    <w:rsid w:val="00E05C57"/>
    <w:rsid w:val="00E05CB2"/>
    <w:rsid w:val="00E05CBE"/>
    <w:rsid w:val="00E05D67"/>
    <w:rsid w:val="00E05DB6"/>
    <w:rsid w:val="00E0607C"/>
    <w:rsid w:val="00E061B0"/>
    <w:rsid w:val="00E06242"/>
    <w:rsid w:val="00E06277"/>
    <w:rsid w:val="00E0628B"/>
    <w:rsid w:val="00E06700"/>
    <w:rsid w:val="00E0676D"/>
    <w:rsid w:val="00E067FC"/>
    <w:rsid w:val="00E068AC"/>
    <w:rsid w:val="00E068F2"/>
    <w:rsid w:val="00E06925"/>
    <w:rsid w:val="00E069E4"/>
    <w:rsid w:val="00E06A21"/>
    <w:rsid w:val="00E06A34"/>
    <w:rsid w:val="00E06B8A"/>
    <w:rsid w:val="00E06BFB"/>
    <w:rsid w:val="00E06D91"/>
    <w:rsid w:val="00E06F07"/>
    <w:rsid w:val="00E06F08"/>
    <w:rsid w:val="00E0709C"/>
    <w:rsid w:val="00E07298"/>
    <w:rsid w:val="00E0729C"/>
    <w:rsid w:val="00E074FC"/>
    <w:rsid w:val="00E075CE"/>
    <w:rsid w:val="00E077C5"/>
    <w:rsid w:val="00E079AF"/>
    <w:rsid w:val="00E07A65"/>
    <w:rsid w:val="00E07AF1"/>
    <w:rsid w:val="00E07EBB"/>
    <w:rsid w:val="00E100F9"/>
    <w:rsid w:val="00E10200"/>
    <w:rsid w:val="00E103B1"/>
    <w:rsid w:val="00E10411"/>
    <w:rsid w:val="00E105D8"/>
    <w:rsid w:val="00E1067E"/>
    <w:rsid w:val="00E107A0"/>
    <w:rsid w:val="00E10814"/>
    <w:rsid w:val="00E108C8"/>
    <w:rsid w:val="00E10ACF"/>
    <w:rsid w:val="00E10B91"/>
    <w:rsid w:val="00E10F76"/>
    <w:rsid w:val="00E11307"/>
    <w:rsid w:val="00E1134A"/>
    <w:rsid w:val="00E11416"/>
    <w:rsid w:val="00E1146A"/>
    <w:rsid w:val="00E11501"/>
    <w:rsid w:val="00E11662"/>
    <w:rsid w:val="00E116E5"/>
    <w:rsid w:val="00E11749"/>
    <w:rsid w:val="00E118A8"/>
    <w:rsid w:val="00E1195B"/>
    <w:rsid w:val="00E119DE"/>
    <w:rsid w:val="00E11A00"/>
    <w:rsid w:val="00E11C22"/>
    <w:rsid w:val="00E11C5D"/>
    <w:rsid w:val="00E11CC1"/>
    <w:rsid w:val="00E11CD4"/>
    <w:rsid w:val="00E11CF4"/>
    <w:rsid w:val="00E11DE5"/>
    <w:rsid w:val="00E11EDE"/>
    <w:rsid w:val="00E11FC5"/>
    <w:rsid w:val="00E1230D"/>
    <w:rsid w:val="00E1248A"/>
    <w:rsid w:val="00E12533"/>
    <w:rsid w:val="00E125CA"/>
    <w:rsid w:val="00E125FF"/>
    <w:rsid w:val="00E1268C"/>
    <w:rsid w:val="00E12775"/>
    <w:rsid w:val="00E127BB"/>
    <w:rsid w:val="00E1280C"/>
    <w:rsid w:val="00E12917"/>
    <w:rsid w:val="00E12937"/>
    <w:rsid w:val="00E12B71"/>
    <w:rsid w:val="00E12B7D"/>
    <w:rsid w:val="00E12C53"/>
    <w:rsid w:val="00E12CDA"/>
    <w:rsid w:val="00E12EA1"/>
    <w:rsid w:val="00E1306E"/>
    <w:rsid w:val="00E131EF"/>
    <w:rsid w:val="00E132D7"/>
    <w:rsid w:val="00E13331"/>
    <w:rsid w:val="00E1337B"/>
    <w:rsid w:val="00E13450"/>
    <w:rsid w:val="00E13656"/>
    <w:rsid w:val="00E136C2"/>
    <w:rsid w:val="00E136D3"/>
    <w:rsid w:val="00E1378A"/>
    <w:rsid w:val="00E137B6"/>
    <w:rsid w:val="00E1394E"/>
    <w:rsid w:val="00E1395C"/>
    <w:rsid w:val="00E139A4"/>
    <w:rsid w:val="00E139B9"/>
    <w:rsid w:val="00E13A3D"/>
    <w:rsid w:val="00E13A68"/>
    <w:rsid w:val="00E13BD0"/>
    <w:rsid w:val="00E13C9F"/>
    <w:rsid w:val="00E13CCC"/>
    <w:rsid w:val="00E13DAB"/>
    <w:rsid w:val="00E13E43"/>
    <w:rsid w:val="00E13E85"/>
    <w:rsid w:val="00E14117"/>
    <w:rsid w:val="00E14213"/>
    <w:rsid w:val="00E1429E"/>
    <w:rsid w:val="00E144FB"/>
    <w:rsid w:val="00E1476B"/>
    <w:rsid w:val="00E14772"/>
    <w:rsid w:val="00E147B5"/>
    <w:rsid w:val="00E14802"/>
    <w:rsid w:val="00E1481A"/>
    <w:rsid w:val="00E14A38"/>
    <w:rsid w:val="00E14A83"/>
    <w:rsid w:val="00E14A86"/>
    <w:rsid w:val="00E14B49"/>
    <w:rsid w:val="00E14BE6"/>
    <w:rsid w:val="00E14BFE"/>
    <w:rsid w:val="00E14E35"/>
    <w:rsid w:val="00E14E39"/>
    <w:rsid w:val="00E14EBE"/>
    <w:rsid w:val="00E14FF1"/>
    <w:rsid w:val="00E14FF8"/>
    <w:rsid w:val="00E15038"/>
    <w:rsid w:val="00E15384"/>
    <w:rsid w:val="00E154BF"/>
    <w:rsid w:val="00E15597"/>
    <w:rsid w:val="00E15792"/>
    <w:rsid w:val="00E159F2"/>
    <w:rsid w:val="00E15B0F"/>
    <w:rsid w:val="00E15B58"/>
    <w:rsid w:val="00E15C88"/>
    <w:rsid w:val="00E15CCB"/>
    <w:rsid w:val="00E1607E"/>
    <w:rsid w:val="00E16099"/>
    <w:rsid w:val="00E16124"/>
    <w:rsid w:val="00E16178"/>
    <w:rsid w:val="00E1625A"/>
    <w:rsid w:val="00E162CB"/>
    <w:rsid w:val="00E16480"/>
    <w:rsid w:val="00E164A8"/>
    <w:rsid w:val="00E16709"/>
    <w:rsid w:val="00E1682B"/>
    <w:rsid w:val="00E1696B"/>
    <w:rsid w:val="00E16BEA"/>
    <w:rsid w:val="00E16BED"/>
    <w:rsid w:val="00E16CFD"/>
    <w:rsid w:val="00E16DDF"/>
    <w:rsid w:val="00E16E57"/>
    <w:rsid w:val="00E16FB1"/>
    <w:rsid w:val="00E170BD"/>
    <w:rsid w:val="00E170F5"/>
    <w:rsid w:val="00E1715E"/>
    <w:rsid w:val="00E17270"/>
    <w:rsid w:val="00E17282"/>
    <w:rsid w:val="00E1738E"/>
    <w:rsid w:val="00E174BA"/>
    <w:rsid w:val="00E177BC"/>
    <w:rsid w:val="00E17839"/>
    <w:rsid w:val="00E179EA"/>
    <w:rsid w:val="00E17A0B"/>
    <w:rsid w:val="00E17B45"/>
    <w:rsid w:val="00E17D0A"/>
    <w:rsid w:val="00E203A2"/>
    <w:rsid w:val="00E205FB"/>
    <w:rsid w:val="00E206DB"/>
    <w:rsid w:val="00E20731"/>
    <w:rsid w:val="00E20745"/>
    <w:rsid w:val="00E207C5"/>
    <w:rsid w:val="00E207EA"/>
    <w:rsid w:val="00E208D4"/>
    <w:rsid w:val="00E209FC"/>
    <w:rsid w:val="00E20A5F"/>
    <w:rsid w:val="00E20AFB"/>
    <w:rsid w:val="00E20B6B"/>
    <w:rsid w:val="00E20BD1"/>
    <w:rsid w:val="00E20CAA"/>
    <w:rsid w:val="00E20CAD"/>
    <w:rsid w:val="00E20F28"/>
    <w:rsid w:val="00E20FAC"/>
    <w:rsid w:val="00E21077"/>
    <w:rsid w:val="00E21205"/>
    <w:rsid w:val="00E212D7"/>
    <w:rsid w:val="00E21C0E"/>
    <w:rsid w:val="00E21C7F"/>
    <w:rsid w:val="00E21D05"/>
    <w:rsid w:val="00E21DBD"/>
    <w:rsid w:val="00E21E66"/>
    <w:rsid w:val="00E21E80"/>
    <w:rsid w:val="00E21F03"/>
    <w:rsid w:val="00E21F8C"/>
    <w:rsid w:val="00E21FB2"/>
    <w:rsid w:val="00E22187"/>
    <w:rsid w:val="00E221EF"/>
    <w:rsid w:val="00E22204"/>
    <w:rsid w:val="00E22697"/>
    <w:rsid w:val="00E22701"/>
    <w:rsid w:val="00E227A0"/>
    <w:rsid w:val="00E229C5"/>
    <w:rsid w:val="00E22CAC"/>
    <w:rsid w:val="00E22DF5"/>
    <w:rsid w:val="00E22E89"/>
    <w:rsid w:val="00E22EFC"/>
    <w:rsid w:val="00E2305F"/>
    <w:rsid w:val="00E23140"/>
    <w:rsid w:val="00E231EB"/>
    <w:rsid w:val="00E233A6"/>
    <w:rsid w:val="00E2352F"/>
    <w:rsid w:val="00E23547"/>
    <w:rsid w:val="00E235EE"/>
    <w:rsid w:val="00E2363C"/>
    <w:rsid w:val="00E237EC"/>
    <w:rsid w:val="00E237FC"/>
    <w:rsid w:val="00E23813"/>
    <w:rsid w:val="00E238DD"/>
    <w:rsid w:val="00E23AF1"/>
    <w:rsid w:val="00E23B0C"/>
    <w:rsid w:val="00E23C04"/>
    <w:rsid w:val="00E23CBE"/>
    <w:rsid w:val="00E23E51"/>
    <w:rsid w:val="00E23F12"/>
    <w:rsid w:val="00E24184"/>
    <w:rsid w:val="00E24534"/>
    <w:rsid w:val="00E245B4"/>
    <w:rsid w:val="00E245BE"/>
    <w:rsid w:val="00E247A0"/>
    <w:rsid w:val="00E2482D"/>
    <w:rsid w:val="00E2485A"/>
    <w:rsid w:val="00E24BD3"/>
    <w:rsid w:val="00E24C91"/>
    <w:rsid w:val="00E24CF0"/>
    <w:rsid w:val="00E24D7D"/>
    <w:rsid w:val="00E24DB1"/>
    <w:rsid w:val="00E24F00"/>
    <w:rsid w:val="00E24F8E"/>
    <w:rsid w:val="00E25060"/>
    <w:rsid w:val="00E2515B"/>
    <w:rsid w:val="00E25228"/>
    <w:rsid w:val="00E252EA"/>
    <w:rsid w:val="00E25362"/>
    <w:rsid w:val="00E254C4"/>
    <w:rsid w:val="00E255E2"/>
    <w:rsid w:val="00E257CF"/>
    <w:rsid w:val="00E2589D"/>
    <w:rsid w:val="00E258B4"/>
    <w:rsid w:val="00E25B75"/>
    <w:rsid w:val="00E25CB3"/>
    <w:rsid w:val="00E25E00"/>
    <w:rsid w:val="00E25F69"/>
    <w:rsid w:val="00E26052"/>
    <w:rsid w:val="00E26090"/>
    <w:rsid w:val="00E26215"/>
    <w:rsid w:val="00E26223"/>
    <w:rsid w:val="00E2625B"/>
    <w:rsid w:val="00E262B1"/>
    <w:rsid w:val="00E26557"/>
    <w:rsid w:val="00E26609"/>
    <w:rsid w:val="00E26908"/>
    <w:rsid w:val="00E26BE7"/>
    <w:rsid w:val="00E26BEF"/>
    <w:rsid w:val="00E26DEA"/>
    <w:rsid w:val="00E26F46"/>
    <w:rsid w:val="00E27059"/>
    <w:rsid w:val="00E27146"/>
    <w:rsid w:val="00E274CF"/>
    <w:rsid w:val="00E2776A"/>
    <w:rsid w:val="00E2792C"/>
    <w:rsid w:val="00E27C4A"/>
    <w:rsid w:val="00E27CE3"/>
    <w:rsid w:val="00E27DEB"/>
    <w:rsid w:val="00E27FF6"/>
    <w:rsid w:val="00E300CC"/>
    <w:rsid w:val="00E3013B"/>
    <w:rsid w:val="00E30163"/>
    <w:rsid w:val="00E30204"/>
    <w:rsid w:val="00E303E0"/>
    <w:rsid w:val="00E30524"/>
    <w:rsid w:val="00E30675"/>
    <w:rsid w:val="00E30798"/>
    <w:rsid w:val="00E30A14"/>
    <w:rsid w:val="00E30BCF"/>
    <w:rsid w:val="00E31013"/>
    <w:rsid w:val="00E3107A"/>
    <w:rsid w:val="00E31153"/>
    <w:rsid w:val="00E31228"/>
    <w:rsid w:val="00E31362"/>
    <w:rsid w:val="00E313DE"/>
    <w:rsid w:val="00E313EB"/>
    <w:rsid w:val="00E31641"/>
    <w:rsid w:val="00E316D8"/>
    <w:rsid w:val="00E317C0"/>
    <w:rsid w:val="00E317E0"/>
    <w:rsid w:val="00E3183A"/>
    <w:rsid w:val="00E319E3"/>
    <w:rsid w:val="00E31AFD"/>
    <w:rsid w:val="00E31B19"/>
    <w:rsid w:val="00E31B6B"/>
    <w:rsid w:val="00E31C73"/>
    <w:rsid w:val="00E31D76"/>
    <w:rsid w:val="00E31F77"/>
    <w:rsid w:val="00E320EE"/>
    <w:rsid w:val="00E32137"/>
    <w:rsid w:val="00E3234E"/>
    <w:rsid w:val="00E3237F"/>
    <w:rsid w:val="00E3247B"/>
    <w:rsid w:val="00E3259E"/>
    <w:rsid w:val="00E32605"/>
    <w:rsid w:val="00E3280F"/>
    <w:rsid w:val="00E328A3"/>
    <w:rsid w:val="00E329E7"/>
    <w:rsid w:val="00E329EE"/>
    <w:rsid w:val="00E32E2F"/>
    <w:rsid w:val="00E32E84"/>
    <w:rsid w:val="00E32F23"/>
    <w:rsid w:val="00E3301D"/>
    <w:rsid w:val="00E33166"/>
    <w:rsid w:val="00E3316E"/>
    <w:rsid w:val="00E33252"/>
    <w:rsid w:val="00E333F0"/>
    <w:rsid w:val="00E3342A"/>
    <w:rsid w:val="00E334DD"/>
    <w:rsid w:val="00E3350E"/>
    <w:rsid w:val="00E3362C"/>
    <w:rsid w:val="00E33632"/>
    <w:rsid w:val="00E337F9"/>
    <w:rsid w:val="00E33874"/>
    <w:rsid w:val="00E338FB"/>
    <w:rsid w:val="00E33914"/>
    <w:rsid w:val="00E339FC"/>
    <w:rsid w:val="00E33B1C"/>
    <w:rsid w:val="00E33C57"/>
    <w:rsid w:val="00E33DD1"/>
    <w:rsid w:val="00E33E6A"/>
    <w:rsid w:val="00E33E7F"/>
    <w:rsid w:val="00E33F84"/>
    <w:rsid w:val="00E33FA9"/>
    <w:rsid w:val="00E341EC"/>
    <w:rsid w:val="00E341F4"/>
    <w:rsid w:val="00E342C5"/>
    <w:rsid w:val="00E344DF"/>
    <w:rsid w:val="00E3458C"/>
    <w:rsid w:val="00E3468F"/>
    <w:rsid w:val="00E347A0"/>
    <w:rsid w:val="00E347D8"/>
    <w:rsid w:val="00E349D0"/>
    <w:rsid w:val="00E34B42"/>
    <w:rsid w:val="00E34E69"/>
    <w:rsid w:val="00E34E8C"/>
    <w:rsid w:val="00E34FB6"/>
    <w:rsid w:val="00E34FBE"/>
    <w:rsid w:val="00E3543B"/>
    <w:rsid w:val="00E3570D"/>
    <w:rsid w:val="00E35AAB"/>
    <w:rsid w:val="00E35BAD"/>
    <w:rsid w:val="00E360FC"/>
    <w:rsid w:val="00E36130"/>
    <w:rsid w:val="00E3624B"/>
    <w:rsid w:val="00E36367"/>
    <w:rsid w:val="00E364F4"/>
    <w:rsid w:val="00E36A1C"/>
    <w:rsid w:val="00E36A79"/>
    <w:rsid w:val="00E36A7A"/>
    <w:rsid w:val="00E36B3F"/>
    <w:rsid w:val="00E36C40"/>
    <w:rsid w:val="00E36EFA"/>
    <w:rsid w:val="00E3706F"/>
    <w:rsid w:val="00E3707F"/>
    <w:rsid w:val="00E370F5"/>
    <w:rsid w:val="00E371FA"/>
    <w:rsid w:val="00E372FE"/>
    <w:rsid w:val="00E3744E"/>
    <w:rsid w:val="00E3749F"/>
    <w:rsid w:val="00E377A8"/>
    <w:rsid w:val="00E377CA"/>
    <w:rsid w:val="00E377CD"/>
    <w:rsid w:val="00E37989"/>
    <w:rsid w:val="00E379C7"/>
    <w:rsid w:val="00E37BF0"/>
    <w:rsid w:val="00E37CA6"/>
    <w:rsid w:val="00E37D35"/>
    <w:rsid w:val="00E37F51"/>
    <w:rsid w:val="00E3F0F0"/>
    <w:rsid w:val="00E4032B"/>
    <w:rsid w:val="00E403AE"/>
    <w:rsid w:val="00E40575"/>
    <w:rsid w:val="00E40672"/>
    <w:rsid w:val="00E40750"/>
    <w:rsid w:val="00E4078C"/>
    <w:rsid w:val="00E4079C"/>
    <w:rsid w:val="00E409A7"/>
    <w:rsid w:val="00E409F2"/>
    <w:rsid w:val="00E40A39"/>
    <w:rsid w:val="00E40D4F"/>
    <w:rsid w:val="00E4102B"/>
    <w:rsid w:val="00E41138"/>
    <w:rsid w:val="00E41141"/>
    <w:rsid w:val="00E4116F"/>
    <w:rsid w:val="00E4125A"/>
    <w:rsid w:val="00E41266"/>
    <w:rsid w:val="00E4136C"/>
    <w:rsid w:val="00E4144D"/>
    <w:rsid w:val="00E41472"/>
    <w:rsid w:val="00E4147A"/>
    <w:rsid w:val="00E41682"/>
    <w:rsid w:val="00E416A3"/>
    <w:rsid w:val="00E41866"/>
    <w:rsid w:val="00E41993"/>
    <w:rsid w:val="00E41AC6"/>
    <w:rsid w:val="00E41AD1"/>
    <w:rsid w:val="00E41B94"/>
    <w:rsid w:val="00E41D08"/>
    <w:rsid w:val="00E41E4E"/>
    <w:rsid w:val="00E41F53"/>
    <w:rsid w:val="00E41F87"/>
    <w:rsid w:val="00E41FE2"/>
    <w:rsid w:val="00E4201F"/>
    <w:rsid w:val="00E4207F"/>
    <w:rsid w:val="00E42149"/>
    <w:rsid w:val="00E421DB"/>
    <w:rsid w:val="00E42295"/>
    <w:rsid w:val="00E4246E"/>
    <w:rsid w:val="00E4248A"/>
    <w:rsid w:val="00E426A9"/>
    <w:rsid w:val="00E427DB"/>
    <w:rsid w:val="00E42852"/>
    <w:rsid w:val="00E42879"/>
    <w:rsid w:val="00E42AD2"/>
    <w:rsid w:val="00E42B35"/>
    <w:rsid w:val="00E42DEC"/>
    <w:rsid w:val="00E42E26"/>
    <w:rsid w:val="00E42FEE"/>
    <w:rsid w:val="00E43013"/>
    <w:rsid w:val="00E43085"/>
    <w:rsid w:val="00E43144"/>
    <w:rsid w:val="00E431D7"/>
    <w:rsid w:val="00E43211"/>
    <w:rsid w:val="00E4333F"/>
    <w:rsid w:val="00E43397"/>
    <w:rsid w:val="00E434E5"/>
    <w:rsid w:val="00E434FA"/>
    <w:rsid w:val="00E435C0"/>
    <w:rsid w:val="00E437DB"/>
    <w:rsid w:val="00E43AA5"/>
    <w:rsid w:val="00E43C2E"/>
    <w:rsid w:val="00E43CC1"/>
    <w:rsid w:val="00E43CDC"/>
    <w:rsid w:val="00E43DA8"/>
    <w:rsid w:val="00E43FAE"/>
    <w:rsid w:val="00E440A3"/>
    <w:rsid w:val="00E441D1"/>
    <w:rsid w:val="00E442F8"/>
    <w:rsid w:val="00E44313"/>
    <w:rsid w:val="00E443AE"/>
    <w:rsid w:val="00E44423"/>
    <w:rsid w:val="00E44554"/>
    <w:rsid w:val="00E44586"/>
    <w:rsid w:val="00E445E9"/>
    <w:rsid w:val="00E4468D"/>
    <w:rsid w:val="00E4472B"/>
    <w:rsid w:val="00E448CF"/>
    <w:rsid w:val="00E448EA"/>
    <w:rsid w:val="00E44956"/>
    <w:rsid w:val="00E44A0A"/>
    <w:rsid w:val="00E44CB0"/>
    <w:rsid w:val="00E44D87"/>
    <w:rsid w:val="00E44F32"/>
    <w:rsid w:val="00E44F49"/>
    <w:rsid w:val="00E45078"/>
    <w:rsid w:val="00E450B0"/>
    <w:rsid w:val="00E4521A"/>
    <w:rsid w:val="00E45340"/>
    <w:rsid w:val="00E453DD"/>
    <w:rsid w:val="00E45498"/>
    <w:rsid w:val="00E455C1"/>
    <w:rsid w:val="00E45605"/>
    <w:rsid w:val="00E45637"/>
    <w:rsid w:val="00E456BB"/>
    <w:rsid w:val="00E45768"/>
    <w:rsid w:val="00E457C6"/>
    <w:rsid w:val="00E457EA"/>
    <w:rsid w:val="00E45866"/>
    <w:rsid w:val="00E4595D"/>
    <w:rsid w:val="00E45A57"/>
    <w:rsid w:val="00E45A99"/>
    <w:rsid w:val="00E45C02"/>
    <w:rsid w:val="00E45C1A"/>
    <w:rsid w:val="00E45DDA"/>
    <w:rsid w:val="00E45FB1"/>
    <w:rsid w:val="00E4604C"/>
    <w:rsid w:val="00E460AB"/>
    <w:rsid w:val="00E464FB"/>
    <w:rsid w:val="00E466ED"/>
    <w:rsid w:val="00E4675C"/>
    <w:rsid w:val="00E467D1"/>
    <w:rsid w:val="00E467F7"/>
    <w:rsid w:val="00E468AD"/>
    <w:rsid w:val="00E46AB7"/>
    <w:rsid w:val="00E46B15"/>
    <w:rsid w:val="00E46B5F"/>
    <w:rsid w:val="00E46CD3"/>
    <w:rsid w:val="00E46EB3"/>
    <w:rsid w:val="00E47099"/>
    <w:rsid w:val="00E470F3"/>
    <w:rsid w:val="00E4712B"/>
    <w:rsid w:val="00E471E7"/>
    <w:rsid w:val="00E479D8"/>
    <w:rsid w:val="00E479E6"/>
    <w:rsid w:val="00E47D5C"/>
    <w:rsid w:val="00E5039A"/>
    <w:rsid w:val="00E50508"/>
    <w:rsid w:val="00E5066C"/>
    <w:rsid w:val="00E50770"/>
    <w:rsid w:val="00E50794"/>
    <w:rsid w:val="00E50886"/>
    <w:rsid w:val="00E508C5"/>
    <w:rsid w:val="00E50917"/>
    <w:rsid w:val="00E50929"/>
    <w:rsid w:val="00E50A2C"/>
    <w:rsid w:val="00E50B75"/>
    <w:rsid w:val="00E50DCD"/>
    <w:rsid w:val="00E50E43"/>
    <w:rsid w:val="00E50F7B"/>
    <w:rsid w:val="00E50FCC"/>
    <w:rsid w:val="00E50FE9"/>
    <w:rsid w:val="00E512AF"/>
    <w:rsid w:val="00E51309"/>
    <w:rsid w:val="00E514E3"/>
    <w:rsid w:val="00E516D9"/>
    <w:rsid w:val="00E516F3"/>
    <w:rsid w:val="00E5190E"/>
    <w:rsid w:val="00E51C51"/>
    <w:rsid w:val="00E51F28"/>
    <w:rsid w:val="00E51FD6"/>
    <w:rsid w:val="00E5202F"/>
    <w:rsid w:val="00E52170"/>
    <w:rsid w:val="00E521FA"/>
    <w:rsid w:val="00E522DD"/>
    <w:rsid w:val="00E5234E"/>
    <w:rsid w:val="00E5243C"/>
    <w:rsid w:val="00E524F9"/>
    <w:rsid w:val="00E5252C"/>
    <w:rsid w:val="00E5252E"/>
    <w:rsid w:val="00E5293A"/>
    <w:rsid w:val="00E52A5A"/>
    <w:rsid w:val="00E52ADD"/>
    <w:rsid w:val="00E52B8A"/>
    <w:rsid w:val="00E52C6F"/>
    <w:rsid w:val="00E52D8E"/>
    <w:rsid w:val="00E53162"/>
    <w:rsid w:val="00E53249"/>
    <w:rsid w:val="00E53382"/>
    <w:rsid w:val="00E534B4"/>
    <w:rsid w:val="00E535AB"/>
    <w:rsid w:val="00E535C8"/>
    <w:rsid w:val="00E53824"/>
    <w:rsid w:val="00E538BE"/>
    <w:rsid w:val="00E5391A"/>
    <w:rsid w:val="00E53929"/>
    <w:rsid w:val="00E53BCD"/>
    <w:rsid w:val="00E53CDD"/>
    <w:rsid w:val="00E53DED"/>
    <w:rsid w:val="00E53E9B"/>
    <w:rsid w:val="00E5409A"/>
    <w:rsid w:val="00E540D7"/>
    <w:rsid w:val="00E54115"/>
    <w:rsid w:val="00E54162"/>
    <w:rsid w:val="00E54204"/>
    <w:rsid w:val="00E542B5"/>
    <w:rsid w:val="00E542DF"/>
    <w:rsid w:val="00E54304"/>
    <w:rsid w:val="00E543B4"/>
    <w:rsid w:val="00E543BC"/>
    <w:rsid w:val="00E547D5"/>
    <w:rsid w:val="00E548AB"/>
    <w:rsid w:val="00E54962"/>
    <w:rsid w:val="00E549A9"/>
    <w:rsid w:val="00E54C5E"/>
    <w:rsid w:val="00E54D85"/>
    <w:rsid w:val="00E54F14"/>
    <w:rsid w:val="00E54FBE"/>
    <w:rsid w:val="00E551A7"/>
    <w:rsid w:val="00E5531B"/>
    <w:rsid w:val="00E55365"/>
    <w:rsid w:val="00E555C4"/>
    <w:rsid w:val="00E557A1"/>
    <w:rsid w:val="00E558B6"/>
    <w:rsid w:val="00E558C9"/>
    <w:rsid w:val="00E55904"/>
    <w:rsid w:val="00E55988"/>
    <w:rsid w:val="00E559B9"/>
    <w:rsid w:val="00E55C34"/>
    <w:rsid w:val="00E55D7F"/>
    <w:rsid w:val="00E55F37"/>
    <w:rsid w:val="00E55F62"/>
    <w:rsid w:val="00E56019"/>
    <w:rsid w:val="00E56060"/>
    <w:rsid w:val="00E56119"/>
    <w:rsid w:val="00E561C7"/>
    <w:rsid w:val="00E5622D"/>
    <w:rsid w:val="00E56268"/>
    <w:rsid w:val="00E567DC"/>
    <w:rsid w:val="00E56B40"/>
    <w:rsid w:val="00E56B96"/>
    <w:rsid w:val="00E56D0B"/>
    <w:rsid w:val="00E56E30"/>
    <w:rsid w:val="00E57093"/>
    <w:rsid w:val="00E57094"/>
    <w:rsid w:val="00E57199"/>
    <w:rsid w:val="00E572EA"/>
    <w:rsid w:val="00E575D3"/>
    <w:rsid w:val="00E57632"/>
    <w:rsid w:val="00E576B9"/>
    <w:rsid w:val="00E5786D"/>
    <w:rsid w:val="00E578C1"/>
    <w:rsid w:val="00E578E2"/>
    <w:rsid w:val="00E57A15"/>
    <w:rsid w:val="00E57D85"/>
    <w:rsid w:val="00E57DBA"/>
    <w:rsid w:val="00E57EA4"/>
    <w:rsid w:val="00E57F51"/>
    <w:rsid w:val="00E57FD7"/>
    <w:rsid w:val="00E600B3"/>
    <w:rsid w:val="00E600DB"/>
    <w:rsid w:val="00E600E5"/>
    <w:rsid w:val="00E60148"/>
    <w:rsid w:val="00E601F0"/>
    <w:rsid w:val="00E601F6"/>
    <w:rsid w:val="00E60253"/>
    <w:rsid w:val="00E60402"/>
    <w:rsid w:val="00E60403"/>
    <w:rsid w:val="00E605A1"/>
    <w:rsid w:val="00E6061B"/>
    <w:rsid w:val="00E6087F"/>
    <w:rsid w:val="00E6097D"/>
    <w:rsid w:val="00E60A60"/>
    <w:rsid w:val="00E60BC8"/>
    <w:rsid w:val="00E60D77"/>
    <w:rsid w:val="00E60DFF"/>
    <w:rsid w:val="00E61109"/>
    <w:rsid w:val="00E61245"/>
    <w:rsid w:val="00E61317"/>
    <w:rsid w:val="00E61334"/>
    <w:rsid w:val="00E61335"/>
    <w:rsid w:val="00E613A1"/>
    <w:rsid w:val="00E613DA"/>
    <w:rsid w:val="00E6140B"/>
    <w:rsid w:val="00E61618"/>
    <w:rsid w:val="00E6173F"/>
    <w:rsid w:val="00E6181A"/>
    <w:rsid w:val="00E619E5"/>
    <w:rsid w:val="00E61AA2"/>
    <w:rsid w:val="00E61AEC"/>
    <w:rsid w:val="00E61C20"/>
    <w:rsid w:val="00E61C66"/>
    <w:rsid w:val="00E61CE7"/>
    <w:rsid w:val="00E61CFB"/>
    <w:rsid w:val="00E61EF8"/>
    <w:rsid w:val="00E61F92"/>
    <w:rsid w:val="00E61F9B"/>
    <w:rsid w:val="00E61FBA"/>
    <w:rsid w:val="00E621BA"/>
    <w:rsid w:val="00E621CF"/>
    <w:rsid w:val="00E622C4"/>
    <w:rsid w:val="00E62525"/>
    <w:rsid w:val="00E625E6"/>
    <w:rsid w:val="00E62624"/>
    <w:rsid w:val="00E6284B"/>
    <w:rsid w:val="00E62BBA"/>
    <w:rsid w:val="00E62C6F"/>
    <w:rsid w:val="00E62D34"/>
    <w:rsid w:val="00E62DFD"/>
    <w:rsid w:val="00E62F4A"/>
    <w:rsid w:val="00E63330"/>
    <w:rsid w:val="00E6339D"/>
    <w:rsid w:val="00E63556"/>
    <w:rsid w:val="00E63AAF"/>
    <w:rsid w:val="00E63B1A"/>
    <w:rsid w:val="00E63B98"/>
    <w:rsid w:val="00E63D14"/>
    <w:rsid w:val="00E63D26"/>
    <w:rsid w:val="00E63D45"/>
    <w:rsid w:val="00E64170"/>
    <w:rsid w:val="00E643DA"/>
    <w:rsid w:val="00E6445E"/>
    <w:rsid w:val="00E6466A"/>
    <w:rsid w:val="00E647F8"/>
    <w:rsid w:val="00E64A11"/>
    <w:rsid w:val="00E64AFB"/>
    <w:rsid w:val="00E64D62"/>
    <w:rsid w:val="00E64DCE"/>
    <w:rsid w:val="00E64EC1"/>
    <w:rsid w:val="00E64F61"/>
    <w:rsid w:val="00E65057"/>
    <w:rsid w:val="00E650CB"/>
    <w:rsid w:val="00E65355"/>
    <w:rsid w:val="00E6573B"/>
    <w:rsid w:val="00E65977"/>
    <w:rsid w:val="00E65B58"/>
    <w:rsid w:val="00E65D1E"/>
    <w:rsid w:val="00E65D3E"/>
    <w:rsid w:val="00E65FB0"/>
    <w:rsid w:val="00E65FBA"/>
    <w:rsid w:val="00E6608D"/>
    <w:rsid w:val="00E660C8"/>
    <w:rsid w:val="00E664E2"/>
    <w:rsid w:val="00E6652B"/>
    <w:rsid w:val="00E66606"/>
    <w:rsid w:val="00E6668C"/>
    <w:rsid w:val="00E6679F"/>
    <w:rsid w:val="00E667F0"/>
    <w:rsid w:val="00E66A4B"/>
    <w:rsid w:val="00E66A6D"/>
    <w:rsid w:val="00E66B46"/>
    <w:rsid w:val="00E66CD6"/>
    <w:rsid w:val="00E66DDE"/>
    <w:rsid w:val="00E66E53"/>
    <w:rsid w:val="00E66E76"/>
    <w:rsid w:val="00E67039"/>
    <w:rsid w:val="00E671AC"/>
    <w:rsid w:val="00E6743A"/>
    <w:rsid w:val="00E67601"/>
    <w:rsid w:val="00E6782A"/>
    <w:rsid w:val="00E6783A"/>
    <w:rsid w:val="00E679DE"/>
    <w:rsid w:val="00E67A97"/>
    <w:rsid w:val="00E67ACE"/>
    <w:rsid w:val="00E67C10"/>
    <w:rsid w:val="00E67C5D"/>
    <w:rsid w:val="00E67D10"/>
    <w:rsid w:val="00E67DD6"/>
    <w:rsid w:val="00E67DFF"/>
    <w:rsid w:val="00E67F47"/>
    <w:rsid w:val="00E70082"/>
    <w:rsid w:val="00E7009C"/>
    <w:rsid w:val="00E700E0"/>
    <w:rsid w:val="00E7013C"/>
    <w:rsid w:val="00E7015D"/>
    <w:rsid w:val="00E7028D"/>
    <w:rsid w:val="00E7058C"/>
    <w:rsid w:val="00E70673"/>
    <w:rsid w:val="00E707B2"/>
    <w:rsid w:val="00E70853"/>
    <w:rsid w:val="00E70942"/>
    <w:rsid w:val="00E70A20"/>
    <w:rsid w:val="00E70B76"/>
    <w:rsid w:val="00E70C25"/>
    <w:rsid w:val="00E70C9B"/>
    <w:rsid w:val="00E70CB0"/>
    <w:rsid w:val="00E70D8E"/>
    <w:rsid w:val="00E70DB0"/>
    <w:rsid w:val="00E7107D"/>
    <w:rsid w:val="00E7114A"/>
    <w:rsid w:val="00E71190"/>
    <w:rsid w:val="00E711D2"/>
    <w:rsid w:val="00E71286"/>
    <w:rsid w:val="00E712E0"/>
    <w:rsid w:val="00E71358"/>
    <w:rsid w:val="00E713B4"/>
    <w:rsid w:val="00E714E5"/>
    <w:rsid w:val="00E71774"/>
    <w:rsid w:val="00E7184B"/>
    <w:rsid w:val="00E7197A"/>
    <w:rsid w:val="00E71994"/>
    <w:rsid w:val="00E71D32"/>
    <w:rsid w:val="00E72190"/>
    <w:rsid w:val="00E7219A"/>
    <w:rsid w:val="00E7221E"/>
    <w:rsid w:val="00E72242"/>
    <w:rsid w:val="00E7226A"/>
    <w:rsid w:val="00E725AC"/>
    <w:rsid w:val="00E725FF"/>
    <w:rsid w:val="00E7263F"/>
    <w:rsid w:val="00E728C9"/>
    <w:rsid w:val="00E72B79"/>
    <w:rsid w:val="00E72CA6"/>
    <w:rsid w:val="00E73054"/>
    <w:rsid w:val="00E7320E"/>
    <w:rsid w:val="00E73567"/>
    <w:rsid w:val="00E7364B"/>
    <w:rsid w:val="00E73709"/>
    <w:rsid w:val="00E7372E"/>
    <w:rsid w:val="00E7374B"/>
    <w:rsid w:val="00E737A1"/>
    <w:rsid w:val="00E73801"/>
    <w:rsid w:val="00E738D2"/>
    <w:rsid w:val="00E7391C"/>
    <w:rsid w:val="00E73976"/>
    <w:rsid w:val="00E73CAF"/>
    <w:rsid w:val="00E73CB0"/>
    <w:rsid w:val="00E73EFF"/>
    <w:rsid w:val="00E73F2E"/>
    <w:rsid w:val="00E73FB6"/>
    <w:rsid w:val="00E7400C"/>
    <w:rsid w:val="00E7436F"/>
    <w:rsid w:val="00E74644"/>
    <w:rsid w:val="00E74747"/>
    <w:rsid w:val="00E747BB"/>
    <w:rsid w:val="00E749E2"/>
    <w:rsid w:val="00E74A09"/>
    <w:rsid w:val="00E74D59"/>
    <w:rsid w:val="00E74DE5"/>
    <w:rsid w:val="00E74EFA"/>
    <w:rsid w:val="00E74FC9"/>
    <w:rsid w:val="00E7502C"/>
    <w:rsid w:val="00E750A4"/>
    <w:rsid w:val="00E75213"/>
    <w:rsid w:val="00E75262"/>
    <w:rsid w:val="00E7527D"/>
    <w:rsid w:val="00E75326"/>
    <w:rsid w:val="00E7538F"/>
    <w:rsid w:val="00E754DE"/>
    <w:rsid w:val="00E7558D"/>
    <w:rsid w:val="00E755F4"/>
    <w:rsid w:val="00E757E4"/>
    <w:rsid w:val="00E75952"/>
    <w:rsid w:val="00E75955"/>
    <w:rsid w:val="00E75994"/>
    <w:rsid w:val="00E759EC"/>
    <w:rsid w:val="00E75A12"/>
    <w:rsid w:val="00E75D04"/>
    <w:rsid w:val="00E75D0E"/>
    <w:rsid w:val="00E75D44"/>
    <w:rsid w:val="00E75F25"/>
    <w:rsid w:val="00E7603C"/>
    <w:rsid w:val="00E7636E"/>
    <w:rsid w:val="00E76492"/>
    <w:rsid w:val="00E76668"/>
    <w:rsid w:val="00E7666A"/>
    <w:rsid w:val="00E767E5"/>
    <w:rsid w:val="00E767FC"/>
    <w:rsid w:val="00E7685C"/>
    <w:rsid w:val="00E76C7C"/>
    <w:rsid w:val="00E76F6E"/>
    <w:rsid w:val="00E7705E"/>
    <w:rsid w:val="00E770E5"/>
    <w:rsid w:val="00E7732B"/>
    <w:rsid w:val="00E774D6"/>
    <w:rsid w:val="00E77716"/>
    <w:rsid w:val="00E77814"/>
    <w:rsid w:val="00E77921"/>
    <w:rsid w:val="00E77A69"/>
    <w:rsid w:val="00E77CD9"/>
    <w:rsid w:val="00E77DD1"/>
    <w:rsid w:val="00E77E1B"/>
    <w:rsid w:val="00E77F3F"/>
    <w:rsid w:val="00E80044"/>
    <w:rsid w:val="00E800EC"/>
    <w:rsid w:val="00E802C4"/>
    <w:rsid w:val="00E80354"/>
    <w:rsid w:val="00E805B6"/>
    <w:rsid w:val="00E807C7"/>
    <w:rsid w:val="00E807E8"/>
    <w:rsid w:val="00E80B65"/>
    <w:rsid w:val="00E80C01"/>
    <w:rsid w:val="00E812FF"/>
    <w:rsid w:val="00E81419"/>
    <w:rsid w:val="00E815F9"/>
    <w:rsid w:val="00E818B0"/>
    <w:rsid w:val="00E818E2"/>
    <w:rsid w:val="00E81907"/>
    <w:rsid w:val="00E81BC1"/>
    <w:rsid w:val="00E81BCB"/>
    <w:rsid w:val="00E81DAB"/>
    <w:rsid w:val="00E820B5"/>
    <w:rsid w:val="00E8225F"/>
    <w:rsid w:val="00E8238B"/>
    <w:rsid w:val="00E8241B"/>
    <w:rsid w:val="00E824B4"/>
    <w:rsid w:val="00E8253C"/>
    <w:rsid w:val="00E82629"/>
    <w:rsid w:val="00E8266B"/>
    <w:rsid w:val="00E8275E"/>
    <w:rsid w:val="00E8280C"/>
    <w:rsid w:val="00E82925"/>
    <w:rsid w:val="00E82A2A"/>
    <w:rsid w:val="00E82ED9"/>
    <w:rsid w:val="00E832FF"/>
    <w:rsid w:val="00E835E9"/>
    <w:rsid w:val="00E835F3"/>
    <w:rsid w:val="00E83647"/>
    <w:rsid w:val="00E837E5"/>
    <w:rsid w:val="00E8384D"/>
    <w:rsid w:val="00E83A9E"/>
    <w:rsid w:val="00E83AD5"/>
    <w:rsid w:val="00E83E74"/>
    <w:rsid w:val="00E840FF"/>
    <w:rsid w:val="00E84322"/>
    <w:rsid w:val="00E84384"/>
    <w:rsid w:val="00E84772"/>
    <w:rsid w:val="00E84918"/>
    <w:rsid w:val="00E84B3F"/>
    <w:rsid w:val="00E84C93"/>
    <w:rsid w:val="00E84E0D"/>
    <w:rsid w:val="00E84F49"/>
    <w:rsid w:val="00E850F3"/>
    <w:rsid w:val="00E8515D"/>
    <w:rsid w:val="00E8522F"/>
    <w:rsid w:val="00E8539A"/>
    <w:rsid w:val="00E854A1"/>
    <w:rsid w:val="00E85622"/>
    <w:rsid w:val="00E8568C"/>
    <w:rsid w:val="00E85715"/>
    <w:rsid w:val="00E858E6"/>
    <w:rsid w:val="00E85992"/>
    <w:rsid w:val="00E859B9"/>
    <w:rsid w:val="00E85BC1"/>
    <w:rsid w:val="00E85D54"/>
    <w:rsid w:val="00E85D70"/>
    <w:rsid w:val="00E85E7F"/>
    <w:rsid w:val="00E85F33"/>
    <w:rsid w:val="00E85F35"/>
    <w:rsid w:val="00E85FEA"/>
    <w:rsid w:val="00E86010"/>
    <w:rsid w:val="00E8616A"/>
    <w:rsid w:val="00E861BD"/>
    <w:rsid w:val="00E86228"/>
    <w:rsid w:val="00E8627F"/>
    <w:rsid w:val="00E862C9"/>
    <w:rsid w:val="00E86331"/>
    <w:rsid w:val="00E86498"/>
    <w:rsid w:val="00E864FA"/>
    <w:rsid w:val="00E8661E"/>
    <w:rsid w:val="00E869EC"/>
    <w:rsid w:val="00E86B0C"/>
    <w:rsid w:val="00E86C90"/>
    <w:rsid w:val="00E86C9B"/>
    <w:rsid w:val="00E86CE4"/>
    <w:rsid w:val="00E86E1C"/>
    <w:rsid w:val="00E86F06"/>
    <w:rsid w:val="00E86FBF"/>
    <w:rsid w:val="00E8702C"/>
    <w:rsid w:val="00E871CD"/>
    <w:rsid w:val="00E8729E"/>
    <w:rsid w:val="00E87308"/>
    <w:rsid w:val="00E873C2"/>
    <w:rsid w:val="00E873D0"/>
    <w:rsid w:val="00E87641"/>
    <w:rsid w:val="00E879DA"/>
    <w:rsid w:val="00E87A95"/>
    <w:rsid w:val="00E8D984"/>
    <w:rsid w:val="00E900E2"/>
    <w:rsid w:val="00E90456"/>
    <w:rsid w:val="00E905E5"/>
    <w:rsid w:val="00E905F2"/>
    <w:rsid w:val="00E905F9"/>
    <w:rsid w:val="00E90667"/>
    <w:rsid w:val="00E90691"/>
    <w:rsid w:val="00E906A0"/>
    <w:rsid w:val="00E906F5"/>
    <w:rsid w:val="00E908C3"/>
    <w:rsid w:val="00E908F5"/>
    <w:rsid w:val="00E90AE9"/>
    <w:rsid w:val="00E90D49"/>
    <w:rsid w:val="00E90EF0"/>
    <w:rsid w:val="00E910D1"/>
    <w:rsid w:val="00E912DE"/>
    <w:rsid w:val="00E91354"/>
    <w:rsid w:val="00E913B2"/>
    <w:rsid w:val="00E915ED"/>
    <w:rsid w:val="00E91613"/>
    <w:rsid w:val="00E91748"/>
    <w:rsid w:val="00E91789"/>
    <w:rsid w:val="00E917A4"/>
    <w:rsid w:val="00E91932"/>
    <w:rsid w:val="00E91998"/>
    <w:rsid w:val="00E91B65"/>
    <w:rsid w:val="00E91BBE"/>
    <w:rsid w:val="00E91F3D"/>
    <w:rsid w:val="00E9206D"/>
    <w:rsid w:val="00E9219D"/>
    <w:rsid w:val="00E921B1"/>
    <w:rsid w:val="00E924F4"/>
    <w:rsid w:val="00E92637"/>
    <w:rsid w:val="00E927B4"/>
    <w:rsid w:val="00E929B6"/>
    <w:rsid w:val="00E92B8F"/>
    <w:rsid w:val="00E92DDA"/>
    <w:rsid w:val="00E92E2D"/>
    <w:rsid w:val="00E92ECE"/>
    <w:rsid w:val="00E92EE2"/>
    <w:rsid w:val="00E92F24"/>
    <w:rsid w:val="00E93017"/>
    <w:rsid w:val="00E9314B"/>
    <w:rsid w:val="00E93369"/>
    <w:rsid w:val="00E933E0"/>
    <w:rsid w:val="00E93458"/>
    <w:rsid w:val="00E93644"/>
    <w:rsid w:val="00E93793"/>
    <w:rsid w:val="00E937DB"/>
    <w:rsid w:val="00E93830"/>
    <w:rsid w:val="00E93861"/>
    <w:rsid w:val="00E939ED"/>
    <w:rsid w:val="00E93A0C"/>
    <w:rsid w:val="00E93A62"/>
    <w:rsid w:val="00E93B4D"/>
    <w:rsid w:val="00E93E8C"/>
    <w:rsid w:val="00E93FB0"/>
    <w:rsid w:val="00E94027"/>
    <w:rsid w:val="00E940D2"/>
    <w:rsid w:val="00E94108"/>
    <w:rsid w:val="00E9432D"/>
    <w:rsid w:val="00E94332"/>
    <w:rsid w:val="00E944C6"/>
    <w:rsid w:val="00E94572"/>
    <w:rsid w:val="00E94605"/>
    <w:rsid w:val="00E946E9"/>
    <w:rsid w:val="00E946F9"/>
    <w:rsid w:val="00E946FC"/>
    <w:rsid w:val="00E94A15"/>
    <w:rsid w:val="00E94CE2"/>
    <w:rsid w:val="00E94D86"/>
    <w:rsid w:val="00E94DB7"/>
    <w:rsid w:val="00E94E78"/>
    <w:rsid w:val="00E94F22"/>
    <w:rsid w:val="00E94F84"/>
    <w:rsid w:val="00E94FE4"/>
    <w:rsid w:val="00E95115"/>
    <w:rsid w:val="00E9515D"/>
    <w:rsid w:val="00E9530E"/>
    <w:rsid w:val="00E9548A"/>
    <w:rsid w:val="00E95561"/>
    <w:rsid w:val="00E955AC"/>
    <w:rsid w:val="00E956A5"/>
    <w:rsid w:val="00E9580E"/>
    <w:rsid w:val="00E95A0D"/>
    <w:rsid w:val="00E95A40"/>
    <w:rsid w:val="00E95B48"/>
    <w:rsid w:val="00E95DAD"/>
    <w:rsid w:val="00E95DEB"/>
    <w:rsid w:val="00E95E07"/>
    <w:rsid w:val="00E96048"/>
    <w:rsid w:val="00E9607D"/>
    <w:rsid w:val="00E963C4"/>
    <w:rsid w:val="00E9661A"/>
    <w:rsid w:val="00E96A87"/>
    <w:rsid w:val="00E96AD8"/>
    <w:rsid w:val="00E96B44"/>
    <w:rsid w:val="00E96D89"/>
    <w:rsid w:val="00E96E64"/>
    <w:rsid w:val="00E96F9D"/>
    <w:rsid w:val="00E96F9E"/>
    <w:rsid w:val="00E96FBA"/>
    <w:rsid w:val="00E96FF0"/>
    <w:rsid w:val="00E97374"/>
    <w:rsid w:val="00E97584"/>
    <w:rsid w:val="00E97618"/>
    <w:rsid w:val="00E9768A"/>
    <w:rsid w:val="00E97723"/>
    <w:rsid w:val="00E97983"/>
    <w:rsid w:val="00E97B8D"/>
    <w:rsid w:val="00E97DC9"/>
    <w:rsid w:val="00E97EFD"/>
    <w:rsid w:val="00E9FF29"/>
    <w:rsid w:val="00EA02BD"/>
    <w:rsid w:val="00EA03D5"/>
    <w:rsid w:val="00EA0412"/>
    <w:rsid w:val="00EA05B0"/>
    <w:rsid w:val="00EA0725"/>
    <w:rsid w:val="00EA0811"/>
    <w:rsid w:val="00EA0894"/>
    <w:rsid w:val="00EA0974"/>
    <w:rsid w:val="00EA0A90"/>
    <w:rsid w:val="00EA0B20"/>
    <w:rsid w:val="00EA0B4E"/>
    <w:rsid w:val="00EA0E10"/>
    <w:rsid w:val="00EA0F4A"/>
    <w:rsid w:val="00EA116F"/>
    <w:rsid w:val="00EA1366"/>
    <w:rsid w:val="00EA148D"/>
    <w:rsid w:val="00EA14C1"/>
    <w:rsid w:val="00EA174F"/>
    <w:rsid w:val="00EA1809"/>
    <w:rsid w:val="00EA1840"/>
    <w:rsid w:val="00EA19F3"/>
    <w:rsid w:val="00EA1BCA"/>
    <w:rsid w:val="00EA1DA1"/>
    <w:rsid w:val="00EA1E8C"/>
    <w:rsid w:val="00EA1ED4"/>
    <w:rsid w:val="00EA1F96"/>
    <w:rsid w:val="00EA1FF3"/>
    <w:rsid w:val="00EA200B"/>
    <w:rsid w:val="00EA202D"/>
    <w:rsid w:val="00EA20E2"/>
    <w:rsid w:val="00EA2312"/>
    <w:rsid w:val="00EA23D5"/>
    <w:rsid w:val="00EA2529"/>
    <w:rsid w:val="00EA2878"/>
    <w:rsid w:val="00EA29A8"/>
    <w:rsid w:val="00EA2B2D"/>
    <w:rsid w:val="00EA2B64"/>
    <w:rsid w:val="00EA329B"/>
    <w:rsid w:val="00EA3504"/>
    <w:rsid w:val="00EA3681"/>
    <w:rsid w:val="00EA38A9"/>
    <w:rsid w:val="00EA39A7"/>
    <w:rsid w:val="00EA3A51"/>
    <w:rsid w:val="00EA3B51"/>
    <w:rsid w:val="00EA3E61"/>
    <w:rsid w:val="00EA3E84"/>
    <w:rsid w:val="00EA3F57"/>
    <w:rsid w:val="00EA402E"/>
    <w:rsid w:val="00EA4059"/>
    <w:rsid w:val="00EA40FC"/>
    <w:rsid w:val="00EA4222"/>
    <w:rsid w:val="00EA431C"/>
    <w:rsid w:val="00EA4372"/>
    <w:rsid w:val="00EA479B"/>
    <w:rsid w:val="00EA4870"/>
    <w:rsid w:val="00EA4A53"/>
    <w:rsid w:val="00EA4ACC"/>
    <w:rsid w:val="00EA4BED"/>
    <w:rsid w:val="00EA4D06"/>
    <w:rsid w:val="00EA4F58"/>
    <w:rsid w:val="00EA4F84"/>
    <w:rsid w:val="00EA5016"/>
    <w:rsid w:val="00EA5495"/>
    <w:rsid w:val="00EA5939"/>
    <w:rsid w:val="00EA5AD3"/>
    <w:rsid w:val="00EA5B20"/>
    <w:rsid w:val="00EA5BD4"/>
    <w:rsid w:val="00EA5CF2"/>
    <w:rsid w:val="00EA5DE7"/>
    <w:rsid w:val="00EA5FDB"/>
    <w:rsid w:val="00EA60C6"/>
    <w:rsid w:val="00EA610E"/>
    <w:rsid w:val="00EA6136"/>
    <w:rsid w:val="00EA6151"/>
    <w:rsid w:val="00EA63A6"/>
    <w:rsid w:val="00EA64C2"/>
    <w:rsid w:val="00EA66ED"/>
    <w:rsid w:val="00EA6720"/>
    <w:rsid w:val="00EA6754"/>
    <w:rsid w:val="00EA67D2"/>
    <w:rsid w:val="00EA67FF"/>
    <w:rsid w:val="00EA68AA"/>
    <w:rsid w:val="00EA6B6F"/>
    <w:rsid w:val="00EA6C36"/>
    <w:rsid w:val="00EA7033"/>
    <w:rsid w:val="00EA70D9"/>
    <w:rsid w:val="00EA7141"/>
    <w:rsid w:val="00EA7273"/>
    <w:rsid w:val="00EA7421"/>
    <w:rsid w:val="00EA74BC"/>
    <w:rsid w:val="00EA74DA"/>
    <w:rsid w:val="00EA75E0"/>
    <w:rsid w:val="00EA779D"/>
    <w:rsid w:val="00EA7864"/>
    <w:rsid w:val="00EA79A2"/>
    <w:rsid w:val="00EA79DB"/>
    <w:rsid w:val="00EA7B24"/>
    <w:rsid w:val="00EA7B32"/>
    <w:rsid w:val="00EA7D29"/>
    <w:rsid w:val="00EA7DD7"/>
    <w:rsid w:val="00EB0025"/>
    <w:rsid w:val="00EB0673"/>
    <w:rsid w:val="00EB0805"/>
    <w:rsid w:val="00EB085D"/>
    <w:rsid w:val="00EB0909"/>
    <w:rsid w:val="00EB0931"/>
    <w:rsid w:val="00EB0976"/>
    <w:rsid w:val="00EB0ADD"/>
    <w:rsid w:val="00EB1128"/>
    <w:rsid w:val="00EB1145"/>
    <w:rsid w:val="00EB126D"/>
    <w:rsid w:val="00EB132E"/>
    <w:rsid w:val="00EB143B"/>
    <w:rsid w:val="00EB149F"/>
    <w:rsid w:val="00EB14C4"/>
    <w:rsid w:val="00EB14DA"/>
    <w:rsid w:val="00EB14F0"/>
    <w:rsid w:val="00EB1500"/>
    <w:rsid w:val="00EB15A2"/>
    <w:rsid w:val="00EB1929"/>
    <w:rsid w:val="00EB1A69"/>
    <w:rsid w:val="00EB1A99"/>
    <w:rsid w:val="00EB1C36"/>
    <w:rsid w:val="00EB1E10"/>
    <w:rsid w:val="00EB2037"/>
    <w:rsid w:val="00EB203C"/>
    <w:rsid w:val="00EB2299"/>
    <w:rsid w:val="00EB2533"/>
    <w:rsid w:val="00EB25D2"/>
    <w:rsid w:val="00EB2720"/>
    <w:rsid w:val="00EB273D"/>
    <w:rsid w:val="00EB2875"/>
    <w:rsid w:val="00EB2946"/>
    <w:rsid w:val="00EB2966"/>
    <w:rsid w:val="00EB2A53"/>
    <w:rsid w:val="00EB2C4B"/>
    <w:rsid w:val="00EB2C64"/>
    <w:rsid w:val="00EB2D28"/>
    <w:rsid w:val="00EB2D45"/>
    <w:rsid w:val="00EB2DF6"/>
    <w:rsid w:val="00EB2E11"/>
    <w:rsid w:val="00EB2F1B"/>
    <w:rsid w:val="00EB3103"/>
    <w:rsid w:val="00EB3119"/>
    <w:rsid w:val="00EB313E"/>
    <w:rsid w:val="00EB32C5"/>
    <w:rsid w:val="00EB33B6"/>
    <w:rsid w:val="00EB33FB"/>
    <w:rsid w:val="00EB367D"/>
    <w:rsid w:val="00EB38A9"/>
    <w:rsid w:val="00EB3A67"/>
    <w:rsid w:val="00EB3C37"/>
    <w:rsid w:val="00EB3D91"/>
    <w:rsid w:val="00EB4046"/>
    <w:rsid w:val="00EB40F4"/>
    <w:rsid w:val="00EB46A3"/>
    <w:rsid w:val="00EB46AC"/>
    <w:rsid w:val="00EB4A0B"/>
    <w:rsid w:val="00EB4A72"/>
    <w:rsid w:val="00EB4AA6"/>
    <w:rsid w:val="00EB4CE0"/>
    <w:rsid w:val="00EB4D4B"/>
    <w:rsid w:val="00EB4E78"/>
    <w:rsid w:val="00EB4E9B"/>
    <w:rsid w:val="00EB4EB1"/>
    <w:rsid w:val="00EB4ECE"/>
    <w:rsid w:val="00EB50A2"/>
    <w:rsid w:val="00EB5185"/>
    <w:rsid w:val="00EB521E"/>
    <w:rsid w:val="00EB522B"/>
    <w:rsid w:val="00EB542F"/>
    <w:rsid w:val="00EB5545"/>
    <w:rsid w:val="00EB55A7"/>
    <w:rsid w:val="00EB591A"/>
    <w:rsid w:val="00EB59D6"/>
    <w:rsid w:val="00EB5AA7"/>
    <w:rsid w:val="00EB5BCB"/>
    <w:rsid w:val="00EB5C58"/>
    <w:rsid w:val="00EB5C82"/>
    <w:rsid w:val="00EB5D08"/>
    <w:rsid w:val="00EB5EAC"/>
    <w:rsid w:val="00EB5EFA"/>
    <w:rsid w:val="00EB6047"/>
    <w:rsid w:val="00EB611E"/>
    <w:rsid w:val="00EB61AE"/>
    <w:rsid w:val="00EB6287"/>
    <w:rsid w:val="00EB62D2"/>
    <w:rsid w:val="00EB62F5"/>
    <w:rsid w:val="00EB6313"/>
    <w:rsid w:val="00EB6407"/>
    <w:rsid w:val="00EB6447"/>
    <w:rsid w:val="00EB6553"/>
    <w:rsid w:val="00EB6872"/>
    <w:rsid w:val="00EB68C2"/>
    <w:rsid w:val="00EB6B4C"/>
    <w:rsid w:val="00EB6CEC"/>
    <w:rsid w:val="00EB6EFD"/>
    <w:rsid w:val="00EB6F63"/>
    <w:rsid w:val="00EB6FFD"/>
    <w:rsid w:val="00EB7077"/>
    <w:rsid w:val="00EB74FA"/>
    <w:rsid w:val="00EB75A7"/>
    <w:rsid w:val="00EB7629"/>
    <w:rsid w:val="00EB7673"/>
    <w:rsid w:val="00EB76B7"/>
    <w:rsid w:val="00EB7922"/>
    <w:rsid w:val="00EB7ADD"/>
    <w:rsid w:val="00EB7C86"/>
    <w:rsid w:val="00EB7DFE"/>
    <w:rsid w:val="00EB7E29"/>
    <w:rsid w:val="00EB7E6E"/>
    <w:rsid w:val="00EB7FD6"/>
    <w:rsid w:val="00EBC196"/>
    <w:rsid w:val="00EC00A6"/>
    <w:rsid w:val="00EC0138"/>
    <w:rsid w:val="00EC0298"/>
    <w:rsid w:val="00EC0396"/>
    <w:rsid w:val="00EC0540"/>
    <w:rsid w:val="00EC05FB"/>
    <w:rsid w:val="00EC0919"/>
    <w:rsid w:val="00EC092D"/>
    <w:rsid w:val="00EC0A32"/>
    <w:rsid w:val="00EC0C54"/>
    <w:rsid w:val="00EC0E3D"/>
    <w:rsid w:val="00EC0FAB"/>
    <w:rsid w:val="00EC1009"/>
    <w:rsid w:val="00EC1222"/>
    <w:rsid w:val="00EC122F"/>
    <w:rsid w:val="00EC13B0"/>
    <w:rsid w:val="00EC14C5"/>
    <w:rsid w:val="00EC150F"/>
    <w:rsid w:val="00EC1520"/>
    <w:rsid w:val="00EC17C5"/>
    <w:rsid w:val="00EC17EF"/>
    <w:rsid w:val="00EC1805"/>
    <w:rsid w:val="00EC1BC8"/>
    <w:rsid w:val="00EC1C00"/>
    <w:rsid w:val="00EC1D9E"/>
    <w:rsid w:val="00EC23BA"/>
    <w:rsid w:val="00EC23DE"/>
    <w:rsid w:val="00EC245D"/>
    <w:rsid w:val="00EC2478"/>
    <w:rsid w:val="00EC2561"/>
    <w:rsid w:val="00EC27E2"/>
    <w:rsid w:val="00EC2828"/>
    <w:rsid w:val="00EC2A46"/>
    <w:rsid w:val="00EC2B58"/>
    <w:rsid w:val="00EC2D86"/>
    <w:rsid w:val="00EC2E89"/>
    <w:rsid w:val="00EC2EA5"/>
    <w:rsid w:val="00EC2FD8"/>
    <w:rsid w:val="00EC30FB"/>
    <w:rsid w:val="00EC3151"/>
    <w:rsid w:val="00EC3851"/>
    <w:rsid w:val="00EC3875"/>
    <w:rsid w:val="00EC3AF5"/>
    <w:rsid w:val="00EC3CF8"/>
    <w:rsid w:val="00EC3D0D"/>
    <w:rsid w:val="00EC3F58"/>
    <w:rsid w:val="00EC405E"/>
    <w:rsid w:val="00EC439D"/>
    <w:rsid w:val="00EC455F"/>
    <w:rsid w:val="00EC4795"/>
    <w:rsid w:val="00EC488D"/>
    <w:rsid w:val="00EC48E9"/>
    <w:rsid w:val="00EC495D"/>
    <w:rsid w:val="00EC49A0"/>
    <w:rsid w:val="00EC4A56"/>
    <w:rsid w:val="00EC4C83"/>
    <w:rsid w:val="00EC4CB7"/>
    <w:rsid w:val="00EC4E9C"/>
    <w:rsid w:val="00EC4EE0"/>
    <w:rsid w:val="00EC522C"/>
    <w:rsid w:val="00EC52F5"/>
    <w:rsid w:val="00EC5301"/>
    <w:rsid w:val="00EC5424"/>
    <w:rsid w:val="00EC544D"/>
    <w:rsid w:val="00EC57C8"/>
    <w:rsid w:val="00EC5813"/>
    <w:rsid w:val="00EC588A"/>
    <w:rsid w:val="00EC591E"/>
    <w:rsid w:val="00EC594C"/>
    <w:rsid w:val="00EC5982"/>
    <w:rsid w:val="00EC5BE5"/>
    <w:rsid w:val="00EC5D0F"/>
    <w:rsid w:val="00EC5DB0"/>
    <w:rsid w:val="00EC5E2A"/>
    <w:rsid w:val="00EC5E40"/>
    <w:rsid w:val="00EC5EB9"/>
    <w:rsid w:val="00EC5ECD"/>
    <w:rsid w:val="00EC5EFE"/>
    <w:rsid w:val="00EC5F50"/>
    <w:rsid w:val="00EC5FED"/>
    <w:rsid w:val="00EC6106"/>
    <w:rsid w:val="00EC624B"/>
    <w:rsid w:val="00EC63CC"/>
    <w:rsid w:val="00EC6470"/>
    <w:rsid w:val="00EC6669"/>
    <w:rsid w:val="00EC681D"/>
    <w:rsid w:val="00EC683E"/>
    <w:rsid w:val="00EC6935"/>
    <w:rsid w:val="00EC694C"/>
    <w:rsid w:val="00EC6A61"/>
    <w:rsid w:val="00EC6CDA"/>
    <w:rsid w:val="00EC6DAA"/>
    <w:rsid w:val="00EC6DEE"/>
    <w:rsid w:val="00EC6F6A"/>
    <w:rsid w:val="00EC6FAE"/>
    <w:rsid w:val="00EC706B"/>
    <w:rsid w:val="00EC70B4"/>
    <w:rsid w:val="00EC70FB"/>
    <w:rsid w:val="00EC71F6"/>
    <w:rsid w:val="00EC7469"/>
    <w:rsid w:val="00EC7620"/>
    <w:rsid w:val="00EC762F"/>
    <w:rsid w:val="00EC76D6"/>
    <w:rsid w:val="00EC7794"/>
    <w:rsid w:val="00EC7941"/>
    <w:rsid w:val="00EC7AC8"/>
    <w:rsid w:val="00EC7B57"/>
    <w:rsid w:val="00EC7C92"/>
    <w:rsid w:val="00EC7CB6"/>
    <w:rsid w:val="00EC7DD6"/>
    <w:rsid w:val="00EC7DDA"/>
    <w:rsid w:val="00EC7E3A"/>
    <w:rsid w:val="00EC7F1F"/>
    <w:rsid w:val="00EC7F72"/>
    <w:rsid w:val="00ECAFA2"/>
    <w:rsid w:val="00ED0263"/>
    <w:rsid w:val="00ED02BF"/>
    <w:rsid w:val="00ED0328"/>
    <w:rsid w:val="00ED0435"/>
    <w:rsid w:val="00ED0465"/>
    <w:rsid w:val="00ED0486"/>
    <w:rsid w:val="00ED0558"/>
    <w:rsid w:val="00ED05DB"/>
    <w:rsid w:val="00ED087A"/>
    <w:rsid w:val="00ED0A13"/>
    <w:rsid w:val="00ED0B00"/>
    <w:rsid w:val="00ED100E"/>
    <w:rsid w:val="00ED101E"/>
    <w:rsid w:val="00ED13EC"/>
    <w:rsid w:val="00ED144D"/>
    <w:rsid w:val="00ED1584"/>
    <w:rsid w:val="00ED18D6"/>
    <w:rsid w:val="00ED1AAA"/>
    <w:rsid w:val="00ED1C1D"/>
    <w:rsid w:val="00ED1D4E"/>
    <w:rsid w:val="00ED216A"/>
    <w:rsid w:val="00ED21BE"/>
    <w:rsid w:val="00ED21C7"/>
    <w:rsid w:val="00ED21D4"/>
    <w:rsid w:val="00ED2236"/>
    <w:rsid w:val="00ED2257"/>
    <w:rsid w:val="00ED229E"/>
    <w:rsid w:val="00ED23D6"/>
    <w:rsid w:val="00ED245A"/>
    <w:rsid w:val="00ED2568"/>
    <w:rsid w:val="00ED2ADE"/>
    <w:rsid w:val="00ED2CB3"/>
    <w:rsid w:val="00ED2FFA"/>
    <w:rsid w:val="00ED3014"/>
    <w:rsid w:val="00ED305D"/>
    <w:rsid w:val="00ED30E3"/>
    <w:rsid w:val="00ED325F"/>
    <w:rsid w:val="00ED326C"/>
    <w:rsid w:val="00ED3315"/>
    <w:rsid w:val="00ED33F6"/>
    <w:rsid w:val="00ED3472"/>
    <w:rsid w:val="00ED3693"/>
    <w:rsid w:val="00ED3778"/>
    <w:rsid w:val="00ED3946"/>
    <w:rsid w:val="00ED394A"/>
    <w:rsid w:val="00ED3973"/>
    <w:rsid w:val="00ED39B2"/>
    <w:rsid w:val="00ED3BC9"/>
    <w:rsid w:val="00ED3DF2"/>
    <w:rsid w:val="00ED3E67"/>
    <w:rsid w:val="00ED3ED0"/>
    <w:rsid w:val="00ED3F03"/>
    <w:rsid w:val="00ED4169"/>
    <w:rsid w:val="00ED4224"/>
    <w:rsid w:val="00ED4421"/>
    <w:rsid w:val="00ED458B"/>
    <w:rsid w:val="00ED467F"/>
    <w:rsid w:val="00ED46F7"/>
    <w:rsid w:val="00ED4800"/>
    <w:rsid w:val="00ED4823"/>
    <w:rsid w:val="00ED4922"/>
    <w:rsid w:val="00ED4956"/>
    <w:rsid w:val="00ED4A99"/>
    <w:rsid w:val="00ED4ACF"/>
    <w:rsid w:val="00ED4DA3"/>
    <w:rsid w:val="00ED4E69"/>
    <w:rsid w:val="00ED4E7F"/>
    <w:rsid w:val="00ED4FD6"/>
    <w:rsid w:val="00ED513F"/>
    <w:rsid w:val="00ED53F0"/>
    <w:rsid w:val="00ED55E8"/>
    <w:rsid w:val="00ED578E"/>
    <w:rsid w:val="00ED5A93"/>
    <w:rsid w:val="00ED5AFF"/>
    <w:rsid w:val="00ED5B62"/>
    <w:rsid w:val="00ED5C46"/>
    <w:rsid w:val="00ED5CC2"/>
    <w:rsid w:val="00ED5E2D"/>
    <w:rsid w:val="00ED5E4F"/>
    <w:rsid w:val="00ED5E77"/>
    <w:rsid w:val="00ED6027"/>
    <w:rsid w:val="00ED60F8"/>
    <w:rsid w:val="00ED6179"/>
    <w:rsid w:val="00ED62E9"/>
    <w:rsid w:val="00ED63F1"/>
    <w:rsid w:val="00ED667A"/>
    <w:rsid w:val="00ED66A9"/>
    <w:rsid w:val="00ED66AA"/>
    <w:rsid w:val="00ED6707"/>
    <w:rsid w:val="00ED6719"/>
    <w:rsid w:val="00ED6778"/>
    <w:rsid w:val="00ED67E9"/>
    <w:rsid w:val="00ED6CBF"/>
    <w:rsid w:val="00ED6F4A"/>
    <w:rsid w:val="00ED709A"/>
    <w:rsid w:val="00ED71BD"/>
    <w:rsid w:val="00ED7254"/>
    <w:rsid w:val="00ED758E"/>
    <w:rsid w:val="00ED75A6"/>
    <w:rsid w:val="00ED75C6"/>
    <w:rsid w:val="00ED75F2"/>
    <w:rsid w:val="00ED76B2"/>
    <w:rsid w:val="00ED7728"/>
    <w:rsid w:val="00ED77A2"/>
    <w:rsid w:val="00ED7B04"/>
    <w:rsid w:val="00ED7B8A"/>
    <w:rsid w:val="00ED7DF9"/>
    <w:rsid w:val="00ED7E0F"/>
    <w:rsid w:val="00ED7FD0"/>
    <w:rsid w:val="00EE0331"/>
    <w:rsid w:val="00EE0364"/>
    <w:rsid w:val="00EE0437"/>
    <w:rsid w:val="00EE0470"/>
    <w:rsid w:val="00EE082F"/>
    <w:rsid w:val="00EE08D7"/>
    <w:rsid w:val="00EE08FA"/>
    <w:rsid w:val="00EE0AA3"/>
    <w:rsid w:val="00EE0B39"/>
    <w:rsid w:val="00EE0C8A"/>
    <w:rsid w:val="00EE0DBA"/>
    <w:rsid w:val="00EE0DC4"/>
    <w:rsid w:val="00EE0DC6"/>
    <w:rsid w:val="00EE0E0C"/>
    <w:rsid w:val="00EE0ED7"/>
    <w:rsid w:val="00EE0F87"/>
    <w:rsid w:val="00EE0F8B"/>
    <w:rsid w:val="00EE0FA2"/>
    <w:rsid w:val="00EE0FB0"/>
    <w:rsid w:val="00EE1179"/>
    <w:rsid w:val="00EE11AF"/>
    <w:rsid w:val="00EE1309"/>
    <w:rsid w:val="00EE145B"/>
    <w:rsid w:val="00EE15C9"/>
    <w:rsid w:val="00EE1605"/>
    <w:rsid w:val="00EE17AD"/>
    <w:rsid w:val="00EE1A36"/>
    <w:rsid w:val="00EE1B00"/>
    <w:rsid w:val="00EE1B9D"/>
    <w:rsid w:val="00EE1BDC"/>
    <w:rsid w:val="00EE1D4F"/>
    <w:rsid w:val="00EE2321"/>
    <w:rsid w:val="00EE246B"/>
    <w:rsid w:val="00EE25E9"/>
    <w:rsid w:val="00EE2642"/>
    <w:rsid w:val="00EE26D8"/>
    <w:rsid w:val="00EE28A5"/>
    <w:rsid w:val="00EE2A68"/>
    <w:rsid w:val="00EE2A91"/>
    <w:rsid w:val="00EE2ACF"/>
    <w:rsid w:val="00EE2D40"/>
    <w:rsid w:val="00EE2DB9"/>
    <w:rsid w:val="00EE2E6F"/>
    <w:rsid w:val="00EE301B"/>
    <w:rsid w:val="00EE3225"/>
    <w:rsid w:val="00EE32B0"/>
    <w:rsid w:val="00EE3314"/>
    <w:rsid w:val="00EE334F"/>
    <w:rsid w:val="00EE33E8"/>
    <w:rsid w:val="00EE34A8"/>
    <w:rsid w:val="00EE3600"/>
    <w:rsid w:val="00EE3666"/>
    <w:rsid w:val="00EE378B"/>
    <w:rsid w:val="00EE3855"/>
    <w:rsid w:val="00EE397F"/>
    <w:rsid w:val="00EE3CC8"/>
    <w:rsid w:val="00EE428F"/>
    <w:rsid w:val="00EE432A"/>
    <w:rsid w:val="00EE447F"/>
    <w:rsid w:val="00EE44FB"/>
    <w:rsid w:val="00EE455A"/>
    <w:rsid w:val="00EE45DE"/>
    <w:rsid w:val="00EE4644"/>
    <w:rsid w:val="00EE4664"/>
    <w:rsid w:val="00EE479F"/>
    <w:rsid w:val="00EE47B3"/>
    <w:rsid w:val="00EE4857"/>
    <w:rsid w:val="00EE487C"/>
    <w:rsid w:val="00EE4A23"/>
    <w:rsid w:val="00EE4F3B"/>
    <w:rsid w:val="00EE50E4"/>
    <w:rsid w:val="00EE5102"/>
    <w:rsid w:val="00EE520A"/>
    <w:rsid w:val="00EE521D"/>
    <w:rsid w:val="00EE55F9"/>
    <w:rsid w:val="00EE5909"/>
    <w:rsid w:val="00EE59CC"/>
    <w:rsid w:val="00EE5C20"/>
    <w:rsid w:val="00EE5CB1"/>
    <w:rsid w:val="00EE5D79"/>
    <w:rsid w:val="00EE5EF3"/>
    <w:rsid w:val="00EE6136"/>
    <w:rsid w:val="00EE6309"/>
    <w:rsid w:val="00EE637C"/>
    <w:rsid w:val="00EE6632"/>
    <w:rsid w:val="00EE668A"/>
    <w:rsid w:val="00EE670D"/>
    <w:rsid w:val="00EE67C5"/>
    <w:rsid w:val="00EE6948"/>
    <w:rsid w:val="00EE6A74"/>
    <w:rsid w:val="00EE6B50"/>
    <w:rsid w:val="00EE6B55"/>
    <w:rsid w:val="00EE6B8D"/>
    <w:rsid w:val="00EE6C32"/>
    <w:rsid w:val="00EE6C47"/>
    <w:rsid w:val="00EE6C59"/>
    <w:rsid w:val="00EE6E96"/>
    <w:rsid w:val="00EE6F0A"/>
    <w:rsid w:val="00EE7104"/>
    <w:rsid w:val="00EE7362"/>
    <w:rsid w:val="00EE73A4"/>
    <w:rsid w:val="00EE73C6"/>
    <w:rsid w:val="00EE796C"/>
    <w:rsid w:val="00EE79F0"/>
    <w:rsid w:val="00EE7A2D"/>
    <w:rsid w:val="00EE7B12"/>
    <w:rsid w:val="00EE7BAA"/>
    <w:rsid w:val="00EE7C0B"/>
    <w:rsid w:val="00EE7E1F"/>
    <w:rsid w:val="00EF0091"/>
    <w:rsid w:val="00EF0174"/>
    <w:rsid w:val="00EF036B"/>
    <w:rsid w:val="00EF0396"/>
    <w:rsid w:val="00EF03F7"/>
    <w:rsid w:val="00EF0406"/>
    <w:rsid w:val="00EF04D9"/>
    <w:rsid w:val="00EF059B"/>
    <w:rsid w:val="00EF05A0"/>
    <w:rsid w:val="00EF05CA"/>
    <w:rsid w:val="00EF05F4"/>
    <w:rsid w:val="00EF0619"/>
    <w:rsid w:val="00EF06C3"/>
    <w:rsid w:val="00EF081A"/>
    <w:rsid w:val="00EF0898"/>
    <w:rsid w:val="00EF0918"/>
    <w:rsid w:val="00EF0996"/>
    <w:rsid w:val="00EF0B41"/>
    <w:rsid w:val="00EF0DFD"/>
    <w:rsid w:val="00EF0F02"/>
    <w:rsid w:val="00EF11B9"/>
    <w:rsid w:val="00EF11C2"/>
    <w:rsid w:val="00EF12FF"/>
    <w:rsid w:val="00EF130C"/>
    <w:rsid w:val="00EF1403"/>
    <w:rsid w:val="00EF151D"/>
    <w:rsid w:val="00EF17A3"/>
    <w:rsid w:val="00EF18F0"/>
    <w:rsid w:val="00EF1942"/>
    <w:rsid w:val="00EF1A37"/>
    <w:rsid w:val="00EF1A47"/>
    <w:rsid w:val="00EF1A9F"/>
    <w:rsid w:val="00EF1B03"/>
    <w:rsid w:val="00EF1BA2"/>
    <w:rsid w:val="00EF1C49"/>
    <w:rsid w:val="00EF1CE8"/>
    <w:rsid w:val="00EF1D96"/>
    <w:rsid w:val="00EF1DDF"/>
    <w:rsid w:val="00EF1E15"/>
    <w:rsid w:val="00EF2093"/>
    <w:rsid w:val="00EF20C0"/>
    <w:rsid w:val="00EF241D"/>
    <w:rsid w:val="00EF24BB"/>
    <w:rsid w:val="00EF26DE"/>
    <w:rsid w:val="00EF283F"/>
    <w:rsid w:val="00EF28DF"/>
    <w:rsid w:val="00EF2922"/>
    <w:rsid w:val="00EF2984"/>
    <w:rsid w:val="00EF29EC"/>
    <w:rsid w:val="00EF2BFA"/>
    <w:rsid w:val="00EF2D02"/>
    <w:rsid w:val="00EF2DB4"/>
    <w:rsid w:val="00EF2E32"/>
    <w:rsid w:val="00EF2E91"/>
    <w:rsid w:val="00EF2E92"/>
    <w:rsid w:val="00EF2FB3"/>
    <w:rsid w:val="00EF3254"/>
    <w:rsid w:val="00EF358E"/>
    <w:rsid w:val="00EF380D"/>
    <w:rsid w:val="00EF384C"/>
    <w:rsid w:val="00EF3919"/>
    <w:rsid w:val="00EF3A3C"/>
    <w:rsid w:val="00EF3AA0"/>
    <w:rsid w:val="00EF3AF4"/>
    <w:rsid w:val="00EF3D57"/>
    <w:rsid w:val="00EF3EB1"/>
    <w:rsid w:val="00EF3F66"/>
    <w:rsid w:val="00EF3F7A"/>
    <w:rsid w:val="00EF3FE3"/>
    <w:rsid w:val="00EF40C7"/>
    <w:rsid w:val="00EF424A"/>
    <w:rsid w:val="00EF434A"/>
    <w:rsid w:val="00EF4553"/>
    <w:rsid w:val="00EF455D"/>
    <w:rsid w:val="00EF4582"/>
    <w:rsid w:val="00EF45D4"/>
    <w:rsid w:val="00EF45E1"/>
    <w:rsid w:val="00EF48B3"/>
    <w:rsid w:val="00EF48E3"/>
    <w:rsid w:val="00EF4A24"/>
    <w:rsid w:val="00EF4B9F"/>
    <w:rsid w:val="00EF4D03"/>
    <w:rsid w:val="00EF4D0E"/>
    <w:rsid w:val="00EF4E32"/>
    <w:rsid w:val="00EF4EF7"/>
    <w:rsid w:val="00EF51C6"/>
    <w:rsid w:val="00EF534D"/>
    <w:rsid w:val="00EF540F"/>
    <w:rsid w:val="00EF542D"/>
    <w:rsid w:val="00EF54F2"/>
    <w:rsid w:val="00EF5673"/>
    <w:rsid w:val="00EF5685"/>
    <w:rsid w:val="00EF56C4"/>
    <w:rsid w:val="00EF56E9"/>
    <w:rsid w:val="00EF58B2"/>
    <w:rsid w:val="00EF5976"/>
    <w:rsid w:val="00EF5A10"/>
    <w:rsid w:val="00EF5DFA"/>
    <w:rsid w:val="00EF5FF4"/>
    <w:rsid w:val="00EF6063"/>
    <w:rsid w:val="00EF60A5"/>
    <w:rsid w:val="00EF6261"/>
    <w:rsid w:val="00EF6281"/>
    <w:rsid w:val="00EF634A"/>
    <w:rsid w:val="00EF635B"/>
    <w:rsid w:val="00EF63F9"/>
    <w:rsid w:val="00EF6475"/>
    <w:rsid w:val="00EF6482"/>
    <w:rsid w:val="00EF6638"/>
    <w:rsid w:val="00EF6780"/>
    <w:rsid w:val="00EF6897"/>
    <w:rsid w:val="00EF68B4"/>
    <w:rsid w:val="00EF69BA"/>
    <w:rsid w:val="00EF6B49"/>
    <w:rsid w:val="00EF6C0B"/>
    <w:rsid w:val="00EF6EEC"/>
    <w:rsid w:val="00EF7064"/>
    <w:rsid w:val="00EF7272"/>
    <w:rsid w:val="00EF7543"/>
    <w:rsid w:val="00EF769F"/>
    <w:rsid w:val="00EF7807"/>
    <w:rsid w:val="00EF7848"/>
    <w:rsid w:val="00EF7932"/>
    <w:rsid w:val="00EF7960"/>
    <w:rsid w:val="00EF7C01"/>
    <w:rsid w:val="00EF7E31"/>
    <w:rsid w:val="00EF7E3D"/>
    <w:rsid w:val="00EF7E6E"/>
    <w:rsid w:val="00EF7E7A"/>
    <w:rsid w:val="00EF8193"/>
    <w:rsid w:val="00F00082"/>
    <w:rsid w:val="00F000A6"/>
    <w:rsid w:val="00F0016D"/>
    <w:rsid w:val="00F002FB"/>
    <w:rsid w:val="00F003A7"/>
    <w:rsid w:val="00F003C4"/>
    <w:rsid w:val="00F003E8"/>
    <w:rsid w:val="00F00766"/>
    <w:rsid w:val="00F008D9"/>
    <w:rsid w:val="00F00928"/>
    <w:rsid w:val="00F00981"/>
    <w:rsid w:val="00F00A3F"/>
    <w:rsid w:val="00F00A79"/>
    <w:rsid w:val="00F00AA7"/>
    <w:rsid w:val="00F00AFA"/>
    <w:rsid w:val="00F00B2A"/>
    <w:rsid w:val="00F00C2C"/>
    <w:rsid w:val="00F00CE9"/>
    <w:rsid w:val="00F00DD3"/>
    <w:rsid w:val="00F00EC6"/>
    <w:rsid w:val="00F0106D"/>
    <w:rsid w:val="00F01119"/>
    <w:rsid w:val="00F01195"/>
    <w:rsid w:val="00F0122B"/>
    <w:rsid w:val="00F0152F"/>
    <w:rsid w:val="00F01AE2"/>
    <w:rsid w:val="00F01B58"/>
    <w:rsid w:val="00F01C62"/>
    <w:rsid w:val="00F01C68"/>
    <w:rsid w:val="00F01D16"/>
    <w:rsid w:val="00F01F4D"/>
    <w:rsid w:val="00F01FAD"/>
    <w:rsid w:val="00F0201C"/>
    <w:rsid w:val="00F021CA"/>
    <w:rsid w:val="00F021FE"/>
    <w:rsid w:val="00F0240E"/>
    <w:rsid w:val="00F02725"/>
    <w:rsid w:val="00F0272A"/>
    <w:rsid w:val="00F0286A"/>
    <w:rsid w:val="00F028D2"/>
    <w:rsid w:val="00F02986"/>
    <w:rsid w:val="00F02A23"/>
    <w:rsid w:val="00F02A65"/>
    <w:rsid w:val="00F02C0F"/>
    <w:rsid w:val="00F02CC8"/>
    <w:rsid w:val="00F02E53"/>
    <w:rsid w:val="00F02ED1"/>
    <w:rsid w:val="00F03016"/>
    <w:rsid w:val="00F03096"/>
    <w:rsid w:val="00F030C9"/>
    <w:rsid w:val="00F030F3"/>
    <w:rsid w:val="00F0310C"/>
    <w:rsid w:val="00F0336A"/>
    <w:rsid w:val="00F03658"/>
    <w:rsid w:val="00F036A1"/>
    <w:rsid w:val="00F037BD"/>
    <w:rsid w:val="00F037FE"/>
    <w:rsid w:val="00F0383A"/>
    <w:rsid w:val="00F039B9"/>
    <w:rsid w:val="00F03BC1"/>
    <w:rsid w:val="00F03F63"/>
    <w:rsid w:val="00F03FE6"/>
    <w:rsid w:val="00F040A7"/>
    <w:rsid w:val="00F0429D"/>
    <w:rsid w:val="00F04459"/>
    <w:rsid w:val="00F048AE"/>
    <w:rsid w:val="00F04BA6"/>
    <w:rsid w:val="00F04BAE"/>
    <w:rsid w:val="00F04C6C"/>
    <w:rsid w:val="00F04EF2"/>
    <w:rsid w:val="00F0517D"/>
    <w:rsid w:val="00F0529E"/>
    <w:rsid w:val="00F0547F"/>
    <w:rsid w:val="00F0578A"/>
    <w:rsid w:val="00F05BC1"/>
    <w:rsid w:val="00F05DF0"/>
    <w:rsid w:val="00F05DF8"/>
    <w:rsid w:val="00F05E47"/>
    <w:rsid w:val="00F05E8F"/>
    <w:rsid w:val="00F05EB0"/>
    <w:rsid w:val="00F0620D"/>
    <w:rsid w:val="00F062D1"/>
    <w:rsid w:val="00F06421"/>
    <w:rsid w:val="00F065FD"/>
    <w:rsid w:val="00F0680F"/>
    <w:rsid w:val="00F0684A"/>
    <w:rsid w:val="00F0685C"/>
    <w:rsid w:val="00F068D6"/>
    <w:rsid w:val="00F068EA"/>
    <w:rsid w:val="00F06934"/>
    <w:rsid w:val="00F06AC9"/>
    <w:rsid w:val="00F06D05"/>
    <w:rsid w:val="00F06E87"/>
    <w:rsid w:val="00F06E93"/>
    <w:rsid w:val="00F06EDE"/>
    <w:rsid w:val="00F06F29"/>
    <w:rsid w:val="00F070AD"/>
    <w:rsid w:val="00F071C8"/>
    <w:rsid w:val="00F07230"/>
    <w:rsid w:val="00F07502"/>
    <w:rsid w:val="00F07532"/>
    <w:rsid w:val="00F075BE"/>
    <w:rsid w:val="00F075EB"/>
    <w:rsid w:val="00F075EC"/>
    <w:rsid w:val="00F0772B"/>
    <w:rsid w:val="00F07765"/>
    <w:rsid w:val="00F078FA"/>
    <w:rsid w:val="00F07BCB"/>
    <w:rsid w:val="00F07C4F"/>
    <w:rsid w:val="00F07C5A"/>
    <w:rsid w:val="00F07D0B"/>
    <w:rsid w:val="00F07EB3"/>
    <w:rsid w:val="00F07F2B"/>
    <w:rsid w:val="00F07FA8"/>
    <w:rsid w:val="00F07FCB"/>
    <w:rsid w:val="00F10112"/>
    <w:rsid w:val="00F1015E"/>
    <w:rsid w:val="00F102F9"/>
    <w:rsid w:val="00F1036F"/>
    <w:rsid w:val="00F10423"/>
    <w:rsid w:val="00F105DD"/>
    <w:rsid w:val="00F1069A"/>
    <w:rsid w:val="00F108D2"/>
    <w:rsid w:val="00F108D8"/>
    <w:rsid w:val="00F108F6"/>
    <w:rsid w:val="00F10A9E"/>
    <w:rsid w:val="00F10AF1"/>
    <w:rsid w:val="00F10DF2"/>
    <w:rsid w:val="00F10E9A"/>
    <w:rsid w:val="00F1102B"/>
    <w:rsid w:val="00F113C2"/>
    <w:rsid w:val="00F113DA"/>
    <w:rsid w:val="00F113EA"/>
    <w:rsid w:val="00F11440"/>
    <w:rsid w:val="00F115B4"/>
    <w:rsid w:val="00F116CC"/>
    <w:rsid w:val="00F117C2"/>
    <w:rsid w:val="00F11840"/>
    <w:rsid w:val="00F11A8F"/>
    <w:rsid w:val="00F11ADC"/>
    <w:rsid w:val="00F11B4F"/>
    <w:rsid w:val="00F11CEC"/>
    <w:rsid w:val="00F11E40"/>
    <w:rsid w:val="00F12004"/>
    <w:rsid w:val="00F12070"/>
    <w:rsid w:val="00F12124"/>
    <w:rsid w:val="00F1212B"/>
    <w:rsid w:val="00F12536"/>
    <w:rsid w:val="00F12684"/>
    <w:rsid w:val="00F1276D"/>
    <w:rsid w:val="00F12A86"/>
    <w:rsid w:val="00F12C4F"/>
    <w:rsid w:val="00F12CCF"/>
    <w:rsid w:val="00F12E73"/>
    <w:rsid w:val="00F12EBC"/>
    <w:rsid w:val="00F12FEB"/>
    <w:rsid w:val="00F130A1"/>
    <w:rsid w:val="00F13102"/>
    <w:rsid w:val="00F131BE"/>
    <w:rsid w:val="00F13390"/>
    <w:rsid w:val="00F1345D"/>
    <w:rsid w:val="00F1367C"/>
    <w:rsid w:val="00F13794"/>
    <w:rsid w:val="00F1394D"/>
    <w:rsid w:val="00F13A52"/>
    <w:rsid w:val="00F13AAC"/>
    <w:rsid w:val="00F13B07"/>
    <w:rsid w:val="00F13BBF"/>
    <w:rsid w:val="00F13BD6"/>
    <w:rsid w:val="00F13D13"/>
    <w:rsid w:val="00F13F82"/>
    <w:rsid w:val="00F13FC8"/>
    <w:rsid w:val="00F14057"/>
    <w:rsid w:val="00F1442A"/>
    <w:rsid w:val="00F14738"/>
    <w:rsid w:val="00F148B2"/>
    <w:rsid w:val="00F148F5"/>
    <w:rsid w:val="00F14A32"/>
    <w:rsid w:val="00F14B21"/>
    <w:rsid w:val="00F14BA6"/>
    <w:rsid w:val="00F14BDC"/>
    <w:rsid w:val="00F14C66"/>
    <w:rsid w:val="00F14EA6"/>
    <w:rsid w:val="00F14F09"/>
    <w:rsid w:val="00F15086"/>
    <w:rsid w:val="00F1515D"/>
    <w:rsid w:val="00F15672"/>
    <w:rsid w:val="00F15791"/>
    <w:rsid w:val="00F1587F"/>
    <w:rsid w:val="00F15952"/>
    <w:rsid w:val="00F15A13"/>
    <w:rsid w:val="00F15A1D"/>
    <w:rsid w:val="00F15A2D"/>
    <w:rsid w:val="00F15E85"/>
    <w:rsid w:val="00F161C2"/>
    <w:rsid w:val="00F161C4"/>
    <w:rsid w:val="00F16257"/>
    <w:rsid w:val="00F162E8"/>
    <w:rsid w:val="00F1633B"/>
    <w:rsid w:val="00F16400"/>
    <w:rsid w:val="00F16697"/>
    <w:rsid w:val="00F1669D"/>
    <w:rsid w:val="00F1676D"/>
    <w:rsid w:val="00F167CF"/>
    <w:rsid w:val="00F167D4"/>
    <w:rsid w:val="00F1680E"/>
    <w:rsid w:val="00F16871"/>
    <w:rsid w:val="00F16B32"/>
    <w:rsid w:val="00F16C67"/>
    <w:rsid w:val="00F16CFD"/>
    <w:rsid w:val="00F16E12"/>
    <w:rsid w:val="00F17081"/>
    <w:rsid w:val="00F17264"/>
    <w:rsid w:val="00F17409"/>
    <w:rsid w:val="00F1758D"/>
    <w:rsid w:val="00F177B4"/>
    <w:rsid w:val="00F17909"/>
    <w:rsid w:val="00F17915"/>
    <w:rsid w:val="00F17BDD"/>
    <w:rsid w:val="00F17BE6"/>
    <w:rsid w:val="00F17C9B"/>
    <w:rsid w:val="00F17ED3"/>
    <w:rsid w:val="00F17EFB"/>
    <w:rsid w:val="00F20093"/>
    <w:rsid w:val="00F2097B"/>
    <w:rsid w:val="00F20AEC"/>
    <w:rsid w:val="00F20C9B"/>
    <w:rsid w:val="00F20CEF"/>
    <w:rsid w:val="00F20D07"/>
    <w:rsid w:val="00F20EAB"/>
    <w:rsid w:val="00F21007"/>
    <w:rsid w:val="00F21521"/>
    <w:rsid w:val="00F21543"/>
    <w:rsid w:val="00F215AA"/>
    <w:rsid w:val="00F215EC"/>
    <w:rsid w:val="00F217C0"/>
    <w:rsid w:val="00F21A05"/>
    <w:rsid w:val="00F21A8A"/>
    <w:rsid w:val="00F21A8C"/>
    <w:rsid w:val="00F21AE9"/>
    <w:rsid w:val="00F21B2D"/>
    <w:rsid w:val="00F21B4D"/>
    <w:rsid w:val="00F21BFF"/>
    <w:rsid w:val="00F21D26"/>
    <w:rsid w:val="00F21EE4"/>
    <w:rsid w:val="00F220D2"/>
    <w:rsid w:val="00F22235"/>
    <w:rsid w:val="00F22386"/>
    <w:rsid w:val="00F2277B"/>
    <w:rsid w:val="00F227FB"/>
    <w:rsid w:val="00F22815"/>
    <w:rsid w:val="00F228D1"/>
    <w:rsid w:val="00F229B4"/>
    <w:rsid w:val="00F22C30"/>
    <w:rsid w:val="00F22D77"/>
    <w:rsid w:val="00F22E02"/>
    <w:rsid w:val="00F22FAF"/>
    <w:rsid w:val="00F2326B"/>
    <w:rsid w:val="00F234E3"/>
    <w:rsid w:val="00F234F6"/>
    <w:rsid w:val="00F2353E"/>
    <w:rsid w:val="00F23808"/>
    <w:rsid w:val="00F23936"/>
    <w:rsid w:val="00F2396B"/>
    <w:rsid w:val="00F23A01"/>
    <w:rsid w:val="00F23A2F"/>
    <w:rsid w:val="00F23A5D"/>
    <w:rsid w:val="00F23D12"/>
    <w:rsid w:val="00F23DD6"/>
    <w:rsid w:val="00F23F72"/>
    <w:rsid w:val="00F2409A"/>
    <w:rsid w:val="00F240B4"/>
    <w:rsid w:val="00F24283"/>
    <w:rsid w:val="00F242C7"/>
    <w:rsid w:val="00F24324"/>
    <w:rsid w:val="00F2433E"/>
    <w:rsid w:val="00F243B4"/>
    <w:rsid w:val="00F243E5"/>
    <w:rsid w:val="00F244FA"/>
    <w:rsid w:val="00F245AE"/>
    <w:rsid w:val="00F24988"/>
    <w:rsid w:val="00F249BC"/>
    <w:rsid w:val="00F249CA"/>
    <w:rsid w:val="00F24A6F"/>
    <w:rsid w:val="00F24BF0"/>
    <w:rsid w:val="00F254D5"/>
    <w:rsid w:val="00F25546"/>
    <w:rsid w:val="00F255C4"/>
    <w:rsid w:val="00F255FB"/>
    <w:rsid w:val="00F256E0"/>
    <w:rsid w:val="00F25A30"/>
    <w:rsid w:val="00F25D13"/>
    <w:rsid w:val="00F25D5B"/>
    <w:rsid w:val="00F261B7"/>
    <w:rsid w:val="00F261EF"/>
    <w:rsid w:val="00F26297"/>
    <w:rsid w:val="00F26340"/>
    <w:rsid w:val="00F263F0"/>
    <w:rsid w:val="00F264E6"/>
    <w:rsid w:val="00F2669B"/>
    <w:rsid w:val="00F26E98"/>
    <w:rsid w:val="00F26FF0"/>
    <w:rsid w:val="00F27082"/>
    <w:rsid w:val="00F2733E"/>
    <w:rsid w:val="00F274F5"/>
    <w:rsid w:val="00F27572"/>
    <w:rsid w:val="00F27726"/>
    <w:rsid w:val="00F277A7"/>
    <w:rsid w:val="00F278A7"/>
    <w:rsid w:val="00F278E1"/>
    <w:rsid w:val="00F27A37"/>
    <w:rsid w:val="00F27A93"/>
    <w:rsid w:val="00F27AE5"/>
    <w:rsid w:val="00F27B0F"/>
    <w:rsid w:val="00F27ED1"/>
    <w:rsid w:val="00F27EE8"/>
    <w:rsid w:val="00F30095"/>
    <w:rsid w:val="00F302D4"/>
    <w:rsid w:val="00F30427"/>
    <w:rsid w:val="00F306B3"/>
    <w:rsid w:val="00F307AB"/>
    <w:rsid w:val="00F3096E"/>
    <w:rsid w:val="00F30D1E"/>
    <w:rsid w:val="00F30F30"/>
    <w:rsid w:val="00F31149"/>
    <w:rsid w:val="00F31152"/>
    <w:rsid w:val="00F31201"/>
    <w:rsid w:val="00F31315"/>
    <w:rsid w:val="00F3135C"/>
    <w:rsid w:val="00F313E9"/>
    <w:rsid w:val="00F31528"/>
    <w:rsid w:val="00F31664"/>
    <w:rsid w:val="00F3167D"/>
    <w:rsid w:val="00F316EF"/>
    <w:rsid w:val="00F318EE"/>
    <w:rsid w:val="00F3197A"/>
    <w:rsid w:val="00F31A43"/>
    <w:rsid w:val="00F31B48"/>
    <w:rsid w:val="00F31CA5"/>
    <w:rsid w:val="00F31CC0"/>
    <w:rsid w:val="00F31D3B"/>
    <w:rsid w:val="00F31DF0"/>
    <w:rsid w:val="00F31E1B"/>
    <w:rsid w:val="00F31F48"/>
    <w:rsid w:val="00F31FE1"/>
    <w:rsid w:val="00F322D3"/>
    <w:rsid w:val="00F3234B"/>
    <w:rsid w:val="00F32357"/>
    <w:rsid w:val="00F323D6"/>
    <w:rsid w:val="00F326E8"/>
    <w:rsid w:val="00F3280E"/>
    <w:rsid w:val="00F32A67"/>
    <w:rsid w:val="00F32BFD"/>
    <w:rsid w:val="00F32E8E"/>
    <w:rsid w:val="00F33070"/>
    <w:rsid w:val="00F33156"/>
    <w:rsid w:val="00F33891"/>
    <w:rsid w:val="00F33A7A"/>
    <w:rsid w:val="00F33B38"/>
    <w:rsid w:val="00F33E11"/>
    <w:rsid w:val="00F33EF0"/>
    <w:rsid w:val="00F3400E"/>
    <w:rsid w:val="00F34131"/>
    <w:rsid w:val="00F3428F"/>
    <w:rsid w:val="00F34357"/>
    <w:rsid w:val="00F343F2"/>
    <w:rsid w:val="00F34719"/>
    <w:rsid w:val="00F347E0"/>
    <w:rsid w:val="00F348E6"/>
    <w:rsid w:val="00F34A1E"/>
    <w:rsid w:val="00F34BEB"/>
    <w:rsid w:val="00F34CC9"/>
    <w:rsid w:val="00F34DCA"/>
    <w:rsid w:val="00F34E05"/>
    <w:rsid w:val="00F34F2B"/>
    <w:rsid w:val="00F351D3"/>
    <w:rsid w:val="00F352AF"/>
    <w:rsid w:val="00F3533D"/>
    <w:rsid w:val="00F35364"/>
    <w:rsid w:val="00F3545A"/>
    <w:rsid w:val="00F355B0"/>
    <w:rsid w:val="00F3562D"/>
    <w:rsid w:val="00F356BE"/>
    <w:rsid w:val="00F3573D"/>
    <w:rsid w:val="00F35760"/>
    <w:rsid w:val="00F35933"/>
    <w:rsid w:val="00F35954"/>
    <w:rsid w:val="00F3599A"/>
    <w:rsid w:val="00F359B0"/>
    <w:rsid w:val="00F35B33"/>
    <w:rsid w:val="00F35C29"/>
    <w:rsid w:val="00F35C61"/>
    <w:rsid w:val="00F35E15"/>
    <w:rsid w:val="00F35E28"/>
    <w:rsid w:val="00F35EF3"/>
    <w:rsid w:val="00F35F75"/>
    <w:rsid w:val="00F3612E"/>
    <w:rsid w:val="00F361AC"/>
    <w:rsid w:val="00F36381"/>
    <w:rsid w:val="00F36534"/>
    <w:rsid w:val="00F36552"/>
    <w:rsid w:val="00F36599"/>
    <w:rsid w:val="00F36607"/>
    <w:rsid w:val="00F36692"/>
    <w:rsid w:val="00F3676B"/>
    <w:rsid w:val="00F36805"/>
    <w:rsid w:val="00F36826"/>
    <w:rsid w:val="00F368E7"/>
    <w:rsid w:val="00F36B43"/>
    <w:rsid w:val="00F36E19"/>
    <w:rsid w:val="00F36F02"/>
    <w:rsid w:val="00F37101"/>
    <w:rsid w:val="00F371BA"/>
    <w:rsid w:val="00F37223"/>
    <w:rsid w:val="00F373D5"/>
    <w:rsid w:val="00F37629"/>
    <w:rsid w:val="00F3774F"/>
    <w:rsid w:val="00F37750"/>
    <w:rsid w:val="00F377F5"/>
    <w:rsid w:val="00F377F6"/>
    <w:rsid w:val="00F378B5"/>
    <w:rsid w:val="00F3797A"/>
    <w:rsid w:val="00F37A6D"/>
    <w:rsid w:val="00F37BFA"/>
    <w:rsid w:val="00F37EA6"/>
    <w:rsid w:val="00F3BE67"/>
    <w:rsid w:val="00F4019C"/>
    <w:rsid w:val="00F401A8"/>
    <w:rsid w:val="00F401D8"/>
    <w:rsid w:val="00F4024E"/>
    <w:rsid w:val="00F40298"/>
    <w:rsid w:val="00F4042A"/>
    <w:rsid w:val="00F4048C"/>
    <w:rsid w:val="00F404DF"/>
    <w:rsid w:val="00F405D2"/>
    <w:rsid w:val="00F4068F"/>
    <w:rsid w:val="00F4078E"/>
    <w:rsid w:val="00F407CA"/>
    <w:rsid w:val="00F40861"/>
    <w:rsid w:val="00F40B4C"/>
    <w:rsid w:val="00F40BED"/>
    <w:rsid w:val="00F40D3D"/>
    <w:rsid w:val="00F40F25"/>
    <w:rsid w:val="00F40F4A"/>
    <w:rsid w:val="00F40F91"/>
    <w:rsid w:val="00F4125D"/>
    <w:rsid w:val="00F41273"/>
    <w:rsid w:val="00F41279"/>
    <w:rsid w:val="00F4138B"/>
    <w:rsid w:val="00F41430"/>
    <w:rsid w:val="00F41513"/>
    <w:rsid w:val="00F416CE"/>
    <w:rsid w:val="00F4173B"/>
    <w:rsid w:val="00F4175E"/>
    <w:rsid w:val="00F417E2"/>
    <w:rsid w:val="00F4183D"/>
    <w:rsid w:val="00F41869"/>
    <w:rsid w:val="00F419E6"/>
    <w:rsid w:val="00F419F2"/>
    <w:rsid w:val="00F41A24"/>
    <w:rsid w:val="00F41A26"/>
    <w:rsid w:val="00F41A91"/>
    <w:rsid w:val="00F41AE7"/>
    <w:rsid w:val="00F41CEA"/>
    <w:rsid w:val="00F41DE8"/>
    <w:rsid w:val="00F41E5D"/>
    <w:rsid w:val="00F41EBF"/>
    <w:rsid w:val="00F42042"/>
    <w:rsid w:val="00F4207C"/>
    <w:rsid w:val="00F421DB"/>
    <w:rsid w:val="00F422AD"/>
    <w:rsid w:val="00F423B6"/>
    <w:rsid w:val="00F4245E"/>
    <w:rsid w:val="00F424A1"/>
    <w:rsid w:val="00F42509"/>
    <w:rsid w:val="00F426DF"/>
    <w:rsid w:val="00F426E2"/>
    <w:rsid w:val="00F4273D"/>
    <w:rsid w:val="00F4275D"/>
    <w:rsid w:val="00F427C9"/>
    <w:rsid w:val="00F42905"/>
    <w:rsid w:val="00F4293B"/>
    <w:rsid w:val="00F42A91"/>
    <w:rsid w:val="00F42CD7"/>
    <w:rsid w:val="00F42DB7"/>
    <w:rsid w:val="00F4312D"/>
    <w:rsid w:val="00F4331A"/>
    <w:rsid w:val="00F43341"/>
    <w:rsid w:val="00F434FF"/>
    <w:rsid w:val="00F437E9"/>
    <w:rsid w:val="00F439A3"/>
    <w:rsid w:val="00F439F2"/>
    <w:rsid w:val="00F43A4D"/>
    <w:rsid w:val="00F43AC6"/>
    <w:rsid w:val="00F43C0A"/>
    <w:rsid w:val="00F43C33"/>
    <w:rsid w:val="00F43ED5"/>
    <w:rsid w:val="00F44063"/>
    <w:rsid w:val="00F442BB"/>
    <w:rsid w:val="00F442EF"/>
    <w:rsid w:val="00F44551"/>
    <w:rsid w:val="00F445F7"/>
    <w:rsid w:val="00F4470B"/>
    <w:rsid w:val="00F44739"/>
    <w:rsid w:val="00F448C8"/>
    <w:rsid w:val="00F449AD"/>
    <w:rsid w:val="00F44A04"/>
    <w:rsid w:val="00F44B18"/>
    <w:rsid w:val="00F44B95"/>
    <w:rsid w:val="00F44CFE"/>
    <w:rsid w:val="00F44F98"/>
    <w:rsid w:val="00F44FB4"/>
    <w:rsid w:val="00F45221"/>
    <w:rsid w:val="00F452D1"/>
    <w:rsid w:val="00F454AE"/>
    <w:rsid w:val="00F454FA"/>
    <w:rsid w:val="00F456FB"/>
    <w:rsid w:val="00F45ABB"/>
    <w:rsid w:val="00F45C0F"/>
    <w:rsid w:val="00F45C2B"/>
    <w:rsid w:val="00F45C60"/>
    <w:rsid w:val="00F45CA5"/>
    <w:rsid w:val="00F45EA0"/>
    <w:rsid w:val="00F46074"/>
    <w:rsid w:val="00F460F9"/>
    <w:rsid w:val="00F462E1"/>
    <w:rsid w:val="00F46391"/>
    <w:rsid w:val="00F4640D"/>
    <w:rsid w:val="00F46454"/>
    <w:rsid w:val="00F465AB"/>
    <w:rsid w:val="00F4675C"/>
    <w:rsid w:val="00F46953"/>
    <w:rsid w:val="00F46982"/>
    <w:rsid w:val="00F469D4"/>
    <w:rsid w:val="00F46A18"/>
    <w:rsid w:val="00F46B25"/>
    <w:rsid w:val="00F46B47"/>
    <w:rsid w:val="00F46E08"/>
    <w:rsid w:val="00F47067"/>
    <w:rsid w:val="00F4721F"/>
    <w:rsid w:val="00F4723B"/>
    <w:rsid w:val="00F472AF"/>
    <w:rsid w:val="00F472BC"/>
    <w:rsid w:val="00F47495"/>
    <w:rsid w:val="00F47584"/>
    <w:rsid w:val="00F47733"/>
    <w:rsid w:val="00F4783C"/>
    <w:rsid w:val="00F47A38"/>
    <w:rsid w:val="00F47A68"/>
    <w:rsid w:val="00F47CC6"/>
    <w:rsid w:val="00F47D1D"/>
    <w:rsid w:val="00F47DD5"/>
    <w:rsid w:val="00F47E6A"/>
    <w:rsid w:val="00F47ED3"/>
    <w:rsid w:val="00F4D49A"/>
    <w:rsid w:val="00F50061"/>
    <w:rsid w:val="00F5016B"/>
    <w:rsid w:val="00F502F7"/>
    <w:rsid w:val="00F5040E"/>
    <w:rsid w:val="00F505C5"/>
    <w:rsid w:val="00F50628"/>
    <w:rsid w:val="00F50886"/>
    <w:rsid w:val="00F509E7"/>
    <w:rsid w:val="00F50A3C"/>
    <w:rsid w:val="00F50B36"/>
    <w:rsid w:val="00F50C09"/>
    <w:rsid w:val="00F50E75"/>
    <w:rsid w:val="00F50F86"/>
    <w:rsid w:val="00F51076"/>
    <w:rsid w:val="00F51138"/>
    <w:rsid w:val="00F51214"/>
    <w:rsid w:val="00F5122B"/>
    <w:rsid w:val="00F51256"/>
    <w:rsid w:val="00F51416"/>
    <w:rsid w:val="00F518D8"/>
    <w:rsid w:val="00F5192E"/>
    <w:rsid w:val="00F51A2D"/>
    <w:rsid w:val="00F51B0A"/>
    <w:rsid w:val="00F51C86"/>
    <w:rsid w:val="00F51D50"/>
    <w:rsid w:val="00F51EB4"/>
    <w:rsid w:val="00F52024"/>
    <w:rsid w:val="00F524B3"/>
    <w:rsid w:val="00F52506"/>
    <w:rsid w:val="00F5266D"/>
    <w:rsid w:val="00F5276A"/>
    <w:rsid w:val="00F52795"/>
    <w:rsid w:val="00F52812"/>
    <w:rsid w:val="00F528D0"/>
    <w:rsid w:val="00F52904"/>
    <w:rsid w:val="00F529A4"/>
    <w:rsid w:val="00F52ACC"/>
    <w:rsid w:val="00F52BDA"/>
    <w:rsid w:val="00F52CDA"/>
    <w:rsid w:val="00F52CE0"/>
    <w:rsid w:val="00F52E9B"/>
    <w:rsid w:val="00F52FEF"/>
    <w:rsid w:val="00F53125"/>
    <w:rsid w:val="00F53170"/>
    <w:rsid w:val="00F531DB"/>
    <w:rsid w:val="00F53271"/>
    <w:rsid w:val="00F534BC"/>
    <w:rsid w:val="00F539BA"/>
    <w:rsid w:val="00F53AB5"/>
    <w:rsid w:val="00F53CE2"/>
    <w:rsid w:val="00F53D2A"/>
    <w:rsid w:val="00F53DDC"/>
    <w:rsid w:val="00F53E94"/>
    <w:rsid w:val="00F53FEF"/>
    <w:rsid w:val="00F5428B"/>
    <w:rsid w:val="00F54690"/>
    <w:rsid w:val="00F5472E"/>
    <w:rsid w:val="00F54732"/>
    <w:rsid w:val="00F5480F"/>
    <w:rsid w:val="00F549BC"/>
    <w:rsid w:val="00F549C2"/>
    <w:rsid w:val="00F54A11"/>
    <w:rsid w:val="00F54A26"/>
    <w:rsid w:val="00F54A38"/>
    <w:rsid w:val="00F54B44"/>
    <w:rsid w:val="00F54CA9"/>
    <w:rsid w:val="00F54FD8"/>
    <w:rsid w:val="00F550AC"/>
    <w:rsid w:val="00F55112"/>
    <w:rsid w:val="00F552B0"/>
    <w:rsid w:val="00F5539E"/>
    <w:rsid w:val="00F553FA"/>
    <w:rsid w:val="00F55400"/>
    <w:rsid w:val="00F555C1"/>
    <w:rsid w:val="00F556B5"/>
    <w:rsid w:val="00F557FB"/>
    <w:rsid w:val="00F5582B"/>
    <w:rsid w:val="00F5582E"/>
    <w:rsid w:val="00F55940"/>
    <w:rsid w:val="00F55A9C"/>
    <w:rsid w:val="00F55AC3"/>
    <w:rsid w:val="00F55C72"/>
    <w:rsid w:val="00F55CE3"/>
    <w:rsid w:val="00F55DB2"/>
    <w:rsid w:val="00F55DBF"/>
    <w:rsid w:val="00F55FC1"/>
    <w:rsid w:val="00F56149"/>
    <w:rsid w:val="00F562FE"/>
    <w:rsid w:val="00F563C9"/>
    <w:rsid w:val="00F565B0"/>
    <w:rsid w:val="00F56B08"/>
    <w:rsid w:val="00F56C37"/>
    <w:rsid w:val="00F56D01"/>
    <w:rsid w:val="00F56DAB"/>
    <w:rsid w:val="00F56EF3"/>
    <w:rsid w:val="00F56F3C"/>
    <w:rsid w:val="00F56FFE"/>
    <w:rsid w:val="00F5746F"/>
    <w:rsid w:val="00F57530"/>
    <w:rsid w:val="00F5759E"/>
    <w:rsid w:val="00F575A8"/>
    <w:rsid w:val="00F575D6"/>
    <w:rsid w:val="00F575E7"/>
    <w:rsid w:val="00F5765F"/>
    <w:rsid w:val="00F576FE"/>
    <w:rsid w:val="00F577E5"/>
    <w:rsid w:val="00F5783A"/>
    <w:rsid w:val="00F57908"/>
    <w:rsid w:val="00F579AA"/>
    <w:rsid w:val="00F57D9F"/>
    <w:rsid w:val="00F57FDD"/>
    <w:rsid w:val="00F60077"/>
    <w:rsid w:val="00F60250"/>
    <w:rsid w:val="00F604D7"/>
    <w:rsid w:val="00F6070D"/>
    <w:rsid w:val="00F60742"/>
    <w:rsid w:val="00F607D4"/>
    <w:rsid w:val="00F608DD"/>
    <w:rsid w:val="00F60984"/>
    <w:rsid w:val="00F60A16"/>
    <w:rsid w:val="00F60DA0"/>
    <w:rsid w:val="00F60E0D"/>
    <w:rsid w:val="00F60E1A"/>
    <w:rsid w:val="00F60E3F"/>
    <w:rsid w:val="00F60F81"/>
    <w:rsid w:val="00F61025"/>
    <w:rsid w:val="00F61070"/>
    <w:rsid w:val="00F61377"/>
    <w:rsid w:val="00F6160E"/>
    <w:rsid w:val="00F6171F"/>
    <w:rsid w:val="00F6174D"/>
    <w:rsid w:val="00F61939"/>
    <w:rsid w:val="00F61A66"/>
    <w:rsid w:val="00F61CEC"/>
    <w:rsid w:val="00F61D08"/>
    <w:rsid w:val="00F61DC2"/>
    <w:rsid w:val="00F62285"/>
    <w:rsid w:val="00F6229A"/>
    <w:rsid w:val="00F624E5"/>
    <w:rsid w:val="00F62597"/>
    <w:rsid w:val="00F625B2"/>
    <w:rsid w:val="00F6263F"/>
    <w:rsid w:val="00F626D3"/>
    <w:rsid w:val="00F62974"/>
    <w:rsid w:val="00F62984"/>
    <w:rsid w:val="00F62B49"/>
    <w:rsid w:val="00F62BA5"/>
    <w:rsid w:val="00F62C31"/>
    <w:rsid w:val="00F62C35"/>
    <w:rsid w:val="00F62CC1"/>
    <w:rsid w:val="00F62CF6"/>
    <w:rsid w:val="00F62CF9"/>
    <w:rsid w:val="00F6307A"/>
    <w:rsid w:val="00F63127"/>
    <w:rsid w:val="00F633A1"/>
    <w:rsid w:val="00F633CF"/>
    <w:rsid w:val="00F63586"/>
    <w:rsid w:val="00F635D7"/>
    <w:rsid w:val="00F636BD"/>
    <w:rsid w:val="00F63776"/>
    <w:rsid w:val="00F637DD"/>
    <w:rsid w:val="00F63951"/>
    <w:rsid w:val="00F639DC"/>
    <w:rsid w:val="00F63C3A"/>
    <w:rsid w:val="00F63CE5"/>
    <w:rsid w:val="00F63DFC"/>
    <w:rsid w:val="00F63F35"/>
    <w:rsid w:val="00F63FFE"/>
    <w:rsid w:val="00F64010"/>
    <w:rsid w:val="00F64026"/>
    <w:rsid w:val="00F640D3"/>
    <w:rsid w:val="00F64290"/>
    <w:rsid w:val="00F642A4"/>
    <w:rsid w:val="00F643A2"/>
    <w:rsid w:val="00F643AD"/>
    <w:rsid w:val="00F64427"/>
    <w:rsid w:val="00F6444D"/>
    <w:rsid w:val="00F64455"/>
    <w:rsid w:val="00F644D0"/>
    <w:rsid w:val="00F6468C"/>
    <w:rsid w:val="00F64819"/>
    <w:rsid w:val="00F64BB5"/>
    <w:rsid w:val="00F64DBA"/>
    <w:rsid w:val="00F64DDC"/>
    <w:rsid w:val="00F64E21"/>
    <w:rsid w:val="00F65023"/>
    <w:rsid w:val="00F6502D"/>
    <w:rsid w:val="00F6509A"/>
    <w:rsid w:val="00F65323"/>
    <w:rsid w:val="00F6536B"/>
    <w:rsid w:val="00F65686"/>
    <w:rsid w:val="00F6571B"/>
    <w:rsid w:val="00F65781"/>
    <w:rsid w:val="00F65850"/>
    <w:rsid w:val="00F659DC"/>
    <w:rsid w:val="00F661CD"/>
    <w:rsid w:val="00F66306"/>
    <w:rsid w:val="00F6669E"/>
    <w:rsid w:val="00F666C0"/>
    <w:rsid w:val="00F66875"/>
    <w:rsid w:val="00F668AF"/>
    <w:rsid w:val="00F66B7B"/>
    <w:rsid w:val="00F66C30"/>
    <w:rsid w:val="00F66C70"/>
    <w:rsid w:val="00F66F96"/>
    <w:rsid w:val="00F66FE4"/>
    <w:rsid w:val="00F673B1"/>
    <w:rsid w:val="00F67483"/>
    <w:rsid w:val="00F674CA"/>
    <w:rsid w:val="00F67CB3"/>
    <w:rsid w:val="00F67D0F"/>
    <w:rsid w:val="00F67D1E"/>
    <w:rsid w:val="00F67E5A"/>
    <w:rsid w:val="00F67EDB"/>
    <w:rsid w:val="00F67FA3"/>
    <w:rsid w:val="00F6E263"/>
    <w:rsid w:val="00F7002B"/>
    <w:rsid w:val="00F70112"/>
    <w:rsid w:val="00F701B8"/>
    <w:rsid w:val="00F70212"/>
    <w:rsid w:val="00F70315"/>
    <w:rsid w:val="00F70366"/>
    <w:rsid w:val="00F70486"/>
    <w:rsid w:val="00F704C3"/>
    <w:rsid w:val="00F7059A"/>
    <w:rsid w:val="00F707E8"/>
    <w:rsid w:val="00F70819"/>
    <w:rsid w:val="00F7088D"/>
    <w:rsid w:val="00F70A29"/>
    <w:rsid w:val="00F70A64"/>
    <w:rsid w:val="00F70D63"/>
    <w:rsid w:val="00F70D79"/>
    <w:rsid w:val="00F70F5C"/>
    <w:rsid w:val="00F70F6D"/>
    <w:rsid w:val="00F70F86"/>
    <w:rsid w:val="00F70FAF"/>
    <w:rsid w:val="00F70FEE"/>
    <w:rsid w:val="00F71012"/>
    <w:rsid w:val="00F71155"/>
    <w:rsid w:val="00F7124C"/>
    <w:rsid w:val="00F71340"/>
    <w:rsid w:val="00F7152F"/>
    <w:rsid w:val="00F7162D"/>
    <w:rsid w:val="00F7185A"/>
    <w:rsid w:val="00F7191E"/>
    <w:rsid w:val="00F71C03"/>
    <w:rsid w:val="00F71C15"/>
    <w:rsid w:val="00F7201B"/>
    <w:rsid w:val="00F720DA"/>
    <w:rsid w:val="00F721A2"/>
    <w:rsid w:val="00F7237E"/>
    <w:rsid w:val="00F7243A"/>
    <w:rsid w:val="00F72719"/>
    <w:rsid w:val="00F72B40"/>
    <w:rsid w:val="00F72BC0"/>
    <w:rsid w:val="00F72BE6"/>
    <w:rsid w:val="00F72C12"/>
    <w:rsid w:val="00F72CD0"/>
    <w:rsid w:val="00F72F5B"/>
    <w:rsid w:val="00F72FF1"/>
    <w:rsid w:val="00F73030"/>
    <w:rsid w:val="00F730C1"/>
    <w:rsid w:val="00F73102"/>
    <w:rsid w:val="00F733F4"/>
    <w:rsid w:val="00F73453"/>
    <w:rsid w:val="00F73643"/>
    <w:rsid w:val="00F73733"/>
    <w:rsid w:val="00F737BA"/>
    <w:rsid w:val="00F738B1"/>
    <w:rsid w:val="00F739B4"/>
    <w:rsid w:val="00F73DC9"/>
    <w:rsid w:val="00F73E93"/>
    <w:rsid w:val="00F740B7"/>
    <w:rsid w:val="00F74142"/>
    <w:rsid w:val="00F74222"/>
    <w:rsid w:val="00F7426B"/>
    <w:rsid w:val="00F74311"/>
    <w:rsid w:val="00F74368"/>
    <w:rsid w:val="00F74417"/>
    <w:rsid w:val="00F74461"/>
    <w:rsid w:val="00F74470"/>
    <w:rsid w:val="00F74768"/>
    <w:rsid w:val="00F7478D"/>
    <w:rsid w:val="00F747A7"/>
    <w:rsid w:val="00F747EF"/>
    <w:rsid w:val="00F74951"/>
    <w:rsid w:val="00F74968"/>
    <w:rsid w:val="00F74A73"/>
    <w:rsid w:val="00F74D75"/>
    <w:rsid w:val="00F74D79"/>
    <w:rsid w:val="00F74FF4"/>
    <w:rsid w:val="00F751C3"/>
    <w:rsid w:val="00F753F2"/>
    <w:rsid w:val="00F75429"/>
    <w:rsid w:val="00F75514"/>
    <w:rsid w:val="00F75528"/>
    <w:rsid w:val="00F7576A"/>
    <w:rsid w:val="00F7594B"/>
    <w:rsid w:val="00F75A77"/>
    <w:rsid w:val="00F75A91"/>
    <w:rsid w:val="00F75C97"/>
    <w:rsid w:val="00F75CAD"/>
    <w:rsid w:val="00F75CEE"/>
    <w:rsid w:val="00F75D5A"/>
    <w:rsid w:val="00F75DFC"/>
    <w:rsid w:val="00F75FD9"/>
    <w:rsid w:val="00F760B2"/>
    <w:rsid w:val="00F7619D"/>
    <w:rsid w:val="00F762B8"/>
    <w:rsid w:val="00F763A8"/>
    <w:rsid w:val="00F767BC"/>
    <w:rsid w:val="00F76963"/>
    <w:rsid w:val="00F7699D"/>
    <w:rsid w:val="00F76A30"/>
    <w:rsid w:val="00F76DD6"/>
    <w:rsid w:val="00F76E1C"/>
    <w:rsid w:val="00F76F7A"/>
    <w:rsid w:val="00F77072"/>
    <w:rsid w:val="00F77134"/>
    <w:rsid w:val="00F7720D"/>
    <w:rsid w:val="00F77293"/>
    <w:rsid w:val="00F77475"/>
    <w:rsid w:val="00F77494"/>
    <w:rsid w:val="00F774AF"/>
    <w:rsid w:val="00F7751C"/>
    <w:rsid w:val="00F777A6"/>
    <w:rsid w:val="00F77909"/>
    <w:rsid w:val="00F779EE"/>
    <w:rsid w:val="00F77B7E"/>
    <w:rsid w:val="00F77BE3"/>
    <w:rsid w:val="00F77CD1"/>
    <w:rsid w:val="00F77D3B"/>
    <w:rsid w:val="00F77EEC"/>
    <w:rsid w:val="00F77F5E"/>
    <w:rsid w:val="00F77FDF"/>
    <w:rsid w:val="00F800C0"/>
    <w:rsid w:val="00F803AA"/>
    <w:rsid w:val="00F804DE"/>
    <w:rsid w:val="00F805D7"/>
    <w:rsid w:val="00F806D2"/>
    <w:rsid w:val="00F806FF"/>
    <w:rsid w:val="00F807B0"/>
    <w:rsid w:val="00F80873"/>
    <w:rsid w:val="00F80A68"/>
    <w:rsid w:val="00F80ACB"/>
    <w:rsid w:val="00F80D69"/>
    <w:rsid w:val="00F80E3D"/>
    <w:rsid w:val="00F8109D"/>
    <w:rsid w:val="00F812CC"/>
    <w:rsid w:val="00F812CD"/>
    <w:rsid w:val="00F81601"/>
    <w:rsid w:val="00F8161A"/>
    <w:rsid w:val="00F81BAC"/>
    <w:rsid w:val="00F81C81"/>
    <w:rsid w:val="00F81CA0"/>
    <w:rsid w:val="00F81E16"/>
    <w:rsid w:val="00F81E6F"/>
    <w:rsid w:val="00F81E73"/>
    <w:rsid w:val="00F81FC2"/>
    <w:rsid w:val="00F821CD"/>
    <w:rsid w:val="00F8226E"/>
    <w:rsid w:val="00F822C5"/>
    <w:rsid w:val="00F82332"/>
    <w:rsid w:val="00F823CC"/>
    <w:rsid w:val="00F82514"/>
    <w:rsid w:val="00F8255D"/>
    <w:rsid w:val="00F82624"/>
    <w:rsid w:val="00F82858"/>
    <w:rsid w:val="00F82B74"/>
    <w:rsid w:val="00F82C2F"/>
    <w:rsid w:val="00F82CD4"/>
    <w:rsid w:val="00F82D37"/>
    <w:rsid w:val="00F82D54"/>
    <w:rsid w:val="00F82E6B"/>
    <w:rsid w:val="00F82E74"/>
    <w:rsid w:val="00F82F92"/>
    <w:rsid w:val="00F8319A"/>
    <w:rsid w:val="00F83248"/>
    <w:rsid w:val="00F832F3"/>
    <w:rsid w:val="00F833FC"/>
    <w:rsid w:val="00F83668"/>
    <w:rsid w:val="00F836F3"/>
    <w:rsid w:val="00F837EF"/>
    <w:rsid w:val="00F8396B"/>
    <w:rsid w:val="00F83BB6"/>
    <w:rsid w:val="00F83BD1"/>
    <w:rsid w:val="00F83D20"/>
    <w:rsid w:val="00F84182"/>
    <w:rsid w:val="00F84726"/>
    <w:rsid w:val="00F84A77"/>
    <w:rsid w:val="00F84B78"/>
    <w:rsid w:val="00F84BA2"/>
    <w:rsid w:val="00F84D36"/>
    <w:rsid w:val="00F84DDC"/>
    <w:rsid w:val="00F8510E"/>
    <w:rsid w:val="00F851EF"/>
    <w:rsid w:val="00F8524D"/>
    <w:rsid w:val="00F85419"/>
    <w:rsid w:val="00F85554"/>
    <w:rsid w:val="00F85640"/>
    <w:rsid w:val="00F856D3"/>
    <w:rsid w:val="00F857EA"/>
    <w:rsid w:val="00F8580D"/>
    <w:rsid w:val="00F858AC"/>
    <w:rsid w:val="00F85AA4"/>
    <w:rsid w:val="00F85C21"/>
    <w:rsid w:val="00F85CA5"/>
    <w:rsid w:val="00F85DA2"/>
    <w:rsid w:val="00F85DA4"/>
    <w:rsid w:val="00F85FB9"/>
    <w:rsid w:val="00F863E0"/>
    <w:rsid w:val="00F86448"/>
    <w:rsid w:val="00F8657F"/>
    <w:rsid w:val="00F86800"/>
    <w:rsid w:val="00F86905"/>
    <w:rsid w:val="00F86954"/>
    <w:rsid w:val="00F86A00"/>
    <w:rsid w:val="00F86BB3"/>
    <w:rsid w:val="00F86BBE"/>
    <w:rsid w:val="00F86D47"/>
    <w:rsid w:val="00F86D50"/>
    <w:rsid w:val="00F86EC0"/>
    <w:rsid w:val="00F86F0D"/>
    <w:rsid w:val="00F87040"/>
    <w:rsid w:val="00F8708A"/>
    <w:rsid w:val="00F87119"/>
    <w:rsid w:val="00F8718D"/>
    <w:rsid w:val="00F87235"/>
    <w:rsid w:val="00F8730A"/>
    <w:rsid w:val="00F87376"/>
    <w:rsid w:val="00F8746C"/>
    <w:rsid w:val="00F874AD"/>
    <w:rsid w:val="00F875F0"/>
    <w:rsid w:val="00F8779D"/>
    <w:rsid w:val="00F8789D"/>
    <w:rsid w:val="00F878E5"/>
    <w:rsid w:val="00F87958"/>
    <w:rsid w:val="00F87A1C"/>
    <w:rsid w:val="00F87B19"/>
    <w:rsid w:val="00F87C70"/>
    <w:rsid w:val="00F87CD4"/>
    <w:rsid w:val="00F87CD9"/>
    <w:rsid w:val="00F87D58"/>
    <w:rsid w:val="00F87DF9"/>
    <w:rsid w:val="00F903C4"/>
    <w:rsid w:val="00F903F0"/>
    <w:rsid w:val="00F90412"/>
    <w:rsid w:val="00F90747"/>
    <w:rsid w:val="00F90FD9"/>
    <w:rsid w:val="00F91162"/>
    <w:rsid w:val="00F91374"/>
    <w:rsid w:val="00F9148E"/>
    <w:rsid w:val="00F91581"/>
    <w:rsid w:val="00F916FB"/>
    <w:rsid w:val="00F91714"/>
    <w:rsid w:val="00F919A3"/>
    <w:rsid w:val="00F91A17"/>
    <w:rsid w:val="00F91A7F"/>
    <w:rsid w:val="00F91AF4"/>
    <w:rsid w:val="00F91B99"/>
    <w:rsid w:val="00F91D08"/>
    <w:rsid w:val="00F91D9E"/>
    <w:rsid w:val="00F91DCA"/>
    <w:rsid w:val="00F91F65"/>
    <w:rsid w:val="00F91F9F"/>
    <w:rsid w:val="00F91FCB"/>
    <w:rsid w:val="00F92060"/>
    <w:rsid w:val="00F920A3"/>
    <w:rsid w:val="00F9224D"/>
    <w:rsid w:val="00F92258"/>
    <w:rsid w:val="00F92273"/>
    <w:rsid w:val="00F92372"/>
    <w:rsid w:val="00F9245E"/>
    <w:rsid w:val="00F92490"/>
    <w:rsid w:val="00F92661"/>
    <w:rsid w:val="00F926F0"/>
    <w:rsid w:val="00F92837"/>
    <w:rsid w:val="00F928C9"/>
    <w:rsid w:val="00F92A72"/>
    <w:rsid w:val="00F92B20"/>
    <w:rsid w:val="00F92C1E"/>
    <w:rsid w:val="00F92D9B"/>
    <w:rsid w:val="00F92E5A"/>
    <w:rsid w:val="00F92E6E"/>
    <w:rsid w:val="00F930A6"/>
    <w:rsid w:val="00F9314F"/>
    <w:rsid w:val="00F931A8"/>
    <w:rsid w:val="00F93228"/>
    <w:rsid w:val="00F93332"/>
    <w:rsid w:val="00F9333C"/>
    <w:rsid w:val="00F933C0"/>
    <w:rsid w:val="00F936E3"/>
    <w:rsid w:val="00F9378E"/>
    <w:rsid w:val="00F937A6"/>
    <w:rsid w:val="00F93915"/>
    <w:rsid w:val="00F93948"/>
    <w:rsid w:val="00F93A5A"/>
    <w:rsid w:val="00F93C67"/>
    <w:rsid w:val="00F93C7F"/>
    <w:rsid w:val="00F93D1E"/>
    <w:rsid w:val="00F93EBE"/>
    <w:rsid w:val="00F93F73"/>
    <w:rsid w:val="00F94011"/>
    <w:rsid w:val="00F9406E"/>
    <w:rsid w:val="00F940CE"/>
    <w:rsid w:val="00F9415E"/>
    <w:rsid w:val="00F9453E"/>
    <w:rsid w:val="00F948FB"/>
    <w:rsid w:val="00F9492D"/>
    <w:rsid w:val="00F94988"/>
    <w:rsid w:val="00F94B05"/>
    <w:rsid w:val="00F94B50"/>
    <w:rsid w:val="00F94C4E"/>
    <w:rsid w:val="00F94DB5"/>
    <w:rsid w:val="00F94E3C"/>
    <w:rsid w:val="00F94EDC"/>
    <w:rsid w:val="00F94FE1"/>
    <w:rsid w:val="00F95175"/>
    <w:rsid w:val="00F95255"/>
    <w:rsid w:val="00F9531F"/>
    <w:rsid w:val="00F954FE"/>
    <w:rsid w:val="00F9551B"/>
    <w:rsid w:val="00F95620"/>
    <w:rsid w:val="00F95628"/>
    <w:rsid w:val="00F95643"/>
    <w:rsid w:val="00F956B4"/>
    <w:rsid w:val="00F956DF"/>
    <w:rsid w:val="00F9577F"/>
    <w:rsid w:val="00F95972"/>
    <w:rsid w:val="00F95A0F"/>
    <w:rsid w:val="00F95C13"/>
    <w:rsid w:val="00F95D65"/>
    <w:rsid w:val="00F95D6F"/>
    <w:rsid w:val="00F95E34"/>
    <w:rsid w:val="00F960F4"/>
    <w:rsid w:val="00F9624B"/>
    <w:rsid w:val="00F9644F"/>
    <w:rsid w:val="00F966D2"/>
    <w:rsid w:val="00F9672F"/>
    <w:rsid w:val="00F9680A"/>
    <w:rsid w:val="00F9691E"/>
    <w:rsid w:val="00F96A07"/>
    <w:rsid w:val="00F96B11"/>
    <w:rsid w:val="00F96B87"/>
    <w:rsid w:val="00F96BA4"/>
    <w:rsid w:val="00F96BC6"/>
    <w:rsid w:val="00F96C8D"/>
    <w:rsid w:val="00F96DE9"/>
    <w:rsid w:val="00F970DD"/>
    <w:rsid w:val="00F9711C"/>
    <w:rsid w:val="00F97211"/>
    <w:rsid w:val="00F973AB"/>
    <w:rsid w:val="00F97581"/>
    <w:rsid w:val="00F97588"/>
    <w:rsid w:val="00F975F2"/>
    <w:rsid w:val="00F977DB"/>
    <w:rsid w:val="00F97A6B"/>
    <w:rsid w:val="00F97A85"/>
    <w:rsid w:val="00F97AA7"/>
    <w:rsid w:val="00F97C0E"/>
    <w:rsid w:val="00F97CFB"/>
    <w:rsid w:val="00F97FBB"/>
    <w:rsid w:val="00FA0150"/>
    <w:rsid w:val="00FA01F3"/>
    <w:rsid w:val="00FA0263"/>
    <w:rsid w:val="00FA0290"/>
    <w:rsid w:val="00FA02BF"/>
    <w:rsid w:val="00FA03B1"/>
    <w:rsid w:val="00FA03EB"/>
    <w:rsid w:val="00FA0472"/>
    <w:rsid w:val="00FA0582"/>
    <w:rsid w:val="00FA05F2"/>
    <w:rsid w:val="00FA05FC"/>
    <w:rsid w:val="00FA064A"/>
    <w:rsid w:val="00FA0735"/>
    <w:rsid w:val="00FA088F"/>
    <w:rsid w:val="00FA08C1"/>
    <w:rsid w:val="00FA0B66"/>
    <w:rsid w:val="00FA0CD2"/>
    <w:rsid w:val="00FA0E81"/>
    <w:rsid w:val="00FA1053"/>
    <w:rsid w:val="00FA10C8"/>
    <w:rsid w:val="00FA11F6"/>
    <w:rsid w:val="00FA1298"/>
    <w:rsid w:val="00FA166A"/>
    <w:rsid w:val="00FA169A"/>
    <w:rsid w:val="00FA16BB"/>
    <w:rsid w:val="00FA195D"/>
    <w:rsid w:val="00FA1CCA"/>
    <w:rsid w:val="00FA1D33"/>
    <w:rsid w:val="00FA1F31"/>
    <w:rsid w:val="00FA202C"/>
    <w:rsid w:val="00FA205A"/>
    <w:rsid w:val="00FA213B"/>
    <w:rsid w:val="00FA2356"/>
    <w:rsid w:val="00FA2467"/>
    <w:rsid w:val="00FA258B"/>
    <w:rsid w:val="00FA25C5"/>
    <w:rsid w:val="00FA2649"/>
    <w:rsid w:val="00FA2930"/>
    <w:rsid w:val="00FA2A68"/>
    <w:rsid w:val="00FA2C83"/>
    <w:rsid w:val="00FA2CD7"/>
    <w:rsid w:val="00FA2DD7"/>
    <w:rsid w:val="00FA2EBB"/>
    <w:rsid w:val="00FA2FD8"/>
    <w:rsid w:val="00FA30A3"/>
    <w:rsid w:val="00FA330E"/>
    <w:rsid w:val="00FA340B"/>
    <w:rsid w:val="00FA3603"/>
    <w:rsid w:val="00FA3650"/>
    <w:rsid w:val="00FA367A"/>
    <w:rsid w:val="00FA37D7"/>
    <w:rsid w:val="00FA39E4"/>
    <w:rsid w:val="00FA3AB1"/>
    <w:rsid w:val="00FA3AD8"/>
    <w:rsid w:val="00FA3AEF"/>
    <w:rsid w:val="00FA3EB6"/>
    <w:rsid w:val="00FA3EB8"/>
    <w:rsid w:val="00FA3F60"/>
    <w:rsid w:val="00FA3F68"/>
    <w:rsid w:val="00FA4029"/>
    <w:rsid w:val="00FA40CF"/>
    <w:rsid w:val="00FA413B"/>
    <w:rsid w:val="00FA4405"/>
    <w:rsid w:val="00FA44A3"/>
    <w:rsid w:val="00FA453B"/>
    <w:rsid w:val="00FA4605"/>
    <w:rsid w:val="00FA462D"/>
    <w:rsid w:val="00FA47C7"/>
    <w:rsid w:val="00FA4860"/>
    <w:rsid w:val="00FA4932"/>
    <w:rsid w:val="00FA4963"/>
    <w:rsid w:val="00FA4C96"/>
    <w:rsid w:val="00FA4E7E"/>
    <w:rsid w:val="00FA4F87"/>
    <w:rsid w:val="00FA50BC"/>
    <w:rsid w:val="00FA519D"/>
    <w:rsid w:val="00FA51DD"/>
    <w:rsid w:val="00FA5232"/>
    <w:rsid w:val="00FA52E1"/>
    <w:rsid w:val="00FA52EE"/>
    <w:rsid w:val="00FA545C"/>
    <w:rsid w:val="00FA56D5"/>
    <w:rsid w:val="00FA5823"/>
    <w:rsid w:val="00FA5903"/>
    <w:rsid w:val="00FA5976"/>
    <w:rsid w:val="00FA5ADB"/>
    <w:rsid w:val="00FA5B0A"/>
    <w:rsid w:val="00FA5C47"/>
    <w:rsid w:val="00FA5D7C"/>
    <w:rsid w:val="00FA5DEA"/>
    <w:rsid w:val="00FA5E62"/>
    <w:rsid w:val="00FA5E95"/>
    <w:rsid w:val="00FA5F5B"/>
    <w:rsid w:val="00FA5FE7"/>
    <w:rsid w:val="00FA60BB"/>
    <w:rsid w:val="00FA62A7"/>
    <w:rsid w:val="00FA63E8"/>
    <w:rsid w:val="00FA6644"/>
    <w:rsid w:val="00FA664B"/>
    <w:rsid w:val="00FA6665"/>
    <w:rsid w:val="00FA67E5"/>
    <w:rsid w:val="00FA6A7F"/>
    <w:rsid w:val="00FA6C08"/>
    <w:rsid w:val="00FA6CC5"/>
    <w:rsid w:val="00FA6ED4"/>
    <w:rsid w:val="00FA6F0E"/>
    <w:rsid w:val="00FA6FEB"/>
    <w:rsid w:val="00FA71FE"/>
    <w:rsid w:val="00FA73A8"/>
    <w:rsid w:val="00FA73FE"/>
    <w:rsid w:val="00FA745A"/>
    <w:rsid w:val="00FA7527"/>
    <w:rsid w:val="00FA76F5"/>
    <w:rsid w:val="00FA771A"/>
    <w:rsid w:val="00FA77AD"/>
    <w:rsid w:val="00FA7815"/>
    <w:rsid w:val="00FA7873"/>
    <w:rsid w:val="00FA7886"/>
    <w:rsid w:val="00FA7A4F"/>
    <w:rsid w:val="00FA7AED"/>
    <w:rsid w:val="00FA7BCC"/>
    <w:rsid w:val="00FA7CB9"/>
    <w:rsid w:val="00FA7FA8"/>
    <w:rsid w:val="00FACCB1"/>
    <w:rsid w:val="00FB0254"/>
    <w:rsid w:val="00FB02D7"/>
    <w:rsid w:val="00FB0461"/>
    <w:rsid w:val="00FB054C"/>
    <w:rsid w:val="00FB066E"/>
    <w:rsid w:val="00FB07E8"/>
    <w:rsid w:val="00FB0A21"/>
    <w:rsid w:val="00FB0AB8"/>
    <w:rsid w:val="00FB0B07"/>
    <w:rsid w:val="00FB0CD5"/>
    <w:rsid w:val="00FB0D9F"/>
    <w:rsid w:val="00FB0F1B"/>
    <w:rsid w:val="00FB0F54"/>
    <w:rsid w:val="00FB1000"/>
    <w:rsid w:val="00FB1087"/>
    <w:rsid w:val="00FB11AF"/>
    <w:rsid w:val="00FB1204"/>
    <w:rsid w:val="00FB134B"/>
    <w:rsid w:val="00FB13D9"/>
    <w:rsid w:val="00FB1542"/>
    <w:rsid w:val="00FB15D9"/>
    <w:rsid w:val="00FB1635"/>
    <w:rsid w:val="00FB1757"/>
    <w:rsid w:val="00FB1812"/>
    <w:rsid w:val="00FB1966"/>
    <w:rsid w:val="00FB1B00"/>
    <w:rsid w:val="00FB1C5D"/>
    <w:rsid w:val="00FB1D67"/>
    <w:rsid w:val="00FB1F02"/>
    <w:rsid w:val="00FB1F98"/>
    <w:rsid w:val="00FB1FBC"/>
    <w:rsid w:val="00FB2047"/>
    <w:rsid w:val="00FB20F8"/>
    <w:rsid w:val="00FB2155"/>
    <w:rsid w:val="00FB27FB"/>
    <w:rsid w:val="00FB2974"/>
    <w:rsid w:val="00FB2A4A"/>
    <w:rsid w:val="00FB2B2B"/>
    <w:rsid w:val="00FB2DA5"/>
    <w:rsid w:val="00FB308C"/>
    <w:rsid w:val="00FB30C2"/>
    <w:rsid w:val="00FB31C9"/>
    <w:rsid w:val="00FB3286"/>
    <w:rsid w:val="00FB32A3"/>
    <w:rsid w:val="00FB33D4"/>
    <w:rsid w:val="00FB3588"/>
    <w:rsid w:val="00FB3A36"/>
    <w:rsid w:val="00FB3B43"/>
    <w:rsid w:val="00FB3B9A"/>
    <w:rsid w:val="00FB3BED"/>
    <w:rsid w:val="00FB3C77"/>
    <w:rsid w:val="00FB3CC3"/>
    <w:rsid w:val="00FB3DAF"/>
    <w:rsid w:val="00FB3DD5"/>
    <w:rsid w:val="00FB3E65"/>
    <w:rsid w:val="00FB3FD2"/>
    <w:rsid w:val="00FB4133"/>
    <w:rsid w:val="00FB4150"/>
    <w:rsid w:val="00FB41C7"/>
    <w:rsid w:val="00FB4246"/>
    <w:rsid w:val="00FB4642"/>
    <w:rsid w:val="00FB4655"/>
    <w:rsid w:val="00FB4660"/>
    <w:rsid w:val="00FB4726"/>
    <w:rsid w:val="00FB4951"/>
    <w:rsid w:val="00FB495D"/>
    <w:rsid w:val="00FB4964"/>
    <w:rsid w:val="00FB4B75"/>
    <w:rsid w:val="00FB4F14"/>
    <w:rsid w:val="00FB507B"/>
    <w:rsid w:val="00FB5266"/>
    <w:rsid w:val="00FB52CC"/>
    <w:rsid w:val="00FB5405"/>
    <w:rsid w:val="00FB54EB"/>
    <w:rsid w:val="00FB5502"/>
    <w:rsid w:val="00FB5522"/>
    <w:rsid w:val="00FB55CD"/>
    <w:rsid w:val="00FB5661"/>
    <w:rsid w:val="00FB56D0"/>
    <w:rsid w:val="00FB5720"/>
    <w:rsid w:val="00FB57A7"/>
    <w:rsid w:val="00FB58CD"/>
    <w:rsid w:val="00FB595F"/>
    <w:rsid w:val="00FB599A"/>
    <w:rsid w:val="00FB5A50"/>
    <w:rsid w:val="00FB5AE5"/>
    <w:rsid w:val="00FB5AE6"/>
    <w:rsid w:val="00FB5B5F"/>
    <w:rsid w:val="00FB5C4B"/>
    <w:rsid w:val="00FB5E2A"/>
    <w:rsid w:val="00FB5E8E"/>
    <w:rsid w:val="00FB5EEB"/>
    <w:rsid w:val="00FB5F23"/>
    <w:rsid w:val="00FB5FCE"/>
    <w:rsid w:val="00FB61C1"/>
    <w:rsid w:val="00FB6266"/>
    <w:rsid w:val="00FB6485"/>
    <w:rsid w:val="00FB67E8"/>
    <w:rsid w:val="00FB6864"/>
    <w:rsid w:val="00FB6882"/>
    <w:rsid w:val="00FB6A78"/>
    <w:rsid w:val="00FB6C6D"/>
    <w:rsid w:val="00FB6CC5"/>
    <w:rsid w:val="00FB6CFC"/>
    <w:rsid w:val="00FB6FC9"/>
    <w:rsid w:val="00FB6FEE"/>
    <w:rsid w:val="00FB70D4"/>
    <w:rsid w:val="00FB7131"/>
    <w:rsid w:val="00FB71A0"/>
    <w:rsid w:val="00FB7293"/>
    <w:rsid w:val="00FB7307"/>
    <w:rsid w:val="00FB74D4"/>
    <w:rsid w:val="00FB74E8"/>
    <w:rsid w:val="00FB7653"/>
    <w:rsid w:val="00FB76E5"/>
    <w:rsid w:val="00FB7715"/>
    <w:rsid w:val="00FB7A77"/>
    <w:rsid w:val="00FB7AFF"/>
    <w:rsid w:val="00FB7B7C"/>
    <w:rsid w:val="00FB7C5F"/>
    <w:rsid w:val="00FB7E10"/>
    <w:rsid w:val="00FB7E12"/>
    <w:rsid w:val="00FB7F27"/>
    <w:rsid w:val="00FB7F75"/>
    <w:rsid w:val="00FB7FFD"/>
    <w:rsid w:val="00FC003B"/>
    <w:rsid w:val="00FC028C"/>
    <w:rsid w:val="00FC02FD"/>
    <w:rsid w:val="00FC0373"/>
    <w:rsid w:val="00FC04F0"/>
    <w:rsid w:val="00FC0682"/>
    <w:rsid w:val="00FC075F"/>
    <w:rsid w:val="00FC0785"/>
    <w:rsid w:val="00FC084F"/>
    <w:rsid w:val="00FC0D03"/>
    <w:rsid w:val="00FC0E2C"/>
    <w:rsid w:val="00FC0F02"/>
    <w:rsid w:val="00FC1115"/>
    <w:rsid w:val="00FC1183"/>
    <w:rsid w:val="00FC1265"/>
    <w:rsid w:val="00FC1447"/>
    <w:rsid w:val="00FC1459"/>
    <w:rsid w:val="00FC1630"/>
    <w:rsid w:val="00FC179E"/>
    <w:rsid w:val="00FC17A7"/>
    <w:rsid w:val="00FC18A1"/>
    <w:rsid w:val="00FC18AE"/>
    <w:rsid w:val="00FC1AC9"/>
    <w:rsid w:val="00FC1B48"/>
    <w:rsid w:val="00FC1D67"/>
    <w:rsid w:val="00FC1D82"/>
    <w:rsid w:val="00FC1EC1"/>
    <w:rsid w:val="00FC1EFA"/>
    <w:rsid w:val="00FC213C"/>
    <w:rsid w:val="00FC224C"/>
    <w:rsid w:val="00FC2393"/>
    <w:rsid w:val="00FC23B0"/>
    <w:rsid w:val="00FC2440"/>
    <w:rsid w:val="00FC2625"/>
    <w:rsid w:val="00FC290A"/>
    <w:rsid w:val="00FC2A99"/>
    <w:rsid w:val="00FC2C5F"/>
    <w:rsid w:val="00FC2CC4"/>
    <w:rsid w:val="00FC2E6B"/>
    <w:rsid w:val="00FC2EBB"/>
    <w:rsid w:val="00FC2FE7"/>
    <w:rsid w:val="00FC3074"/>
    <w:rsid w:val="00FC34D8"/>
    <w:rsid w:val="00FC3726"/>
    <w:rsid w:val="00FC39BD"/>
    <w:rsid w:val="00FC3C0D"/>
    <w:rsid w:val="00FC3C10"/>
    <w:rsid w:val="00FC3D5F"/>
    <w:rsid w:val="00FC3E74"/>
    <w:rsid w:val="00FC3E7F"/>
    <w:rsid w:val="00FC4002"/>
    <w:rsid w:val="00FC400B"/>
    <w:rsid w:val="00FC41AA"/>
    <w:rsid w:val="00FC434E"/>
    <w:rsid w:val="00FC44CF"/>
    <w:rsid w:val="00FC46CF"/>
    <w:rsid w:val="00FC4837"/>
    <w:rsid w:val="00FC49A3"/>
    <w:rsid w:val="00FC4A08"/>
    <w:rsid w:val="00FC4BE0"/>
    <w:rsid w:val="00FC4BF8"/>
    <w:rsid w:val="00FC4CB0"/>
    <w:rsid w:val="00FC4D0C"/>
    <w:rsid w:val="00FC4DB9"/>
    <w:rsid w:val="00FC4DEC"/>
    <w:rsid w:val="00FC4E46"/>
    <w:rsid w:val="00FC4E84"/>
    <w:rsid w:val="00FC4EEC"/>
    <w:rsid w:val="00FC4F19"/>
    <w:rsid w:val="00FC4F5A"/>
    <w:rsid w:val="00FC50F4"/>
    <w:rsid w:val="00FC50F8"/>
    <w:rsid w:val="00FC53C8"/>
    <w:rsid w:val="00FC566A"/>
    <w:rsid w:val="00FC5899"/>
    <w:rsid w:val="00FC5937"/>
    <w:rsid w:val="00FC5A3E"/>
    <w:rsid w:val="00FC5A41"/>
    <w:rsid w:val="00FC5EEB"/>
    <w:rsid w:val="00FC5FA5"/>
    <w:rsid w:val="00FC6158"/>
    <w:rsid w:val="00FC617D"/>
    <w:rsid w:val="00FC61A5"/>
    <w:rsid w:val="00FC64A7"/>
    <w:rsid w:val="00FC656A"/>
    <w:rsid w:val="00FC65A8"/>
    <w:rsid w:val="00FC65E9"/>
    <w:rsid w:val="00FC65F7"/>
    <w:rsid w:val="00FC66A8"/>
    <w:rsid w:val="00FC6885"/>
    <w:rsid w:val="00FC6B54"/>
    <w:rsid w:val="00FC6B60"/>
    <w:rsid w:val="00FC6B71"/>
    <w:rsid w:val="00FC6BD3"/>
    <w:rsid w:val="00FC6BEE"/>
    <w:rsid w:val="00FC6D7A"/>
    <w:rsid w:val="00FC6DBA"/>
    <w:rsid w:val="00FC704C"/>
    <w:rsid w:val="00FC7095"/>
    <w:rsid w:val="00FC7360"/>
    <w:rsid w:val="00FC73E1"/>
    <w:rsid w:val="00FC74A0"/>
    <w:rsid w:val="00FC7508"/>
    <w:rsid w:val="00FC7805"/>
    <w:rsid w:val="00FC7959"/>
    <w:rsid w:val="00FC7983"/>
    <w:rsid w:val="00FC79CD"/>
    <w:rsid w:val="00FC7BAC"/>
    <w:rsid w:val="00FC7C39"/>
    <w:rsid w:val="00FC7D1D"/>
    <w:rsid w:val="00FC7D58"/>
    <w:rsid w:val="00FC7DFD"/>
    <w:rsid w:val="00FC7E20"/>
    <w:rsid w:val="00FD0242"/>
    <w:rsid w:val="00FD0277"/>
    <w:rsid w:val="00FD02B7"/>
    <w:rsid w:val="00FD0442"/>
    <w:rsid w:val="00FD04A0"/>
    <w:rsid w:val="00FD0574"/>
    <w:rsid w:val="00FD05E6"/>
    <w:rsid w:val="00FD0775"/>
    <w:rsid w:val="00FD07B3"/>
    <w:rsid w:val="00FD07E7"/>
    <w:rsid w:val="00FD0C94"/>
    <w:rsid w:val="00FD0DC9"/>
    <w:rsid w:val="00FD0EC5"/>
    <w:rsid w:val="00FD0F6C"/>
    <w:rsid w:val="00FD0FA2"/>
    <w:rsid w:val="00FD0FDC"/>
    <w:rsid w:val="00FD0FE6"/>
    <w:rsid w:val="00FD1133"/>
    <w:rsid w:val="00FD11FC"/>
    <w:rsid w:val="00FD1288"/>
    <w:rsid w:val="00FD1329"/>
    <w:rsid w:val="00FD13B1"/>
    <w:rsid w:val="00FD140D"/>
    <w:rsid w:val="00FD1443"/>
    <w:rsid w:val="00FD150F"/>
    <w:rsid w:val="00FD165A"/>
    <w:rsid w:val="00FD16C2"/>
    <w:rsid w:val="00FD1814"/>
    <w:rsid w:val="00FD199A"/>
    <w:rsid w:val="00FD1B3C"/>
    <w:rsid w:val="00FD1BD7"/>
    <w:rsid w:val="00FD1E46"/>
    <w:rsid w:val="00FD1F20"/>
    <w:rsid w:val="00FD2032"/>
    <w:rsid w:val="00FD20B1"/>
    <w:rsid w:val="00FD20E4"/>
    <w:rsid w:val="00FD214B"/>
    <w:rsid w:val="00FD2163"/>
    <w:rsid w:val="00FD231E"/>
    <w:rsid w:val="00FD2394"/>
    <w:rsid w:val="00FD239C"/>
    <w:rsid w:val="00FD24E0"/>
    <w:rsid w:val="00FD25DB"/>
    <w:rsid w:val="00FD26A6"/>
    <w:rsid w:val="00FD2834"/>
    <w:rsid w:val="00FD2B62"/>
    <w:rsid w:val="00FD2C6E"/>
    <w:rsid w:val="00FD2C6F"/>
    <w:rsid w:val="00FD2D40"/>
    <w:rsid w:val="00FD30A3"/>
    <w:rsid w:val="00FD31D0"/>
    <w:rsid w:val="00FD32C6"/>
    <w:rsid w:val="00FD349D"/>
    <w:rsid w:val="00FD34BF"/>
    <w:rsid w:val="00FD3589"/>
    <w:rsid w:val="00FD37C2"/>
    <w:rsid w:val="00FD38E2"/>
    <w:rsid w:val="00FD39EA"/>
    <w:rsid w:val="00FD3FA6"/>
    <w:rsid w:val="00FD4064"/>
    <w:rsid w:val="00FD4085"/>
    <w:rsid w:val="00FD40DF"/>
    <w:rsid w:val="00FD4157"/>
    <w:rsid w:val="00FD4185"/>
    <w:rsid w:val="00FD440F"/>
    <w:rsid w:val="00FD4504"/>
    <w:rsid w:val="00FD45A2"/>
    <w:rsid w:val="00FD47B4"/>
    <w:rsid w:val="00FD49C6"/>
    <w:rsid w:val="00FD4CF8"/>
    <w:rsid w:val="00FD4D00"/>
    <w:rsid w:val="00FD4D64"/>
    <w:rsid w:val="00FD4E8C"/>
    <w:rsid w:val="00FD4EF9"/>
    <w:rsid w:val="00FD4F17"/>
    <w:rsid w:val="00FD508B"/>
    <w:rsid w:val="00FD52A0"/>
    <w:rsid w:val="00FD53E3"/>
    <w:rsid w:val="00FD5556"/>
    <w:rsid w:val="00FD57C8"/>
    <w:rsid w:val="00FD583D"/>
    <w:rsid w:val="00FD5B27"/>
    <w:rsid w:val="00FD5B2A"/>
    <w:rsid w:val="00FD5B2B"/>
    <w:rsid w:val="00FD5BBA"/>
    <w:rsid w:val="00FD5BFF"/>
    <w:rsid w:val="00FD5C10"/>
    <w:rsid w:val="00FD5C89"/>
    <w:rsid w:val="00FD5DB2"/>
    <w:rsid w:val="00FD5DF7"/>
    <w:rsid w:val="00FD60E1"/>
    <w:rsid w:val="00FD6113"/>
    <w:rsid w:val="00FD618E"/>
    <w:rsid w:val="00FD61EA"/>
    <w:rsid w:val="00FD6560"/>
    <w:rsid w:val="00FD6729"/>
    <w:rsid w:val="00FD6767"/>
    <w:rsid w:val="00FD67AD"/>
    <w:rsid w:val="00FD6888"/>
    <w:rsid w:val="00FD6A00"/>
    <w:rsid w:val="00FD6AD9"/>
    <w:rsid w:val="00FD6B40"/>
    <w:rsid w:val="00FD6C33"/>
    <w:rsid w:val="00FD6C3A"/>
    <w:rsid w:val="00FD6CCC"/>
    <w:rsid w:val="00FD6D91"/>
    <w:rsid w:val="00FD6E7E"/>
    <w:rsid w:val="00FD6EC4"/>
    <w:rsid w:val="00FD6F7E"/>
    <w:rsid w:val="00FD6F80"/>
    <w:rsid w:val="00FD7170"/>
    <w:rsid w:val="00FD7227"/>
    <w:rsid w:val="00FD7335"/>
    <w:rsid w:val="00FD7697"/>
    <w:rsid w:val="00FD76A0"/>
    <w:rsid w:val="00FD7703"/>
    <w:rsid w:val="00FD7997"/>
    <w:rsid w:val="00FD79E5"/>
    <w:rsid w:val="00FD79F2"/>
    <w:rsid w:val="00FD79F6"/>
    <w:rsid w:val="00FD7AA3"/>
    <w:rsid w:val="00FD7ABE"/>
    <w:rsid w:val="00FD7B27"/>
    <w:rsid w:val="00FD7BEE"/>
    <w:rsid w:val="00FD7C8D"/>
    <w:rsid w:val="00FD7E4E"/>
    <w:rsid w:val="00FE00E6"/>
    <w:rsid w:val="00FE014A"/>
    <w:rsid w:val="00FE0246"/>
    <w:rsid w:val="00FE026A"/>
    <w:rsid w:val="00FE02BE"/>
    <w:rsid w:val="00FE045A"/>
    <w:rsid w:val="00FE046F"/>
    <w:rsid w:val="00FE0496"/>
    <w:rsid w:val="00FE0548"/>
    <w:rsid w:val="00FE0A26"/>
    <w:rsid w:val="00FE0A59"/>
    <w:rsid w:val="00FE0A85"/>
    <w:rsid w:val="00FE0ABF"/>
    <w:rsid w:val="00FE0B64"/>
    <w:rsid w:val="00FE0C5A"/>
    <w:rsid w:val="00FE0CA5"/>
    <w:rsid w:val="00FE0CBD"/>
    <w:rsid w:val="00FE0ED6"/>
    <w:rsid w:val="00FE0EDC"/>
    <w:rsid w:val="00FE0EED"/>
    <w:rsid w:val="00FE0F56"/>
    <w:rsid w:val="00FE0F5C"/>
    <w:rsid w:val="00FE0FF4"/>
    <w:rsid w:val="00FE131F"/>
    <w:rsid w:val="00FE14FB"/>
    <w:rsid w:val="00FE1586"/>
    <w:rsid w:val="00FE158A"/>
    <w:rsid w:val="00FE16A4"/>
    <w:rsid w:val="00FE1737"/>
    <w:rsid w:val="00FE1793"/>
    <w:rsid w:val="00FE188D"/>
    <w:rsid w:val="00FE18B0"/>
    <w:rsid w:val="00FE1916"/>
    <w:rsid w:val="00FE19EE"/>
    <w:rsid w:val="00FE19F9"/>
    <w:rsid w:val="00FE1B8C"/>
    <w:rsid w:val="00FE1D52"/>
    <w:rsid w:val="00FE1D76"/>
    <w:rsid w:val="00FE1F79"/>
    <w:rsid w:val="00FE1FBD"/>
    <w:rsid w:val="00FE20C5"/>
    <w:rsid w:val="00FE20D0"/>
    <w:rsid w:val="00FE21C1"/>
    <w:rsid w:val="00FE235D"/>
    <w:rsid w:val="00FE2546"/>
    <w:rsid w:val="00FE254E"/>
    <w:rsid w:val="00FE26A3"/>
    <w:rsid w:val="00FE26A5"/>
    <w:rsid w:val="00FE272F"/>
    <w:rsid w:val="00FE280C"/>
    <w:rsid w:val="00FE281F"/>
    <w:rsid w:val="00FE28E4"/>
    <w:rsid w:val="00FE2B00"/>
    <w:rsid w:val="00FE2B13"/>
    <w:rsid w:val="00FE2BFA"/>
    <w:rsid w:val="00FE2C68"/>
    <w:rsid w:val="00FE2D0D"/>
    <w:rsid w:val="00FE2F05"/>
    <w:rsid w:val="00FE2F96"/>
    <w:rsid w:val="00FE2FDA"/>
    <w:rsid w:val="00FE30B1"/>
    <w:rsid w:val="00FE31D0"/>
    <w:rsid w:val="00FE31F3"/>
    <w:rsid w:val="00FE33C5"/>
    <w:rsid w:val="00FE349B"/>
    <w:rsid w:val="00FE34F4"/>
    <w:rsid w:val="00FE36A8"/>
    <w:rsid w:val="00FE372E"/>
    <w:rsid w:val="00FE37B3"/>
    <w:rsid w:val="00FE38B8"/>
    <w:rsid w:val="00FE3A10"/>
    <w:rsid w:val="00FE3A90"/>
    <w:rsid w:val="00FE3B01"/>
    <w:rsid w:val="00FE3BB6"/>
    <w:rsid w:val="00FE3EAB"/>
    <w:rsid w:val="00FE4107"/>
    <w:rsid w:val="00FE4154"/>
    <w:rsid w:val="00FE41AC"/>
    <w:rsid w:val="00FE41B9"/>
    <w:rsid w:val="00FE43C3"/>
    <w:rsid w:val="00FE43E6"/>
    <w:rsid w:val="00FE451C"/>
    <w:rsid w:val="00FE473F"/>
    <w:rsid w:val="00FE481D"/>
    <w:rsid w:val="00FE486B"/>
    <w:rsid w:val="00FE4885"/>
    <w:rsid w:val="00FE4AB9"/>
    <w:rsid w:val="00FE4BA0"/>
    <w:rsid w:val="00FE4BE3"/>
    <w:rsid w:val="00FE4C84"/>
    <w:rsid w:val="00FE4E5C"/>
    <w:rsid w:val="00FE4E67"/>
    <w:rsid w:val="00FE50B5"/>
    <w:rsid w:val="00FE510A"/>
    <w:rsid w:val="00FE5309"/>
    <w:rsid w:val="00FE5335"/>
    <w:rsid w:val="00FE5341"/>
    <w:rsid w:val="00FE5380"/>
    <w:rsid w:val="00FE542B"/>
    <w:rsid w:val="00FE54BB"/>
    <w:rsid w:val="00FE5606"/>
    <w:rsid w:val="00FE56A2"/>
    <w:rsid w:val="00FE5700"/>
    <w:rsid w:val="00FE577B"/>
    <w:rsid w:val="00FE5785"/>
    <w:rsid w:val="00FE5897"/>
    <w:rsid w:val="00FE58BE"/>
    <w:rsid w:val="00FE5915"/>
    <w:rsid w:val="00FE5B2A"/>
    <w:rsid w:val="00FE5B97"/>
    <w:rsid w:val="00FE5BBE"/>
    <w:rsid w:val="00FE5DEF"/>
    <w:rsid w:val="00FE5E4D"/>
    <w:rsid w:val="00FE5F33"/>
    <w:rsid w:val="00FE5FC9"/>
    <w:rsid w:val="00FE66E5"/>
    <w:rsid w:val="00FE67E3"/>
    <w:rsid w:val="00FE6A61"/>
    <w:rsid w:val="00FE6F9D"/>
    <w:rsid w:val="00FE7249"/>
    <w:rsid w:val="00FE737C"/>
    <w:rsid w:val="00FE74A5"/>
    <w:rsid w:val="00FE75C2"/>
    <w:rsid w:val="00FE7768"/>
    <w:rsid w:val="00FE7831"/>
    <w:rsid w:val="00FE790E"/>
    <w:rsid w:val="00FE7B3B"/>
    <w:rsid w:val="00FE7C10"/>
    <w:rsid w:val="00FE7CEE"/>
    <w:rsid w:val="00FE7DB5"/>
    <w:rsid w:val="00FE7E79"/>
    <w:rsid w:val="00FE7F74"/>
    <w:rsid w:val="00FEA6BF"/>
    <w:rsid w:val="00FF00A6"/>
    <w:rsid w:val="00FF019D"/>
    <w:rsid w:val="00FF01B2"/>
    <w:rsid w:val="00FF01DC"/>
    <w:rsid w:val="00FF04AA"/>
    <w:rsid w:val="00FF07CC"/>
    <w:rsid w:val="00FF08E3"/>
    <w:rsid w:val="00FF09C3"/>
    <w:rsid w:val="00FF09DB"/>
    <w:rsid w:val="00FF0A32"/>
    <w:rsid w:val="00FF0AD9"/>
    <w:rsid w:val="00FF0B8C"/>
    <w:rsid w:val="00FF0C54"/>
    <w:rsid w:val="00FF0D33"/>
    <w:rsid w:val="00FF0DB8"/>
    <w:rsid w:val="00FF0E0E"/>
    <w:rsid w:val="00FF0E2A"/>
    <w:rsid w:val="00FF0ECA"/>
    <w:rsid w:val="00FF0F76"/>
    <w:rsid w:val="00FF1046"/>
    <w:rsid w:val="00FF110C"/>
    <w:rsid w:val="00FF11E2"/>
    <w:rsid w:val="00FF124F"/>
    <w:rsid w:val="00FF1407"/>
    <w:rsid w:val="00FF14F6"/>
    <w:rsid w:val="00FF1694"/>
    <w:rsid w:val="00FF1765"/>
    <w:rsid w:val="00FF1958"/>
    <w:rsid w:val="00FF1CA2"/>
    <w:rsid w:val="00FF1D90"/>
    <w:rsid w:val="00FF1E3E"/>
    <w:rsid w:val="00FF1E72"/>
    <w:rsid w:val="00FF1F75"/>
    <w:rsid w:val="00FF21A4"/>
    <w:rsid w:val="00FF21CD"/>
    <w:rsid w:val="00FF22C2"/>
    <w:rsid w:val="00FF233A"/>
    <w:rsid w:val="00FF23B8"/>
    <w:rsid w:val="00FF25D3"/>
    <w:rsid w:val="00FF2640"/>
    <w:rsid w:val="00FF27CD"/>
    <w:rsid w:val="00FF2866"/>
    <w:rsid w:val="00FF2C96"/>
    <w:rsid w:val="00FF2CF3"/>
    <w:rsid w:val="00FF2E49"/>
    <w:rsid w:val="00FF2E8E"/>
    <w:rsid w:val="00FF31B6"/>
    <w:rsid w:val="00FF3291"/>
    <w:rsid w:val="00FF3328"/>
    <w:rsid w:val="00FF3407"/>
    <w:rsid w:val="00FF372A"/>
    <w:rsid w:val="00FF3733"/>
    <w:rsid w:val="00FF3963"/>
    <w:rsid w:val="00FF3965"/>
    <w:rsid w:val="00FF3AFF"/>
    <w:rsid w:val="00FF3B34"/>
    <w:rsid w:val="00FF3B8D"/>
    <w:rsid w:val="00FF3BD3"/>
    <w:rsid w:val="00FF3CF5"/>
    <w:rsid w:val="00FF3DFE"/>
    <w:rsid w:val="00FF3E3D"/>
    <w:rsid w:val="00FF3E48"/>
    <w:rsid w:val="00FF4206"/>
    <w:rsid w:val="00FF426A"/>
    <w:rsid w:val="00FF42AC"/>
    <w:rsid w:val="00FF4514"/>
    <w:rsid w:val="00FF4667"/>
    <w:rsid w:val="00FF4734"/>
    <w:rsid w:val="00FF4904"/>
    <w:rsid w:val="00FF4946"/>
    <w:rsid w:val="00FF4994"/>
    <w:rsid w:val="00FF49A4"/>
    <w:rsid w:val="00FF4A40"/>
    <w:rsid w:val="00FF4A8C"/>
    <w:rsid w:val="00FF4AFF"/>
    <w:rsid w:val="00FF4D58"/>
    <w:rsid w:val="00FF4D8E"/>
    <w:rsid w:val="00FF4E6F"/>
    <w:rsid w:val="00FF5121"/>
    <w:rsid w:val="00FF532B"/>
    <w:rsid w:val="00FF5344"/>
    <w:rsid w:val="00FF562B"/>
    <w:rsid w:val="00FF5681"/>
    <w:rsid w:val="00FF5687"/>
    <w:rsid w:val="00FF5694"/>
    <w:rsid w:val="00FF575C"/>
    <w:rsid w:val="00FF579E"/>
    <w:rsid w:val="00FF57D5"/>
    <w:rsid w:val="00FF5999"/>
    <w:rsid w:val="00FF5AF4"/>
    <w:rsid w:val="00FF5BDC"/>
    <w:rsid w:val="00FF5C31"/>
    <w:rsid w:val="00FF5DFD"/>
    <w:rsid w:val="00FF5F56"/>
    <w:rsid w:val="00FF5FE2"/>
    <w:rsid w:val="00FF6063"/>
    <w:rsid w:val="00FF60B7"/>
    <w:rsid w:val="00FF60FD"/>
    <w:rsid w:val="00FF61CF"/>
    <w:rsid w:val="00FF62A4"/>
    <w:rsid w:val="00FF64E5"/>
    <w:rsid w:val="00FF661B"/>
    <w:rsid w:val="00FF6626"/>
    <w:rsid w:val="00FF67E0"/>
    <w:rsid w:val="00FF6A4D"/>
    <w:rsid w:val="00FF6A70"/>
    <w:rsid w:val="00FF6B60"/>
    <w:rsid w:val="00FF6C5E"/>
    <w:rsid w:val="00FF6CAE"/>
    <w:rsid w:val="00FF6D3E"/>
    <w:rsid w:val="00FF70FE"/>
    <w:rsid w:val="00FF7229"/>
    <w:rsid w:val="00FF725C"/>
    <w:rsid w:val="00FF737E"/>
    <w:rsid w:val="00FF7823"/>
    <w:rsid w:val="00FF7ABA"/>
    <w:rsid w:val="00FF7AC4"/>
    <w:rsid w:val="00FF7B3F"/>
    <w:rsid w:val="00FF7BE3"/>
    <w:rsid w:val="00FF7C70"/>
    <w:rsid w:val="00FF7D96"/>
    <w:rsid w:val="00FF7ECC"/>
    <w:rsid w:val="00FFAEDF"/>
    <w:rsid w:val="01031ABA"/>
    <w:rsid w:val="01074B59"/>
    <w:rsid w:val="0108D948"/>
    <w:rsid w:val="01096E37"/>
    <w:rsid w:val="010A3C4F"/>
    <w:rsid w:val="010A7C29"/>
    <w:rsid w:val="010D01B7"/>
    <w:rsid w:val="010F46C0"/>
    <w:rsid w:val="0110C58C"/>
    <w:rsid w:val="01153741"/>
    <w:rsid w:val="0116F054"/>
    <w:rsid w:val="011832FD"/>
    <w:rsid w:val="011C02D6"/>
    <w:rsid w:val="011CEC73"/>
    <w:rsid w:val="011E1094"/>
    <w:rsid w:val="011ED633"/>
    <w:rsid w:val="011F3FDD"/>
    <w:rsid w:val="0128BCE4"/>
    <w:rsid w:val="012DF2DF"/>
    <w:rsid w:val="012E8478"/>
    <w:rsid w:val="0130C774"/>
    <w:rsid w:val="013194DF"/>
    <w:rsid w:val="01324ED8"/>
    <w:rsid w:val="0133F9F6"/>
    <w:rsid w:val="01349A72"/>
    <w:rsid w:val="01349DA8"/>
    <w:rsid w:val="01368C7B"/>
    <w:rsid w:val="013A56A0"/>
    <w:rsid w:val="013A9876"/>
    <w:rsid w:val="013CC50B"/>
    <w:rsid w:val="013D370B"/>
    <w:rsid w:val="013EBEE6"/>
    <w:rsid w:val="01410997"/>
    <w:rsid w:val="0145E5D1"/>
    <w:rsid w:val="01462E33"/>
    <w:rsid w:val="014B5C32"/>
    <w:rsid w:val="014D7ECC"/>
    <w:rsid w:val="014D8B20"/>
    <w:rsid w:val="015A8237"/>
    <w:rsid w:val="015B5C47"/>
    <w:rsid w:val="015CB457"/>
    <w:rsid w:val="015D5337"/>
    <w:rsid w:val="0160CD05"/>
    <w:rsid w:val="016103B2"/>
    <w:rsid w:val="016191AF"/>
    <w:rsid w:val="0161F956"/>
    <w:rsid w:val="0167373A"/>
    <w:rsid w:val="0168C368"/>
    <w:rsid w:val="016B6FB4"/>
    <w:rsid w:val="017261AA"/>
    <w:rsid w:val="01739C51"/>
    <w:rsid w:val="01743EC1"/>
    <w:rsid w:val="01756A6B"/>
    <w:rsid w:val="017C2240"/>
    <w:rsid w:val="017FB837"/>
    <w:rsid w:val="01823386"/>
    <w:rsid w:val="0185AA8A"/>
    <w:rsid w:val="018678A7"/>
    <w:rsid w:val="0186F12B"/>
    <w:rsid w:val="018734C5"/>
    <w:rsid w:val="018B4F75"/>
    <w:rsid w:val="018BBF21"/>
    <w:rsid w:val="018BEE63"/>
    <w:rsid w:val="018C5F3F"/>
    <w:rsid w:val="01905C9E"/>
    <w:rsid w:val="01913ECC"/>
    <w:rsid w:val="0193471A"/>
    <w:rsid w:val="01938DBE"/>
    <w:rsid w:val="01949340"/>
    <w:rsid w:val="01950150"/>
    <w:rsid w:val="0195D81F"/>
    <w:rsid w:val="019BA5F6"/>
    <w:rsid w:val="019F6067"/>
    <w:rsid w:val="01A07B70"/>
    <w:rsid w:val="01A27353"/>
    <w:rsid w:val="01A4A4EB"/>
    <w:rsid w:val="01A67F6F"/>
    <w:rsid w:val="01AB1529"/>
    <w:rsid w:val="01AC0B17"/>
    <w:rsid w:val="01ACE54D"/>
    <w:rsid w:val="01AF0E69"/>
    <w:rsid w:val="01B4014F"/>
    <w:rsid w:val="01B6DC8B"/>
    <w:rsid w:val="01B876A3"/>
    <w:rsid w:val="01BA0EB3"/>
    <w:rsid w:val="01BE3C0F"/>
    <w:rsid w:val="01C4D748"/>
    <w:rsid w:val="01C548D6"/>
    <w:rsid w:val="01C766A4"/>
    <w:rsid w:val="01C8BE76"/>
    <w:rsid w:val="01CACD22"/>
    <w:rsid w:val="01CE2A2D"/>
    <w:rsid w:val="01D136A9"/>
    <w:rsid w:val="01D3DCFD"/>
    <w:rsid w:val="01D52845"/>
    <w:rsid w:val="01DC5FE9"/>
    <w:rsid w:val="01DDFBB4"/>
    <w:rsid w:val="01DF8767"/>
    <w:rsid w:val="01E0437B"/>
    <w:rsid w:val="01E176D1"/>
    <w:rsid w:val="01E19F35"/>
    <w:rsid w:val="01E6F707"/>
    <w:rsid w:val="01E8663E"/>
    <w:rsid w:val="01E9CD8F"/>
    <w:rsid w:val="01EA9AD1"/>
    <w:rsid w:val="01ED903E"/>
    <w:rsid w:val="01F449CD"/>
    <w:rsid w:val="01F6C984"/>
    <w:rsid w:val="01F7F443"/>
    <w:rsid w:val="01F91157"/>
    <w:rsid w:val="01F9F8DE"/>
    <w:rsid w:val="01FB3E5C"/>
    <w:rsid w:val="0201555E"/>
    <w:rsid w:val="0202319A"/>
    <w:rsid w:val="0203FE07"/>
    <w:rsid w:val="020482B7"/>
    <w:rsid w:val="0205B586"/>
    <w:rsid w:val="020BC0F9"/>
    <w:rsid w:val="020D358F"/>
    <w:rsid w:val="020F24EF"/>
    <w:rsid w:val="02110E56"/>
    <w:rsid w:val="02132966"/>
    <w:rsid w:val="0218AFED"/>
    <w:rsid w:val="021C4867"/>
    <w:rsid w:val="021D04CF"/>
    <w:rsid w:val="0220AEBF"/>
    <w:rsid w:val="022153A3"/>
    <w:rsid w:val="0228A294"/>
    <w:rsid w:val="0229B46D"/>
    <w:rsid w:val="022C0E54"/>
    <w:rsid w:val="022C672E"/>
    <w:rsid w:val="022D380C"/>
    <w:rsid w:val="02318228"/>
    <w:rsid w:val="023C020D"/>
    <w:rsid w:val="023D0457"/>
    <w:rsid w:val="02403478"/>
    <w:rsid w:val="02407C32"/>
    <w:rsid w:val="024171EB"/>
    <w:rsid w:val="02447715"/>
    <w:rsid w:val="024678AF"/>
    <w:rsid w:val="0246B49B"/>
    <w:rsid w:val="02480B2D"/>
    <w:rsid w:val="0248F8CB"/>
    <w:rsid w:val="02496B9F"/>
    <w:rsid w:val="024AE8B6"/>
    <w:rsid w:val="024E4E27"/>
    <w:rsid w:val="024E7AA0"/>
    <w:rsid w:val="024FB19E"/>
    <w:rsid w:val="024FF74C"/>
    <w:rsid w:val="02510798"/>
    <w:rsid w:val="0255CBFE"/>
    <w:rsid w:val="0257BA4E"/>
    <w:rsid w:val="02596E98"/>
    <w:rsid w:val="025A0A81"/>
    <w:rsid w:val="0260685A"/>
    <w:rsid w:val="0262D012"/>
    <w:rsid w:val="0263B795"/>
    <w:rsid w:val="02641CA4"/>
    <w:rsid w:val="0266B5F4"/>
    <w:rsid w:val="026A2728"/>
    <w:rsid w:val="026A96AA"/>
    <w:rsid w:val="026CCFC7"/>
    <w:rsid w:val="026DEC75"/>
    <w:rsid w:val="026F4A74"/>
    <w:rsid w:val="0270B688"/>
    <w:rsid w:val="02765248"/>
    <w:rsid w:val="0276895A"/>
    <w:rsid w:val="027B0785"/>
    <w:rsid w:val="027BB228"/>
    <w:rsid w:val="027C212E"/>
    <w:rsid w:val="027F17FD"/>
    <w:rsid w:val="027F6AD8"/>
    <w:rsid w:val="027F8FA2"/>
    <w:rsid w:val="02877C11"/>
    <w:rsid w:val="0288879F"/>
    <w:rsid w:val="028A5FD6"/>
    <w:rsid w:val="028BAE8B"/>
    <w:rsid w:val="028BD805"/>
    <w:rsid w:val="028C93AE"/>
    <w:rsid w:val="0293371E"/>
    <w:rsid w:val="02954C24"/>
    <w:rsid w:val="0295B8C6"/>
    <w:rsid w:val="0298C293"/>
    <w:rsid w:val="029D42CB"/>
    <w:rsid w:val="029E427B"/>
    <w:rsid w:val="02A09E61"/>
    <w:rsid w:val="02A3B994"/>
    <w:rsid w:val="02A8B88D"/>
    <w:rsid w:val="02A9EEDD"/>
    <w:rsid w:val="02ACC076"/>
    <w:rsid w:val="02B033F1"/>
    <w:rsid w:val="02B3D856"/>
    <w:rsid w:val="02B8DE5B"/>
    <w:rsid w:val="02BB0AAB"/>
    <w:rsid w:val="02BB5E4D"/>
    <w:rsid w:val="02BE7DF5"/>
    <w:rsid w:val="02C8DFAA"/>
    <w:rsid w:val="02CAAC8D"/>
    <w:rsid w:val="02CE1918"/>
    <w:rsid w:val="02D25BFC"/>
    <w:rsid w:val="02D39117"/>
    <w:rsid w:val="02D3EE46"/>
    <w:rsid w:val="02D5F704"/>
    <w:rsid w:val="02DCBD70"/>
    <w:rsid w:val="02E05438"/>
    <w:rsid w:val="02E35E1B"/>
    <w:rsid w:val="02E534B5"/>
    <w:rsid w:val="02E59637"/>
    <w:rsid w:val="02E8CA3E"/>
    <w:rsid w:val="02EBC1CF"/>
    <w:rsid w:val="02EFD473"/>
    <w:rsid w:val="02F625B0"/>
    <w:rsid w:val="02FA6CBD"/>
    <w:rsid w:val="02FD4358"/>
    <w:rsid w:val="02FD9C1D"/>
    <w:rsid w:val="02FDC33C"/>
    <w:rsid w:val="02FEAF15"/>
    <w:rsid w:val="03083A4D"/>
    <w:rsid w:val="030C6246"/>
    <w:rsid w:val="03121902"/>
    <w:rsid w:val="03142D16"/>
    <w:rsid w:val="0315997D"/>
    <w:rsid w:val="03166A8E"/>
    <w:rsid w:val="0316CF59"/>
    <w:rsid w:val="0321AAC1"/>
    <w:rsid w:val="0322CFC9"/>
    <w:rsid w:val="0327A5CE"/>
    <w:rsid w:val="032801EF"/>
    <w:rsid w:val="032916AF"/>
    <w:rsid w:val="032B86F8"/>
    <w:rsid w:val="032E48F2"/>
    <w:rsid w:val="0334DF06"/>
    <w:rsid w:val="03366735"/>
    <w:rsid w:val="0336A308"/>
    <w:rsid w:val="033857CD"/>
    <w:rsid w:val="0338F686"/>
    <w:rsid w:val="0341A801"/>
    <w:rsid w:val="034BD295"/>
    <w:rsid w:val="034C1531"/>
    <w:rsid w:val="034E7141"/>
    <w:rsid w:val="034F4D96"/>
    <w:rsid w:val="0355246C"/>
    <w:rsid w:val="03579E1C"/>
    <w:rsid w:val="035AA240"/>
    <w:rsid w:val="035E924F"/>
    <w:rsid w:val="0362C0AB"/>
    <w:rsid w:val="03633EC5"/>
    <w:rsid w:val="03639C42"/>
    <w:rsid w:val="03667A86"/>
    <w:rsid w:val="03714A3F"/>
    <w:rsid w:val="03739A4B"/>
    <w:rsid w:val="0378E22A"/>
    <w:rsid w:val="037A66BF"/>
    <w:rsid w:val="037EA095"/>
    <w:rsid w:val="037F163D"/>
    <w:rsid w:val="037F67AF"/>
    <w:rsid w:val="037FB250"/>
    <w:rsid w:val="03815D4F"/>
    <w:rsid w:val="0382477B"/>
    <w:rsid w:val="0386D28F"/>
    <w:rsid w:val="0387201D"/>
    <w:rsid w:val="03874457"/>
    <w:rsid w:val="038A39A3"/>
    <w:rsid w:val="038E37AA"/>
    <w:rsid w:val="038F8322"/>
    <w:rsid w:val="038FF2E2"/>
    <w:rsid w:val="0390CA44"/>
    <w:rsid w:val="0392AD48"/>
    <w:rsid w:val="03935654"/>
    <w:rsid w:val="0393962A"/>
    <w:rsid w:val="0397B22C"/>
    <w:rsid w:val="0398A6D1"/>
    <w:rsid w:val="0399A15E"/>
    <w:rsid w:val="039A4F15"/>
    <w:rsid w:val="039ACBCE"/>
    <w:rsid w:val="039B8831"/>
    <w:rsid w:val="039BE0EF"/>
    <w:rsid w:val="039DE405"/>
    <w:rsid w:val="03A03E28"/>
    <w:rsid w:val="03A3DAAD"/>
    <w:rsid w:val="03AD6ABC"/>
    <w:rsid w:val="03B2099E"/>
    <w:rsid w:val="03B6D86B"/>
    <w:rsid w:val="03B830CD"/>
    <w:rsid w:val="03B85D3B"/>
    <w:rsid w:val="03BB8B0D"/>
    <w:rsid w:val="03BD280D"/>
    <w:rsid w:val="03BDEEBE"/>
    <w:rsid w:val="03C1C854"/>
    <w:rsid w:val="03C7452A"/>
    <w:rsid w:val="03C78DAA"/>
    <w:rsid w:val="03CA75B8"/>
    <w:rsid w:val="03CAEE97"/>
    <w:rsid w:val="03CB1D21"/>
    <w:rsid w:val="03CC3E10"/>
    <w:rsid w:val="03CC5BD2"/>
    <w:rsid w:val="03CE3F68"/>
    <w:rsid w:val="03D38A54"/>
    <w:rsid w:val="03D63D58"/>
    <w:rsid w:val="03DB03EC"/>
    <w:rsid w:val="03DF1D44"/>
    <w:rsid w:val="03DF63FF"/>
    <w:rsid w:val="03E35B50"/>
    <w:rsid w:val="03E6B264"/>
    <w:rsid w:val="03E72F17"/>
    <w:rsid w:val="03E98A48"/>
    <w:rsid w:val="03EB5B7F"/>
    <w:rsid w:val="03EDD1A2"/>
    <w:rsid w:val="03F035DB"/>
    <w:rsid w:val="03F4FBBE"/>
    <w:rsid w:val="03F5D1F6"/>
    <w:rsid w:val="03F6A249"/>
    <w:rsid w:val="03F762C9"/>
    <w:rsid w:val="03F7A5E8"/>
    <w:rsid w:val="03F86AB9"/>
    <w:rsid w:val="03FC8881"/>
    <w:rsid w:val="03FF1873"/>
    <w:rsid w:val="03FF54FD"/>
    <w:rsid w:val="0401B9DA"/>
    <w:rsid w:val="0401F64D"/>
    <w:rsid w:val="0403F2DF"/>
    <w:rsid w:val="04068EB1"/>
    <w:rsid w:val="040A1B0E"/>
    <w:rsid w:val="040AE144"/>
    <w:rsid w:val="040C4F13"/>
    <w:rsid w:val="040EFBDA"/>
    <w:rsid w:val="04145528"/>
    <w:rsid w:val="04154E48"/>
    <w:rsid w:val="0418B99A"/>
    <w:rsid w:val="041A49D4"/>
    <w:rsid w:val="041DB3AF"/>
    <w:rsid w:val="04231DA8"/>
    <w:rsid w:val="04246CBC"/>
    <w:rsid w:val="04249527"/>
    <w:rsid w:val="04257644"/>
    <w:rsid w:val="0425D62C"/>
    <w:rsid w:val="042640F2"/>
    <w:rsid w:val="04275F6B"/>
    <w:rsid w:val="04276F7B"/>
    <w:rsid w:val="0427AD4A"/>
    <w:rsid w:val="04284856"/>
    <w:rsid w:val="0429FCB0"/>
    <w:rsid w:val="042E7DD2"/>
    <w:rsid w:val="04303A11"/>
    <w:rsid w:val="0431FD64"/>
    <w:rsid w:val="043407F3"/>
    <w:rsid w:val="0434687A"/>
    <w:rsid w:val="04382495"/>
    <w:rsid w:val="04398F46"/>
    <w:rsid w:val="043E769F"/>
    <w:rsid w:val="0441FA96"/>
    <w:rsid w:val="044828BF"/>
    <w:rsid w:val="044B7A47"/>
    <w:rsid w:val="044C20FF"/>
    <w:rsid w:val="044CDC36"/>
    <w:rsid w:val="044D01EE"/>
    <w:rsid w:val="044D31D1"/>
    <w:rsid w:val="044E7235"/>
    <w:rsid w:val="04508779"/>
    <w:rsid w:val="04509A14"/>
    <w:rsid w:val="0456B310"/>
    <w:rsid w:val="045737AD"/>
    <w:rsid w:val="04585426"/>
    <w:rsid w:val="045BF937"/>
    <w:rsid w:val="045E0585"/>
    <w:rsid w:val="04606AF6"/>
    <w:rsid w:val="0464E438"/>
    <w:rsid w:val="0465EF63"/>
    <w:rsid w:val="046606DF"/>
    <w:rsid w:val="0469EAE1"/>
    <w:rsid w:val="046A50C4"/>
    <w:rsid w:val="046AF27D"/>
    <w:rsid w:val="046C6847"/>
    <w:rsid w:val="046EDEF2"/>
    <w:rsid w:val="0470226E"/>
    <w:rsid w:val="0471B6C2"/>
    <w:rsid w:val="0473257B"/>
    <w:rsid w:val="047478BA"/>
    <w:rsid w:val="0479E078"/>
    <w:rsid w:val="047BF5DD"/>
    <w:rsid w:val="047C9F6B"/>
    <w:rsid w:val="04804FD6"/>
    <w:rsid w:val="04819C66"/>
    <w:rsid w:val="04827214"/>
    <w:rsid w:val="04831849"/>
    <w:rsid w:val="0483237D"/>
    <w:rsid w:val="0484B019"/>
    <w:rsid w:val="048523E1"/>
    <w:rsid w:val="04865783"/>
    <w:rsid w:val="048675EB"/>
    <w:rsid w:val="0486E929"/>
    <w:rsid w:val="0489C641"/>
    <w:rsid w:val="048AE700"/>
    <w:rsid w:val="048D1BF1"/>
    <w:rsid w:val="048DDA42"/>
    <w:rsid w:val="048DE9F9"/>
    <w:rsid w:val="0490E63A"/>
    <w:rsid w:val="0493F53F"/>
    <w:rsid w:val="049BD9DE"/>
    <w:rsid w:val="049C5F70"/>
    <w:rsid w:val="049DBA57"/>
    <w:rsid w:val="04A069B6"/>
    <w:rsid w:val="04A13E05"/>
    <w:rsid w:val="04A1D7A0"/>
    <w:rsid w:val="04A3ADCB"/>
    <w:rsid w:val="04A3B251"/>
    <w:rsid w:val="04A3D9F5"/>
    <w:rsid w:val="04A45D1D"/>
    <w:rsid w:val="04A475FD"/>
    <w:rsid w:val="04A4DACA"/>
    <w:rsid w:val="04A7A8C9"/>
    <w:rsid w:val="04AA55F4"/>
    <w:rsid w:val="04AC6CEE"/>
    <w:rsid w:val="04AF3C76"/>
    <w:rsid w:val="04B1EB32"/>
    <w:rsid w:val="04B34120"/>
    <w:rsid w:val="04B3B69A"/>
    <w:rsid w:val="04B442DF"/>
    <w:rsid w:val="04B65955"/>
    <w:rsid w:val="04B776C9"/>
    <w:rsid w:val="04B8719E"/>
    <w:rsid w:val="04B8A056"/>
    <w:rsid w:val="04BBCA7F"/>
    <w:rsid w:val="04BEAA9B"/>
    <w:rsid w:val="04C0382B"/>
    <w:rsid w:val="04C11321"/>
    <w:rsid w:val="04C4A862"/>
    <w:rsid w:val="04C5BB9E"/>
    <w:rsid w:val="04C63279"/>
    <w:rsid w:val="04C9F8C0"/>
    <w:rsid w:val="04D01C92"/>
    <w:rsid w:val="04D1A9F0"/>
    <w:rsid w:val="04D6A97D"/>
    <w:rsid w:val="04D72C89"/>
    <w:rsid w:val="04D74FCE"/>
    <w:rsid w:val="04D948C6"/>
    <w:rsid w:val="04DC166C"/>
    <w:rsid w:val="04DF5174"/>
    <w:rsid w:val="04E3B5F6"/>
    <w:rsid w:val="04E69A16"/>
    <w:rsid w:val="04E77420"/>
    <w:rsid w:val="04E8DE43"/>
    <w:rsid w:val="04EE7AF6"/>
    <w:rsid w:val="04F0489C"/>
    <w:rsid w:val="04F141EE"/>
    <w:rsid w:val="04F14CB6"/>
    <w:rsid w:val="04F1E439"/>
    <w:rsid w:val="04F2C391"/>
    <w:rsid w:val="04F3AE55"/>
    <w:rsid w:val="04F4239B"/>
    <w:rsid w:val="04F5DCD1"/>
    <w:rsid w:val="04F838D6"/>
    <w:rsid w:val="04FDCA8B"/>
    <w:rsid w:val="0502D6D5"/>
    <w:rsid w:val="0504CD72"/>
    <w:rsid w:val="050B25B8"/>
    <w:rsid w:val="05109353"/>
    <w:rsid w:val="0511446B"/>
    <w:rsid w:val="05123380"/>
    <w:rsid w:val="05140F89"/>
    <w:rsid w:val="05192959"/>
    <w:rsid w:val="051A34E2"/>
    <w:rsid w:val="051BA654"/>
    <w:rsid w:val="051D610D"/>
    <w:rsid w:val="05202B6D"/>
    <w:rsid w:val="0520A766"/>
    <w:rsid w:val="05211297"/>
    <w:rsid w:val="052403B9"/>
    <w:rsid w:val="0526F7D3"/>
    <w:rsid w:val="0529603C"/>
    <w:rsid w:val="052D956C"/>
    <w:rsid w:val="053090C4"/>
    <w:rsid w:val="0530F8F4"/>
    <w:rsid w:val="053150DE"/>
    <w:rsid w:val="0537367C"/>
    <w:rsid w:val="0538B1B5"/>
    <w:rsid w:val="053EA216"/>
    <w:rsid w:val="054065B9"/>
    <w:rsid w:val="0541A778"/>
    <w:rsid w:val="0541FF68"/>
    <w:rsid w:val="054204B4"/>
    <w:rsid w:val="0544BE24"/>
    <w:rsid w:val="054550A6"/>
    <w:rsid w:val="054693A9"/>
    <w:rsid w:val="05487686"/>
    <w:rsid w:val="054C91E5"/>
    <w:rsid w:val="054E7FB3"/>
    <w:rsid w:val="05538029"/>
    <w:rsid w:val="0555CFA4"/>
    <w:rsid w:val="0556EB69"/>
    <w:rsid w:val="0559CCED"/>
    <w:rsid w:val="055C7795"/>
    <w:rsid w:val="05600D63"/>
    <w:rsid w:val="0560B015"/>
    <w:rsid w:val="056D07C4"/>
    <w:rsid w:val="056D0C58"/>
    <w:rsid w:val="056F69E7"/>
    <w:rsid w:val="05728EC8"/>
    <w:rsid w:val="05749DC7"/>
    <w:rsid w:val="057786B6"/>
    <w:rsid w:val="0578CF7F"/>
    <w:rsid w:val="0579A22D"/>
    <w:rsid w:val="057B7276"/>
    <w:rsid w:val="057B7DB8"/>
    <w:rsid w:val="057EC5B7"/>
    <w:rsid w:val="0581B48A"/>
    <w:rsid w:val="0581EC3D"/>
    <w:rsid w:val="058710FC"/>
    <w:rsid w:val="05883948"/>
    <w:rsid w:val="058884AA"/>
    <w:rsid w:val="058BB9A3"/>
    <w:rsid w:val="058FA2B4"/>
    <w:rsid w:val="0593FA51"/>
    <w:rsid w:val="059600B1"/>
    <w:rsid w:val="059826A5"/>
    <w:rsid w:val="059F65C3"/>
    <w:rsid w:val="05A2233D"/>
    <w:rsid w:val="05A34DFE"/>
    <w:rsid w:val="05A396BD"/>
    <w:rsid w:val="05A6B228"/>
    <w:rsid w:val="05A7C087"/>
    <w:rsid w:val="05AA7004"/>
    <w:rsid w:val="05AD95BD"/>
    <w:rsid w:val="05AE8040"/>
    <w:rsid w:val="05B0BA93"/>
    <w:rsid w:val="05B1AF4C"/>
    <w:rsid w:val="05B521BC"/>
    <w:rsid w:val="05B6002F"/>
    <w:rsid w:val="05B625B7"/>
    <w:rsid w:val="05B9EF4A"/>
    <w:rsid w:val="05BA19B3"/>
    <w:rsid w:val="05BA2758"/>
    <w:rsid w:val="05BB3993"/>
    <w:rsid w:val="05BB9ED7"/>
    <w:rsid w:val="05BD9E30"/>
    <w:rsid w:val="05C30789"/>
    <w:rsid w:val="05C4DA7D"/>
    <w:rsid w:val="05C63F0A"/>
    <w:rsid w:val="05C74272"/>
    <w:rsid w:val="05C90DA9"/>
    <w:rsid w:val="05CA479A"/>
    <w:rsid w:val="05CAECA9"/>
    <w:rsid w:val="05D51627"/>
    <w:rsid w:val="05D91BDF"/>
    <w:rsid w:val="05DA5FDA"/>
    <w:rsid w:val="05DCB43C"/>
    <w:rsid w:val="05DD827E"/>
    <w:rsid w:val="05DED0C1"/>
    <w:rsid w:val="05E26BF7"/>
    <w:rsid w:val="05E65400"/>
    <w:rsid w:val="05E81539"/>
    <w:rsid w:val="05E90C39"/>
    <w:rsid w:val="05E9D113"/>
    <w:rsid w:val="05EBA403"/>
    <w:rsid w:val="05EC6F6F"/>
    <w:rsid w:val="05EEC887"/>
    <w:rsid w:val="05EFD41B"/>
    <w:rsid w:val="05F2C0BC"/>
    <w:rsid w:val="05F3481F"/>
    <w:rsid w:val="05F3DB29"/>
    <w:rsid w:val="05F43CFA"/>
    <w:rsid w:val="05F8E35A"/>
    <w:rsid w:val="05F98E57"/>
    <w:rsid w:val="05F9D5E6"/>
    <w:rsid w:val="05FA3BD4"/>
    <w:rsid w:val="06004ECB"/>
    <w:rsid w:val="0606A92A"/>
    <w:rsid w:val="060A1F9C"/>
    <w:rsid w:val="060ABB5A"/>
    <w:rsid w:val="0613F6A0"/>
    <w:rsid w:val="061ACF32"/>
    <w:rsid w:val="061C88B9"/>
    <w:rsid w:val="061CE5C5"/>
    <w:rsid w:val="061F0B24"/>
    <w:rsid w:val="06213409"/>
    <w:rsid w:val="0622923A"/>
    <w:rsid w:val="062ABE21"/>
    <w:rsid w:val="062C0122"/>
    <w:rsid w:val="06300984"/>
    <w:rsid w:val="0631E58E"/>
    <w:rsid w:val="0636D62F"/>
    <w:rsid w:val="06370FA1"/>
    <w:rsid w:val="06376519"/>
    <w:rsid w:val="0639D095"/>
    <w:rsid w:val="063BCAF1"/>
    <w:rsid w:val="063C9E5F"/>
    <w:rsid w:val="06407E69"/>
    <w:rsid w:val="06433E4F"/>
    <w:rsid w:val="0643F06E"/>
    <w:rsid w:val="0644BC03"/>
    <w:rsid w:val="0644C2B1"/>
    <w:rsid w:val="06478D17"/>
    <w:rsid w:val="0649D2B6"/>
    <w:rsid w:val="064C1609"/>
    <w:rsid w:val="064C4AC3"/>
    <w:rsid w:val="064E6FB5"/>
    <w:rsid w:val="064F8502"/>
    <w:rsid w:val="065135D0"/>
    <w:rsid w:val="06537D7F"/>
    <w:rsid w:val="0655D6D3"/>
    <w:rsid w:val="0658CF56"/>
    <w:rsid w:val="0659E543"/>
    <w:rsid w:val="0659F909"/>
    <w:rsid w:val="065D2BC6"/>
    <w:rsid w:val="0666F637"/>
    <w:rsid w:val="0667B0A9"/>
    <w:rsid w:val="066871A7"/>
    <w:rsid w:val="066D03E6"/>
    <w:rsid w:val="066E3747"/>
    <w:rsid w:val="0672C3E1"/>
    <w:rsid w:val="0673B4CB"/>
    <w:rsid w:val="067443FD"/>
    <w:rsid w:val="06753DDF"/>
    <w:rsid w:val="067677C8"/>
    <w:rsid w:val="067A3933"/>
    <w:rsid w:val="067ABC5E"/>
    <w:rsid w:val="067D6BF0"/>
    <w:rsid w:val="06810057"/>
    <w:rsid w:val="068121A2"/>
    <w:rsid w:val="0684993C"/>
    <w:rsid w:val="06889FB3"/>
    <w:rsid w:val="068A405B"/>
    <w:rsid w:val="068C3C7A"/>
    <w:rsid w:val="068D681A"/>
    <w:rsid w:val="0690B519"/>
    <w:rsid w:val="06917F83"/>
    <w:rsid w:val="0695BE1A"/>
    <w:rsid w:val="0697BB61"/>
    <w:rsid w:val="06984C68"/>
    <w:rsid w:val="0698568D"/>
    <w:rsid w:val="06998415"/>
    <w:rsid w:val="069CF1F6"/>
    <w:rsid w:val="069E8063"/>
    <w:rsid w:val="06A06888"/>
    <w:rsid w:val="06A14355"/>
    <w:rsid w:val="06A3810F"/>
    <w:rsid w:val="06A812FE"/>
    <w:rsid w:val="06AAEA7E"/>
    <w:rsid w:val="06ABF88E"/>
    <w:rsid w:val="06AC6B06"/>
    <w:rsid w:val="06ACC80D"/>
    <w:rsid w:val="06AD37DE"/>
    <w:rsid w:val="06B51974"/>
    <w:rsid w:val="06B808EA"/>
    <w:rsid w:val="06B82DC0"/>
    <w:rsid w:val="06B9E68D"/>
    <w:rsid w:val="06BD4FDD"/>
    <w:rsid w:val="06BD599E"/>
    <w:rsid w:val="06C25150"/>
    <w:rsid w:val="06C34C30"/>
    <w:rsid w:val="06C3844F"/>
    <w:rsid w:val="06C50C3A"/>
    <w:rsid w:val="06CAE539"/>
    <w:rsid w:val="06D0DC55"/>
    <w:rsid w:val="06D18F5A"/>
    <w:rsid w:val="06D86650"/>
    <w:rsid w:val="06DDC520"/>
    <w:rsid w:val="06DDCC1A"/>
    <w:rsid w:val="06DFAD49"/>
    <w:rsid w:val="06E02F4B"/>
    <w:rsid w:val="06E16524"/>
    <w:rsid w:val="06E84937"/>
    <w:rsid w:val="06E94B91"/>
    <w:rsid w:val="06EA75FE"/>
    <w:rsid w:val="06ECA5DB"/>
    <w:rsid w:val="06ECE800"/>
    <w:rsid w:val="06F0C708"/>
    <w:rsid w:val="06F1986D"/>
    <w:rsid w:val="06F322FB"/>
    <w:rsid w:val="06F3C866"/>
    <w:rsid w:val="06F4772F"/>
    <w:rsid w:val="06F4792E"/>
    <w:rsid w:val="06F690B5"/>
    <w:rsid w:val="06F7B0BE"/>
    <w:rsid w:val="06FC08AC"/>
    <w:rsid w:val="070122F5"/>
    <w:rsid w:val="07020713"/>
    <w:rsid w:val="07046178"/>
    <w:rsid w:val="0704DB9E"/>
    <w:rsid w:val="0706CE6C"/>
    <w:rsid w:val="07097B93"/>
    <w:rsid w:val="070B2B5C"/>
    <w:rsid w:val="070D8D25"/>
    <w:rsid w:val="070DF3E2"/>
    <w:rsid w:val="070EF730"/>
    <w:rsid w:val="0710A81A"/>
    <w:rsid w:val="0716FE6A"/>
    <w:rsid w:val="0717678C"/>
    <w:rsid w:val="0718247D"/>
    <w:rsid w:val="071F7603"/>
    <w:rsid w:val="072008A5"/>
    <w:rsid w:val="0724379F"/>
    <w:rsid w:val="072839C2"/>
    <w:rsid w:val="0729968C"/>
    <w:rsid w:val="072A830B"/>
    <w:rsid w:val="072C4B8F"/>
    <w:rsid w:val="07308E52"/>
    <w:rsid w:val="07338083"/>
    <w:rsid w:val="0735C42C"/>
    <w:rsid w:val="073824FA"/>
    <w:rsid w:val="0739A7A6"/>
    <w:rsid w:val="0739F3B4"/>
    <w:rsid w:val="073D517E"/>
    <w:rsid w:val="073DE04B"/>
    <w:rsid w:val="0742D50F"/>
    <w:rsid w:val="07439BA2"/>
    <w:rsid w:val="074428FB"/>
    <w:rsid w:val="074569D3"/>
    <w:rsid w:val="0745FC0E"/>
    <w:rsid w:val="07470FC6"/>
    <w:rsid w:val="0748D7FE"/>
    <w:rsid w:val="074A831B"/>
    <w:rsid w:val="074CB2F3"/>
    <w:rsid w:val="074EDCCD"/>
    <w:rsid w:val="074EEF0C"/>
    <w:rsid w:val="074FB60C"/>
    <w:rsid w:val="07560CB0"/>
    <w:rsid w:val="07568007"/>
    <w:rsid w:val="07582451"/>
    <w:rsid w:val="075A8D96"/>
    <w:rsid w:val="075B1A20"/>
    <w:rsid w:val="075C603B"/>
    <w:rsid w:val="075E4DE2"/>
    <w:rsid w:val="075EBA28"/>
    <w:rsid w:val="07672FED"/>
    <w:rsid w:val="076CBC1F"/>
    <w:rsid w:val="076D9A07"/>
    <w:rsid w:val="076FA458"/>
    <w:rsid w:val="0772161A"/>
    <w:rsid w:val="07746D68"/>
    <w:rsid w:val="077B13EB"/>
    <w:rsid w:val="078006CD"/>
    <w:rsid w:val="07826936"/>
    <w:rsid w:val="07835FDF"/>
    <w:rsid w:val="0786775E"/>
    <w:rsid w:val="0788CACD"/>
    <w:rsid w:val="0789A72E"/>
    <w:rsid w:val="078B83D4"/>
    <w:rsid w:val="078E1308"/>
    <w:rsid w:val="078E5E14"/>
    <w:rsid w:val="0790027C"/>
    <w:rsid w:val="07927184"/>
    <w:rsid w:val="0794905D"/>
    <w:rsid w:val="079752B4"/>
    <w:rsid w:val="0797BD99"/>
    <w:rsid w:val="0798F397"/>
    <w:rsid w:val="0799A7DB"/>
    <w:rsid w:val="079E163F"/>
    <w:rsid w:val="079F9B76"/>
    <w:rsid w:val="07A002EC"/>
    <w:rsid w:val="07AA85F7"/>
    <w:rsid w:val="07AACEE0"/>
    <w:rsid w:val="07AE7E49"/>
    <w:rsid w:val="07AF9C01"/>
    <w:rsid w:val="07B54224"/>
    <w:rsid w:val="07B843CB"/>
    <w:rsid w:val="07BA2185"/>
    <w:rsid w:val="07BC68A5"/>
    <w:rsid w:val="07BD79A5"/>
    <w:rsid w:val="07BF6740"/>
    <w:rsid w:val="07BF6BF7"/>
    <w:rsid w:val="07C0E23D"/>
    <w:rsid w:val="07C33CBC"/>
    <w:rsid w:val="07C63CE3"/>
    <w:rsid w:val="07C75D4A"/>
    <w:rsid w:val="07C75F54"/>
    <w:rsid w:val="07C80701"/>
    <w:rsid w:val="07C8B9D4"/>
    <w:rsid w:val="07D28042"/>
    <w:rsid w:val="07D30162"/>
    <w:rsid w:val="07D5E144"/>
    <w:rsid w:val="07DD9E11"/>
    <w:rsid w:val="07E09836"/>
    <w:rsid w:val="07E3DCB5"/>
    <w:rsid w:val="07E4C2DB"/>
    <w:rsid w:val="07E4E6AD"/>
    <w:rsid w:val="07E8A4F0"/>
    <w:rsid w:val="07E8F087"/>
    <w:rsid w:val="07ECAAD9"/>
    <w:rsid w:val="07EE9DBF"/>
    <w:rsid w:val="07F1FD40"/>
    <w:rsid w:val="07F1FE67"/>
    <w:rsid w:val="07F55582"/>
    <w:rsid w:val="07F83A0F"/>
    <w:rsid w:val="07FC4885"/>
    <w:rsid w:val="07FD4C06"/>
    <w:rsid w:val="0806998C"/>
    <w:rsid w:val="0809309B"/>
    <w:rsid w:val="080B3307"/>
    <w:rsid w:val="080B6388"/>
    <w:rsid w:val="080BA5E0"/>
    <w:rsid w:val="080D3A37"/>
    <w:rsid w:val="080DCAF7"/>
    <w:rsid w:val="081404A4"/>
    <w:rsid w:val="081A0463"/>
    <w:rsid w:val="081BA703"/>
    <w:rsid w:val="081F1414"/>
    <w:rsid w:val="08249FFA"/>
    <w:rsid w:val="0826053D"/>
    <w:rsid w:val="082CC148"/>
    <w:rsid w:val="082D6C24"/>
    <w:rsid w:val="082ED3C1"/>
    <w:rsid w:val="0831A1FF"/>
    <w:rsid w:val="08337245"/>
    <w:rsid w:val="0838F4B6"/>
    <w:rsid w:val="083CCDD2"/>
    <w:rsid w:val="084090A4"/>
    <w:rsid w:val="08465A19"/>
    <w:rsid w:val="0848B85F"/>
    <w:rsid w:val="084FF8AD"/>
    <w:rsid w:val="0850687B"/>
    <w:rsid w:val="0853D30B"/>
    <w:rsid w:val="0854BAC0"/>
    <w:rsid w:val="08566D2F"/>
    <w:rsid w:val="0858D3A5"/>
    <w:rsid w:val="0858DEE8"/>
    <w:rsid w:val="085D8D51"/>
    <w:rsid w:val="0861AD0C"/>
    <w:rsid w:val="0861B6BE"/>
    <w:rsid w:val="08626226"/>
    <w:rsid w:val="0866CE9B"/>
    <w:rsid w:val="08676387"/>
    <w:rsid w:val="0869B28B"/>
    <w:rsid w:val="086B458F"/>
    <w:rsid w:val="086C7306"/>
    <w:rsid w:val="086D4308"/>
    <w:rsid w:val="086D5B6F"/>
    <w:rsid w:val="086D9FBA"/>
    <w:rsid w:val="086F545C"/>
    <w:rsid w:val="0871D2FD"/>
    <w:rsid w:val="0874ACF0"/>
    <w:rsid w:val="087759F2"/>
    <w:rsid w:val="087885F9"/>
    <w:rsid w:val="087AC034"/>
    <w:rsid w:val="087DBEE2"/>
    <w:rsid w:val="087EEF35"/>
    <w:rsid w:val="087FA71A"/>
    <w:rsid w:val="087FBCD4"/>
    <w:rsid w:val="087FD097"/>
    <w:rsid w:val="0881773B"/>
    <w:rsid w:val="0881BC23"/>
    <w:rsid w:val="0882A93E"/>
    <w:rsid w:val="088378BC"/>
    <w:rsid w:val="08843BB1"/>
    <w:rsid w:val="0888FB98"/>
    <w:rsid w:val="088BD699"/>
    <w:rsid w:val="088BEE15"/>
    <w:rsid w:val="088C882C"/>
    <w:rsid w:val="088F988C"/>
    <w:rsid w:val="0892DA28"/>
    <w:rsid w:val="08938DC6"/>
    <w:rsid w:val="08945853"/>
    <w:rsid w:val="0894B85A"/>
    <w:rsid w:val="0896902A"/>
    <w:rsid w:val="089809C9"/>
    <w:rsid w:val="08986082"/>
    <w:rsid w:val="089913CF"/>
    <w:rsid w:val="089B7025"/>
    <w:rsid w:val="089C3B38"/>
    <w:rsid w:val="089C454A"/>
    <w:rsid w:val="089E2AE0"/>
    <w:rsid w:val="089E2E1C"/>
    <w:rsid w:val="08A2150E"/>
    <w:rsid w:val="08A769A8"/>
    <w:rsid w:val="08A94DFD"/>
    <w:rsid w:val="08A98AEF"/>
    <w:rsid w:val="08A99987"/>
    <w:rsid w:val="08AF0E8A"/>
    <w:rsid w:val="08AF63D2"/>
    <w:rsid w:val="08B1A15C"/>
    <w:rsid w:val="08B24525"/>
    <w:rsid w:val="08B2AD80"/>
    <w:rsid w:val="08B34E5B"/>
    <w:rsid w:val="08B4D46E"/>
    <w:rsid w:val="08B749AF"/>
    <w:rsid w:val="08B8F4FB"/>
    <w:rsid w:val="08BA3298"/>
    <w:rsid w:val="08BA81BA"/>
    <w:rsid w:val="08BAAFF0"/>
    <w:rsid w:val="08BB206C"/>
    <w:rsid w:val="08BBAE93"/>
    <w:rsid w:val="08BF1E54"/>
    <w:rsid w:val="08C049B7"/>
    <w:rsid w:val="08CBE977"/>
    <w:rsid w:val="08CCF728"/>
    <w:rsid w:val="08CE8B03"/>
    <w:rsid w:val="08D13973"/>
    <w:rsid w:val="08D207C4"/>
    <w:rsid w:val="08D6EB43"/>
    <w:rsid w:val="08D9D712"/>
    <w:rsid w:val="08DD497C"/>
    <w:rsid w:val="08DE0984"/>
    <w:rsid w:val="08E0DF3C"/>
    <w:rsid w:val="08E2048E"/>
    <w:rsid w:val="08E52AA0"/>
    <w:rsid w:val="08ECAFD6"/>
    <w:rsid w:val="08EF0D54"/>
    <w:rsid w:val="08EF0EA3"/>
    <w:rsid w:val="08F046CF"/>
    <w:rsid w:val="08F05313"/>
    <w:rsid w:val="08F2F811"/>
    <w:rsid w:val="08F6280E"/>
    <w:rsid w:val="08F7C0B7"/>
    <w:rsid w:val="08FE081C"/>
    <w:rsid w:val="0900B202"/>
    <w:rsid w:val="09015E93"/>
    <w:rsid w:val="09031645"/>
    <w:rsid w:val="0903F8CC"/>
    <w:rsid w:val="09050353"/>
    <w:rsid w:val="090676A1"/>
    <w:rsid w:val="09078BC9"/>
    <w:rsid w:val="0908682B"/>
    <w:rsid w:val="090E41E2"/>
    <w:rsid w:val="091008D6"/>
    <w:rsid w:val="09100C07"/>
    <w:rsid w:val="09130DDF"/>
    <w:rsid w:val="0914406E"/>
    <w:rsid w:val="0916825E"/>
    <w:rsid w:val="09208B99"/>
    <w:rsid w:val="0923913D"/>
    <w:rsid w:val="09255735"/>
    <w:rsid w:val="092608DC"/>
    <w:rsid w:val="09278D21"/>
    <w:rsid w:val="092E84EE"/>
    <w:rsid w:val="09324F31"/>
    <w:rsid w:val="09325C59"/>
    <w:rsid w:val="0934D02E"/>
    <w:rsid w:val="09383C33"/>
    <w:rsid w:val="093841C1"/>
    <w:rsid w:val="093899CC"/>
    <w:rsid w:val="093BEB95"/>
    <w:rsid w:val="09452EAB"/>
    <w:rsid w:val="0945DE4E"/>
    <w:rsid w:val="09460206"/>
    <w:rsid w:val="094694E3"/>
    <w:rsid w:val="09470C49"/>
    <w:rsid w:val="09483F59"/>
    <w:rsid w:val="0948A007"/>
    <w:rsid w:val="0948FE79"/>
    <w:rsid w:val="094962B7"/>
    <w:rsid w:val="094C11A7"/>
    <w:rsid w:val="094D7854"/>
    <w:rsid w:val="094F3864"/>
    <w:rsid w:val="094F3F4E"/>
    <w:rsid w:val="09503028"/>
    <w:rsid w:val="0951E32F"/>
    <w:rsid w:val="0952248D"/>
    <w:rsid w:val="095410BC"/>
    <w:rsid w:val="0954CDD9"/>
    <w:rsid w:val="0956648E"/>
    <w:rsid w:val="095698E9"/>
    <w:rsid w:val="0957A917"/>
    <w:rsid w:val="09597FAC"/>
    <w:rsid w:val="095B0404"/>
    <w:rsid w:val="096230A0"/>
    <w:rsid w:val="09634A8A"/>
    <w:rsid w:val="09668EF6"/>
    <w:rsid w:val="09696DF7"/>
    <w:rsid w:val="096AB64A"/>
    <w:rsid w:val="096E4D21"/>
    <w:rsid w:val="0972C855"/>
    <w:rsid w:val="09754FF3"/>
    <w:rsid w:val="097579A8"/>
    <w:rsid w:val="09767EF9"/>
    <w:rsid w:val="0976E13E"/>
    <w:rsid w:val="097985B5"/>
    <w:rsid w:val="097B2FC5"/>
    <w:rsid w:val="097D30FB"/>
    <w:rsid w:val="097F7E4A"/>
    <w:rsid w:val="0981BAC0"/>
    <w:rsid w:val="09825A89"/>
    <w:rsid w:val="0985DFC2"/>
    <w:rsid w:val="098883AC"/>
    <w:rsid w:val="098B4721"/>
    <w:rsid w:val="098BCF0E"/>
    <w:rsid w:val="0991895D"/>
    <w:rsid w:val="0994F731"/>
    <w:rsid w:val="0999DCB9"/>
    <w:rsid w:val="0999F286"/>
    <w:rsid w:val="099B804A"/>
    <w:rsid w:val="099C48D3"/>
    <w:rsid w:val="099C9F6E"/>
    <w:rsid w:val="099CC6EA"/>
    <w:rsid w:val="099DF0D0"/>
    <w:rsid w:val="099E3483"/>
    <w:rsid w:val="099FC859"/>
    <w:rsid w:val="09A0632B"/>
    <w:rsid w:val="09A16DE9"/>
    <w:rsid w:val="09A18C17"/>
    <w:rsid w:val="09A3CB4E"/>
    <w:rsid w:val="09A3FC57"/>
    <w:rsid w:val="09A63830"/>
    <w:rsid w:val="09A68CA0"/>
    <w:rsid w:val="09A82141"/>
    <w:rsid w:val="09AB487C"/>
    <w:rsid w:val="09ABDB18"/>
    <w:rsid w:val="09B1C647"/>
    <w:rsid w:val="09B35012"/>
    <w:rsid w:val="09B40C53"/>
    <w:rsid w:val="09B888B3"/>
    <w:rsid w:val="09BB846E"/>
    <w:rsid w:val="09BED52E"/>
    <w:rsid w:val="09C02BBD"/>
    <w:rsid w:val="09C0A81B"/>
    <w:rsid w:val="09C1BB3D"/>
    <w:rsid w:val="09C38DA3"/>
    <w:rsid w:val="09C405AE"/>
    <w:rsid w:val="09C4FC95"/>
    <w:rsid w:val="09C71145"/>
    <w:rsid w:val="09C8319A"/>
    <w:rsid w:val="09C96522"/>
    <w:rsid w:val="09CA8BDD"/>
    <w:rsid w:val="09CC1762"/>
    <w:rsid w:val="09CCC84E"/>
    <w:rsid w:val="09CF3CD3"/>
    <w:rsid w:val="09D0DD68"/>
    <w:rsid w:val="09D1E033"/>
    <w:rsid w:val="09D581F6"/>
    <w:rsid w:val="09D96753"/>
    <w:rsid w:val="09DA07DE"/>
    <w:rsid w:val="09DA1FFD"/>
    <w:rsid w:val="09DA78C7"/>
    <w:rsid w:val="09DB8AC4"/>
    <w:rsid w:val="09DBBB1A"/>
    <w:rsid w:val="09DD1461"/>
    <w:rsid w:val="09DF5F29"/>
    <w:rsid w:val="09E27C1F"/>
    <w:rsid w:val="09E9FF0C"/>
    <w:rsid w:val="09EA6788"/>
    <w:rsid w:val="09ECF623"/>
    <w:rsid w:val="09F4720A"/>
    <w:rsid w:val="09F73325"/>
    <w:rsid w:val="09F9BC23"/>
    <w:rsid w:val="09FE335C"/>
    <w:rsid w:val="09FEDE33"/>
    <w:rsid w:val="09FF9C11"/>
    <w:rsid w:val="0A00CA34"/>
    <w:rsid w:val="0A02E152"/>
    <w:rsid w:val="0A045D96"/>
    <w:rsid w:val="0A0546FB"/>
    <w:rsid w:val="0A06A6D4"/>
    <w:rsid w:val="0A07D7E3"/>
    <w:rsid w:val="0A0851BF"/>
    <w:rsid w:val="0A0A8894"/>
    <w:rsid w:val="0A0B9CDC"/>
    <w:rsid w:val="0A0CD0FC"/>
    <w:rsid w:val="0A122405"/>
    <w:rsid w:val="0A19482E"/>
    <w:rsid w:val="0A196C9C"/>
    <w:rsid w:val="0A19B3AE"/>
    <w:rsid w:val="0A1B7A39"/>
    <w:rsid w:val="0A217AF5"/>
    <w:rsid w:val="0A21AA53"/>
    <w:rsid w:val="0A224082"/>
    <w:rsid w:val="0A2286F9"/>
    <w:rsid w:val="0A24D062"/>
    <w:rsid w:val="0A24F574"/>
    <w:rsid w:val="0A318DC6"/>
    <w:rsid w:val="0A33EFDD"/>
    <w:rsid w:val="0A37193C"/>
    <w:rsid w:val="0A387A76"/>
    <w:rsid w:val="0A3BC817"/>
    <w:rsid w:val="0A3C87D3"/>
    <w:rsid w:val="0A3E17B8"/>
    <w:rsid w:val="0A431643"/>
    <w:rsid w:val="0A448105"/>
    <w:rsid w:val="0A46D8D7"/>
    <w:rsid w:val="0A47E0CB"/>
    <w:rsid w:val="0A4A05F6"/>
    <w:rsid w:val="0A5063A2"/>
    <w:rsid w:val="0A55658F"/>
    <w:rsid w:val="0A575A5D"/>
    <w:rsid w:val="0A5795D1"/>
    <w:rsid w:val="0A57A122"/>
    <w:rsid w:val="0A5901DC"/>
    <w:rsid w:val="0A59183F"/>
    <w:rsid w:val="0A596FE7"/>
    <w:rsid w:val="0A5A2F4E"/>
    <w:rsid w:val="0A5A8598"/>
    <w:rsid w:val="0A5C78AF"/>
    <w:rsid w:val="0A5D3AEF"/>
    <w:rsid w:val="0A5D51B6"/>
    <w:rsid w:val="0A5D6047"/>
    <w:rsid w:val="0A613E8F"/>
    <w:rsid w:val="0A626B14"/>
    <w:rsid w:val="0A6351FA"/>
    <w:rsid w:val="0A6E0531"/>
    <w:rsid w:val="0A6EDBDF"/>
    <w:rsid w:val="0A6F1CED"/>
    <w:rsid w:val="0A6F9512"/>
    <w:rsid w:val="0A71DE44"/>
    <w:rsid w:val="0A74862F"/>
    <w:rsid w:val="0A74D024"/>
    <w:rsid w:val="0A774F58"/>
    <w:rsid w:val="0A7A5F77"/>
    <w:rsid w:val="0A7B3EE8"/>
    <w:rsid w:val="0A7B82C3"/>
    <w:rsid w:val="0A7FC0F6"/>
    <w:rsid w:val="0A80C1E5"/>
    <w:rsid w:val="0A816A03"/>
    <w:rsid w:val="0A82CDF8"/>
    <w:rsid w:val="0A853D82"/>
    <w:rsid w:val="0A897AB8"/>
    <w:rsid w:val="0A89E003"/>
    <w:rsid w:val="0A8B87BA"/>
    <w:rsid w:val="0A8C54DC"/>
    <w:rsid w:val="0A8D479F"/>
    <w:rsid w:val="0A94A7A7"/>
    <w:rsid w:val="0A966EB6"/>
    <w:rsid w:val="0A96F476"/>
    <w:rsid w:val="0A9CDEE0"/>
    <w:rsid w:val="0AA1A44F"/>
    <w:rsid w:val="0AA558F1"/>
    <w:rsid w:val="0AA7436B"/>
    <w:rsid w:val="0AA8002B"/>
    <w:rsid w:val="0AA80327"/>
    <w:rsid w:val="0AAD843B"/>
    <w:rsid w:val="0AB03F30"/>
    <w:rsid w:val="0AB6133A"/>
    <w:rsid w:val="0AB82A04"/>
    <w:rsid w:val="0ABC8E1A"/>
    <w:rsid w:val="0ABD7EEB"/>
    <w:rsid w:val="0AC064EE"/>
    <w:rsid w:val="0AC086E2"/>
    <w:rsid w:val="0AC2B4F8"/>
    <w:rsid w:val="0AC7110F"/>
    <w:rsid w:val="0AC9CE25"/>
    <w:rsid w:val="0ACA63D5"/>
    <w:rsid w:val="0ACABE93"/>
    <w:rsid w:val="0ACCC445"/>
    <w:rsid w:val="0AD0EEC9"/>
    <w:rsid w:val="0AD59367"/>
    <w:rsid w:val="0AD63CD6"/>
    <w:rsid w:val="0AD7B4B5"/>
    <w:rsid w:val="0AD86C44"/>
    <w:rsid w:val="0ADBA4BC"/>
    <w:rsid w:val="0AE1F74C"/>
    <w:rsid w:val="0AE30DED"/>
    <w:rsid w:val="0AE8EEEC"/>
    <w:rsid w:val="0AE97893"/>
    <w:rsid w:val="0AEECC22"/>
    <w:rsid w:val="0AF14F91"/>
    <w:rsid w:val="0AF3C9F4"/>
    <w:rsid w:val="0AF5B3FA"/>
    <w:rsid w:val="0AF5C4C7"/>
    <w:rsid w:val="0AF68018"/>
    <w:rsid w:val="0AF91330"/>
    <w:rsid w:val="0AF94CC9"/>
    <w:rsid w:val="0AF9C62E"/>
    <w:rsid w:val="0AFBB616"/>
    <w:rsid w:val="0AFCAFB1"/>
    <w:rsid w:val="0AFE6A92"/>
    <w:rsid w:val="0B00D840"/>
    <w:rsid w:val="0B012644"/>
    <w:rsid w:val="0B0307B4"/>
    <w:rsid w:val="0B035017"/>
    <w:rsid w:val="0B07A501"/>
    <w:rsid w:val="0B08A25A"/>
    <w:rsid w:val="0B0AD527"/>
    <w:rsid w:val="0B0BEBC5"/>
    <w:rsid w:val="0B0C6BFD"/>
    <w:rsid w:val="0B102D12"/>
    <w:rsid w:val="0B111E89"/>
    <w:rsid w:val="0B1158E2"/>
    <w:rsid w:val="0B1361C2"/>
    <w:rsid w:val="0B160E8D"/>
    <w:rsid w:val="0B16881F"/>
    <w:rsid w:val="0B198EDC"/>
    <w:rsid w:val="0B209627"/>
    <w:rsid w:val="0B265269"/>
    <w:rsid w:val="0B280FAA"/>
    <w:rsid w:val="0B2B6329"/>
    <w:rsid w:val="0B2D489F"/>
    <w:rsid w:val="0B301326"/>
    <w:rsid w:val="0B30E20A"/>
    <w:rsid w:val="0B32DFF2"/>
    <w:rsid w:val="0B3469B4"/>
    <w:rsid w:val="0B3523E0"/>
    <w:rsid w:val="0B3751E8"/>
    <w:rsid w:val="0B395BDB"/>
    <w:rsid w:val="0B398715"/>
    <w:rsid w:val="0B3CA985"/>
    <w:rsid w:val="0B3D4F1B"/>
    <w:rsid w:val="0B3D58BA"/>
    <w:rsid w:val="0B3D97D2"/>
    <w:rsid w:val="0B3E124D"/>
    <w:rsid w:val="0B45416A"/>
    <w:rsid w:val="0B4562B4"/>
    <w:rsid w:val="0B4C6FC9"/>
    <w:rsid w:val="0B4CA9F7"/>
    <w:rsid w:val="0B515989"/>
    <w:rsid w:val="0B58DE53"/>
    <w:rsid w:val="0B5947C1"/>
    <w:rsid w:val="0B5B1667"/>
    <w:rsid w:val="0B61F0AC"/>
    <w:rsid w:val="0B6598B8"/>
    <w:rsid w:val="0B6896D4"/>
    <w:rsid w:val="0B689C19"/>
    <w:rsid w:val="0B6E8947"/>
    <w:rsid w:val="0B76788C"/>
    <w:rsid w:val="0B7888F7"/>
    <w:rsid w:val="0B7AE09A"/>
    <w:rsid w:val="0B7CCC18"/>
    <w:rsid w:val="0B7EA37B"/>
    <w:rsid w:val="0B82E986"/>
    <w:rsid w:val="0B83F09E"/>
    <w:rsid w:val="0B841045"/>
    <w:rsid w:val="0B841C33"/>
    <w:rsid w:val="0B84BD6E"/>
    <w:rsid w:val="0B84F783"/>
    <w:rsid w:val="0B874DDD"/>
    <w:rsid w:val="0B875C2A"/>
    <w:rsid w:val="0B8A62CD"/>
    <w:rsid w:val="0B8AD2E2"/>
    <w:rsid w:val="0B8D3DB6"/>
    <w:rsid w:val="0B907FAA"/>
    <w:rsid w:val="0B9190A8"/>
    <w:rsid w:val="0B92900B"/>
    <w:rsid w:val="0B97869E"/>
    <w:rsid w:val="0B9A8AAA"/>
    <w:rsid w:val="0B9AA955"/>
    <w:rsid w:val="0B9C4162"/>
    <w:rsid w:val="0B9C67E0"/>
    <w:rsid w:val="0B9DFEC9"/>
    <w:rsid w:val="0B9FDEDD"/>
    <w:rsid w:val="0BA2C7C4"/>
    <w:rsid w:val="0BA35A14"/>
    <w:rsid w:val="0BA3CE7C"/>
    <w:rsid w:val="0BA5DE5A"/>
    <w:rsid w:val="0BA7CFCB"/>
    <w:rsid w:val="0BAF25FB"/>
    <w:rsid w:val="0BAFC39F"/>
    <w:rsid w:val="0BB34486"/>
    <w:rsid w:val="0BB4E2FF"/>
    <w:rsid w:val="0BB4F055"/>
    <w:rsid w:val="0BB659FB"/>
    <w:rsid w:val="0BBA2091"/>
    <w:rsid w:val="0BBCB7D5"/>
    <w:rsid w:val="0BBE5195"/>
    <w:rsid w:val="0BBF7DA9"/>
    <w:rsid w:val="0BC03A88"/>
    <w:rsid w:val="0BC40897"/>
    <w:rsid w:val="0BCDC9C5"/>
    <w:rsid w:val="0BCEAB69"/>
    <w:rsid w:val="0BCEF4F0"/>
    <w:rsid w:val="0BCF2D0C"/>
    <w:rsid w:val="0BCFF17D"/>
    <w:rsid w:val="0BD832CF"/>
    <w:rsid w:val="0BD84507"/>
    <w:rsid w:val="0BD91305"/>
    <w:rsid w:val="0BDCD01E"/>
    <w:rsid w:val="0BDFAA12"/>
    <w:rsid w:val="0BE331C2"/>
    <w:rsid w:val="0BE3AE3E"/>
    <w:rsid w:val="0BE5FD79"/>
    <w:rsid w:val="0BE9D421"/>
    <w:rsid w:val="0BEC7E98"/>
    <w:rsid w:val="0BEDC949"/>
    <w:rsid w:val="0BEE7438"/>
    <w:rsid w:val="0BF4E070"/>
    <w:rsid w:val="0BF612D5"/>
    <w:rsid w:val="0BF8B200"/>
    <w:rsid w:val="0BF9A41E"/>
    <w:rsid w:val="0BF9BB45"/>
    <w:rsid w:val="0BFA1DB2"/>
    <w:rsid w:val="0BFB1DD8"/>
    <w:rsid w:val="0BFBF7B6"/>
    <w:rsid w:val="0BFC07D0"/>
    <w:rsid w:val="0BFE9AC5"/>
    <w:rsid w:val="0BFF4AF2"/>
    <w:rsid w:val="0BFF83EC"/>
    <w:rsid w:val="0C0295DC"/>
    <w:rsid w:val="0C037761"/>
    <w:rsid w:val="0C06F625"/>
    <w:rsid w:val="0C07A3EC"/>
    <w:rsid w:val="0C081EE0"/>
    <w:rsid w:val="0C0F2729"/>
    <w:rsid w:val="0C0F85AF"/>
    <w:rsid w:val="0C10C0F2"/>
    <w:rsid w:val="0C11E871"/>
    <w:rsid w:val="0C1423B6"/>
    <w:rsid w:val="0C14A294"/>
    <w:rsid w:val="0C188DAB"/>
    <w:rsid w:val="0C20802D"/>
    <w:rsid w:val="0C234998"/>
    <w:rsid w:val="0C286C1C"/>
    <w:rsid w:val="0C289164"/>
    <w:rsid w:val="0C2E4CC9"/>
    <w:rsid w:val="0C35BA52"/>
    <w:rsid w:val="0C365CCB"/>
    <w:rsid w:val="0C399FAC"/>
    <w:rsid w:val="0C39A246"/>
    <w:rsid w:val="0C3A7A42"/>
    <w:rsid w:val="0C40BDD9"/>
    <w:rsid w:val="0C411E25"/>
    <w:rsid w:val="0C41F0E5"/>
    <w:rsid w:val="0C439D77"/>
    <w:rsid w:val="0C4595D2"/>
    <w:rsid w:val="0C45D484"/>
    <w:rsid w:val="0C47F761"/>
    <w:rsid w:val="0C48B0E7"/>
    <w:rsid w:val="0C492259"/>
    <w:rsid w:val="0C499CAB"/>
    <w:rsid w:val="0C4A04BF"/>
    <w:rsid w:val="0C50C189"/>
    <w:rsid w:val="0C50F203"/>
    <w:rsid w:val="0C572914"/>
    <w:rsid w:val="0C599400"/>
    <w:rsid w:val="0C59A2FB"/>
    <w:rsid w:val="0C5B9EA1"/>
    <w:rsid w:val="0C5C9201"/>
    <w:rsid w:val="0C622CDE"/>
    <w:rsid w:val="0C632971"/>
    <w:rsid w:val="0C6611B4"/>
    <w:rsid w:val="0C66F897"/>
    <w:rsid w:val="0C692B51"/>
    <w:rsid w:val="0C6A422F"/>
    <w:rsid w:val="0C6AB05A"/>
    <w:rsid w:val="0C6C18A9"/>
    <w:rsid w:val="0C6CCDA3"/>
    <w:rsid w:val="0C6DAD0C"/>
    <w:rsid w:val="0C6FA46D"/>
    <w:rsid w:val="0C6FC38B"/>
    <w:rsid w:val="0C712F4F"/>
    <w:rsid w:val="0C71B3B3"/>
    <w:rsid w:val="0C78FA33"/>
    <w:rsid w:val="0C7B525B"/>
    <w:rsid w:val="0C7D0EA7"/>
    <w:rsid w:val="0C7EDAA7"/>
    <w:rsid w:val="0C813F97"/>
    <w:rsid w:val="0C820B1B"/>
    <w:rsid w:val="0C865832"/>
    <w:rsid w:val="0C8B7995"/>
    <w:rsid w:val="0C8CC3A2"/>
    <w:rsid w:val="0C8D58FC"/>
    <w:rsid w:val="0C8E6761"/>
    <w:rsid w:val="0C9196AE"/>
    <w:rsid w:val="0C929238"/>
    <w:rsid w:val="0C951A71"/>
    <w:rsid w:val="0C97FE3D"/>
    <w:rsid w:val="0C98D618"/>
    <w:rsid w:val="0C9A8545"/>
    <w:rsid w:val="0C9D18A2"/>
    <w:rsid w:val="0C9E7FA1"/>
    <w:rsid w:val="0CA0314D"/>
    <w:rsid w:val="0CA07BF4"/>
    <w:rsid w:val="0CA66555"/>
    <w:rsid w:val="0CA7ABC6"/>
    <w:rsid w:val="0CA8138C"/>
    <w:rsid w:val="0CA9744C"/>
    <w:rsid w:val="0CAA8CFA"/>
    <w:rsid w:val="0CAB4BD2"/>
    <w:rsid w:val="0CAD5F51"/>
    <w:rsid w:val="0CB04DA0"/>
    <w:rsid w:val="0CB462C0"/>
    <w:rsid w:val="0CB61D1E"/>
    <w:rsid w:val="0CB9DFD2"/>
    <w:rsid w:val="0CBA6006"/>
    <w:rsid w:val="0CBD40CF"/>
    <w:rsid w:val="0CBF6946"/>
    <w:rsid w:val="0CC53D85"/>
    <w:rsid w:val="0CC546E9"/>
    <w:rsid w:val="0CC7F5AA"/>
    <w:rsid w:val="0CCB15C3"/>
    <w:rsid w:val="0CCF9ABB"/>
    <w:rsid w:val="0CD00935"/>
    <w:rsid w:val="0CD0C522"/>
    <w:rsid w:val="0CD4CB86"/>
    <w:rsid w:val="0CD4DFF4"/>
    <w:rsid w:val="0CD73A71"/>
    <w:rsid w:val="0CDB3D20"/>
    <w:rsid w:val="0CDD0AD8"/>
    <w:rsid w:val="0CE3DD22"/>
    <w:rsid w:val="0CE4960B"/>
    <w:rsid w:val="0CE56B6E"/>
    <w:rsid w:val="0CE5D59F"/>
    <w:rsid w:val="0CE70AF9"/>
    <w:rsid w:val="0CEA596B"/>
    <w:rsid w:val="0CEB64BE"/>
    <w:rsid w:val="0CEBD367"/>
    <w:rsid w:val="0CF04189"/>
    <w:rsid w:val="0CF58CF4"/>
    <w:rsid w:val="0CF85051"/>
    <w:rsid w:val="0CF8FF64"/>
    <w:rsid w:val="0CFD8F04"/>
    <w:rsid w:val="0CFE7438"/>
    <w:rsid w:val="0D02AE01"/>
    <w:rsid w:val="0D09A3E8"/>
    <w:rsid w:val="0D09B2F0"/>
    <w:rsid w:val="0D0A4472"/>
    <w:rsid w:val="0D0B7769"/>
    <w:rsid w:val="0D0BAAC6"/>
    <w:rsid w:val="0D0CEFF8"/>
    <w:rsid w:val="0D0F6774"/>
    <w:rsid w:val="0D10AADD"/>
    <w:rsid w:val="0D115766"/>
    <w:rsid w:val="0D139B4A"/>
    <w:rsid w:val="0D150DFB"/>
    <w:rsid w:val="0D15BAFD"/>
    <w:rsid w:val="0D184918"/>
    <w:rsid w:val="0D1D8CB6"/>
    <w:rsid w:val="0D1DAC04"/>
    <w:rsid w:val="0D2567C5"/>
    <w:rsid w:val="0D259B91"/>
    <w:rsid w:val="0D2783FD"/>
    <w:rsid w:val="0D283A37"/>
    <w:rsid w:val="0D34B80B"/>
    <w:rsid w:val="0D39957B"/>
    <w:rsid w:val="0D3A7BBD"/>
    <w:rsid w:val="0D3B7088"/>
    <w:rsid w:val="0D3D003C"/>
    <w:rsid w:val="0D41789A"/>
    <w:rsid w:val="0D42791B"/>
    <w:rsid w:val="0D42AB9E"/>
    <w:rsid w:val="0D441DCB"/>
    <w:rsid w:val="0D463077"/>
    <w:rsid w:val="0D46BB11"/>
    <w:rsid w:val="0D4EB150"/>
    <w:rsid w:val="0D4FCCCB"/>
    <w:rsid w:val="0D4FCDED"/>
    <w:rsid w:val="0D500315"/>
    <w:rsid w:val="0D513B83"/>
    <w:rsid w:val="0D533DDC"/>
    <w:rsid w:val="0D53551A"/>
    <w:rsid w:val="0D538DDD"/>
    <w:rsid w:val="0D56B3B9"/>
    <w:rsid w:val="0D57511A"/>
    <w:rsid w:val="0D5880A6"/>
    <w:rsid w:val="0D59F6D0"/>
    <w:rsid w:val="0D5AD2BB"/>
    <w:rsid w:val="0D5B3DD1"/>
    <w:rsid w:val="0D60D38F"/>
    <w:rsid w:val="0D63E3C0"/>
    <w:rsid w:val="0D6551EB"/>
    <w:rsid w:val="0D67143F"/>
    <w:rsid w:val="0D6864D3"/>
    <w:rsid w:val="0D692A7E"/>
    <w:rsid w:val="0D69A872"/>
    <w:rsid w:val="0D6A4C5B"/>
    <w:rsid w:val="0D6AE459"/>
    <w:rsid w:val="0D6CD514"/>
    <w:rsid w:val="0D6E34BB"/>
    <w:rsid w:val="0D75664C"/>
    <w:rsid w:val="0D762B33"/>
    <w:rsid w:val="0D7877B3"/>
    <w:rsid w:val="0D797523"/>
    <w:rsid w:val="0D895499"/>
    <w:rsid w:val="0D89B8E0"/>
    <w:rsid w:val="0D8B3C32"/>
    <w:rsid w:val="0D8CBFC9"/>
    <w:rsid w:val="0D8F4BA3"/>
    <w:rsid w:val="0D8FD58C"/>
    <w:rsid w:val="0D92F7FF"/>
    <w:rsid w:val="0D95CB5B"/>
    <w:rsid w:val="0D968644"/>
    <w:rsid w:val="0D9E3439"/>
    <w:rsid w:val="0D9E6AD4"/>
    <w:rsid w:val="0DA0DD6E"/>
    <w:rsid w:val="0DA1E9AB"/>
    <w:rsid w:val="0DA22839"/>
    <w:rsid w:val="0DA64145"/>
    <w:rsid w:val="0DAFB373"/>
    <w:rsid w:val="0DB480E9"/>
    <w:rsid w:val="0DB6578E"/>
    <w:rsid w:val="0DBB2419"/>
    <w:rsid w:val="0DBB2A08"/>
    <w:rsid w:val="0DC120C6"/>
    <w:rsid w:val="0DC276A3"/>
    <w:rsid w:val="0DC301DA"/>
    <w:rsid w:val="0DC47BA2"/>
    <w:rsid w:val="0DC4D547"/>
    <w:rsid w:val="0DC53D8F"/>
    <w:rsid w:val="0DC5CDD6"/>
    <w:rsid w:val="0DC64D69"/>
    <w:rsid w:val="0DC74C17"/>
    <w:rsid w:val="0DC7A9B6"/>
    <w:rsid w:val="0DCFC214"/>
    <w:rsid w:val="0DD44CC6"/>
    <w:rsid w:val="0DDBBC2C"/>
    <w:rsid w:val="0DDCE9A8"/>
    <w:rsid w:val="0DDE21B2"/>
    <w:rsid w:val="0DE2AA98"/>
    <w:rsid w:val="0DE2B69A"/>
    <w:rsid w:val="0DE5F0E2"/>
    <w:rsid w:val="0DE80787"/>
    <w:rsid w:val="0DE8FF31"/>
    <w:rsid w:val="0DEA35F3"/>
    <w:rsid w:val="0DEA4095"/>
    <w:rsid w:val="0DEA5FC9"/>
    <w:rsid w:val="0DEC830F"/>
    <w:rsid w:val="0DEDD4BB"/>
    <w:rsid w:val="0DEE9B51"/>
    <w:rsid w:val="0DEF7243"/>
    <w:rsid w:val="0DF1F0A8"/>
    <w:rsid w:val="0DF5C6D8"/>
    <w:rsid w:val="0DF73294"/>
    <w:rsid w:val="0DF9F04F"/>
    <w:rsid w:val="0DFAF8AA"/>
    <w:rsid w:val="0DFBA6D1"/>
    <w:rsid w:val="0DFC9EEC"/>
    <w:rsid w:val="0DFDC287"/>
    <w:rsid w:val="0E07EB4D"/>
    <w:rsid w:val="0E080B34"/>
    <w:rsid w:val="0E0F0015"/>
    <w:rsid w:val="0E11E94D"/>
    <w:rsid w:val="0E19A738"/>
    <w:rsid w:val="0E20395C"/>
    <w:rsid w:val="0E21B3B4"/>
    <w:rsid w:val="0E248078"/>
    <w:rsid w:val="0E2544FB"/>
    <w:rsid w:val="0E27F956"/>
    <w:rsid w:val="0E2834CC"/>
    <w:rsid w:val="0E298CA5"/>
    <w:rsid w:val="0E2D60AB"/>
    <w:rsid w:val="0E2DD4B6"/>
    <w:rsid w:val="0E3078E9"/>
    <w:rsid w:val="0E321821"/>
    <w:rsid w:val="0E34B823"/>
    <w:rsid w:val="0E38E30B"/>
    <w:rsid w:val="0E3A823D"/>
    <w:rsid w:val="0E3DA328"/>
    <w:rsid w:val="0E3DE119"/>
    <w:rsid w:val="0E3F2671"/>
    <w:rsid w:val="0E3F7A8E"/>
    <w:rsid w:val="0E3FA283"/>
    <w:rsid w:val="0E4155DA"/>
    <w:rsid w:val="0E42A0FF"/>
    <w:rsid w:val="0E42B21B"/>
    <w:rsid w:val="0E431A13"/>
    <w:rsid w:val="0E4434AF"/>
    <w:rsid w:val="0E44E480"/>
    <w:rsid w:val="0E4A5B77"/>
    <w:rsid w:val="0E4B1D36"/>
    <w:rsid w:val="0E4DD9BA"/>
    <w:rsid w:val="0E4E845E"/>
    <w:rsid w:val="0E4FB5FE"/>
    <w:rsid w:val="0E50B936"/>
    <w:rsid w:val="0E515138"/>
    <w:rsid w:val="0E525FD3"/>
    <w:rsid w:val="0E531452"/>
    <w:rsid w:val="0E53A110"/>
    <w:rsid w:val="0E555935"/>
    <w:rsid w:val="0E588DE0"/>
    <w:rsid w:val="0E5B3CF5"/>
    <w:rsid w:val="0E642827"/>
    <w:rsid w:val="0E65D16C"/>
    <w:rsid w:val="0E6821AE"/>
    <w:rsid w:val="0E6A562E"/>
    <w:rsid w:val="0E6BC5E3"/>
    <w:rsid w:val="0E6EFE5C"/>
    <w:rsid w:val="0E7030A9"/>
    <w:rsid w:val="0E7145FD"/>
    <w:rsid w:val="0E715B81"/>
    <w:rsid w:val="0E72BC16"/>
    <w:rsid w:val="0E7397A1"/>
    <w:rsid w:val="0E798AFE"/>
    <w:rsid w:val="0E79CA88"/>
    <w:rsid w:val="0E7A7878"/>
    <w:rsid w:val="0E7B02A7"/>
    <w:rsid w:val="0E7C8026"/>
    <w:rsid w:val="0E7FB543"/>
    <w:rsid w:val="0E7FE863"/>
    <w:rsid w:val="0E8585E6"/>
    <w:rsid w:val="0E86F94C"/>
    <w:rsid w:val="0E87AB32"/>
    <w:rsid w:val="0E87C193"/>
    <w:rsid w:val="0E8EBC2A"/>
    <w:rsid w:val="0E93CDEF"/>
    <w:rsid w:val="0E98E552"/>
    <w:rsid w:val="0E9A9055"/>
    <w:rsid w:val="0E9BBFC0"/>
    <w:rsid w:val="0E9C4BC9"/>
    <w:rsid w:val="0E9E4816"/>
    <w:rsid w:val="0EA38DA8"/>
    <w:rsid w:val="0EA8E186"/>
    <w:rsid w:val="0EA918AF"/>
    <w:rsid w:val="0EAABFA2"/>
    <w:rsid w:val="0EAFF19B"/>
    <w:rsid w:val="0EB0CA87"/>
    <w:rsid w:val="0EB0D3A8"/>
    <w:rsid w:val="0EB0FA7B"/>
    <w:rsid w:val="0EB1A1E9"/>
    <w:rsid w:val="0EB2F24D"/>
    <w:rsid w:val="0EB8CE41"/>
    <w:rsid w:val="0EBABEDC"/>
    <w:rsid w:val="0EBCC2D2"/>
    <w:rsid w:val="0EBE9FF6"/>
    <w:rsid w:val="0EBF5AB2"/>
    <w:rsid w:val="0EBF78FE"/>
    <w:rsid w:val="0EC08058"/>
    <w:rsid w:val="0EC619B4"/>
    <w:rsid w:val="0EC77991"/>
    <w:rsid w:val="0EC89CEB"/>
    <w:rsid w:val="0EC8F076"/>
    <w:rsid w:val="0EC91018"/>
    <w:rsid w:val="0ECBD39A"/>
    <w:rsid w:val="0ECC28F7"/>
    <w:rsid w:val="0ECCC856"/>
    <w:rsid w:val="0ED17507"/>
    <w:rsid w:val="0ED3657F"/>
    <w:rsid w:val="0ED4AE99"/>
    <w:rsid w:val="0ED540D5"/>
    <w:rsid w:val="0ED6B787"/>
    <w:rsid w:val="0ED6C55B"/>
    <w:rsid w:val="0ED9E9E3"/>
    <w:rsid w:val="0EDCC8DD"/>
    <w:rsid w:val="0EDE644E"/>
    <w:rsid w:val="0EE07165"/>
    <w:rsid w:val="0EE53487"/>
    <w:rsid w:val="0EE56C7D"/>
    <w:rsid w:val="0EE625A9"/>
    <w:rsid w:val="0EEA9DA5"/>
    <w:rsid w:val="0EECBB36"/>
    <w:rsid w:val="0EECFC90"/>
    <w:rsid w:val="0EEEA804"/>
    <w:rsid w:val="0EEFF0FB"/>
    <w:rsid w:val="0EF07C7B"/>
    <w:rsid w:val="0EF14BD7"/>
    <w:rsid w:val="0EF5805E"/>
    <w:rsid w:val="0EF590C6"/>
    <w:rsid w:val="0EF62C7B"/>
    <w:rsid w:val="0EF72048"/>
    <w:rsid w:val="0EF7D05D"/>
    <w:rsid w:val="0EFA7937"/>
    <w:rsid w:val="0EFD2C30"/>
    <w:rsid w:val="0EFD369C"/>
    <w:rsid w:val="0F056B6C"/>
    <w:rsid w:val="0F0BB56B"/>
    <w:rsid w:val="0F0C42A9"/>
    <w:rsid w:val="0F0FAFEC"/>
    <w:rsid w:val="0F11A265"/>
    <w:rsid w:val="0F11EEE9"/>
    <w:rsid w:val="0F13E1AE"/>
    <w:rsid w:val="0F162BB1"/>
    <w:rsid w:val="0F171985"/>
    <w:rsid w:val="0F17796A"/>
    <w:rsid w:val="0F1C29AE"/>
    <w:rsid w:val="0F203F1D"/>
    <w:rsid w:val="0F222A51"/>
    <w:rsid w:val="0F23BF85"/>
    <w:rsid w:val="0F25BCC2"/>
    <w:rsid w:val="0F26C786"/>
    <w:rsid w:val="0F2D79F8"/>
    <w:rsid w:val="0F2E696B"/>
    <w:rsid w:val="0F2F5A24"/>
    <w:rsid w:val="0F31D26B"/>
    <w:rsid w:val="0F346318"/>
    <w:rsid w:val="0F361E9E"/>
    <w:rsid w:val="0F36380B"/>
    <w:rsid w:val="0F3BD578"/>
    <w:rsid w:val="0F3DBB78"/>
    <w:rsid w:val="0F41D214"/>
    <w:rsid w:val="0F41DA2B"/>
    <w:rsid w:val="0F44970D"/>
    <w:rsid w:val="0F4B6CDE"/>
    <w:rsid w:val="0F4CDACE"/>
    <w:rsid w:val="0F4F238E"/>
    <w:rsid w:val="0F56303C"/>
    <w:rsid w:val="0F5917AD"/>
    <w:rsid w:val="0F5B2410"/>
    <w:rsid w:val="0F5C0AEF"/>
    <w:rsid w:val="0F60662C"/>
    <w:rsid w:val="0F616481"/>
    <w:rsid w:val="0F61BDAC"/>
    <w:rsid w:val="0F628000"/>
    <w:rsid w:val="0F629B4C"/>
    <w:rsid w:val="0F62B1F1"/>
    <w:rsid w:val="0F645D86"/>
    <w:rsid w:val="0F65798C"/>
    <w:rsid w:val="0F658714"/>
    <w:rsid w:val="0F665451"/>
    <w:rsid w:val="0F72E3C7"/>
    <w:rsid w:val="0F736C47"/>
    <w:rsid w:val="0F746B23"/>
    <w:rsid w:val="0F74C9E3"/>
    <w:rsid w:val="0F77919A"/>
    <w:rsid w:val="0F78D5F0"/>
    <w:rsid w:val="0F7A1966"/>
    <w:rsid w:val="0F7CD3D3"/>
    <w:rsid w:val="0F7DD828"/>
    <w:rsid w:val="0F7F481A"/>
    <w:rsid w:val="0F84D236"/>
    <w:rsid w:val="0F85B94F"/>
    <w:rsid w:val="0F87267B"/>
    <w:rsid w:val="0F877F97"/>
    <w:rsid w:val="0F8BA4B3"/>
    <w:rsid w:val="0F8F26E4"/>
    <w:rsid w:val="0F90919F"/>
    <w:rsid w:val="0F90F76A"/>
    <w:rsid w:val="0F96823B"/>
    <w:rsid w:val="0F96FCF8"/>
    <w:rsid w:val="0F97776E"/>
    <w:rsid w:val="0F98115E"/>
    <w:rsid w:val="0F9A7BC8"/>
    <w:rsid w:val="0F9BCDB4"/>
    <w:rsid w:val="0FA09558"/>
    <w:rsid w:val="0FA3D2E7"/>
    <w:rsid w:val="0FA66053"/>
    <w:rsid w:val="0FAC7856"/>
    <w:rsid w:val="0FB22B70"/>
    <w:rsid w:val="0FB44943"/>
    <w:rsid w:val="0FB64E3D"/>
    <w:rsid w:val="0FB68F69"/>
    <w:rsid w:val="0FB740B0"/>
    <w:rsid w:val="0FBA0322"/>
    <w:rsid w:val="0FBA4DCB"/>
    <w:rsid w:val="0FBA5828"/>
    <w:rsid w:val="0FBCFB3A"/>
    <w:rsid w:val="0FBE5F05"/>
    <w:rsid w:val="0FBE618C"/>
    <w:rsid w:val="0FC11487"/>
    <w:rsid w:val="0FC133C1"/>
    <w:rsid w:val="0FC8CD9D"/>
    <w:rsid w:val="0FCDE4E8"/>
    <w:rsid w:val="0FCE0097"/>
    <w:rsid w:val="0FCF94AC"/>
    <w:rsid w:val="0FCFF2F8"/>
    <w:rsid w:val="0FD305E9"/>
    <w:rsid w:val="0FD42830"/>
    <w:rsid w:val="0FD9B75F"/>
    <w:rsid w:val="0FDBB9D5"/>
    <w:rsid w:val="0FDC1B13"/>
    <w:rsid w:val="0FDEC4CD"/>
    <w:rsid w:val="0FE2BDA8"/>
    <w:rsid w:val="0FE78212"/>
    <w:rsid w:val="0FE9E71C"/>
    <w:rsid w:val="0FEA03C3"/>
    <w:rsid w:val="0FEC0EFF"/>
    <w:rsid w:val="0FFC77BD"/>
    <w:rsid w:val="0FFCAA8E"/>
    <w:rsid w:val="0FFCF6C8"/>
    <w:rsid w:val="1003C081"/>
    <w:rsid w:val="1004C940"/>
    <w:rsid w:val="1005C9FF"/>
    <w:rsid w:val="1005D3BD"/>
    <w:rsid w:val="1008F653"/>
    <w:rsid w:val="1009C19F"/>
    <w:rsid w:val="100E8C77"/>
    <w:rsid w:val="1013DCA2"/>
    <w:rsid w:val="1015F1D0"/>
    <w:rsid w:val="1017618F"/>
    <w:rsid w:val="10188DF2"/>
    <w:rsid w:val="10196B3D"/>
    <w:rsid w:val="10196D31"/>
    <w:rsid w:val="101A0090"/>
    <w:rsid w:val="101BBBA5"/>
    <w:rsid w:val="101E4B1C"/>
    <w:rsid w:val="101FE9F3"/>
    <w:rsid w:val="1020357B"/>
    <w:rsid w:val="10233FED"/>
    <w:rsid w:val="1029E128"/>
    <w:rsid w:val="102A1126"/>
    <w:rsid w:val="102A9875"/>
    <w:rsid w:val="102BABDB"/>
    <w:rsid w:val="102CBFAA"/>
    <w:rsid w:val="102E6E7C"/>
    <w:rsid w:val="102FC791"/>
    <w:rsid w:val="1032850F"/>
    <w:rsid w:val="1033A6B2"/>
    <w:rsid w:val="1034461A"/>
    <w:rsid w:val="10389866"/>
    <w:rsid w:val="103991BD"/>
    <w:rsid w:val="103B9069"/>
    <w:rsid w:val="10406EB6"/>
    <w:rsid w:val="104361B8"/>
    <w:rsid w:val="10465E3D"/>
    <w:rsid w:val="104AAC16"/>
    <w:rsid w:val="104B143F"/>
    <w:rsid w:val="104F3741"/>
    <w:rsid w:val="1055FC4B"/>
    <w:rsid w:val="10574E7E"/>
    <w:rsid w:val="10580211"/>
    <w:rsid w:val="105AEE34"/>
    <w:rsid w:val="105C065D"/>
    <w:rsid w:val="105C49F8"/>
    <w:rsid w:val="105CFAAC"/>
    <w:rsid w:val="1061685B"/>
    <w:rsid w:val="10652592"/>
    <w:rsid w:val="106E33CA"/>
    <w:rsid w:val="107075EA"/>
    <w:rsid w:val="1070D860"/>
    <w:rsid w:val="1070DE50"/>
    <w:rsid w:val="1071CDD9"/>
    <w:rsid w:val="10721D5E"/>
    <w:rsid w:val="1073320B"/>
    <w:rsid w:val="1073CCAB"/>
    <w:rsid w:val="1077186A"/>
    <w:rsid w:val="107816FE"/>
    <w:rsid w:val="107C1704"/>
    <w:rsid w:val="107E052C"/>
    <w:rsid w:val="107F0BF8"/>
    <w:rsid w:val="107F36A4"/>
    <w:rsid w:val="1081BA99"/>
    <w:rsid w:val="10820EAE"/>
    <w:rsid w:val="1084D763"/>
    <w:rsid w:val="10874578"/>
    <w:rsid w:val="108B96F1"/>
    <w:rsid w:val="108BD008"/>
    <w:rsid w:val="108EC1E6"/>
    <w:rsid w:val="108F90E8"/>
    <w:rsid w:val="1099CE4C"/>
    <w:rsid w:val="109A05A6"/>
    <w:rsid w:val="109B03E7"/>
    <w:rsid w:val="109F6E98"/>
    <w:rsid w:val="109FDAF9"/>
    <w:rsid w:val="10A10AAC"/>
    <w:rsid w:val="10A30F0A"/>
    <w:rsid w:val="10A5F81A"/>
    <w:rsid w:val="10A60BDC"/>
    <w:rsid w:val="10A75664"/>
    <w:rsid w:val="10A84E8B"/>
    <w:rsid w:val="10A958BF"/>
    <w:rsid w:val="10ABB38C"/>
    <w:rsid w:val="10AD631E"/>
    <w:rsid w:val="10AD7A6E"/>
    <w:rsid w:val="10AD7DE1"/>
    <w:rsid w:val="10ADEFFF"/>
    <w:rsid w:val="10B2E2E7"/>
    <w:rsid w:val="10B47A0C"/>
    <w:rsid w:val="10B8038A"/>
    <w:rsid w:val="10B924DF"/>
    <w:rsid w:val="10B9E48E"/>
    <w:rsid w:val="10BAEC99"/>
    <w:rsid w:val="10BB7E11"/>
    <w:rsid w:val="10BFA835"/>
    <w:rsid w:val="10C36F1C"/>
    <w:rsid w:val="10C65A9E"/>
    <w:rsid w:val="10C8C0B1"/>
    <w:rsid w:val="10CA9F78"/>
    <w:rsid w:val="10CCC191"/>
    <w:rsid w:val="10CD1487"/>
    <w:rsid w:val="10D33A4D"/>
    <w:rsid w:val="10D9914D"/>
    <w:rsid w:val="10DA89EB"/>
    <w:rsid w:val="10DC0E63"/>
    <w:rsid w:val="10E9FBA0"/>
    <w:rsid w:val="10EC1255"/>
    <w:rsid w:val="10EE1770"/>
    <w:rsid w:val="10F41317"/>
    <w:rsid w:val="10F71BA2"/>
    <w:rsid w:val="10F78843"/>
    <w:rsid w:val="10F78FC3"/>
    <w:rsid w:val="10FC9183"/>
    <w:rsid w:val="10FD9F80"/>
    <w:rsid w:val="1100C12A"/>
    <w:rsid w:val="1101DAC9"/>
    <w:rsid w:val="1102A753"/>
    <w:rsid w:val="11050522"/>
    <w:rsid w:val="11076F32"/>
    <w:rsid w:val="110A0253"/>
    <w:rsid w:val="110C6266"/>
    <w:rsid w:val="110DD372"/>
    <w:rsid w:val="110FACF0"/>
    <w:rsid w:val="1110BBBA"/>
    <w:rsid w:val="11134AE6"/>
    <w:rsid w:val="1114F3B3"/>
    <w:rsid w:val="1116FB61"/>
    <w:rsid w:val="111772B0"/>
    <w:rsid w:val="1119AEC4"/>
    <w:rsid w:val="111AECDF"/>
    <w:rsid w:val="111AF19E"/>
    <w:rsid w:val="111B0EFE"/>
    <w:rsid w:val="111C43BE"/>
    <w:rsid w:val="111D267D"/>
    <w:rsid w:val="111D8100"/>
    <w:rsid w:val="1122CF7D"/>
    <w:rsid w:val="1124885D"/>
    <w:rsid w:val="11262379"/>
    <w:rsid w:val="1127B4D9"/>
    <w:rsid w:val="1129D6AB"/>
    <w:rsid w:val="112AAEE6"/>
    <w:rsid w:val="112C35B1"/>
    <w:rsid w:val="112C72BB"/>
    <w:rsid w:val="112C8106"/>
    <w:rsid w:val="112DEF1B"/>
    <w:rsid w:val="1133670F"/>
    <w:rsid w:val="1134ECE6"/>
    <w:rsid w:val="1138EC12"/>
    <w:rsid w:val="1139DC2F"/>
    <w:rsid w:val="113D8E9D"/>
    <w:rsid w:val="114014EC"/>
    <w:rsid w:val="1143401F"/>
    <w:rsid w:val="1145D088"/>
    <w:rsid w:val="11470EC9"/>
    <w:rsid w:val="11486904"/>
    <w:rsid w:val="1148AAB2"/>
    <w:rsid w:val="114B4ADF"/>
    <w:rsid w:val="114BD1E4"/>
    <w:rsid w:val="1156C4E5"/>
    <w:rsid w:val="115DA36A"/>
    <w:rsid w:val="115F6597"/>
    <w:rsid w:val="1161B33F"/>
    <w:rsid w:val="1164F58D"/>
    <w:rsid w:val="116635F0"/>
    <w:rsid w:val="11679C56"/>
    <w:rsid w:val="1167B0C5"/>
    <w:rsid w:val="116A02B7"/>
    <w:rsid w:val="116AEE08"/>
    <w:rsid w:val="116B0DE0"/>
    <w:rsid w:val="116CC446"/>
    <w:rsid w:val="116F664C"/>
    <w:rsid w:val="1172E393"/>
    <w:rsid w:val="11770CB0"/>
    <w:rsid w:val="11774488"/>
    <w:rsid w:val="1177DDCD"/>
    <w:rsid w:val="117830E6"/>
    <w:rsid w:val="117A3364"/>
    <w:rsid w:val="117AB385"/>
    <w:rsid w:val="117AC9F3"/>
    <w:rsid w:val="117BCC4F"/>
    <w:rsid w:val="117C704B"/>
    <w:rsid w:val="118788D1"/>
    <w:rsid w:val="1187F9BD"/>
    <w:rsid w:val="118B227C"/>
    <w:rsid w:val="118B7EC3"/>
    <w:rsid w:val="11904A37"/>
    <w:rsid w:val="1195A9E9"/>
    <w:rsid w:val="11960605"/>
    <w:rsid w:val="1199688E"/>
    <w:rsid w:val="1199BE30"/>
    <w:rsid w:val="119B48D5"/>
    <w:rsid w:val="119BCFBB"/>
    <w:rsid w:val="119C49D5"/>
    <w:rsid w:val="119C9A77"/>
    <w:rsid w:val="119CA8AD"/>
    <w:rsid w:val="119DC73C"/>
    <w:rsid w:val="11A6B1AF"/>
    <w:rsid w:val="11AB214D"/>
    <w:rsid w:val="11ADD977"/>
    <w:rsid w:val="11AED2DC"/>
    <w:rsid w:val="11AF70AE"/>
    <w:rsid w:val="11B12413"/>
    <w:rsid w:val="11B39986"/>
    <w:rsid w:val="11B4BAD7"/>
    <w:rsid w:val="11B6823E"/>
    <w:rsid w:val="11B6C806"/>
    <w:rsid w:val="11C33E2A"/>
    <w:rsid w:val="11C40675"/>
    <w:rsid w:val="11C488B4"/>
    <w:rsid w:val="11C5BE58"/>
    <w:rsid w:val="11C737DE"/>
    <w:rsid w:val="11C76AFD"/>
    <w:rsid w:val="11C781BE"/>
    <w:rsid w:val="11CA0F95"/>
    <w:rsid w:val="11CAD512"/>
    <w:rsid w:val="11CBB945"/>
    <w:rsid w:val="11D10F5A"/>
    <w:rsid w:val="11D2B712"/>
    <w:rsid w:val="11D2BD08"/>
    <w:rsid w:val="11D36540"/>
    <w:rsid w:val="11D37105"/>
    <w:rsid w:val="11D587DB"/>
    <w:rsid w:val="11DD5D4B"/>
    <w:rsid w:val="11DDDF9A"/>
    <w:rsid w:val="11E2C074"/>
    <w:rsid w:val="11E2DC1A"/>
    <w:rsid w:val="11E833CB"/>
    <w:rsid w:val="11EE13D3"/>
    <w:rsid w:val="11EE4B12"/>
    <w:rsid w:val="11EFAABA"/>
    <w:rsid w:val="11F21696"/>
    <w:rsid w:val="11F50DC7"/>
    <w:rsid w:val="11F62311"/>
    <w:rsid w:val="11F95D4E"/>
    <w:rsid w:val="11FA9BC8"/>
    <w:rsid w:val="11FBC4A3"/>
    <w:rsid w:val="11FC5CD8"/>
    <w:rsid w:val="1200EE1C"/>
    <w:rsid w:val="1202E173"/>
    <w:rsid w:val="1203B196"/>
    <w:rsid w:val="1205A0AD"/>
    <w:rsid w:val="12065995"/>
    <w:rsid w:val="120EBE50"/>
    <w:rsid w:val="12107CE1"/>
    <w:rsid w:val="1213B0C8"/>
    <w:rsid w:val="12147B00"/>
    <w:rsid w:val="12157F69"/>
    <w:rsid w:val="1216C994"/>
    <w:rsid w:val="12188F91"/>
    <w:rsid w:val="121C498C"/>
    <w:rsid w:val="121E90F0"/>
    <w:rsid w:val="12209232"/>
    <w:rsid w:val="122C5BB1"/>
    <w:rsid w:val="122E35FE"/>
    <w:rsid w:val="122E6237"/>
    <w:rsid w:val="1231528A"/>
    <w:rsid w:val="123538AB"/>
    <w:rsid w:val="12361557"/>
    <w:rsid w:val="123724CB"/>
    <w:rsid w:val="12383E42"/>
    <w:rsid w:val="12393093"/>
    <w:rsid w:val="123BE44B"/>
    <w:rsid w:val="12432BCA"/>
    <w:rsid w:val="12466068"/>
    <w:rsid w:val="1247DDCE"/>
    <w:rsid w:val="124C17EC"/>
    <w:rsid w:val="124D0A3C"/>
    <w:rsid w:val="124E8582"/>
    <w:rsid w:val="124EE3A9"/>
    <w:rsid w:val="124F2EC5"/>
    <w:rsid w:val="1250FA57"/>
    <w:rsid w:val="1251E6D8"/>
    <w:rsid w:val="12523D97"/>
    <w:rsid w:val="125265A8"/>
    <w:rsid w:val="12575806"/>
    <w:rsid w:val="125968D7"/>
    <w:rsid w:val="1259FA00"/>
    <w:rsid w:val="125B9AB0"/>
    <w:rsid w:val="125CA01F"/>
    <w:rsid w:val="125CCCA7"/>
    <w:rsid w:val="125DFDBC"/>
    <w:rsid w:val="125FE7B6"/>
    <w:rsid w:val="12635A51"/>
    <w:rsid w:val="126418BB"/>
    <w:rsid w:val="12667E76"/>
    <w:rsid w:val="12695F2A"/>
    <w:rsid w:val="126CBB71"/>
    <w:rsid w:val="126EECCC"/>
    <w:rsid w:val="1274FCB3"/>
    <w:rsid w:val="127A61F6"/>
    <w:rsid w:val="127B1CE1"/>
    <w:rsid w:val="128099DE"/>
    <w:rsid w:val="128459EE"/>
    <w:rsid w:val="1284688C"/>
    <w:rsid w:val="1285D451"/>
    <w:rsid w:val="128CA154"/>
    <w:rsid w:val="128D8F67"/>
    <w:rsid w:val="128FFDA6"/>
    <w:rsid w:val="12979BB7"/>
    <w:rsid w:val="12985398"/>
    <w:rsid w:val="1299CB05"/>
    <w:rsid w:val="129B1E51"/>
    <w:rsid w:val="129EB812"/>
    <w:rsid w:val="129EDA4F"/>
    <w:rsid w:val="12A20E2D"/>
    <w:rsid w:val="12A2926C"/>
    <w:rsid w:val="12A2A7B4"/>
    <w:rsid w:val="12A4DBBC"/>
    <w:rsid w:val="12A71320"/>
    <w:rsid w:val="12A76FEA"/>
    <w:rsid w:val="12A93920"/>
    <w:rsid w:val="12AC51FC"/>
    <w:rsid w:val="12AD8B09"/>
    <w:rsid w:val="12AEDC0A"/>
    <w:rsid w:val="12B64212"/>
    <w:rsid w:val="12B66D23"/>
    <w:rsid w:val="12B76D0A"/>
    <w:rsid w:val="12B880E4"/>
    <w:rsid w:val="12BB129E"/>
    <w:rsid w:val="12C086C5"/>
    <w:rsid w:val="12C24073"/>
    <w:rsid w:val="12C47036"/>
    <w:rsid w:val="12C5A0FB"/>
    <w:rsid w:val="12C5B758"/>
    <w:rsid w:val="12C62496"/>
    <w:rsid w:val="12D1F278"/>
    <w:rsid w:val="12D2A5AB"/>
    <w:rsid w:val="12D615C4"/>
    <w:rsid w:val="12D744CC"/>
    <w:rsid w:val="12D97304"/>
    <w:rsid w:val="12DB2D0E"/>
    <w:rsid w:val="12DB5B35"/>
    <w:rsid w:val="12DD2AF9"/>
    <w:rsid w:val="12DE7FD1"/>
    <w:rsid w:val="12DFA0A5"/>
    <w:rsid w:val="12E39541"/>
    <w:rsid w:val="12E3A2C1"/>
    <w:rsid w:val="12E644C2"/>
    <w:rsid w:val="12E9441D"/>
    <w:rsid w:val="12EAC314"/>
    <w:rsid w:val="12EC27FE"/>
    <w:rsid w:val="12EC9653"/>
    <w:rsid w:val="12EF3E81"/>
    <w:rsid w:val="12F21729"/>
    <w:rsid w:val="12F4B0B8"/>
    <w:rsid w:val="12F50A56"/>
    <w:rsid w:val="12F7D9C4"/>
    <w:rsid w:val="12F9E992"/>
    <w:rsid w:val="12FACBD6"/>
    <w:rsid w:val="1300B310"/>
    <w:rsid w:val="1303D208"/>
    <w:rsid w:val="1306AA9C"/>
    <w:rsid w:val="1308ECF1"/>
    <w:rsid w:val="1309D827"/>
    <w:rsid w:val="130A1496"/>
    <w:rsid w:val="130AB800"/>
    <w:rsid w:val="1310231E"/>
    <w:rsid w:val="13187EE3"/>
    <w:rsid w:val="131AD0CB"/>
    <w:rsid w:val="131AF132"/>
    <w:rsid w:val="131B02E6"/>
    <w:rsid w:val="131BC347"/>
    <w:rsid w:val="131D5E60"/>
    <w:rsid w:val="131E3E67"/>
    <w:rsid w:val="1322C9AB"/>
    <w:rsid w:val="1328A0B6"/>
    <w:rsid w:val="132A0A04"/>
    <w:rsid w:val="1330122D"/>
    <w:rsid w:val="13308D30"/>
    <w:rsid w:val="133191F5"/>
    <w:rsid w:val="133361F7"/>
    <w:rsid w:val="133AAD8C"/>
    <w:rsid w:val="133AD1E4"/>
    <w:rsid w:val="133F0BDA"/>
    <w:rsid w:val="134254B5"/>
    <w:rsid w:val="134259C8"/>
    <w:rsid w:val="13438860"/>
    <w:rsid w:val="13461283"/>
    <w:rsid w:val="13482E0F"/>
    <w:rsid w:val="1348A8BD"/>
    <w:rsid w:val="134C15E2"/>
    <w:rsid w:val="134FDE4B"/>
    <w:rsid w:val="135A7D76"/>
    <w:rsid w:val="135C57B3"/>
    <w:rsid w:val="13659DD2"/>
    <w:rsid w:val="13667F22"/>
    <w:rsid w:val="13696A12"/>
    <w:rsid w:val="13699B56"/>
    <w:rsid w:val="136D7BA1"/>
    <w:rsid w:val="136D84C8"/>
    <w:rsid w:val="1370118E"/>
    <w:rsid w:val="13736E47"/>
    <w:rsid w:val="1374DC0A"/>
    <w:rsid w:val="137669D0"/>
    <w:rsid w:val="137CC0DA"/>
    <w:rsid w:val="137CC9BD"/>
    <w:rsid w:val="13801F5E"/>
    <w:rsid w:val="1380FD08"/>
    <w:rsid w:val="1382FDAD"/>
    <w:rsid w:val="13841EF1"/>
    <w:rsid w:val="1384F392"/>
    <w:rsid w:val="1388BEE8"/>
    <w:rsid w:val="138AF574"/>
    <w:rsid w:val="138DEBA4"/>
    <w:rsid w:val="1390F132"/>
    <w:rsid w:val="13929216"/>
    <w:rsid w:val="1392FFD6"/>
    <w:rsid w:val="139530C5"/>
    <w:rsid w:val="1395EF4D"/>
    <w:rsid w:val="1395EFA7"/>
    <w:rsid w:val="13975BA1"/>
    <w:rsid w:val="139B6821"/>
    <w:rsid w:val="139E2344"/>
    <w:rsid w:val="13A0FDC6"/>
    <w:rsid w:val="13A5EDA9"/>
    <w:rsid w:val="13A7B235"/>
    <w:rsid w:val="13A83262"/>
    <w:rsid w:val="13ACBF10"/>
    <w:rsid w:val="13AE35EF"/>
    <w:rsid w:val="13AE474A"/>
    <w:rsid w:val="13AF2A74"/>
    <w:rsid w:val="13AFDD83"/>
    <w:rsid w:val="13B6286B"/>
    <w:rsid w:val="13B6CACB"/>
    <w:rsid w:val="13B9EBED"/>
    <w:rsid w:val="13BCCFCA"/>
    <w:rsid w:val="13C2A5E7"/>
    <w:rsid w:val="13C2AA1C"/>
    <w:rsid w:val="13C4E750"/>
    <w:rsid w:val="13C52A56"/>
    <w:rsid w:val="13C7019D"/>
    <w:rsid w:val="13C78419"/>
    <w:rsid w:val="13CC643E"/>
    <w:rsid w:val="13CD990A"/>
    <w:rsid w:val="13CF6906"/>
    <w:rsid w:val="13D589FA"/>
    <w:rsid w:val="13D8420A"/>
    <w:rsid w:val="13DF967B"/>
    <w:rsid w:val="13E0E08B"/>
    <w:rsid w:val="13E9ABCF"/>
    <w:rsid w:val="13E9E37D"/>
    <w:rsid w:val="13ED7092"/>
    <w:rsid w:val="13EED0B7"/>
    <w:rsid w:val="13EF5693"/>
    <w:rsid w:val="13F0CBA9"/>
    <w:rsid w:val="13F1A530"/>
    <w:rsid w:val="13F218D3"/>
    <w:rsid w:val="13F2DCB9"/>
    <w:rsid w:val="13F43066"/>
    <w:rsid w:val="13F7108A"/>
    <w:rsid w:val="13F99A6D"/>
    <w:rsid w:val="13FBF563"/>
    <w:rsid w:val="13FCC980"/>
    <w:rsid w:val="13FCEEE4"/>
    <w:rsid w:val="13FEB4C6"/>
    <w:rsid w:val="140215CB"/>
    <w:rsid w:val="1406A387"/>
    <w:rsid w:val="14073E27"/>
    <w:rsid w:val="140A1D76"/>
    <w:rsid w:val="140BE567"/>
    <w:rsid w:val="140E8396"/>
    <w:rsid w:val="141018A1"/>
    <w:rsid w:val="14110BB3"/>
    <w:rsid w:val="14169569"/>
    <w:rsid w:val="14176AFF"/>
    <w:rsid w:val="141DC7C1"/>
    <w:rsid w:val="141EC8B8"/>
    <w:rsid w:val="14249ABA"/>
    <w:rsid w:val="1429B676"/>
    <w:rsid w:val="142B6C5A"/>
    <w:rsid w:val="142B7C22"/>
    <w:rsid w:val="142BBC93"/>
    <w:rsid w:val="142C33D0"/>
    <w:rsid w:val="142D30DE"/>
    <w:rsid w:val="142D458B"/>
    <w:rsid w:val="143157BA"/>
    <w:rsid w:val="1434015C"/>
    <w:rsid w:val="1434B65B"/>
    <w:rsid w:val="1440F89D"/>
    <w:rsid w:val="14417977"/>
    <w:rsid w:val="1443E5EE"/>
    <w:rsid w:val="144B87D9"/>
    <w:rsid w:val="144BF4F5"/>
    <w:rsid w:val="144D3725"/>
    <w:rsid w:val="144E7720"/>
    <w:rsid w:val="1453ABC4"/>
    <w:rsid w:val="1453C2E0"/>
    <w:rsid w:val="145984F0"/>
    <w:rsid w:val="145A811B"/>
    <w:rsid w:val="145D16E3"/>
    <w:rsid w:val="145DD1FA"/>
    <w:rsid w:val="145FB107"/>
    <w:rsid w:val="1465168A"/>
    <w:rsid w:val="1467A220"/>
    <w:rsid w:val="1468779B"/>
    <w:rsid w:val="146883FD"/>
    <w:rsid w:val="14698515"/>
    <w:rsid w:val="146C36B0"/>
    <w:rsid w:val="1478E48E"/>
    <w:rsid w:val="1479236B"/>
    <w:rsid w:val="147C4EE2"/>
    <w:rsid w:val="147D685B"/>
    <w:rsid w:val="14800BC1"/>
    <w:rsid w:val="14805BC2"/>
    <w:rsid w:val="1488A9D9"/>
    <w:rsid w:val="1488C3FE"/>
    <w:rsid w:val="148E4772"/>
    <w:rsid w:val="148F62E4"/>
    <w:rsid w:val="149109D7"/>
    <w:rsid w:val="1492ADE0"/>
    <w:rsid w:val="1495097D"/>
    <w:rsid w:val="14990003"/>
    <w:rsid w:val="149BE136"/>
    <w:rsid w:val="14A0709B"/>
    <w:rsid w:val="14A35FDF"/>
    <w:rsid w:val="14A3E347"/>
    <w:rsid w:val="14A4C464"/>
    <w:rsid w:val="14A4D3C2"/>
    <w:rsid w:val="14A57304"/>
    <w:rsid w:val="14A6A7C7"/>
    <w:rsid w:val="14A7160F"/>
    <w:rsid w:val="14A8E113"/>
    <w:rsid w:val="14A9487F"/>
    <w:rsid w:val="14AE445C"/>
    <w:rsid w:val="14AF0DB2"/>
    <w:rsid w:val="14B23E59"/>
    <w:rsid w:val="14B512C0"/>
    <w:rsid w:val="14BB8921"/>
    <w:rsid w:val="14BBF453"/>
    <w:rsid w:val="14BE1661"/>
    <w:rsid w:val="14C33015"/>
    <w:rsid w:val="14C39DF0"/>
    <w:rsid w:val="14C485B1"/>
    <w:rsid w:val="14C7300D"/>
    <w:rsid w:val="14C7734C"/>
    <w:rsid w:val="14CC213A"/>
    <w:rsid w:val="14CC55F1"/>
    <w:rsid w:val="14CF3E1E"/>
    <w:rsid w:val="14D5ED62"/>
    <w:rsid w:val="14D982E8"/>
    <w:rsid w:val="14DA204D"/>
    <w:rsid w:val="14DAB60A"/>
    <w:rsid w:val="14DB5CF9"/>
    <w:rsid w:val="14DBDFDE"/>
    <w:rsid w:val="14DC4994"/>
    <w:rsid w:val="14E047D8"/>
    <w:rsid w:val="14E29B43"/>
    <w:rsid w:val="14E4CB30"/>
    <w:rsid w:val="14EDCEFB"/>
    <w:rsid w:val="14EEA20D"/>
    <w:rsid w:val="14F2A134"/>
    <w:rsid w:val="14F37ED8"/>
    <w:rsid w:val="14F68074"/>
    <w:rsid w:val="14F74B4E"/>
    <w:rsid w:val="14F84D7A"/>
    <w:rsid w:val="1501BF59"/>
    <w:rsid w:val="1502BE6D"/>
    <w:rsid w:val="15054549"/>
    <w:rsid w:val="150A4789"/>
    <w:rsid w:val="1511D075"/>
    <w:rsid w:val="15140BDF"/>
    <w:rsid w:val="1515A64F"/>
    <w:rsid w:val="1517F601"/>
    <w:rsid w:val="151B4971"/>
    <w:rsid w:val="151F6A66"/>
    <w:rsid w:val="1520DCFD"/>
    <w:rsid w:val="1521B3E4"/>
    <w:rsid w:val="15235D47"/>
    <w:rsid w:val="15262FFD"/>
    <w:rsid w:val="152E354E"/>
    <w:rsid w:val="152E5F57"/>
    <w:rsid w:val="152E9AB0"/>
    <w:rsid w:val="152F6F7B"/>
    <w:rsid w:val="15305DB5"/>
    <w:rsid w:val="1531201B"/>
    <w:rsid w:val="153407BD"/>
    <w:rsid w:val="153800E7"/>
    <w:rsid w:val="1539CA58"/>
    <w:rsid w:val="153A7763"/>
    <w:rsid w:val="153C376A"/>
    <w:rsid w:val="153D8B50"/>
    <w:rsid w:val="153DBFDE"/>
    <w:rsid w:val="154393DF"/>
    <w:rsid w:val="154B6BB9"/>
    <w:rsid w:val="154BF5B5"/>
    <w:rsid w:val="154D9D9B"/>
    <w:rsid w:val="1553CF10"/>
    <w:rsid w:val="155581CB"/>
    <w:rsid w:val="1556591A"/>
    <w:rsid w:val="155836D3"/>
    <w:rsid w:val="155CBB87"/>
    <w:rsid w:val="155F1B98"/>
    <w:rsid w:val="155FBE6C"/>
    <w:rsid w:val="155FCC8A"/>
    <w:rsid w:val="15613AD5"/>
    <w:rsid w:val="15625C27"/>
    <w:rsid w:val="1563B3D0"/>
    <w:rsid w:val="1565E28A"/>
    <w:rsid w:val="1567617D"/>
    <w:rsid w:val="15676FAD"/>
    <w:rsid w:val="156923C8"/>
    <w:rsid w:val="156AB0C3"/>
    <w:rsid w:val="156C9598"/>
    <w:rsid w:val="156CA8D2"/>
    <w:rsid w:val="156EC5E9"/>
    <w:rsid w:val="156F4F2D"/>
    <w:rsid w:val="15704398"/>
    <w:rsid w:val="15740BE4"/>
    <w:rsid w:val="157576CB"/>
    <w:rsid w:val="15775FFC"/>
    <w:rsid w:val="15780E64"/>
    <w:rsid w:val="157BC72A"/>
    <w:rsid w:val="157C0603"/>
    <w:rsid w:val="157C3C39"/>
    <w:rsid w:val="1580F531"/>
    <w:rsid w:val="15825E15"/>
    <w:rsid w:val="15830B02"/>
    <w:rsid w:val="15877494"/>
    <w:rsid w:val="158DD918"/>
    <w:rsid w:val="1592210D"/>
    <w:rsid w:val="159DF523"/>
    <w:rsid w:val="159EC886"/>
    <w:rsid w:val="159EF9D2"/>
    <w:rsid w:val="159FE80A"/>
    <w:rsid w:val="15A5CD2A"/>
    <w:rsid w:val="15A7352E"/>
    <w:rsid w:val="15A95B3C"/>
    <w:rsid w:val="15AAD0B7"/>
    <w:rsid w:val="15AE42C7"/>
    <w:rsid w:val="15AE6DFB"/>
    <w:rsid w:val="15B0605A"/>
    <w:rsid w:val="15B431D3"/>
    <w:rsid w:val="15B67B0B"/>
    <w:rsid w:val="15B79849"/>
    <w:rsid w:val="15B99383"/>
    <w:rsid w:val="15BA0FA8"/>
    <w:rsid w:val="15BDA36B"/>
    <w:rsid w:val="15BDE9C0"/>
    <w:rsid w:val="15C18AFA"/>
    <w:rsid w:val="15C1B0FA"/>
    <w:rsid w:val="15C3A35C"/>
    <w:rsid w:val="15C5641E"/>
    <w:rsid w:val="15D1FD18"/>
    <w:rsid w:val="15D23DCC"/>
    <w:rsid w:val="15D31839"/>
    <w:rsid w:val="15D4D1B7"/>
    <w:rsid w:val="15D50D49"/>
    <w:rsid w:val="15D5F4CA"/>
    <w:rsid w:val="15D7383F"/>
    <w:rsid w:val="15DE9271"/>
    <w:rsid w:val="15DF0522"/>
    <w:rsid w:val="15E1500A"/>
    <w:rsid w:val="15E2D344"/>
    <w:rsid w:val="15E6E817"/>
    <w:rsid w:val="15E75CE4"/>
    <w:rsid w:val="15E8173C"/>
    <w:rsid w:val="15E8E366"/>
    <w:rsid w:val="15EF2EC5"/>
    <w:rsid w:val="15F0380B"/>
    <w:rsid w:val="15F04280"/>
    <w:rsid w:val="15F19399"/>
    <w:rsid w:val="15F1C807"/>
    <w:rsid w:val="15F2C61C"/>
    <w:rsid w:val="15F60E55"/>
    <w:rsid w:val="15F63C29"/>
    <w:rsid w:val="15FAFBBC"/>
    <w:rsid w:val="15FC4691"/>
    <w:rsid w:val="15FDF632"/>
    <w:rsid w:val="15FE4162"/>
    <w:rsid w:val="16013D7C"/>
    <w:rsid w:val="16030E16"/>
    <w:rsid w:val="1608D644"/>
    <w:rsid w:val="160A2FB1"/>
    <w:rsid w:val="160AC3D0"/>
    <w:rsid w:val="160CA9CD"/>
    <w:rsid w:val="160DB6B6"/>
    <w:rsid w:val="1610FCED"/>
    <w:rsid w:val="16179C05"/>
    <w:rsid w:val="16184B56"/>
    <w:rsid w:val="161B5D94"/>
    <w:rsid w:val="161C3CA3"/>
    <w:rsid w:val="161F7B01"/>
    <w:rsid w:val="1620D6D4"/>
    <w:rsid w:val="1624D687"/>
    <w:rsid w:val="162A6242"/>
    <w:rsid w:val="162E17C4"/>
    <w:rsid w:val="163133F8"/>
    <w:rsid w:val="16332FD4"/>
    <w:rsid w:val="16335C81"/>
    <w:rsid w:val="163A4A07"/>
    <w:rsid w:val="163D09C1"/>
    <w:rsid w:val="163E7571"/>
    <w:rsid w:val="163FD1A3"/>
    <w:rsid w:val="1640E5B1"/>
    <w:rsid w:val="16431D53"/>
    <w:rsid w:val="16450EDC"/>
    <w:rsid w:val="164585EF"/>
    <w:rsid w:val="164830CB"/>
    <w:rsid w:val="16486CB0"/>
    <w:rsid w:val="1649198D"/>
    <w:rsid w:val="16557C1E"/>
    <w:rsid w:val="1657095F"/>
    <w:rsid w:val="1657EAF7"/>
    <w:rsid w:val="16599C6A"/>
    <w:rsid w:val="1662F962"/>
    <w:rsid w:val="16637288"/>
    <w:rsid w:val="16668C83"/>
    <w:rsid w:val="166AE1B2"/>
    <w:rsid w:val="166B9019"/>
    <w:rsid w:val="166D9C8C"/>
    <w:rsid w:val="166DB2F5"/>
    <w:rsid w:val="166DEDC8"/>
    <w:rsid w:val="1670625C"/>
    <w:rsid w:val="167324E3"/>
    <w:rsid w:val="1674026E"/>
    <w:rsid w:val="1675F98E"/>
    <w:rsid w:val="16793F62"/>
    <w:rsid w:val="167B4F28"/>
    <w:rsid w:val="167E6F49"/>
    <w:rsid w:val="167E74EB"/>
    <w:rsid w:val="16819AF3"/>
    <w:rsid w:val="16828599"/>
    <w:rsid w:val="16854645"/>
    <w:rsid w:val="16879EE3"/>
    <w:rsid w:val="168B5334"/>
    <w:rsid w:val="168ECC1C"/>
    <w:rsid w:val="168ED482"/>
    <w:rsid w:val="1690FD61"/>
    <w:rsid w:val="169108AA"/>
    <w:rsid w:val="1691B002"/>
    <w:rsid w:val="169C2DD0"/>
    <w:rsid w:val="169F77E7"/>
    <w:rsid w:val="16A032F8"/>
    <w:rsid w:val="16A9D0E6"/>
    <w:rsid w:val="16AC8C9A"/>
    <w:rsid w:val="16AD25CF"/>
    <w:rsid w:val="16AD3900"/>
    <w:rsid w:val="16AD9A8C"/>
    <w:rsid w:val="16B1769C"/>
    <w:rsid w:val="16B299FB"/>
    <w:rsid w:val="16B2EA39"/>
    <w:rsid w:val="16B53D18"/>
    <w:rsid w:val="16B7AA1D"/>
    <w:rsid w:val="16B90D00"/>
    <w:rsid w:val="16BCAAD8"/>
    <w:rsid w:val="16C06DFF"/>
    <w:rsid w:val="16C1F79F"/>
    <w:rsid w:val="16C3FB21"/>
    <w:rsid w:val="16C64353"/>
    <w:rsid w:val="16C67AB4"/>
    <w:rsid w:val="16C8AA69"/>
    <w:rsid w:val="16C97BF8"/>
    <w:rsid w:val="16C984B7"/>
    <w:rsid w:val="16C9E66D"/>
    <w:rsid w:val="16CDB070"/>
    <w:rsid w:val="16D17616"/>
    <w:rsid w:val="16D1D388"/>
    <w:rsid w:val="16D1DFE2"/>
    <w:rsid w:val="16D209DD"/>
    <w:rsid w:val="16D28A29"/>
    <w:rsid w:val="16D2F4CF"/>
    <w:rsid w:val="16D58128"/>
    <w:rsid w:val="16D581B2"/>
    <w:rsid w:val="16D81EF8"/>
    <w:rsid w:val="16D9E13C"/>
    <w:rsid w:val="16DC92D9"/>
    <w:rsid w:val="16DD6231"/>
    <w:rsid w:val="16DEDF5F"/>
    <w:rsid w:val="16DF9B58"/>
    <w:rsid w:val="16E0B02A"/>
    <w:rsid w:val="16E22B43"/>
    <w:rsid w:val="16E7AA89"/>
    <w:rsid w:val="16E8D028"/>
    <w:rsid w:val="16EAF16B"/>
    <w:rsid w:val="16EC2262"/>
    <w:rsid w:val="16EF81A3"/>
    <w:rsid w:val="16F19988"/>
    <w:rsid w:val="16F75CC3"/>
    <w:rsid w:val="16F77525"/>
    <w:rsid w:val="16FAE9A6"/>
    <w:rsid w:val="16FC0AD5"/>
    <w:rsid w:val="16FC77A7"/>
    <w:rsid w:val="170BC917"/>
    <w:rsid w:val="170E96B6"/>
    <w:rsid w:val="17106719"/>
    <w:rsid w:val="17161BA3"/>
    <w:rsid w:val="171649CE"/>
    <w:rsid w:val="1716CABB"/>
    <w:rsid w:val="17189310"/>
    <w:rsid w:val="1719DF96"/>
    <w:rsid w:val="171CD55C"/>
    <w:rsid w:val="171D502D"/>
    <w:rsid w:val="171E96E8"/>
    <w:rsid w:val="172293CD"/>
    <w:rsid w:val="17239EC1"/>
    <w:rsid w:val="1723C09D"/>
    <w:rsid w:val="1725BFF8"/>
    <w:rsid w:val="1726868E"/>
    <w:rsid w:val="1727BF5F"/>
    <w:rsid w:val="172C00A9"/>
    <w:rsid w:val="172EE1C5"/>
    <w:rsid w:val="172FE53A"/>
    <w:rsid w:val="1731130F"/>
    <w:rsid w:val="17353C08"/>
    <w:rsid w:val="1737C914"/>
    <w:rsid w:val="173A09AB"/>
    <w:rsid w:val="173CBAF9"/>
    <w:rsid w:val="173EC039"/>
    <w:rsid w:val="1740008B"/>
    <w:rsid w:val="1746B55A"/>
    <w:rsid w:val="1746BA04"/>
    <w:rsid w:val="174A42FC"/>
    <w:rsid w:val="174A6211"/>
    <w:rsid w:val="174CE025"/>
    <w:rsid w:val="175076DE"/>
    <w:rsid w:val="1751FAD2"/>
    <w:rsid w:val="1758E054"/>
    <w:rsid w:val="175FEAB2"/>
    <w:rsid w:val="1762C13B"/>
    <w:rsid w:val="1762D3A5"/>
    <w:rsid w:val="17675F19"/>
    <w:rsid w:val="176E20EE"/>
    <w:rsid w:val="17702675"/>
    <w:rsid w:val="1770BD42"/>
    <w:rsid w:val="1771CB6D"/>
    <w:rsid w:val="17740DE3"/>
    <w:rsid w:val="17755790"/>
    <w:rsid w:val="1777417C"/>
    <w:rsid w:val="17778DF2"/>
    <w:rsid w:val="17797451"/>
    <w:rsid w:val="177AE88C"/>
    <w:rsid w:val="177D9490"/>
    <w:rsid w:val="178179AA"/>
    <w:rsid w:val="17836922"/>
    <w:rsid w:val="1783A9D2"/>
    <w:rsid w:val="1784CAF4"/>
    <w:rsid w:val="178524FA"/>
    <w:rsid w:val="1785B0EC"/>
    <w:rsid w:val="178A0A47"/>
    <w:rsid w:val="178A2BD4"/>
    <w:rsid w:val="179578EF"/>
    <w:rsid w:val="179914F5"/>
    <w:rsid w:val="17992106"/>
    <w:rsid w:val="179F8DE3"/>
    <w:rsid w:val="17A5FFDB"/>
    <w:rsid w:val="17A768C5"/>
    <w:rsid w:val="17A8A16C"/>
    <w:rsid w:val="17AAD963"/>
    <w:rsid w:val="17AF1B2C"/>
    <w:rsid w:val="17B179C4"/>
    <w:rsid w:val="17B6E177"/>
    <w:rsid w:val="17BB1E26"/>
    <w:rsid w:val="17BB8E80"/>
    <w:rsid w:val="17BBCD25"/>
    <w:rsid w:val="17BE573C"/>
    <w:rsid w:val="17C27353"/>
    <w:rsid w:val="17C81F38"/>
    <w:rsid w:val="17C85706"/>
    <w:rsid w:val="17C8EC3B"/>
    <w:rsid w:val="17CA59B3"/>
    <w:rsid w:val="17CC63BA"/>
    <w:rsid w:val="17CF7123"/>
    <w:rsid w:val="17CFCC04"/>
    <w:rsid w:val="17D03176"/>
    <w:rsid w:val="17D1D3F8"/>
    <w:rsid w:val="17D34312"/>
    <w:rsid w:val="17D53EF8"/>
    <w:rsid w:val="17D6F788"/>
    <w:rsid w:val="17E0C47B"/>
    <w:rsid w:val="17E10864"/>
    <w:rsid w:val="17E1BCCF"/>
    <w:rsid w:val="17E1F6AF"/>
    <w:rsid w:val="17E1F817"/>
    <w:rsid w:val="17E3DFCD"/>
    <w:rsid w:val="17E5D0F7"/>
    <w:rsid w:val="17EA9FA7"/>
    <w:rsid w:val="17F167F8"/>
    <w:rsid w:val="17F2322C"/>
    <w:rsid w:val="17F2B67C"/>
    <w:rsid w:val="17F790EB"/>
    <w:rsid w:val="17F9D11E"/>
    <w:rsid w:val="17FA49B8"/>
    <w:rsid w:val="17FAB15C"/>
    <w:rsid w:val="17FB91F6"/>
    <w:rsid w:val="17FCA2F3"/>
    <w:rsid w:val="17FCEDD9"/>
    <w:rsid w:val="18027A54"/>
    <w:rsid w:val="18037C3A"/>
    <w:rsid w:val="18126C19"/>
    <w:rsid w:val="18149353"/>
    <w:rsid w:val="1818CD6B"/>
    <w:rsid w:val="181CC2F0"/>
    <w:rsid w:val="181DD031"/>
    <w:rsid w:val="181E096C"/>
    <w:rsid w:val="181FE7CB"/>
    <w:rsid w:val="182513BE"/>
    <w:rsid w:val="182BA262"/>
    <w:rsid w:val="182D7F45"/>
    <w:rsid w:val="182E5E5E"/>
    <w:rsid w:val="1830E98C"/>
    <w:rsid w:val="18310F91"/>
    <w:rsid w:val="183343CE"/>
    <w:rsid w:val="1837003F"/>
    <w:rsid w:val="183B0238"/>
    <w:rsid w:val="183D136C"/>
    <w:rsid w:val="183F6D70"/>
    <w:rsid w:val="1840B6A2"/>
    <w:rsid w:val="1841140F"/>
    <w:rsid w:val="18414F86"/>
    <w:rsid w:val="18447E77"/>
    <w:rsid w:val="1847DF77"/>
    <w:rsid w:val="1848A93B"/>
    <w:rsid w:val="184DA50E"/>
    <w:rsid w:val="184E3A86"/>
    <w:rsid w:val="18512CAF"/>
    <w:rsid w:val="1851BEBE"/>
    <w:rsid w:val="1851DF9B"/>
    <w:rsid w:val="18532750"/>
    <w:rsid w:val="1855BF94"/>
    <w:rsid w:val="18579872"/>
    <w:rsid w:val="185847D2"/>
    <w:rsid w:val="185ED533"/>
    <w:rsid w:val="185F1AE3"/>
    <w:rsid w:val="186073B7"/>
    <w:rsid w:val="186347EE"/>
    <w:rsid w:val="186731D8"/>
    <w:rsid w:val="186FDD5E"/>
    <w:rsid w:val="187126DB"/>
    <w:rsid w:val="18716312"/>
    <w:rsid w:val="187311DE"/>
    <w:rsid w:val="187ABAE5"/>
    <w:rsid w:val="187BE42A"/>
    <w:rsid w:val="187C5ABD"/>
    <w:rsid w:val="187E8D5D"/>
    <w:rsid w:val="187F9631"/>
    <w:rsid w:val="1886BDBE"/>
    <w:rsid w:val="1886C70E"/>
    <w:rsid w:val="1887ACAA"/>
    <w:rsid w:val="18888DDB"/>
    <w:rsid w:val="1889472E"/>
    <w:rsid w:val="188DB3D8"/>
    <w:rsid w:val="18907FEB"/>
    <w:rsid w:val="1892A8FD"/>
    <w:rsid w:val="1894913F"/>
    <w:rsid w:val="1897728A"/>
    <w:rsid w:val="1899F2E4"/>
    <w:rsid w:val="189E7921"/>
    <w:rsid w:val="189FA42E"/>
    <w:rsid w:val="18A49509"/>
    <w:rsid w:val="18A4D340"/>
    <w:rsid w:val="18A7311C"/>
    <w:rsid w:val="18AB6550"/>
    <w:rsid w:val="18ABFBE8"/>
    <w:rsid w:val="18ADE46F"/>
    <w:rsid w:val="18AE74BC"/>
    <w:rsid w:val="18B682B8"/>
    <w:rsid w:val="18B8089F"/>
    <w:rsid w:val="18C6F823"/>
    <w:rsid w:val="18C9521E"/>
    <w:rsid w:val="18C98B49"/>
    <w:rsid w:val="18CA447F"/>
    <w:rsid w:val="18CC1F49"/>
    <w:rsid w:val="18CCA133"/>
    <w:rsid w:val="18CDF35F"/>
    <w:rsid w:val="18D6693E"/>
    <w:rsid w:val="18D7FF39"/>
    <w:rsid w:val="18DAF6C7"/>
    <w:rsid w:val="18DE71D5"/>
    <w:rsid w:val="18DECC9D"/>
    <w:rsid w:val="18E1405F"/>
    <w:rsid w:val="18E5DF5F"/>
    <w:rsid w:val="18E98542"/>
    <w:rsid w:val="18F261CD"/>
    <w:rsid w:val="18F4F8CD"/>
    <w:rsid w:val="18F58673"/>
    <w:rsid w:val="18FAF0FD"/>
    <w:rsid w:val="18FCD6C8"/>
    <w:rsid w:val="18FEF6EA"/>
    <w:rsid w:val="1900A647"/>
    <w:rsid w:val="19016EC3"/>
    <w:rsid w:val="1901E6E5"/>
    <w:rsid w:val="1903D48E"/>
    <w:rsid w:val="19055A41"/>
    <w:rsid w:val="1906D4B0"/>
    <w:rsid w:val="190CCB36"/>
    <w:rsid w:val="190E8499"/>
    <w:rsid w:val="190FCA1E"/>
    <w:rsid w:val="1910AE01"/>
    <w:rsid w:val="19138548"/>
    <w:rsid w:val="19138F5A"/>
    <w:rsid w:val="1913BA24"/>
    <w:rsid w:val="19148499"/>
    <w:rsid w:val="191695CF"/>
    <w:rsid w:val="1917E63D"/>
    <w:rsid w:val="19182437"/>
    <w:rsid w:val="191F3844"/>
    <w:rsid w:val="1922CA9F"/>
    <w:rsid w:val="192323F7"/>
    <w:rsid w:val="19240C96"/>
    <w:rsid w:val="19249EC6"/>
    <w:rsid w:val="192B4E8D"/>
    <w:rsid w:val="1930B23D"/>
    <w:rsid w:val="1932E796"/>
    <w:rsid w:val="193397AA"/>
    <w:rsid w:val="19345E84"/>
    <w:rsid w:val="1934936B"/>
    <w:rsid w:val="19352EA9"/>
    <w:rsid w:val="19376B3E"/>
    <w:rsid w:val="19385227"/>
    <w:rsid w:val="193A1F7F"/>
    <w:rsid w:val="19409730"/>
    <w:rsid w:val="19418808"/>
    <w:rsid w:val="19464F7B"/>
    <w:rsid w:val="194942B5"/>
    <w:rsid w:val="194B651B"/>
    <w:rsid w:val="194D4A25"/>
    <w:rsid w:val="194D4F23"/>
    <w:rsid w:val="194D5F73"/>
    <w:rsid w:val="194E6CB9"/>
    <w:rsid w:val="194F6F69"/>
    <w:rsid w:val="1950A203"/>
    <w:rsid w:val="1950FEF3"/>
    <w:rsid w:val="1952ABFB"/>
    <w:rsid w:val="1956A9F8"/>
    <w:rsid w:val="195C721F"/>
    <w:rsid w:val="1960A71F"/>
    <w:rsid w:val="1962552B"/>
    <w:rsid w:val="196546B5"/>
    <w:rsid w:val="19656F3A"/>
    <w:rsid w:val="19666883"/>
    <w:rsid w:val="19693D5A"/>
    <w:rsid w:val="196A5D58"/>
    <w:rsid w:val="196B691A"/>
    <w:rsid w:val="196CA83C"/>
    <w:rsid w:val="196E76A1"/>
    <w:rsid w:val="197734F3"/>
    <w:rsid w:val="1980FE9C"/>
    <w:rsid w:val="19811369"/>
    <w:rsid w:val="198229D0"/>
    <w:rsid w:val="1985703F"/>
    <w:rsid w:val="198CFFBA"/>
    <w:rsid w:val="199017F7"/>
    <w:rsid w:val="19948007"/>
    <w:rsid w:val="19955A3F"/>
    <w:rsid w:val="19960B94"/>
    <w:rsid w:val="19977665"/>
    <w:rsid w:val="199964AB"/>
    <w:rsid w:val="199AC207"/>
    <w:rsid w:val="199C24EB"/>
    <w:rsid w:val="199CBBF9"/>
    <w:rsid w:val="199F59B0"/>
    <w:rsid w:val="19A25AB1"/>
    <w:rsid w:val="19A3ECA1"/>
    <w:rsid w:val="19A8DDEF"/>
    <w:rsid w:val="19AA1059"/>
    <w:rsid w:val="19AA321A"/>
    <w:rsid w:val="19ACB611"/>
    <w:rsid w:val="19AD9EFF"/>
    <w:rsid w:val="19B6163A"/>
    <w:rsid w:val="19B7D8B7"/>
    <w:rsid w:val="19BDE0F4"/>
    <w:rsid w:val="19C1F00D"/>
    <w:rsid w:val="19C38F54"/>
    <w:rsid w:val="19C3902C"/>
    <w:rsid w:val="19C53DC8"/>
    <w:rsid w:val="19CCAAF2"/>
    <w:rsid w:val="19CED3A3"/>
    <w:rsid w:val="19D1E078"/>
    <w:rsid w:val="19D260F8"/>
    <w:rsid w:val="19D3B05F"/>
    <w:rsid w:val="19D5D993"/>
    <w:rsid w:val="19D6C657"/>
    <w:rsid w:val="19D90AD3"/>
    <w:rsid w:val="19DB5BAA"/>
    <w:rsid w:val="19DBEDA3"/>
    <w:rsid w:val="19DC270F"/>
    <w:rsid w:val="19DCD5C5"/>
    <w:rsid w:val="19DD0BEB"/>
    <w:rsid w:val="19DF7E28"/>
    <w:rsid w:val="19DFB6A6"/>
    <w:rsid w:val="19E0B8DC"/>
    <w:rsid w:val="19E0E17D"/>
    <w:rsid w:val="19E41D66"/>
    <w:rsid w:val="19EA7262"/>
    <w:rsid w:val="19EDFF77"/>
    <w:rsid w:val="19F09FED"/>
    <w:rsid w:val="19F115E1"/>
    <w:rsid w:val="19F1893F"/>
    <w:rsid w:val="19F1CAF5"/>
    <w:rsid w:val="19F3355D"/>
    <w:rsid w:val="19F38A03"/>
    <w:rsid w:val="19F4A232"/>
    <w:rsid w:val="19F81F49"/>
    <w:rsid w:val="19F8BEFA"/>
    <w:rsid w:val="19FAC734"/>
    <w:rsid w:val="19FDB807"/>
    <w:rsid w:val="19FE795F"/>
    <w:rsid w:val="1A02126F"/>
    <w:rsid w:val="1A046C43"/>
    <w:rsid w:val="1A051020"/>
    <w:rsid w:val="1A0544C8"/>
    <w:rsid w:val="1A05DD00"/>
    <w:rsid w:val="1A06FA2D"/>
    <w:rsid w:val="1A0A32FC"/>
    <w:rsid w:val="1A0C66B0"/>
    <w:rsid w:val="1A0C9DC5"/>
    <w:rsid w:val="1A12B1B7"/>
    <w:rsid w:val="1A15C4E6"/>
    <w:rsid w:val="1A162F3F"/>
    <w:rsid w:val="1A1850EC"/>
    <w:rsid w:val="1A194114"/>
    <w:rsid w:val="1A1B84B7"/>
    <w:rsid w:val="1A1C77E9"/>
    <w:rsid w:val="1A1D03AC"/>
    <w:rsid w:val="1A2484F7"/>
    <w:rsid w:val="1A257DD8"/>
    <w:rsid w:val="1A2A98DF"/>
    <w:rsid w:val="1A343402"/>
    <w:rsid w:val="1A3D1C56"/>
    <w:rsid w:val="1A428C89"/>
    <w:rsid w:val="1A43AD9D"/>
    <w:rsid w:val="1A46C229"/>
    <w:rsid w:val="1A473867"/>
    <w:rsid w:val="1A479B17"/>
    <w:rsid w:val="1A494F26"/>
    <w:rsid w:val="1A4D91A7"/>
    <w:rsid w:val="1A50FBB3"/>
    <w:rsid w:val="1A544B87"/>
    <w:rsid w:val="1A54D8FA"/>
    <w:rsid w:val="1A555FB8"/>
    <w:rsid w:val="1A5953E6"/>
    <w:rsid w:val="1A5ACE93"/>
    <w:rsid w:val="1A6255FE"/>
    <w:rsid w:val="1A6323D2"/>
    <w:rsid w:val="1A63C406"/>
    <w:rsid w:val="1A67DE60"/>
    <w:rsid w:val="1A681B36"/>
    <w:rsid w:val="1A6C196A"/>
    <w:rsid w:val="1A6D26A8"/>
    <w:rsid w:val="1A6DB095"/>
    <w:rsid w:val="1A6DE09F"/>
    <w:rsid w:val="1A6EA1EC"/>
    <w:rsid w:val="1A6EC7D5"/>
    <w:rsid w:val="1A704663"/>
    <w:rsid w:val="1A73B448"/>
    <w:rsid w:val="1A754508"/>
    <w:rsid w:val="1A755421"/>
    <w:rsid w:val="1A777A2F"/>
    <w:rsid w:val="1A7782F5"/>
    <w:rsid w:val="1A7A920E"/>
    <w:rsid w:val="1A7F9509"/>
    <w:rsid w:val="1A81DF92"/>
    <w:rsid w:val="1A834248"/>
    <w:rsid w:val="1A851853"/>
    <w:rsid w:val="1A86BDD1"/>
    <w:rsid w:val="1A89CE65"/>
    <w:rsid w:val="1A8A109B"/>
    <w:rsid w:val="1A8D5DDB"/>
    <w:rsid w:val="1A92C840"/>
    <w:rsid w:val="1A9350FD"/>
    <w:rsid w:val="1A938B0A"/>
    <w:rsid w:val="1A93D16B"/>
    <w:rsid w:val="1A96E609"/>
    <w:rsid w:val="1AA01BC7"/>
    <w:rsid w:val="1AA19ECF"/>
    <w:rsid w:val="1AA3DED4"/>
    <w:rsid w:val="1AA6C3CB"/>
    <w:rsid w:val="1AA841D5"/>
    <w:rsid w:val="1AA8C0AC"/>
    <w:rsid w:val="1AAC95D1"/>
    <w:rsid w:val="1AAE3991"/>
    <w:rsid w:val="1AAEC81F"/>
    <w:rsid w:val="1AB162B1"/>
    <w:rsid w:val="1AB2AFBB"/>
    <w:rsid w:val="1AB3315C"/>
    <w:rsid w:val="1AB675CB"/>
    <w:rsid w:val="1AB8848A"/>
    <w:rsid w:val="1ABA1187"/>
    <w:rsid w:val="1ABBCF7D"/>
    <w:rsid w:val="1AC36FED"/>
    <w:rsid w:val="1AC57332"/>
    <w:rsid w:val="1AC60B51"/>
    <w:rsid w:val="1AC63E24"/>
    <w:rsid w:val="1AC86282"/>
    <w:rsid w:val="1ACB9282"/>
    <w:rsid w:val="1AD13335"/>
    <w:rsid w:val="1AD5C814"/>
    <w:rsid w:val="1AD6D9FB"/>
    <w:rsid w:val="1AE07237"/>
    <w:rsid w:val="1AE25B00"/>
    <w:rsid w:val="1AE3F770"/>
    <w:rsid w:val="1AE40E28"/>
    <w:rsid w:val="1AE41546"/>
    <w:rsid w:val="1AE610DE"/>
    <w:rsid w:val="1AE7557E"/>
    <w:rsid w:val="1AEF4D99"/>
    <w:rsid w:val="1AF27899"/>
    <w:rsid w:val="1AF2DCEC"/>
    <w:rsid w:val="1AF3012F"/>
    <w:rsid w:val="1AF31DA6"/>
    <w:rsid w:val="1AF34E96"/>
    <w:rsid w:val="1AF34FFF"/>
    <w:rsid w:val="1AF6F350"/>
    <w:rsid w:val="1AFBBF60"/>
    <w:rsid w:val="1AFE04EE"/>
    <w:rsid w:val="1AFE93D4"/>
    <w:rsid w:val="1AFED371"/>
    <w:rsid w:val="1B008B08"/>
    <w:rsid w:val="1B028060"/>
    <w:rsid w:val="1B02CF82"/>
    <w:rsid w:val="1B06F3F0"/>
    <w:rsid w:val="1B082E9B"/>
    <w:rsid w:val="1B095A4C"/>
    <w:rsid w:val="1B0A19EC"/>
    <w:rsid w:val="1B0E9A8F"/>
    <w:rsid w:val="1B0F5402"/>
    <w:rsid w:val="1B0FEFE0"/>
    <w:rsid w:val="1B1106CE"/>
    <w:rsid w:val="1B118F7E"/>
    <w:rsid w:val="1B11910B"/>
    <w:rsid w:val="1B1840DB"/>
    <w:rsid w:val="1B1A1E8D"/>
    <w:rsid w:val="1B1AE82F"/>
    <w:rsid w:val="1B1F5399"/>
    <w:rsid w:val="1B20664A"/>
    <w:rsid w:val="1B219000"/>
    <w:rsid w:val="1B2208FC"/>
    <w:rsid w:val="1B2308F3"/>
    <w:rsid w:val="1B29FA18"/>
    <w:rsid w:val="1B2A4AC0"/>
    <w:rsid w:val="1B2D44DC"/>
    <w:rsid w:val="1B2F4DDB"/>
    <w:rsid w:val="1B2FA1AE"/>
    <w:rsid w:val="1B2FB5C2"/>
    <w:rsid w:val="1B327B76"/>
    <w:rsid w:val="1B341589"/>
    <w:rsid w:val="1B341E3A"/>
    <w:rsid w:val="1B3542A1"/>
    <w:rsid w:val="1B38464A"/>
    <w:rsid w:val="1B39B966"/>
    <w:rsid w:val="1B3D69E6"/>
    <w:rsid w:val="1B3D7A7A"/>
    <w:rsid w:val="1B3DB0D5"/>
    <w:rsid w:val="1B3EECD1"/>
    <w:rsid w:val="1B3F7368"/>
    <w:rsid w:val="1B41B34D"/>
    <w:rsid w:val="1B422AE7"/>
    <w:rsid w:val="1B44CFEA"/>
    <w:rsid w:val="1B461D04"/>
    <w:rsid w:val="1B4971F6"/>
    <w:rsid w:val="1B50936C"/>
    <w:rsid w:val="1B51AA4A"/>
    <w:rsid w:val="1B5241E1"/>
    <w:rsid w:val="1B53F0B9"/>
    <w:rsid w:val="1B578878"/>
    <w:rsid w:val="1B5B5492"/>
    <w:rsid w:val="1B5CB6CE"/>
    <w:rsid w:val="1B5FACD2"/>
    <w:rsid w:val="1B6496D6"/>
    <w:rsid w:val="1B687ED9"/>
    <w:rsid w:val="1B6B0484"/>
    <w:rsid w:val="1B6B30D9"/>
    <w:rsid w:val="1B6CF056"/>
    <w:rsid w:val="1B6F5606"/>
    <w:rsid w:val="1B70B3B8"/>
    <w:rsid w:val="1B733C1A"/>
    <w:rsid w:val="1B74C985"/>
    <w:rsid w:val="1B7515B6"/>
    <w:rsid w:val="1B767B9D"/>
    <w:rsid w:val="1B772530"/>
    <w:rsid w:val="1B79A277"/>
    <w:rsid w:val="1B7B2C64"/>
    <w:rsid w:val="1B7BAF94"/>
    <w:rsid w:val="1B7BF50B"/>
    <w:rsid w:val="1B7D3627"/>
    <w:rsid w:val="1B7FB3D4"/>
    <w:rsid w:val="1B814A72"/>
    <w:rsid w:val="1B819FCF"/>
    <w:rsid w:val="1B83D881"/>
    <w:rsid w:val="1B84F449"/>
    <w:rsid w:val="1B89F5CC"/>
    <w:rsid w:val="1B8FD6D6"/>
    <w:rsid w:val="1B912454"/>
    <w:rsid w:val="1B93EACA"/>
    <w:rsid w:val="1B95BB70"/>
    <w:rsid w:val="1B99BFCC"/>
    <w:rsid w:val="1B9A73AA"/>
    <w:rsid w:val="1B9B9D0D"/>
    <w:rsid w:val="1B9CADC2"/>
    <w:rsid w:val="1B9D139B"/>
    <w:rsid w:val="1BA0344C"/>
    <w:rsid w:val="1BA367C1"/>
    <w:rsid w:val="1BA8D30D"/>
    <w:rsid w:val="1BAAA048"/>
    <w:rsid w:val="1BAB5867"/>
    <w:rsid w:val="1BADC37E"/>
    <w:rsid w:val="1BAF836E"/>
    <w:rsid w:val="1BB06AD8"/>
    <w:rsid w:val="1BB2075E"/>
    <w:rsid w:val="1BB5CA82"/>
    <w:rsid w:val="1BB6E531"/>
    <w:rsid w:val="1BB958E2"/>
    <w:rsid w:val="1BBB2388"/>
    <w:rsid w:val="1BC111DF"/>
    <w:rsid w:val="1BC37B15"/>
    <w:rsid w:val="1BC3B44C"/>
    <w:rsid w:val="1BC401B2"/>
    <w:rsid w:val="1BC6F7A4"/>
    <w:rsid w:val="1BCC0866"/>
    <w:rsid w:val="1BCEB259"/>
    <w:rsid w:val="1BCF18EE"/>
    <w:rsid w:val="1BCFC72C"/>
    <w:rsid w:val="1BD1B084"/>
    <w:rsid w:val="1BD4EB1D"/>
    <w:rsid w:val="1BD5858D"/>
    <w:rsid w:val="1BD5D57D"/>
    <w:rsid w:val="1BDC98E7"/>
    <w:rsid w:val="1BDD480F"/>
    <w:rsid w:val="1BDF987B"/>
    <w:rsid w:val="1BDFA62E"/>
    <w:rsid w:val="1BE2F307"/>
    <w:rsid w:val="1BE405CC"/>
    <w:rsid w:val="1BE5DCEF"/>
    <w:rsid w:val="1BE6B052"/>
    <w:rsid w:val="1BEA16E9"/>
    <w:rsid w:val="1BEB6346"/>
    <w:rsid w:val="1BEDDC28"/>
    <w:rsid w:val="1BF05B2E"/>
    <w:rsid w:val="1BF3F004"/>
    <w:rsid w:val="1BF5BFA8"/>
    <w:rsid w:val="1BF713DD"/>
    <w:rsid w:val="1BF8014B"/>
    <w:rsid w:val="1BFB22D4"/>
    <w:rsid w:val="1C00A3A9"/>
    <w:rsid w:val="1C00A98B"/>
    <w:rsid w:val="1C01FE17"/>
    <w:rsid w:val="1C021691"/>
    <w:rsid w:val="1C08D262"/>
    <w:rsid w:val="1C09AEB1"/>
    <w:rsid w:val="1C0C1C0E"/>
    <w:rsid w:val="1C0C7C3B"/>
    <w:rsid w:val="1C0CFD04"/>
    <w:rsid w:val="1C0D2F45"/>
    <w:rsid w:val="1C0DC472"/>
    <w:rsid w:val="1C0E024A"/>
    <w:rsid w:val="1C139CF5"/>
    <w:rsid w:val="1C19AABC"/>
    <w:rsid w:val="1C1BA155"/>
    <w:rsid w:val="1C1C33CF"/>
    <w:rsid w:val="1C1DFF2C"/>
    <w:rsid w:val="1C1F49FF"/>
    <w:rsid w:val="1C223561"/>
    <w:rsid w:val="1C23121C"/>
    <w:rsid w:val="1C245712"/>
    <w:rsid w:val="1C24A96A"/>
    <w:rsid w:val="1C25403E"/>
    <w:rsid w:val="1C26E7F4"/>
    <w:rsid w:val="1C26FBCC"/>
    <w:rsid w:val="1C27C1A7"/>
    <w:rsid w:val="1C2B044B"/>
    <w:rsid w:val="1C31E61F"/>
    <w:rsid w:val="1C324DE4"/>
    <w:rsid w:val="1C331161"/>
    <w:rsid w:val="1C39E862"/>
    <w:rsid w:val="1C3A541D"/>
    <w:rsid w:val="1C3E2E94"/>
    <w:rsid w:val="1C3E9279"/>
    <w:rsid w:val="1C4480F8"/>
    <w:rsid w:val="1C46DC9D"/>
    <w:rsid w:val="1C47AD61"/>
    <w:rsid w:val="1C49AD9B"/>
    <w:rsid w:val="1C49E86A"/>
    <w:rsid w:val="1C511495"/>
    <w:rsid w:val="1C52C876"/>
    <w:rsid w:val="1C535D2D"/>
    <w:rsid w:val="1C53C4D6"/>
    <w:rsid w:val="1C56F2C5"/>
    <w:rsid w:val="1C57CE6B"/>
    <w:rsid w:val="1C595E34"/>
    <w:rsid w:val="1C5B5DD1"/>
    <w:rsid w:val="1C5BD180"/>
    <w:rsid w:val="1C5DE708"/>
    <w:rsid w:val="1C5FA65C"/>
    <w:rsid w:val="1C606E55"/>
    <w:rsid w:val="1C628D60"/>
    <w:rsid w:val="1C6322C2"/>
    <w:rsid w:val="1C66C6AA"/>
    <w:rsid w:val="1C6DFF71"/>
    <w:rsid w:val="1C6F1D6D"/>
    <w:rsid w:val="1C70E7BB"/>
    <w:rsid w:val="1C712529"/>
    <w:rsid w:val="1C721506"/>
    <w:rsid w:val="1C78D8F7"/>
    <w:rsid w:val="1C7EFFAC"/>
    <w:rsid w:val="1C7F0D85"/>
    <w:rsid w:val="1C80C9F0"/>
    <w:rsid w:val="1C811789"/>
    <w:rsid w:val="1C87A307"/>
    <w:rsid w:val="1C88468D"/>
    <w:rsid w:val="1C891567"/>
    <w:rsid w:val="1C8B324A"/>
    <w:rsid w:val="1C8D1EAF"/>
    <w:rsid w:val="1C8EBC80"/>
    <w:rsid w:val="1C92F214"/>
    <w:rsid w:val="1C93AF6B"/>
    <w:rsid w:val="1C947E7A"/>
    <w:rsid w:val="1C98A14B"/>
    <w:rsid w:val="1C9AF94F"/>
    <w:rsid w:val="1C9B91A0"/>
    <w:rsid w:val="1C9D56DC"/>
    <w:rsid w:val="1C9D8011"/>
    <w:rsid w:val="1CA255AA"/>
    <w:rsid w:val="1CA550E0"/>
    <w:rsid w:val="1CA9ECA1"/>
    <w:rsid w:val="1CAB86BF"/>
    <w:rsid w:val="1CAE5C48"/>
    <w:rsid w:val="1CAFA769"/>
    <w:rsid w:val="1CB16659"/>
    <w:rsid w:val="1CBA7C02"/>
    <w:rsid w:val="1CBAB580"/>
    <w:rsid w:val="1CBE71E9"/>
    <w:rsid w:val="1CBE775E"/>
    <w:rsid w:val="1CBE8D48"/>
    <w:rsid w:val="1CBEC9AB"/>
    <w:rsid w:val="1CBF290C"/>
    <w:rsid w:val="1CBFB83F"/>
    <w:rsid w:val="1CC02074"/>
    <w:rsid w:val="1CC18450"/>
    <w:rsid w:val="1CC2BDA4"/>
    <w:rsid w:val="1CC330CE"/>
    <w:rsid w:val="1CC398F7"/>
    <w:rsid w:val="1CC74779"/>
    <w:rsid w:val="1CC8B6E2"/>
    <w:rsid w:val="1CC8C358"/>
    <w:rsid w:val="1CC98D81"/>
    <w:rsid w:val="1CCCC0E6"/>
    <w:rsid w:val="1CD1FCB6"/>
    <w:rsid w:val="1CD2D6EF"/>
    <w:rsid w:val="1CD426E9"/>
    <w:rsid w:val="1CD4FB9B"/>
    <w:rsid w:val="1CD5CDF4"/>
    <w:rsid w:val="1CD5D105"/>
    <w:rsid w:val="1CD685A8"/>
    <w:rsid w:val="1CD95DB4"/>
    <w:rsid w:val="1CDF9B0E"/>
    <w:rsid w:val="1CE05B90"/>
    <w:rsid w:val="1CE45B52"/>
    <w:rsid w:val="1CE47535"/>
    <w:rsid w:val="1CE53C41"/>
    <w:rsid w:val="1CE5FF25"/>
    <w:rsid w:val="1CEA21C4"/>
    <w:rsid w:val="1CEC213F"/>
    <w:rsid w:val="1CEC6AFE"/>
    <w:rsid w:val="1CED380A"/>
    <w:rsid w:val="1CEE4B65"/>
    <w:rsid w:val="1CF07140"/>
    <w:rsid w:val="1CF2B229"/>
    <w:rsid w:val="1CF2F828"/>
    <w:rsid w:val="1CF407F8"/>
    <w:rsid w:val="1CF4AA8C"/>
    <w:rsid w:val="1CF6274F"/>
    <w:rsid w:val="1CF63C7E"/>
    <w:rsid w:val="1CF79129"/>
    <w:rsid w:val="1CF853F3"/>
    <w:rsid w:val="1CF99E35"/>
    <w:rsid w:val="1CFDEEF3"/>
    <w:rsid w:val="1CFE0588"/>
    <w:rsid w:val="1CFF34CB"/>
    <w:rsid w:val="1D01E8D4"/>
    <w:rsid w:val="1D0BF55B"/>
    <w:rsid w:val="1D0E3BEF"/>
    <w:rsid w:val="1D0F6C4F"/>
    <w:rsid w:val="1D14ADB2"/>
    <w:rsid w:val="1D15A976"/>
    <w:rsid w:val="1D1A4440"/>
    <w:rsid w:val="1D1E41CE"/>
    <w:rsid w:val="1D1E47DA"/>
    <w:rsid w:val="1D24974A"/>
    <w:rsid w:val="1D2671BF"/>
    <w:rsid w:val="1D2765AF"/>
    <w:rsid w:val="1D290FBE"/>
    <w:rsid w:val="1D321E61"/>
    <w:rsid w:val="1D3249A2"/>
    <w:rsid w:val="1D34DD35"/>
    <w:rsid w:val="1D350038"/>
    <w:rsid w:val="1D36687E"/>
    <w:rsid w:val="1D371CA2"/>
    <w:rsid w:val="1D39DFAC"/>
    <w:rsid w:val="1D3CDD28"/>
    <w:rsid w:val="1D40183F"/>
    <w:rsid w:val="1D412884"/>
    <w:rsid w:val="1D4338EE"/>
    <w:rsid w:val="1D437F74"/>
    <w:rsid w:val="1D43DFBC"/>
    <w:rsid w:val="1D4507FA"/>
    <w:rsid w:val="1D463F5D"/>
    <w:rsid w:val="1D4A6FF0"/>
    <w:rsid w:val="1D4C9CCF"/>
    <w:rsid w:val="1D4E3D69"/>
    <w:rsid w:val="1D4F73BA"/>
    <w:rsid w:val="1D55A551"/>
    <w:rsid w:val="1D55AA83"/>
    <w:rsid w:val="1D5CC9AF"/>
    <w:rsid w:val="1D5F2BC1"/>
    <w:rsid w:val="1D60614C"/>
    <w:rsid w:val="1D62B29D"/>
    <w:rsid w:val="1D63DCE1"/>
    <w:rsid w:val="1D673063"/>
    <w:rsid w:val="1D6D1293"/>
    <w:rsid w:val="1D6EA358"/>
    <w:rsid w:val="1D71E66F"/>
    <w:rsid w:val="1D72FC4C"/>
    <w:rsid w:val="1D756832"/>
    <w:rsid w:val="1D763762"/>
    <w:rsid w:val="1D7737DA"/>
    <w:rsid w:val="1D79104B"/>
    <w:rsid w:val="1D7DD452"/>
    <w:rsid w:val="1D7E69ED"/>
    <w:rsid w:val="1D8242DB"/>
    <w:rsid w:val="1D8366E6"/>
    <w:rsid w:val="1D865ACE"/>
    <w:rsid w:val="1D8A47B0"/>
    <w:rsid w:val="1D8D557C"/>
    <w:rsid w:val="1D8D8BEE"/>
    <w:rsid w:val="1D90E74F"/>
    <w:rsid w:val="1D94DB78"/>
    <w:rsid w:val="1D950B33"/>
    <w:rsid w:val="1D9A6A28"/>
    <w:rsid w:val="1D9A9F4F"/>
    <w:rsid w:val="1DA09146"/>
    <w:rsid w:val="1DA167BF"/>
    <w:rsid w:val="1DA592E6"/>
    <w:rsid w:val="1DA5FF1F"/>
    <w:rsid w:val="1DA72F9F"/>
    <w:rsid w:val="1DA8192A"/>
    <w:rsid w:val="1DAD8FC4"/>
    <w:rsid w:val="1DB48FF6"/>
    <w:rsid w:val="1DB4B728"/>
    <w:rsid w:val="1DB721AB"/>
    <w:rsid w:val="1DB889CE"/>
    <w:rsid w:val="1DB8F169"/>
    <w:rsid w:val="1DB92E5B"/>
    <w:rsid w:val="1DBDEE16"/>
    <w:rsid w:val="1DC03B86"/>
    <w:rsid w:val="1DC0A26C"/>
    <w:rsid w:val="1DC7C81B"/>
    <w:rsid w:val="1DC959E0"/>
    <w:rsid w:val="1DCE2C5C"/>
    <w:rsid w:val="1DCEBBB5"/>
    <w:rsid w:val="1DD03580"/>
    <w:rsid w:val="1DD92209"/>
    <w:rsid w:val="1DDA4E5E"/>
    <w:rsid w:val="1DDB19A0"/>
    <w:rsid w:val="1DDBB1AD"/>
    <w:rsid w:val="1DDCE2D6"/>
    <w:rsid w:val="1DDE68A9"/>
    <w:rsid w:val="1DDEFC70"/>
    <w:rsid w:val="1DDFCEE2"/>
    <w:rsid w:val="1DE2E2D3"/>
    <w:rsid w:val="1DE33164"/>
    <w:rsid w:val="1DE6CCB9"/>
    <w:rsid w:val="1DEC78D8"/>
    <w:rsid w:val="1DEE9633"/>
    <w:rsid w:val="1DF1C511"/>
    <w:rsid w:val="1DF1CD66"/>
    <w:rsid w:val="1DF9667F"/>
    <w:rsid w:val="1DFA8C62"/>
    <w:rsid w:val="1E067864"/>
    <w:rsid w:val="1E074F59"/>
    <w:rsid w:val="1E0A3F8A"/>
    <w:rsid w:val="1E0C0E2C"/>
    <w:rsid w:val="1E0C396E"/>
    <w:rsid w:val="1E0FB9CE"/>
    <w:rsid w:val="1E10407C"/>
    <w:rsid w:val="1E10FAF9"/>
    <w:rsid w:val="1E1FD98C"/>
    <w:rsid w:val="1E20E548"/>
    <w:rsid w:val="1E22F700"/>
    <w:rsid w:val="1E24E266"/>
    <w:rsid w:val="1E2747D9"/>
    <w:rsid w:val="1E275D7A"/>
    <w:rsid w:val="1E27B0A6"/>
    <w:rsid w:val="1E2A6F15"/>
    <w:rsid w:val="1E2AC36D"/>
    <w:rsid w:val="1E2B4749"/>
    <w:rsid w:val="1E2C05B9"/>
    <w:rsid w:val="1E365220"/>
    <w:rsid w:val="1E37AB61"/>
    <w:rsid w:val="1E3A41FE"/>
    <w:rsid w:val="1E3AAE6A"/>
    <w:rsid w:val="1E420744"/>
    <w:rsid w:val="1E4D1004"/>
    <w:rsid w:val="1E545A2C"/>
    <w:rsid w:val="1E5A5F81"/>
    <w:rsid w:val="1E631D29"/>
    <w:rsid w:val="1E63DB79"/>
    <w:rsid w:val="1E663D53"/>
    <w:rsid w:val="1E6A5714"/>
    <w:rsid w:val="1E6A5B6E"/>
    <w:rsid w:val="1E6F0FDD"/>
    <w:rsid w:val="1E70D36F"/>
    <w:rsid w:val="1E73B782"/>
    <w:rsid w:val="1E73C077"/>
    <w:rsid w:val="1E77766D"/>
    <w:rsid w:val="1E79B7E4"/>
    <w:rsid w:val="1E7AA858"/>
    <w:rsid w:val="1E7CB012"/>
    <w:rsid w:val="1E7D09D6"/>
    <w:rsid w:val="1E7EA957"/>
    <w:rsid w:val="1E7FB3C5"/>
    <w:rsid w:val="1E82956A"/>
    <w:rsid w:val="1E87E8E4"/>
    <w:rsid w:val="1E8E68C8"/>
    <w:rsid w:val="1E91C600"/>
    <w:rsid w:val="1E921532"/>
    <w:rsid w:val="1E9911F9"/>
    <w:rsid w:val="1E9AE7B5"/>
    <w:rsid w:val="1E9BBD5C"/>
    <w:rsid w:val="1E9E705B"/>
    <w:rsid w:val="1EA16741"/>
    <w:rsid w:val="1EA4BF68"/>
    <w:rsid w:val="1EA721A0"/>
    <w:rsid w:val="1EAAF5FF"/>
    <w:rsid w:val="1EAE7441"/>
    <w:rsid w:val="1EAFF965"/>
    <w:rsid w:val="1EB16E18"/>
    <w:rsid w:val="1EB26EF5"/>
    <w:rsid w:val="1EB497B2"/>
    <w:rsid w:val="1EBC2056"/>
    <w:rsid w:val="1EBCE58A"/>
    <w:rsid w:val="1EBF2A92"/>
    <w:rsid w:val="1EC01953"/>
    <w:rsid w:val="1EC072DF"/>
    <w:rsid w:val="1EC12D47"/>
    <w:rsid w:val="1EC19AF7"/>
    <w:rsid w:val="1EC2353B"/>
    <w:rsid w:val="1EC33927"/>
    <w:rsid w:val="1EC51731"/>
    <w:rsid w:val="1EC777B7"/>
    <w:rsid w:val="1ECC56AD"/>
    <w:rsid w:val="1ECDBF87"/>
    <w:rsid w:val="1ECE9013"/>
    <w:rsid w:val="1ECEFC89"/>
    <w:rsid w:val="1ECFF4A6"/>
    <w:rsid w:val="1ED1FD4D"/>
    <w:rsid w:val="1ED44F5B"/>
    <w:rsid w:val="1ED84710"/>
    <w:rsid w:val="1ED96B22"/>
    <w:rsid w:val="1ED98132"/>
    <w:rsid w:val="1ED999F5"/>
    <w:rsid w:val="1EDAAD7C"/>
    <w:rsid w:val="1EDCD9EA"/>
    <w:rsid w:val="1EE51151"/>
    <w:rsid w:val="1EEA5CE7"/>
    <w:rsid w:val="1EEB2C05"/>
    <w:rsid w:val="1EEBBB17"/>
    <w:rsid w:val="1EF14AC4"/>
    <w:rsid w:val="1EF4C45B"/>
    <w:rsid w:val="1EFA7938"/>
    <w:rsid w:val="1EFB5924"/>
    <w:rsid w:val="1EFF8F60"/>
    <w:rsid w:val="1EFFF663"/>
    <w:rsid w:val="1F06E4DA"/>
    <w:rsid w:val="1F0A6C0E"/>
    <w:rsid w:val="1F0B2253"/>
    <w:rsid w:val="1F0F4E40"/>
    <w:rsid w:val="1F0F9A4E"/>
    <w:rsid w:val="1F10AB0F"/>
    <w:rsid w:val="1F14C453"/>
    <w:rsid w:val="1F193276"/>
    <w:rsid w:val="1F1BCB42"/>
    <w:rsid w:val="1F1CC686"/>
    <w:rsid w:val="1F22C68C"/>
    <w:rsid w:val="1F24D6B7"/>
    <w:rsid w:val="1F257899"/>
    <w:rsid w:val="1F26851C"/>
    <w:rsid w:val="1F2AB71C"/>
    <w:rsid w:val="1F2C30B1"/>
    <w:rsid w:val="1F2D4E98"/>
    <w:rsid w:val="1F2DE4E1"/>
    <w:rsid w:val="1F314185"/>
    <w:rsid w:val="1F348A7E"/>
    <w:rsid w:val="1F39486C"/>
    <w:rsid w:val="1F3CDE40"/>
    <w:rsid w:val="1F41D997"/>
    <w:rsid w:val="1F42E66E"/>
    <w:rsid w:val="1F45A1F1"/>
    <w:rsid w:val="1F483810"/>
    <w:rsid w:val="1F4D6998"/>
    <w:rsid w:val="1F4DA8F0"/>
    <w:rsid w:val="1F4DBDA1"/>
    <w:rsid w:val="1F4F98B2"/>
    <w:rsid w:val="1F505768"/>
    <w:rsid w:val="1F524A45"/>
    <w:rsid w:val="1F5D6A7C"/>
    <w:rsid w:val="1F5EBEEE"/>
    <w:rsid w:val="1F640132"/>
    <w:rsid w:val="1F645217"/>
    <w:rsid w:val="1F6777BB"/>
    <w:rsid w:val="1F683FAC"/>
    <w:rsid w:val="1F68B891"/>
    <w:rsid w:val="1F6FA485"/>
    <w:rsid w:val="1F70EE14"/>
    <w:rsid w:val="1F717394"/>
    <w:rsid w:val="1F71D695"/>
    <w:rsid w:val="1F740E14"/>
    <w:rsid w:val="1F7A1116"/>
    <w:rsid w:val="1F7D07FA"/>
    <w:rsid w:val="1F7E0C4B"/>
    <w:rsid w:val="1F7F549E"/>
    <w:rsid w:val="1F80D35F"/>
    <w:rsid w:val="1F8187EC"/>
    <w:rsid w:val="1F81C1F2"/>
    <w:rsid w:val="1F85B177"/>
    <w:rsid w:val="1F86A842"/>
    <w:rsid w:val="1F87E71B"/>
    <w:rsid w:val="1F89BB79"/>
    <w:rsid w:val="1F8E23C9"/>
    <w:rsid w:val="1F8F4882"/>
    <w:rsid w:val="1F9180F2"/>
    <w:rsid w:val="1F92732D"/>
    <w:rsid w:val="1F9833E8"/>
    <w:rsid w:val="1F9A777B"/>
    <w:rsid w:val="1F9CFC5F"/>
    <w:rsid w:val="1FA2230F"/>
    <w:rsid w:val="1FA61E0C"/>
    <w:rsid w:val="1FA7C8C4"/>
    <w:rsid w:val="1FABADF9"/>
    <w:rsid w:val="1FB34131"/>
    <w:rsid w:val="1FB4CFA8"/>
    <w:rsid w:val="1FB787B5"/>
    <w:rsid w:val="1FB80F75"/>
    <w:rsid w:val="1FB885E2"/>
    <w:rsid w:val="1FBD7114"/>
    <w:rsid w:val="1FBE52EE"/>
    <w:rsid w:val="1FC0AB89"/>
    <w:rsid w:val="1FC2238E"/>
    <w:rsid w:val="1FC62F5B"/>
    <w:rsid w:val="1FCB3481"/>
    <w:rsid w:val="1FD20408"/>
    <w:rsid w:val="1FDE0B6E"/>
    <w:rsid w:val="1FDE16C9"/>
    <w:rsid w:val="1FE14B49"/>
    <w:rsid w:val="1FE26B75"/>
    <w:rsid w:val="1FE3DAD9"/>
    <w:rsid w:val="1FE7C39A"/>
    <w:rsid w:val="1FE9974A"/>
    <w:rsid w:val="1FEAB9CD"/>
    <w:rsid w:val="1FEC0428"/>
    <w:rsid w:val="1FED1E26"/>
    <w:rsid w:val="1FED59B2"/>
    <w:rsid w:val="1FEE1B9E"/>
    <w:rsid w:val="1FF08B00"/>
    <w:rsid w:val="1FF3BC7F"/>
    <w:rsid w:val="1FF5D520"/>
    <w:rsid w:val="1FF6713B"/>
    <w:rsid w:val="1FF73EFA"/>
    <w:rsid w:val="1FF83EB2"/>
    <w:rsid w:val="1FFD932C"/>
    <w:rsid w:val="2001E899"/>
    <w:rsid w:val="20020DBC"/>
    <w:rsid w:val="20035728"/>
    <w:rsid w:val="2006C0E8"/>
    <w:rsid w:val="200BC7AB"/>
    <w:rsid w:val="200E0650"/>
    <w:rsid w:val="200F2719"/>
    <w:rsid w:val="200F4C7C"/>
    <w:rsid w:val="20122E9F"/>
    <w:rsid w:val="2016AFC6"/>
    <w:rsid w:val="20191D05"/>
    <w:rsid w:val="2019BA4E"/>
    <w:rsid w:val="201A6919"/>
    <w:rsid w:val="201A890D"/>
    <w:rsid w:val="201C7BD3"/>
    <w:rsid w:val="20222208"/>
    <w:rsid w:val="20229DA1"/>
    <w:rsid w:val="2025D891"/>
    <w:rsid w:val="20260D0E"/>
    <w:rsid w:val="2027FA2A"/>
    <w:rsid w:val="202AD1E7"/>
    <w:rsid w:val="202AF07D"/>
    <w:rsid w:val="202B0F27"/>
    <w:rsid w:val="202C7931"/>
    <w:rsid w:val="202C9355"/>
    <w:rsid w:val="202D7317"/>
    <w:rsid w:val="202DDF49"/>
    <w:rsid w:val="202F7533"/>
    <w:rsid w:val="20320078"/>
    <w:rsid w:val="2033A9C6"/>
    <w:rsid w:val="203641E9"/>
    <w:rsid w:val="20365A05"/>
    <w:rsid w:val="2036C5D7"/>
    <w:rsid w:val="203AF74E"/>
    <w:rsid w:val="203BAA62"/>
    <w:rsid w:val="203C9F7B"/>
    <w:rsid w:val="203DD879"/>
    <w:rsid w:val="20423711"/>
    <w:rsid w:val="20447E79"/>
    <w:rsid w:val="2046FBF6"/>
    <w:rsid w:val="2047BE39"/>
    <w:rsid w:val="2047C776"/>
    <w:rsid w:val="204B78E1"/>
    <w:rsid w:val="204BBE9F"/>
    <w:rsid w:val="2053BB9C"/>
    <w:rsid w:val="2053D7F0"/>
    <w:rsid w:val="2057EFAA"/>
    <w:rsid w:val="20585955"/>
    <w:rsid w:val="20590EC1"/>
    <w:rsid w:val="205A42A4"/>
    <w:rsid w:val="205AAE1E"/>
    <w:rsid w:val="20617136"/>
    <w:rsid w:val="2067764D"/>
    <w:rsid w:val="20682994"/>
    <w:rsid w:val="206B02F5"/>
    <w:rsid w:val="2071357B"/>
    <w:rsid w:val="2072CC70"/>
    <w:rsid w:val="207606C5"/>
    <w:rsid w:val="207936EE"/>
    <w:rsid w:val="207C05D4"/>
    <w:rsid w:val="207D64A0"/>
    <w:rsid w:val="20842AC8"/>
    <w:rsid w:val="20845216"/>
    <w:rsid w:val="2085FB2F"/>
    <w:rsid w:val="2086A182"/>
    <w:rsid w:val="2086C2BE"/>
    <w:rsid w:val="2086D968"/>
    <w:rsid w:val="20873B68"/>
    <w:rsid w:val="208812FD"/>
    <w:rsid w:val="208AF719"/>
    <w:rsid w:val="208EF69A"/>
    <w:rsid w:val="208F5B87"/>
    <w:rsid w:val="2091BEE9"/>
    <w:rsid w:val="2091DEE9"/>
    <w:rsid w:val="2091FD9D"/>
    <w:rsid w:val="2094623C"/>
    <w:rsid w:val="20947817"/>
    <w:rsid w:val="2097601A"/>
    <w:rsid w:val="20978A3A"/>
    <w:rsid w:val="2097DBAF"/>
    <w:rsid w:val="20999F07"/>
    <w:rsid w:val="2099BFE0"/>
    <w:rsid w:val="209C6171"/>
    <w:rsid w:val="209D0ED9"/>
    <w:rsid w:val="209FB13E"/>
    <w:rsid w:val="20A2E23A"/>
    <w:rsid w:val="20A5045D"/>
    <w:rsid w:val="20A6A934"/>
    <w:rsid w:val="20A6EC3E"/>
    <w:rsid w:val="20A769F8"/>
    <w:rsid w:val="20AD3EC7"/>
    <w:rsid w:val="20AD7701"/>
    <w:rsid w:val="20AE9BC2"/>
    <w:rsid w:val="20B2D1E3"/>
    <w:rsid w:val="20B44393"/>
    <w:rsid w:val="20B4C20A"/>
    <w:rsid w:val="20B4E6BE"/>
    <w:rsid w:val="20B5280C"/>
    <w:rsid w:val="20B5DAA9"/>
    <w:rsid w:val="20BBA2E5"/>
    <w:rsid w:val="20BDB385"/>
    <w:rsid w:val="20BF01E0"/>
    <w:rsid w:val="20BFF2C8"/>
    <w:rsid w:val="20C85630"/>
    <w:rsid w:val="20C8E77B"/>
    <w:rsid w:val="20C9023F"/>
    <w:rsid w:val="20C91534"/>
    <w:rsid w:val="20C93F3D"/>
    <w:rsid w:val="20C96DDB"/>
    <w:rsid w:val="20CA47B8"/>
    <w:rsid w:val="20CB6577"/>
    <w:rsid w:val="20CB7A64"/>
    <w:rsid w:val="20CE6706"/>
    <w:rsid w:val="20D13952"/>
    <w:rsid w:val="20D3B035"/>
    <w:rsid w:val="20D519D4"/>
    <w:rsid w:val="20D813AE"/>
    <w:rsid w:val="20DCD3E2"/>
    <w:rsid w:val="20E119BC"/>
    <w:rsid w:val="20E14B7D"/>
    <w:rsid w:val="20E167A4"/>
    <w:rsid w:val="20E51F9D"/>
    <w:rsid w:val="20E55F19"/>
    <w:rsid w:val="20E7CC3F"/>
    <w:rsid w:val="20E90398"/>
    <w:rsid w:val="20EAF4DE"/>
    <w:rsid w:val="20F0220F"/>
    <w:rsid w:val="20F15E3B"/>
    <w:rsid w:val="20F1F7DB"/>
    <w:rsid w:val="20F56C59"/>
    <w:rsid w:val="20F7A635"/>
    <w:rsid w:val="20F85F7C"/>
    <w:rsid w:val="20F9D2AE"/>
    <w:rsid w:val="20FB2083"/>
    <w:rsid w:val="20FB8D7C"/>
    <w:rsid w:val="20FE9AD5"/>
    <w:rsid w:val="2106954C"/>
    <w:rsid w:val="210B825F"/>
    <w:rsid w:val="210D2086"/>
    <w:rsid w:val="210DA3E2"/>
    <w:rsid w:val="210F7C7D"/>
    <w:rsid w:val="21102433"/>
    <w:rsid w:val="211118E9"/>
    <w:rsid w:val="21113014"/>
    <w:rsid w:val="2113C876"/>
    <w:rsid w:val="2117A7F2"/>
    <w:rsid w:val="2118AB71"/>
    <w:rsid w:val="2118DBE6"/>
    <w:rsid w:val="21194F1C"/>
    <w:rsid w:val="2119DE25"/>
    <w:rsid w:val="212D4912"/>
    <w:rsid w:val="21330C94"/>
    <w:rsid w:val="2133CCEC"/>
    <w:rsid w:val="21347FEA"/>
    <w:rsid w:val="2134F788"/>
    <w:rsid w:val="21356392"/>
    <w:rsid w:val="21377A66"/>
    <w:rsid w:val="2137D22C"/>
    <w:rsid w:val="213BA2B3"/>
    <w:rsid w:val="213ED0B7"/>
    <w:rsid w:val="21404453"/>
    <w:rsid w:val="2141188A"/>
    <w:rsid w:val="21427EE7"/>
    <w:rsid w:val="2142B38A"/>
    <w:rsid w:val="21442382"/>
    <w:rsid w:val="21444D5D"/>
    <w:rsid w:val="2144C6D8"/>
    <w:rsid w:val="21474566"/>
    <w:rsid w:val="2147FAE3"/>
    <w:rsid w:val="2149ACE5"/>
    <w:rsid w:val="214F611A"/>
    <w:rsid w:val="214F7382"/>
    <w:rsid w:val="2150E1FC"/>
    <w:rsid w:val="21511DC9"/>
    <w:rsid w:val="2153943F"/>
    <w:rsid w:val="2155D12B"/>
    <w:rsid w:val="2156375D"/>
    <w:rsid w:val="21571E58"/>
    <w:rsid w:val="2157DA9B"/>
    <w:rsid w:val="215B96A9"/>
    <w:rsid w:val="215DCA5F"/>
    <w:rsid w:val="215F88AA"/>
    <w:rsid w:val="21688887"/>
    <w:rsid w:val="2169848F"/>
    <w:rsid w:val="216A0EBF"/>
    <w:rsid w:val="216C7843"/>
    <w:rsid w:val="2171A45B"/>
    <w:rsid w:val="2172BF58"/>
    <w:rsid w:val="21732220"/>
    <w:rsid w:val="21765779"/>
    <w:rsid w:val="2177E2B1"/>
    <w:rsid w:val="217A1221"/>
    <w:rsid w:val="217C3B16"/>
    <w:rsid w:val="2181A02C"/>
    <w:rsid w:val="21826196"/>
    <w:rsid w:val="218AD262"/>
    <w:rsid w:val="218C22F6"/>
    <w:rsid w:val="218DF21C"/>
    <w:rsid w:val="218F0626"/>
    <w:rsid w:val="2190EA46"/>
    <w:rsid w:val="21930E43"/>
    <w:rsid w:val="21950F7A"/>
    <w:rsid w:val="2195FE9C"/>
    <w:rsid w:val="21975F00"/>
    <w:rsid w:val="2198B0F2"/>
    <w:rsid w:val="2198D28B"/>
    <w:rsid w:val="219DFA13"/>
    <w:rsid w:val="21A10630"/>
    <w:rsid w:val="21A5C2C2"/>
    <w:rsid w:val="21A8A328"/>
    <w:rsid w:val="21AC471B"/>
    <w:rsid w:val="21AD9707"/>
    <w:rsid w:val="21AEDCD5"/>
    <w:rsid w:val="21AF8B3A"/>
    <w:rsid w:val="21B192AA"/>
    <w:rsid w:val="21B1E3E2"/>
    <w:rsid w:val="21B27792"/>
    <w:rsid w:val="21B28348"/>
    <w:rsid w:val="21B2EA17"/>
    <w:rsid w:val="21B3B688"/>
    <w:rsid w:val="21B55E9E"/>
    <w:rsid w:val="21B5F179"/>
    <w:rsid w:val="21B6B118"/>
    <w:rsid w:val="21BB1079"/>
    <w:rsid w:val="21C6E407"/>
    <w:rsid w:val="21C7D627"/>
    <w:rsid w:val="21C864E8"/>
    <w:rsid w:val="21C86A81"/>
    <w:rsid w:val="21CA8806"/>
    <w:rsid w:val="21CC1DEA"/>
    <w:rsid w:val="21CD2530"/>
    <w:rsid w:val="21CEBC6B"/>
    <w:rsid w:val="21D11F15"/>
    <w:rsid w:val="21D2D8CC"/>
    <w:rsid w:val="21D33A34"/>
    <w:rsid w:val="21D66310"/>
    <w:rsid w:val="21D6E4A0"/>
    <w:rsid w:val="21D79F0A"/>
    <w:rsid w:val="21DB4705"/>
    <w:rsid w:val="21E9919D"/>
    <w:rsid w:val="21EAB098"/>
    <w:rsid w:val="21EF216B"/>
    <w:rsid w:val="21F10350"/>
    <w:rsid w:val="21F3E371"/>
    <w:rsid w:val="21F61505"/>
    <w:rsid w:val="21F62EC5"/>
    <w:rsid w:val="21F87756"/>
    <w:rsid w:val="21FE6A61"/>
    <w:rsid w:val="22047D58"/>
    <w:rsid w:val="2208D28B"/>
    <w:rsid w:val="22091314"/>
    <w:rsid w:val="220A4A48"/>
    <w:rsid w:val="220AE903"/>
    <w:rsid w:val="220B4861"/>
    <w:rsid w:val="220B7989"/>
    <w:rsid w:val="220F4F4C"/>
    <w:rsid w:val="2212991C"/>
    <w:rsid w:val="2212EEC7"/>
    <w:rsid w:val="2214EE5B"/>
    <w:rsid w:val="22177ADE"/>
    <w:rsid w:val="22184C3C"/>
    <w:rsid w:val="22191908"/>
    <w:rsid w:val="221BB32C"/>
    <w:rsid w:val="22228275"/>
    <w:rsid w:val="2231020B"/>
    <w:rsid w:val="223199AF"/>
    <w:rsid w:val="2232B7D3"/>
    <w:rsid w:val="2232BB5E"/>
    <w:rsid w:val="223319ED"/>
    <w:rsid w:val="22343FB9"/>
    <w:rsid w:val="22373A89"/>
    <w:rsid w:val="22383325"/>
    <w:rsid w:val="22399377"/>
    <w:rsid w:val="223C92E6"/>
    <w:rsid w:val="223CBBEF"/>
    <w:rsid w:val="223FB2CF"/>
    <w:rsid w:val="22402CEF"/>
    <w:rsid w:val="22485B13"/>
    <w:rsid w:val="224C3083"/>
    <w:rsid w:val="224D3EFB"/>
    <w:rsid w:val="224E7944"/>
    <w:rsid w:val="224ECBEA"/>
    <w:rsid w:val="224FF61F"/>
    <w:rsid w:val="22510D9C"/>
    <w:rsid w:val="22523AE6"/>
    <w:rsid w:val="22556F4E"/>
    <w:rsid w:val="22557E89"/>
    <w:rsid w:val="2255E5C1"/>
    <w:rsid w:val="22564F04"/>
    <w:rsid w:val="2256E034"/>
    <w:rsid w:val="2258FBB7"/>
    <w:rsid w:val="22603D8E"/>
    <w:rsid w:val="226585A3"/>
    <w:rsid w:val="226622D4"/>
    <w:rsid w:val="226AFC82"/>
    <w:rsid w:val="226B0722"/>
    <w:rsid w:val="226D29D4"/>
    <w:rsid w:val="22719A8E"/>
    <w:rsid w:val="22736EB4"/>
    <w:rsid w:val="22781B75"/>
    <w:rsid w:val="2278648C"/>
    <w:rsid w:val="227D6E87"/>
    <w:rsid w:val="22809B1F"/>
    <w:rsid w:val="2282BB22"/>
    <w:rsid w:val="22859313"/>
    <w:rsid w:val="2286E560"/>
    <w:rsid w:val="228A46E3"/>
    <w:rsid w:val="228F4546"/>
    <w:rsid w:val="228FB14A"/>
    <w:rsid w:val="229029BB"/>
    <w:rsid w:val="2292A739"/>
    <w:rsid w:val="22937482"/>
    <w:rsid w:val="2293B110"/>
    <w:rsid w:val="22942F05"/>
    <w:rsid w:val="22984062"/>
    <w:rsid w:val="22A06D9E"/>
    <w:rsid w:val="22A104B3"/>
    <w:rsid w:val="22A47398"/>
    <w:rsid w:val="22AF9D70"/>
    <w:rsid w:val="22B261D9"/>
    <w:rsid w:val="22B4E24A"/>
    <w:rsid w:val="22BA8915"/>
    <w:rsid w:val="22BE3660"/>
    <w:rsid w:val="22BE8917"/>
    <w:rsid w:val="22C487DB"/>
    <w:rsid w:val="22C5F726"/>
    <w:rsid w:val="22C6753F"/>
    <w:rsid w:val="22C6BBE4"/>
    <w:rsid w:val="22CCEA40"/>
    <w:rsid w:val="22CD853C"/>
    <w:rsid w:val="22D1D992"/>
    <w:rsid w:val="22D35DC5"/>
    <w:rsid w:val="22D79082"/>
    <w:rsid w:val="22DCC92A"/>
    <w:rsid w:val="22DCCA40"/>
    <w:rsid w:val="22DECA9D"/>
    <w:rsid w:val="22DFBB43"/>
    <w:rsid w:val="22E27226"/>
    <w:rsid w:val="22E654B4"/>
    <w:rsid w:val="22E67631"/>
    <w:rsid w:val="22E7938E"/>
    <w:rsid w:val="22E7AD60"/>
    <w:rsid w:val="22E8C79E"/>
    <w:rsid w:val="22EA1B9A"/>
    <w:rsid w:val="22EB11CA"/>
    <w:rsid w:val="22EBEC77"/>
    <w:rsid w:val="22F0BF86"/>
    <w:rsid w:val="22F1B89A"/>
    <w:rsid w:val="22F35BEF"/>
    <w:rsid w:val="22F6661F"/>
    <w:rsid w:val="22F7A7A4"/>
    <w:rsid w:val="22FABE2A"/>
    <w:rsid w:val="22FC4146"/>
    <w:rsid w:val="22FCDFF1"/>
    <w:rsid w:val="23022113"/>
    <w:rsid w:val="23067236"/>
    <w:rsid w:val="230A27A3"/>
    <w:rsid w:val="23104E51"/>
    <w:rsid w:val="23116BE7"/>
    <w:rsid w:val="2311D095"/>
    <w:rsid w:val="2314D72F"/>
    <w:rsid w:val="2315F02D"/>
    <w:rsid w:val="231668D3"/>
    <w:rsid w:val="2318AA11"/>
    <w:rsid w:val="231ACC11"/>
    <w:rsid w:val="231D9FA0"/>
    <w:rsid w:val="2322B22B"/>
    <w:rsid w:val="2322BA64"/>
    <w:rsid w:val="232A06CE"/>
    <w:rsid w:val="232C7077"/>
    <w:rsid w:val="232E9A39"/>
    <w:rsid w:val="2330FACE"/>
    <w:rsid w:val="2336363A"/>
    <w:rsid w:val="233CF166"/>
    <w:rsid w:val="233DC9D2"/>
    <w:rsid w:val="233F2CAA"/>
    <w:rsid w:val="2341F5B3"/>
    <w:rsid w:val="23431EAC"/>
    <w:rsid w:val="2343F3C4"/>
    <w:rsid w:val="23448091"/>
    <w:rsid w:val="2345A898"/>
    <w:rsid w:val="234C371D"/>
    <w:rsid w:val="234CCDA3"/>
    <w:rsid w:val="234E33A6"/>
    <w:rsid w:val="234F1450"/>
    <w:rsid w:val="23524C55"/>
    <w:rsid w:val="2352F497"/>
    <w:rsid w:val="23533425"/>
    <w:rsid w:val="23587D1D"/>
    <w:rsid w:val="235AB45A"/>
    <w:rsid w:val="235B06BF"/>
    <w:rsid w:val="235C85D1"/>
    <w:rsid w:val="235CAFA1"/>
    <w:rsid w:val="235F6430"/>
    <w:rsid w:val="2360F9C5"/>
    <w:rsid w:val="236610A6"/>
    <w:rsid w:val="2367B734"/>
    <w:rsid w:val="23684C18"/>
    <w:rsid w:val="23693DCF"/>
    <w:rsid w:val="236B059F"/>
    <w:rsid w:val="236B0EFC"/>
    <w:rsid w:val="236D24BE"/>
    <w:rsid w:val="2372F74D"/>
    <w:rsid w:val="23749F3F"/>
    <w:rsid w:val="2374A35E"/>
    <w:rsid w:val="23789DEF"/>
    <w:rsid w:val="237B5E13"/>
    <w:rsid w:val="237BE063"/>
    <w:rsid w:val="237C1F7F"/>
    <w:rsid w:val="237E30E3"/>
    <w:rsid w:val="238398BF"/>
    <w:rsid w:val="23868FD8"/>
    <w:rsid w:val="23869E79"/>
    <w:rsid w:val="2388046D"/>
    <w:rsid w:val="23888E9F"/>
    <w:rsid w:val="238DCC94"/>
    <w:rsid w:val="23932AD2"/>
    <w:rsid w:val="2395B515"/>
    <w:rsid w:val="2397AC4A"/>
    <w:rsid w:val="239A13AE"/>
    <w:rsid w:val="239A1B61"/>
    <w:rsid w:val="239A66C3"/>
    <w:rsid w:val="23A175E0"/>
    <w:rsid w:val="23A41B0B"/>
    <w:rsid w:val="23A45D11"/>
    <w:rsid w:val="23A47827"/>
    <w:rsid w:val="23A623D5"/>
    <w:rsid w:val="23A6BC44"/>
    <w:rsid w:val="23A7AB09"/>
    <w:rsid w:val="23A84B06"/>
    <w:rsid w:val="23A94C23"/>
    <w:rsid w:val="23ACB994"/>
    <w:rsid w:val="23ACD46B"/>
    <w:rsid w:val="23ADC90B"/>
    <w:rsid w:val="23ADE16A"/>
    <w:rsid w:val="23AFDD1D"/>
    <w:rsid w:val="23AFDDDD"/>
    <w:rsid w:val="23B14747"/>
    <w:rsid w:val="23B45D55"/>
    <w:rsid w:val="23B9B193"/>
    <w:rsid w:val="23BA6C9C"/>
    <w:rsid w:val="23C3107E"/>
    <w:rsid w:val="23C314CC"/>
    <w:rsid w:val="23C3740F"/>
    <w:rsid w:val="23C50FBF"/>
    <w:rsid w:val="23C549F7"/>
    <w:rsid w:val="23C6C7C4"/>
    <w:rsid w:val="23C7972B"/>
    <w:rsid w:val="23C9378D"/>
    <w:rsid w:val="23C9BC08"/>
    <w:rsid w:val="23CB3285"/>
    <w:rsid w:val="23CED2B6"/>
    <w:rsid w:val="23CF29E2"/>
    <w:rsid w:val="23CF55F8"/>
    <w:rsid w:val="23D08328"/>
    <w:rsid w:val="23D42AB9"/>
    <w:rsid w:val="23D8FF14"/>
    <w:rsid w:val="23DCC84B"/>
    <w:rsid w:val="23DEF15E"/>
    <w:rsid w:val="23E08423"/>
    <w:rsid w:val="23E0F35B"/>
    <w:rsid w:val="23E1EC34"/>
    <w:rsid w:val="23E366AC"/>
    <w:rsid w:val="23E4B3AF"/>
    <w:rsid w:val="23E6FB4F"/>
    <w:rsid w:val="23EA46BD"/>
    <w:rsid w:val="23EF8BA3"/>
    <w:rsid w:val="23F39A1A"/>
    <w:rsid w:val="23FB506A"/>
    <w:rsid w:val="23FCA702"/>
    <w:rsid w:val="23FD7C0C"/>
    <w:rsid w:val="23FDD80C"/>
    <w:rsid w:val="23FE5E88"/>
    <w:rsid w:val="23FF479B"/>
    <w:rsid w:val="23FFDACD"/>
    <w:rsid w:val="2402C5C4"/>
    <w:rsid w:val="24042F27"/>
    <w:rsid w:val="2405DE95"/>
    <w:rsid w:val="240D4837"/>
    <w:rsid w:val="24110B17"/>
    <w:rsid w:val="24116313"/>
    <w:rsid w:val="2417E2EE"/>
    <w:rsid w:val="2418E365"/>
    <w:rsid w:val="2419A909"/>
    <w:rsid w:val="2419C564"/>
    <w:rsid w:val="241A7D91"/>
    <w:rsid w:val="241BE852"/>
    <w:rsid w:val="241CD742"/>
    <w:rsid w:val="241DCCF2"/>
    <w:rsid w:val="241E5DC7"/>
    <w:rsid w:val="24216400"/>
    <w:rsid w:val="242668F8"/>
    <w:rsid w:val="24267186"/>
    <w:rsid w:val="242869EA"/>
    <w:rsid w:val="24294584"/>
    <w:rsid w:val="242C9CF4"/>
    <w:rsid w:val="242D3AD3"/>
    <w:rsid w:val="242F2282"/>
    <w:rsid w:val="2434B3FA"/>
    <w:rsid w:val="24371396"/>
    <w:rsid w:val="2438580F"/>
    <w:rsid w:val="2438CB86"/>
    <w:rsid w:val="243B720E"/>
    <w:rsid w:val="243FEA80"/>
    <w:rsid w:val="2440CBAE"/>
    <w:rsid w:val="2440FFC3"/>
    <w:rsid w:val="244386D2"/>
    <w:rsid w:val="2443A4E3"/>
    <w:rsid w:val="2448605F"/>
    <w:rsid w:val="24493DD2"/>
    <w:rsid w:val="2449DE5E"/>
    <w:rsid w:val="244A0823"/>
    <w:rsid w:val="244AFF19"/>
    <w:rsid w:val="24518297"/>
    <w:rsid w:val="245199E5"/>
    <w:rsid w:val="245550E7"/>
    <w:rsid w:val="24558B4F"/>
    <w:rsid w:val="245A5C0E"/>
    <w:rsid w:val="245BDCB5"/>
    <w:rsid w:val="245D8156"/>
    <w:rsid w:val="245D81DF"/>
    <w:rsid w:val="245E8354"/>
    <w:rsid w:val="245FB390"/>
    <w:rsid w:val="24617E6A"/>
    <w:rsid w:val="2465B468"/>
    <w:rsid w:val="2469FB10"/>
    <w:rsid w:val="246B29FE"/>
    <w:rsid w:val="246B435C"/>
    <w:rsid w:val="246B6E58"/>
    <w:rsid w:val="246C4558"/>
    <w:rsid w:val="24708B3B"/>
    <w:rsid w:val="24769A60"/>
    <w:rsid w:val="2477E16A"/>
    <w:rsid w:val="247D3E5B"/>
    <w:rsid w:val="247E9B0D"/>
    <w:rsid w:val="247EFADB"/>
    <w:rsid w:val="2480C503"/>
    <w:rsid w:val="24811545"/>
    <w:rsid w:val="2481D318"/>
    <w:rsid w:val="248DD6EC"/>
    <w:rsid w:val="248F0221"/>
    <w:rsid w:val="249364A2"/>
    <w:rsid w:val="2494D42D"/>
    <w:rsid w:val="249510DA"/>
    <w:rsid w:val="249751D7"/>
    <w:rsid w:val="249A9DFB"/>
    <w:rsid w:val="249D63B7"/>
    <w:rsid w:val="24A45401"/>
    <w:rsid w:val="24A58D00"/>
    <w:rsid w:val="24A70901"/>
    <w:rsid w:val="24A7E718"/>
    <w:rsid w:val="24A7F18A"/>
    <w:rsid w:val="24AA1917"/>
    <w:rsid w:val="24AAC887"/>
    <w:rsid w:val="24AB83E1"/>
    <w:rsid w:val="24AB9016"/>
    <w:rsid w:val="24AE2347"/>
    <w:rsid w:val="24B0C56E"/>
    <w:rsid w:val="24B201E0"/>
    <w:rsid w:val="24B323EE"/>
    <w:rsid w:val="24B42BF4"/>
    <w:rsid w:val="24B5446C"/>
    <w:rsid w:val="24B66EA1"/>
    <w:rsid w:val="24BAD6D9"/>
    <w:rsid w:val="24BC9404"/>
    <w:rsid w:val="24BE729F"/>
    <w:rsid w:val="24BFD25D"/>
    <w:rsid w:val="24C149E3"/>
    <w:rsid w:val="24C23713"/>
    <w:rsid w:val="24C2D9FF"/>
    <w:rsid w:val="24C30591"/>
    <w:rsid w:val="24C78778"/>
    <w:rsid w:val="24CA6241"/>
    <w:rsid w:val="24CB2AED"/>
    <w:rsid w:val="24CD48BD"/>
    <w:rsid w:val="24CDA5AA"/>
    <w:rsid w:val="24CE7669"/>
    <w:rsid w:val="24D1B9AE"/>
    <w:rsid w:val="24D36F8C"/>
    <w:rsid w:val="24D52934"/>
    <w:rsid w:val="24D5D59B"/>
    <w:rsid w:val="24D74172"/>
    <w:rsid w:val="24D9851B"/>
    <w:rsid w:val="24DC0F88"/>
    <w:rsid w:val="24DFC278"/>
    <w:rsid w:val="24E0449A"/>
    <w:rsid w:val="24E318B1"/>
    <w:rsid w:val="24E36305"/>
    <w:rsid w:val="24E576EE"/>
    <w:rsid w:val="24E5CF1A"/>
    <w:rsid w:val="24E5EB47"/>
    <w:rsid w:val="24E76913"/>
    <w:rsid w:val="24E915B9"/>
    <w:rsid w:val="24EA8A8F"/>
    <w:rsid w:val="24F0DEAB"/>
    <w:rsid w:val="24F18255"/>
    <w:rsid w:val="24F5EB34"/>
    <w:rsid w:val="24F646D9"/>
    <w:rsid w:val="24F7446D"/>
    <w:rsid w:val="24F923C4"/>
    <w:rsid w:val="24FE1201"/>
    <w:rsid w:val="24FED043"/>
    <w:rsid w:val="25046E1C"/>
    <w:rsid w:val="2509229A"/>
    <w:rsid w:val="250ABE7B"/>
    <w:rsid w:val="250B2462"/>
    <w:rsid w:val="250C3152"/>
    <w:rsid w:val="251109F4"/>
    <w:rsid w:val="25156064"/>
    <w:rsid w:val="2516EA5D"/>
    <w:rsid w:val="251AC186"/>
    <w:rsid w:val="251AC772"/>
    <w:rsid w:val="251E0498"/>
    <w:rsid w:val="251E8E83"/>
    <w:rsid w:val="2521C1C0"/>
    <w:rsid w:val="25271B29"/>
    <w:rsid w:val="252E0C49"/>
    <w:rsid w:val="2538CACB"/>
    <w:rsid w:val="2538FC34"/>
    <w:rsid w:val="253CBF83"/>
    <w:rsid w:val="253DCD79"/>
    <w:rsid w:val="253E2CAF"/>
    <w:rsid w:val="2541DA57"/>
    <w:rsid w:val="2545483D"/>
    <w:rsid w:val="25484A6E"/>
    <w:rsid w:val="254A2EA8"/>
    <w:rsid w:val="254D9C14"/>
    <w:rsid w:val="254DD5FA"/>
    <w:rsid w:val="2550DE42"/>
    <w:rsid w:val="25515ADF"/>
    <w:rsid w:val="25524BC5"/>
    <w:rsid w:val="2552F1EA"/>
    <w:rsid w:val="2555AF40"/>
    <w:rsid w:val="2556A375"/>
    <w:rsid w:val="255884D8"/>
    <w:rsid w:val="255BF7F9"/>
    <w:rsid w:val="255EABFB"/>
    <w:rsid w:val="255F97FA"/>
    <w:rsid w:val="255FACA1"/>
    <w:rsid w:val="255FE1CC"/>
    <w:rsid w:val="2563F506"/>
    <w:rsid w:val="2565B1F0"/>
    <w:rsid w:val="2568647D"/>
    <w:rsid w:val="256A1F29"/>
    <w:rsid w:val="256DA6BB"/>
    <w:rsid w:val="256FAE36"/>
    <w:rsid w:val="2571A248"/>
    <w:rsid w:val="2577D0C9"/>
    <w:rsid w:val="2577E865"/>
    <w:rsid w:val="257A29C3"/>
    <w:rsid w:val="257B65F4"/>
    <w:rsid w:val="257EAE6C"/>
    <w:rsid w:val="257EB6D2"/>
    <w:rsid w:val="257FD6C3"/>
    <w:rsid w:val="2580E755"/>
    <w:rsid w:val="2582B016"/>
    <w:rsid w:val="2582DE5F"/>
    <w:rsid w:val="2583A1CD"/>
    <w:rsid w:val="258B5289"/>
    <w:rsid w:val="258C9AED"/>
    <w:rsid w:val="258D35A0"/>
    <w:rsid w:val="2592F729"/>
    <w:rsid w:val="25943FA0"/>
    <w:rsid w:val="25946974"/>
    <w:rsid w:val="2596C7AC"/>
    <w:rsid w:val="2597A4D2"/>
    <w:rsid w:val="25999482"/>
    <w:rsid w:val="259A6067"/>
    <w:rsid w:val="259BD997"/>
    <w:rsid w:val="259BF063"/>
    <w:rsid w:val="25A0FC3E"/>
    <w:rsid w:val="25A37FEE"/>
    <w:rsid w:val="25A55D4B"/>
    <w:rsid w:val="25A8F402"/>
    <w:rsid w:val="25AECD10"/>
    <w:rsid w:val="25B1F3C9"/>
    <w:rsid w:val="25B24459"/>
    <w:rsid w:val="25B3992C"/>
    <w:rsid w:val="25B3DDDE"/>
    <w:rsid w:val="25B535AE"/>
    <w:rsid w:val="25B5E0EF"/>
    <w:rsid w:val="25B79C1B"/>
    <w:rsid w:val="25BCE7E2"/>
    <w:rsid w:val="25BE1141"/>
    <w:rsid w:val="25BE46CE"/>
    <w:rsid w:val="25C06B29"/>
    <w:rsid w:val="25C0EF7D"/>
    <w:rsid w:val="25C16DE5"/>
    <w:rsid w:val="25C5FB5D"/>
    <w:rsid w:val="25C658D4"/>
    <w:rsid w:val="25C85E1B"/>
    <w:rsid w:val="25C93338"/>
    <w:rsid w:val="25CC6761"/>
    <w:rsid w:val="25D09159"/>
    <w:rsid w:val="25D44555"/>
    <w:rsid w:val="25D69613"/>
    <w:rsid w:val="25D6A327"/>
    <w:rsid w:val="25D80FB6"/>
    <w:rsid w:val="25D8519A"/>
    <w:rsid w:val="25DF7869"/>
    <w:rsid w:val="25E8C68C"/>
    <w:rsid w:val="25E9CE88"/>
    <w:rsid w:val="25EEE555"/>
    <w:rsid w:val="25F1656C"/>
    <w:rsid w:val="25F9A62B"/>
    <w:rsid w:val="25F9E287"/>
    <w:rsid w:val="25FAF83C"/>
    <w:rsid w:val="25FB6440"/>
    <w:rsid w:val="25FB8A9A"/>
    <w:rsid w:val="25FCD01F"/>
    <w:rsid w:val="2601E477"/>
    <w:rsid w:val="26045B6A"/>
    <w:rsid w:val="2607D37D"/>
    <w:rsid w:val="260B9680"/>
    <w:rsid w:val="260CE445"/>
    <w:rsid w:val="260D65FC"/>
    <w:rsid w:val="2610D9D1"/>
    <w:rsid w:val="261775C0"/>
    <w:rsid w:val="26177CC8"/>
    <w:rsid w:val="261A3BF2"/>
    <w:rsid w:val="261C1F09"/>
    <w:rsid w:val="261E6563"/>
    <w:rsid w:val="261F98B6"/>
    <w:rsid w:val="2623030F"/>
    <w:rsid w:val="26260CDF"/>
    <w:rsid w:val="2627CB1B"/>
    <w:rsid w:val="2627D7F9"/>
    <w:rsid w:val="262BBA56"/>
    <w:rsid w:val="262CB512"/>
    <w:rsid w:val="262D5978"/>
    <w:rsid w:val="26306276"/>
    <w:rsid w:val="26312FE6"/>
    <w:rsid w:val="2634CB39"/>
    <w:rsid w:val="263520A8"/>
    <w:rsid w:val="26355C7C"/>
    <w:rsid w:val="2637BD33"/>
    <w:rsid w:val="263AA9FD"/>
    <w:rsid w:val="263C4830"/>
    <w:rsid w:val="263C721E"/>
    <w:rsid w:val="263C8101"/>
    <w:rsid w:val="26418097"/>
    <w:rsid w:val="2644BEF2"/>
    <w:rsid w:val="26453356"/>
    <w:rsid w:val="2645B3D7"/>
    <w:rsid w:val="2645CA8B"/>
    <w:rsid w:val="264764CF"/>
    <w:rsid w:val="26486D54"/>
    <w:rsid w:val="2649E967"/>
    <w:rsid w:val="264AE32F"/>
    <w:rsid w:val="264E8658"/>
    <w:rsid w:val="2650164C"/>
    <w:rsid w:val="265153B4"/>
    <w:rsid w:val="265166C4"/>
    <w:rsid w:val="26519A2D"/>
    <w:rsid w:val="26529E86"/>
    <w:rsid w:val="2652C907"/>
    <w:rsid w:val="26537EAB"/>
    <w:rsid w:val="26541FBA"/>
    <w:rsid w:val="26561386"/>
    <w:rsid w:val="2656475D"/>
    <w:rsid w:val="26571EAF"/>
    <w:rsid w:val="265795A8"/>
    <w:rsid w:val="26580CB7"/>
    <w:rsid w:val="265D18EA"/>
    <w:rsid w:val="265E773A"/>
    <w:rsid w:val="2660AD15"/>
    <w:rsid w:val="26620632"/>
    <w:rsid w:val="266592AF"/>
    <w:rsid w:val="2667F657"/>
    <w:rsid w:val="266966B1"/>
    <w:rsid w:val="266C12A3"/>
    <w:rsid w:val="266D8F5C"/>
    <w:rsid w:val="266E680F"/>
    <w:rsid w:val="2671D124"/>
    <w:rsid w:val="26731988"/>
    <w:rsid w:val="26731FD0"/>
    <w:rsid w:val="26743595"/>
    <w:rsid w:val="267AB92F"/>
    <w:rsid w:val="267B502B"/>
    <w:rsid w:val="267C5DA5"/>
    <w:rsid w:val="267CA883"/>
    <w:rsid w:val="267F0FA9"/>
    <w:rsid w:val="268D72B1"/>
    <w:rsid w:val="268D9433"/>
    <w:rsid w:val="268E541D"/>
    <w:rsid w:val="2690BA66"/>
    <w:rsid w:val="2691106C"/>
    <w:rsid w:val="26952D20"/>
    <w:rsid w:val="26958204"/>
    <w:rsid w:val="26983E88"/>
    <w:rsid w:val="2698766A"/>
    <w:rsid w:val="269DE0C5"/>
    <w:rsid w:val="269EA6F4"/>
    <w:rsid w:val="26A06C9B"/>
    <w:rsid w:val="26A265B9"/>
    <w:rsid w:val="26A4CF23"/>
    <w:rsid w:val="26A7B411"/>
    <w:rsid w:val="26A993DB"/>
    <w:rsid w:val="26AD82CE"/>
    <w:rsid w:val="26AEDAF1"/>
    <w:rsid w:val="26AF3A4D"/>
    <w:rsid w:val="26B4008B"/>
    <w:rsid w:val="26B47A32"/>
    <w:rsid w:val="26B49AE2"/>
    <w:rsid w:val="26B7C584"/>
    <w:rsid w:val="26B86DA0"/>
    <w:rsid w:val="26BA6B0E"/>
    <w:rsid w:val="26BB767C"/>
    <w:rsid w:val="26BD9221"/>
    <w:rsid w:val="26C096AC"/>
    <w:rsid w:val="26C451FC"/>
    <w:rsid w:val="26C4F114"/>
    <w:rsid w:val="26C573FA"/>
    <w:rsid w:val="26CB84C4"/>
    <w:rsid w:val="26CBFE38"/>
    <w:rsid w:val="26CC4971"/>
    <w:rsid w:val="26CD4A59"/>
    <w:rsid w:val="26CDAFA6"/>
    <w:rsid w:val="26D154AD"/>
    <w:rsid w:val="26D6CBB5"/>
    <w:rsid w:val="26D7BA72"/>
    <w:rsid w:val="26D8E364"/>
    <w:rsid w:val="26D90596"/>
    <w:rsid w:val="26DAB6D1"/>
    <w:rsid w:val="26DD8253"/>
    <w:rsid w:val="26DF7784"/>
    <w:rsid w:val="26E2E42E"/>
    <w:rsid w:val="26E48314"/>
    <w:rsid w:val="26E51FD8"/>
    <w:rsid w:val="26E5463E"/>
    <w:rsid w:val="26EF9B87"/>
    <w:rsid w:val="26F9008E"/>
    <w:rsid w:val="26FB367B"/>
    <w:rsid w:val="26FE4287"/>
    <w:rsid w:val="270146D6"/>
    <w:rsid w:val="27033D8B"/>
    <w:rsid w:val="270719B0"/>
    <w:rsid w:val="270B7B0C"/>
    <w:rsid w:val="270B9593"/>
    <w:rsid w:val="270C2C90"/>
    <w:rsid w:val="27112B5C"/>
    <w:rsid w:val="2712C307"/>
    <w:rsid w:val="27135E5C"/>
    <w:rsid w:val="2713CE52"/>
    <w:rsid w:val="271421DA"/>
    <w:rsid w:val="271492A9"/>
    <w:rsid w:val="271770FE"/>
    <w:rsid w:val="2717E69D"/>
    <w:rsid w:val="2718588C"/>
    <w:rsid w:val="271A3B29"/>
    <w:rsid w:val="271F99D2"/>
    <w:rsid w:val="27205AA8"/>
    <w:rsid w:val="27216D4B"/>
    <w:rsid w:val="27221AA3"/>
    <w:rsid w:val="272271AA"/>
    <w:rsid w:val="2724925A"/>
    <w:rsid w:val="27285A55"/>
    <w:rsid w:val="272B1E66"/>
    <w:rsid w:val="272BE048"/>
    <w:rsid w:val="272CA119"/>
    <w:rsid w:val="2736C8E6"/>
    <w:rsid w:val="27378845"/>
    <w:rsid w:val="27378C38"/>
    <w:rsid w:val="2738B95E"/>
    <w:rsid w:val="27397683"/>
    <w:rsid w:val="273C4D12"/>
    <w:rsid w:val="273DD80D"/>
    <w:rsid w:val="2743E9A8"/>
    <w:rsid w:val="2745A23F"/>
    <w:rsid w:val="27471EC5"/>
    <w:rsid w:val="27476207"/>
    <w:rsid w:val="2748BAFA"/>
    <w:rsid w:val="2749DF3D"/>
    <w:rsid w:val="2749F7B2"/>
    <w:rsid w:val="274C4B54"/>
    <w:rsid w:val="2754D37B"/>
    <w:rsid w:val="27559818"/>
    <w:rsid w:val="27576D17"/>
    <w:rsid w:val="275E2C57"/>
    <w:rsid w:val="275FEACC"/>
    <w:rsid w:val="27608DB0"/>
    <w:rsid w:val="27619D6F"/>
    <w:rsid w:val="27625DC0"/>
    <w:rsid w:val="27631810"/>
    <w:rsid w:val="27649D93"/>
    <w:rsid w:val="276A26A3"/>
    <w:rsid w:val="276A2C5F"/>
    <w:rsid w:val="276D33FE"/>
    <w:rsid w:val="276F62B5"/>
    <w:rsid w:val="2770E7F0"/>
    <w:rsid w:val="27727649"/>
    <w:rsid w:val="277327BA"/>
    <w:rsid w:val="27748E08"/>
    <w:rsid w:val="27751659"/>
    <w:rsid w:val="27758DDB"/>
    <w:rsid w:val="2775D075"/>
    <w:rsid w:val="27794262"/>
    <w:rsid w:val="277B5B5B"/>
    <w:rsid w:val="278127B6"/>
    <w:rsid w:val="27834346"/>
    <w:rsid w:val="2786390D"/>
    <w:rsid w:val="278A5A1E"/>
    <w:rsid w:val="278C1B40"/>
    <w:rsid w:val="27943125"/>
    <w:rsid w:val="2794B02A"/>
    <w:rsid w:val="2797DCD6"/>
    <w:rsid w:val="279D8F4B"/>
    <w:rsid w:val="279F5263"/>
    <w:rsid w:val="279FC29B"/>
    <w:rsid w:val="27A56C47"/>
    <w:rsid w:val="27A7F0B5"/>
    <w:rsid w:val="27AD5AB7"/>
    <w:rsid w:val="27B2F1D2"/>
    <w:rsid w:val="27B3AB2F"/>
    <w:rsid w:val="27B50A73"/>
    <w:rsid w:val="27B8363F"/>
    <w:rsid w:val="27BA5FE6"/>
    <w:rsid w:val="27BB41E4"/>
    <w:rsid w:val="27BFA5B3"/>
    <w:rsid w:val="27C34DC1"/>
    <w:rsid w:val="27C37614"/>
    <w:rsid w:val="27C3A089"/>
    <w:rsid w:val="27C71B4E"/>
    <w:rsid w:val="27C829AD"/>
    <w:rsid w:val="27C8B62F"/>
    <w:rsid w:val="27C9B0CD"/>
    <w:rsid w:val="27CA7727"/>
    <w:rsid w:val="27CAEA97"/>
    <w:rsid w:val="27CD6407"/>
    <w:rsid w:val="27CE1DFA"/>
    <w:rsid w:val="27D004C4"/>
    <w:rsid w:val="27D3235C"/>
    <w:rsid w:val="27D34994"/>
    <w:rsid w:val="27D646DE"/>
    <w:rsid w:val="27D749FD"/>
    <w:rsid w:val="27D86560"/>
    <w:rsid w:val="27D95B43"/>
    <w:rsid w:val="27DB1478"/>
    <w:rsid w:val="27DB68B0"/>
    <w:rsid w:val="27DB9F0C"/>
    <w:rsid w:val="27DDD591"/>
    <w:rsid w:val="27E0075A"/>
    <w:rsid w:val="27E297CB"/>
    <w:rsid w:val="27E60098"/>
    <w:rsid w:val="27E85150"/>
    <w:rsid w:val="27EA6607"/>
    <w:rsid w:val="27EDF6DA"/>
    <w:rsid w:val="27F087A8"/>
    <w:rsid w:val="27F1252A"/>
    <w:rsid w:val="27F25B34"/>
    <w:rsid w:val="27F4A91E"/>
    <w:rsid w:val="27F4EDAB"/>
    <w:rsid w:val="27F502B6"/>
    <w:rsid w:val="27F5C57F"/>
    <w:rsid w:val="27F81A7D"/>
    <w:rsid w:val="27FA2AEC"/>
    <w:rsid w:val="2801837D"/>
    <w:rsid w:val="28032D40"/>
    <w:rsid w:val="2803C5F1"/>
    <w:rsid w:val="2805BCDB"/>
    <w:rsid w:val="28069FEB"/>
    <w:rsid w:val="2807082E"/>
    <w:rsid w:val="280AF01D"/>
    <w:rsid w:val="280F65CB"/>
    <w:rsid w:val="280FF82F"/>
    <w:rsid w:val="2810C06E"/>
    <w:rsid w:val="28134EF4"/>
    <w:rsid w:val="28142C30"/>
    <w:rsid w:val="281D3149"/>
    <w:rsid w:val="281D570B"/>
    <w:rsid w:val="281E54E3"/>
    <w:rsid w:val="28213A50"/>
    <w:rsid w:val="282A1470"/>
    <w:rsid w:val="282AC4F6"/>
    <w:rsid w:val="282C9BCE"/>
    <w:rsid w:val="282DB716"/>
    <w:rsid w:val="282E0223"/>
    <w:rsid w:val="282FBE20"/>
    <w:rsid w:val="283162B9"/>
    <w:rsid w:val="2838203D"/>
    <w:rsid w:val="283CA468"/>
    <w:rsid w:val="283E7879"/>
    <w:rsid w:val="2843A999"/>
    <w:rsid w:val="2846E2BF"/>
    <w:rsid w:val="284907C3"/>
    <w:rsid w:val="284A09A9"/>
    <w:rsid w:val="284B462C"/>
    <w:rsid w:val="284D631D"/>
    <w:rsid w:val="284E7834"/>
    <w:rsid w:val="284EA223"/>
    <w:rsid w:val="2850079C"/>
    <w:rsid w:val="28526141"/>
    <w:rsid w:val="28529431"/>
    <w:rsid w:val="28539ADC"/>
    <w:rsid w:val="2853E790"/>
    <w:rsid w:val="2853FD94"/>
    <w:rsid w:val="2854DF94"/>
    <w:rsid w:val="28578B21"/>
    <w:rsid w:val="28584FE6"/>
    <w:rsid w:val="285AB50D"/>
    <w:rsid w:val="286CF461"/>
    <w:rsid w:val="286D3F8E"/>
    <w:rsid w:val="28725935"/>
    <w:rsid w:val="2873267E"/>
    <w:rsid w:val="2878C43D"/>
    <w:rsid w:val="287BA009"/>
    <w:rsid w:val="287E2A31"/>
    <w:rsid w:val="28800DA9"/>
    <w:rsid w:val="288455D0"/>
    <w:rsid w:val="288A34E4"/>
    <w:rsid w:val="288F2A99"/>
    <w:rsid w:val="289111CB"/>
    <w:rsid w:val="2891C824"/>
    <w:rsid w:val="289443EC"/>
    <w:rsid w:val="289482FE"/>
    <w:rsid w:val="2898270A"/>
    <w:rsid w:val="289A6929"/>
    <w:rsid w:val="289C8776"/>
    <w:rsid w:val="289F65B0"/>
    <w:rsid w:val="28A889BD"/>
    <w:rsid w:val="28A9BA8E"/>
    <w:rsid w:val="28AA7D0F"/>
    <w:rsid w:val="28AA8EED"/>
    <w:rsid w:val="28ADA503"/>
    <w:rsid w:val="28AFA1F6"/>
    <w:rsid w:val="28B0E683"/>
    <w:rsid w:val="28B14656"/>
    <w:rsid w:val="28B254DA"/>
    <w:rsid w:val="28B34E5E"/>
    <w:rsid w:val="28B3A762"/>
    <w:rsid w:val="28B64AA1"/>
    <w:rsid w:val="28B7E8E5"/>
    <w:rsid w:val="28BAD306"/>
    <w:rsid w:val="28BD8301"/>
    <w:rsid w:val="28C10BE2"/>
    <w:rsid w:val="28C16807"/>
    <w:rsid w:val="28C4C76D"/>
    <w:rsid w:val="28C4EAD8"/>
    <w:rsid w:val="28C67E60"/>
    <w:rsid w:val="28CFF3C2"/>
    <w:rsid w:val="28D23549"/>
    <w:rsid w:val="28D34FB7"/>
    <w:rsid w:val="28D720D1"/>
    <w:rsid w:val="28D8AB67"/>
    <w:rsid w:val="28D8C70E"/>
    <w:rsid w:val="28D91A5F"/>
    <w:rsid w:val="28D9F180"/>
    <w:rsid w:val="28DCCF0D"/>
    <w:rsid w:val="28DF10D7"/>
    <w:rsid w:val="28E13386"/>
    <w:rsid w:val="28E39B6F"/>
    <w:rsid w:val="28E4B4A5"/>
    <w:rsid w:val="28E694BC"/>
    <w:rsid w:val="28E6D758"/>
    <w:rsid w:val="28E6EEB7"/>
    <w:rsid w:val="28E7F8A2"/>
    <w:rsid w:val="28EACAB7"/>
    <w:rsid w:val="28EFFF5B"/>
    <w:rsid w:val="28F04BA8"/>
    <w:rsid w:val="28F0910B"/>
    <w:rsid w:val="28F21212"/>
    <w:rsid w:val="28F67C56"/>
    <w:rsid w:val="28F733A0"/>
    <w:rsid w:val="28FD2FDB"/>
    <w:rsid w:val="28FDE9B6"/>
    <w:rsid w:val="29012FCB"/>
    <w:rsid w:val="29050D20"/>
    <w:rsid w:val="29051CC2"/>
    <w:rsid w:val="2907281D"/>
    <w:rsid w:val="2907F480"/>
    <w:rsid w:val="29092430"/>
    <w:rsid w:val="290BDC4D"/>
    <w:rsid w:val="290C3583"/>
    <w:rsid w:val="290CE1CC"/>
    <w:rsid w:val="291274DD"/>
    <w:rsid w:val="2913939E"/>
    <w:rsid w:val="2913BE21"/>
    <w:rsid w:val="2916C575"/>
    <w:rsid w:val="2917E60C"/>
    <w:rsid w:val="291B926A"/>
    <w:rsid w:val="291B92BC"/>
    <w:rsid w:val="291C8220"/>
    <w:rsid w:val="291DFAFC"/>
    <w:rsid w:val="291EAC83"/>
    <w:rsid w:val="2923E481"/>
    <w:rsid w:val="2924C0FF"/>
    <w:rsid w:val="2924EE8B"/>
    <w:rsid w:val="29286C8D"/>
    <w:rsid w:val="292A941C"/>
    <w:rsid w:val="292B9879"/>
    <w:rsid w:val="292C8A50"/>
    <w:rsid w:val="292F3310"/>
    <w:rsid w:val="29306ECF"/>
    <w:rsid w:val="29326835"/>
    <w:rsid w:val="293382D3"/>
    <w:rsid w:val="2939CDDC"/>
    <w:rsid w:val="293A81A9"/>
    <w:rsid w:val="293B1C7E"/>
    <w:rsid w:val="293B9249"/>
    <w:rsid w:val="293CB62B"/>
    <w:rsid w:val="293FDF0B"/>
    <w:rsid w:val="2942EC1E"/>
    <w:rsid w:val="29447C17"/>
    <w:rsid w:val="2946EFA8"/>
    <w:rsid w:val="29474994"/>
    <w:rsid w:val="2947AC70"/>
    <w:rsid w:val="294A5D5C"/>
    <w:rsid w:val="294E6EF0"/>
    <w:rsid w:val="2952ACC8"/>
    <w:rsid w:val="29532190"/>
    <w:rsid w:val="2954C7FA"/>
    <w:rsid w:val="295E5944"/>
    <w:rsid w:val="29650D3E"/>
    <w:rsid w:val="2966E94A"/>
    <w:rsid w:val="2968D7EB"/>
    <w:rsid w:val="296A8A42"/>
    <w:rsid w:val="296BF866"/>
    <w:rsid w:val="296F6312"/>
    <w:rsid w:val="296FA1E4"/>
    <w:rsid w:val="29705719"/>
    <w:rsid w:val="29716F08"/>
    <w:rsid w:val="2974E941"/>
    <w:rsid w:val="29753A9F"/>
    <w:rsid w:val="29763A43"/>
    <w:rsid w:val="29795882"/>
    <w:rsid w:val="2979E38C"/>
    <w:rsid w:val="297A3D9B"/>
    <w:rsid w:val="297BEA13"/>
    <w:rsid w:val="297BF588"/>
    <w:rsid w:val="297C05D6"/>
    <w:rsid w:val="297F1545"/>
    <w:rsid w:val="297FE9A8"/>
    <w:rsid w:val="29807EA5"/>
    <w:rsid w:val="2981B152"/>
    <w:rsid w:val="29865307"/>
    <w:rsid w:val="29883C4C"/>
    <w:rsid w:val="298A1716"/>
    <w:rsid w:val="298B3456"/>
    <w:rsid w:val="298D181D"/>
    <w:rsid w:val="298EFB3E"/>
    <w:rsid w:val="29921910"/>
    <w:rsid w:val="2992F7DB"/>
    <w:rsid w:val="29956959"/>
    <w:rsid w:val="29992587"/>
    <w:rsid w:val="299968E4"/>
    <w:rsid w:val="299A0725"/>
    <w:rsid w:val="299D1F08"/>
    <w:rsid w:val="29A03D5F"/>
    <w:rsid w:val="29A12DED"/>
    <w:rsid w:val="29A2F5DD"/>
    <w:rsid w:val="29A52846"/>
    <w:rsid w:val="29A614F9"/>
    <w:rsid w:val="29A69B66"/>
    <w:rsid w:val="29A6E87B"/>
    <w:rsid w:val="29A8840C"/>
    <w:rsid w:val="29AA76E1"/>
    <w:rsid w:val="29ADF635"/>
    <w:rsid w:val="29AFFD96"/>
    <w:rsid w:val="29B33795"/>
    <w:rsid w:val="29B3A610"/>
    <w:rsid w:val="29B4C4D0"/>
    <w:rsid w:val="29BAE137"/>
    <w:rsid w:val="29BCC994"/>
    <w:rsid w:val="29BCDF30"/>
    <w:rsid w:val="29C01354"/>
    <w:rsid w:val="29C03DAB"/>
    <w:rsid w:val="29C11F01"/>
    <w:rsid w:val="29C15E7F"/>
    <w:rsid w:val="29C2B616"/>
    <w:rsid w:val="29C2E58A"/>
    <w:rsid w:val="29C3AA75"/>
    <w:rsid w:val="29C9EE46"/>
    <w:rsid w:val="29C9FEF1"/>
    <w:rsid w:val="29CA6796"/>
    <w:rsid w:val="29CC0A5C"/>
    <w:rsid w:val="29D1AD06"/>
    <w:rsid w:val="29D6181D"/>
    <w:rsid w:val="29D79F04"/>
    <w:rsid w:val="29D87CAF"/>
    <w:rsid w:val="29D8C9DE"/>
    <w:rsid w:val="29DAC953"/>
    <w:rsid w:val="29E4788F"/>
    <w:rsid w:val="29E66C17"/>
    <w:rsid w:val="29E6A01E"/>
    <w:rsid w:val="29EDAE7C"/>
    <w:rsid w:val="29EEABBF"/>
    <w:rsid w:val="29EEB109"/>
    <w:rsid w:val="29EEF493"/>
    <w:rsid w:val="29F03C09"/>
    <w:rsid w:val="29F1B58B"/>
    <w:rsid w:val="29F327C6"/>
    <w:rsid w:val="29F35223"/>
    <w:rsid w:val="29F4D4F4"/>
    <w:rsid w:val="29F5D172"/>
    <w:rsid w:val="29F874B2"/>
    <w:rsid w:val="29F96245"/>
    <w:rsid w:val="29FB4A7C"/>
    <w:rsid w:val="29FC5BDB"/>
    <w:rsid w:val="29FE8156"/>
    <w:rsid w:val="2A013A96"/>
    <w:rsid w:val="2A02EE2D"/>
    <w:rsid w:val="2A07A6C6"/>
    <w:rsid w:val="2A08DF7B"/>
    <w:rsid w:val="2A0B4C7A"/>
    <w:rsid w:val="2A0F48E8"/>
    <w:rsid w:val="2A109527"/>
    <w:rsid w:val="2A1140B0"/>
    <w:rsid w:val="2A12A879"/>
    <w:rsid w:val="2A132622"/>
    <w:rsid w:val="2A141045"/>
    <w:rsid w:val="2A14701E"/>
    <w:rsid w:val="2A15B04F"/>
    <w:rsid w:val="2A1855CB"/>
    <w:rsid w:val="2A19C8F0"/>
    <w:rsid w:val="2A1C21A3"/>
    <w:rsid w:val="2A1C3707"/>
    <w:rsid w:val="2A1D1D7C"/>
    <w:rsid w:val="2A1ED6CD"/>
    <w:rsid w:val="2A23CA82"/>
    <w:rsid w:val="2A29BB26"/>
    <w:rsid w:val="2A2B0265"/>
    <w:rsid w:val="2A2D5FCE"/>
    <w:rsid w:val="2A2EF9AF"/>
    <w:rsid w:val="2A310A43"/>
    <w:rsid w:val="2A32718B"/>
    <w:rsid w:val="2A33DEF6"/>
    <w:rsid w:val="2A3520A4"/>
    <w:rsid w:val="2A35C09F"/>
    <w:rsid w:val="2A365817"/>
    <w:rsid w:val="2A3ED6A6"/>
    <w:rsid w:val="2A3EDDA7"/>
    <w:rsid w:val="2A3F6452"/>
    <w:rsid w:val="2A433936"/>
    <w:rsid w:val="2A442D3E"/>
    <w:rsid w:val="2A44C972"/>
    <w:rsid w:val="2A4ABC88"/>
    <w:rsid w:val="2A4EFE9C"/>
    <w:rsid w:val="2A530EAA"/>
    <w:rsid w:val="2A535B31"/>
    <w:rsid w:val="2A54E866"/>
    <w:rsid w:val="2A587343"/>
    <w:rsid w:val="2A58FE43"/>
    <w:rsid w:val="2A5A327A"/>
    <w:rsid w:val="2A5B00A4"/>
    <w:rsid w:val="2A5CEE8F"/>
    <w:rsid w:val="2A5FFC35"/>
    <w:rsid w:val="2A60C5BC"/>
    <w:rsid w:val="2A60E5B7"/>
    <w:rsid w:val="2A6179F6"/>
    <w:rsid w:val="2A62DF99"/>
    <w:rsid w:val="2A62E7CD"/>
    <w:rsid w:val="2A644ECB"/>
    <w:rsid w:val="2A649F03"/>
    <w:rsid w:val="2A67DE38"/>
    <w:rsid w:val="2A6AE3BF"/>
    <w:rsid w:val="2A6B3272"/>
    <w:rsid w:val="2A6B69B5"/>
    <w:rsid w:val="2A6B84D1"/>
    <w:rsid w:val="2A6E601E"/>
    <w:rsid w:val="2A6F8F3C"/>
    <w:rsid w:val="2A723B38"/>
    <w:rsid w:val="2A73FB0F"/>
    <w:rsid w:val="2A748206"/>
    <w:rsid w:val="2A74D5A2"/>
    <w:rsid w:val="2A76BA39"/>
    <w:rsid w:val="2A7904C2"/>
    <w:rsid w:val="2A7A3EB7"/>
    <w:rsid w:val="2A7BBD39"/>
    <w:rsid w:val="2A7BE2E1"/>
    <w:rsid w:val="2A7C3917"/>
    <w:rsid w:val="2A7C6160"/>
    <w:rsid w:val="2A7EE156"/>
    <w:rsid w:val="2A805D95"/>
    <w:rsid w:val="2A85D02D"/>
    <w:rsid w:val="2A875DAB"/>
    <w:rsid w:val="2A8D7E95"/>
    <w:rsid w:val="2A8ECF18"/>
    <w:rsid w:val="2A971ED6"/>
    <w:rsid w:val="2A988D6B"/>
    <w:rsid w:val="2A9C5D17"/>
    <w:rsid w:val="2A9E8667"/>
    <w:rsid w:val="2A9EC4DF"/>
    <w:rsid w:val="2AA0EE5D"/>
    <w:rsid w:val="2AA22787"/>
    <w:rsid w:val="2AA25AA7"/>
    <w:rsid w:val="2AA8F2B4"/>
    <w:rsid w:val="2AAB4D36"/>
    <w:rsid w:val="2AABADEB"/>
    <w:rsid w:val="2AACE95C"/>
    <w:rsid w:val="2AAD560C"/>
    <w:rsid w:val="2AB084E3"/>
    <w:rsid w:val="2AB578FC"/>
    <w:rsid w:val="2AB8122C"/>
    <w:rsid w:val="2AB81841"/>
    <w:rsid w:val="2ABBB54F"/>
    <w:rsid w:val="2ABCFD49"/>
    <w:rsid w:val="2ABD725A"/>
    <w:rsid w:val="2AC1B9D9"/>
    <w:rsid w:val="2AC814FD"/>
    <w:rsid w:val="2ACA81C5"/>
    <w:rsid w:val="2ACAAD1B"/>
    <w:rsid w:val="2AD03F86"/>
    <w:rsid w:val="2AD04DBC"/>
    <w:rsid w:val="2AD28622"/>
    <w:rsid w:val="2AD45F89"/>
    <w:rsid w:val="2AD5AC22"/>
    <w:rsid w:val="2AD75942"/>
    <w:rsid w:val="2AD7C161"/>
    <w:rsid w:val="2AD7D2B2"/>
    <w:rsid w:val="2ADA1069"/>
    <w:rsid w:val="2AE322E3"/>
    <w:rsid w:val="2AE66086"/>
    <w:rsid w:val="2AE6CA84"/>
    <w:rsid w:val="2AE755CC"/>
    <w:rsid w:val="2AE8AC4C"/>
    <w:rsid w:val="2AEB7D92"/>
    <w:rsid w:val="2AEC5688"/>
    <w:rsid w:val="2AEE29EE"/>
    <w:rsid w:val="2AEEA4C0"/>
    <w:rsid w:val="2AEF1317"/>
    <w:rsid w:val="2AF01A09"/>
    <w:rsid w:val="2AF06F57"/>
    <w:rsid w:val="2AF14BEE"/>
    <w:rsid w:val="2AF5C977"/>
    <w:rsid w:val="2AF7BAF4"/>
    <w:rsid w:val="2AF8E800"/>
    <w:rsid w:val="2AF9697A"/>
    <w:rsid w:val="2AFA8C6D"/>
    <w:rsid w:val="2AFAEA0D"/>
    <w:rsid w:val="2AFE2659"/>
    <w:rsid w:val="2B0338F1"/>
    <w:rsid w:val="2B045FA2"/>
    <w:rsid w:val="2B076964"/>
    <w:rsid w:val="2B079EAF"/>
    <w:rsid w:val="2B101417"/>
    <w:rsid w:val="2B10F9BA"/>
    <w:rsid w:val="2B13BC2D"/>
    <w:rsid w:val="2B197910"/>
    <w:rsid w:val="2B1C6AFF"/>
    <w:rsid w:val="2B1DB4C7"/>
    <w:rsid w:val="2B1E5830"/>
    <w:rsid w:val="2B1EDD30"/>
    <w:rsid w:val="2B1F8C46"/>
    <w:rsid w:val="2B2056F2"/>
    <w:rsid w:val="2B2117F2"/>
    <w:rsid w:val="2B23F05A"/>
    <w:rsid w:val="2B24BADC"/>
    <w:rsid w:val="2B285825"/>
    <w:rsid w:val="2B2A64B5"/>
    <w:rsid w:val="2B2CAE86"/>
    <w:rsid w:val="2B2D17FE"/>
    <w:rsid w:val="2B313DE2"/>
    <w:rsid w:val="2B347942"/>
    <w:rsid w:val="2B37B278"/>
    <w:rsid w:val="2B38B138"/>
    <w:rsid w:val="2B3AF499"/>
    <w:rsid w:val="2B3C89B2"/>
    <w:rsid w:val="2B3F3359"/>
    <w:rsid w:val="2B40C697"/>
    <w:rsid w:val="2B42138F"/>
    <w:rsid w:val="2B4274A9"/>
    <w:rsid w:val="2B43F16E"/>
    <w:rsid w:val="2B446D66"/>
    <w:rsid w:val="2B45326D"/>
    <w:rsid w:val="2B4847F3"/>
    <w:rsid w:val="2B490BCC"/>
    <w:rsid w:val="2B4A2CED"/>
    <w:rsid w:val="2B4CFC11"/>
    <w:rsid w:val="2B4D55E9"/>
    <w:rsid w:val="2B543701"/>
    <w:rsid w:val="2B55DCA9"/>
    <w:rsid w:val="2B5ACC53"/>
    <w:rsid w:val="2B5F635F"/>
    <w:rsid w:val="2B610571"/>
    <w:rsid w:val="2B6143F3"/>
    <w:rsid w:val="2B616683"/>
    <w:rsid w:val="2B62D172"/>
    <w:rsid w:val="2B6314F3"/>
    <w:rsid w:val="2B64949D"/>
    <w:rsid w:val="2B676F0B"/>
    <w:rsid w:val="2B693549"/>
    <w:rsid w:val="2B7526AE"/>
    <w:rsid w:val="2B7602E8"/>
    <w:rsid w:val="2B76E11D"/>
    <w:rsid w:val="2B7B668C"/>
    <w:rsid w:val="2B7B8A0D"/>
    <w:rsid w:val="2B7EDE8D"/>
    <w:rsid w:val="2B7EE57E"/>
    <w:rsid w:val="2B82C8F9"/>
    <w:rsid w:val="2B856F1F"/>
    <w:rsid w:val="2B85C9B5"/>
    <w:rsid w:val="2B8612BF"/>
    <w:rsid w:val="2B8D0E08"/>
    <w:rsid w:val="2B8E8E32"/>
    <w:rsid w:val="2B925130"/>
    <w:rsid w:val="2B95E345"/>
    <w:rsid w:val="2B9658BA"/>
    <w:rsid w:val="2B97383F"/>
    <w:rsid w:val="2B99CDEB"/>
    <w:rsid w:val="2B99E5EC"/>
    <w:rsid w:val="2B9F611F"/>
    <w:rsid w:val="2BA0427C"/>
    <w:rsid w:val="2BAF0A0E"/>
    <w:rsid w:val="2BBC82A3"/>
    <w:rsid w:val="2BBCFC1B"/>
    <w:rsid w:val="2BBD43D1"/>
    <w:rsid w:val="2BBF2D7E"/>
    <w:rsid w:val="2BBFC834"/>
    <w:rsid w:val="2BC06363"/>
    <w:rsid w:val="2BC11FD0"/>
    <w:rsid w:val="2BC48201"/>
    <w:rsid w:val="2BC69DFA"/>
    <w:rsid w:val="2BC7F31A"/>
    <w:rsid w:val="2BCBBC93"/>
    <w:rsid w:val="2BCC49FA"/>
    <w:rsid w:val="2BCF6D9A"/>
    <w:rsid w:val="2BD0884C"/>
    <w:rsid w:val="2BD4AB07"/>
    <w:rsid w:val="2BD5F2A2"/>
    <w:rsid w:val="2BD8E5DE"/>
    <w:rsid w:val="2BE212D7"/>
    <w:rsid w:val="2BED6E68"/>
    <w:rsid w:val="2BEEBAEC"/>
    <w:rsid w:val="2BEEF9B8"/>
    <w:rsid w:val="2BF2D83E"/>
    <w:rsid w:val="2BF65D9E"/>
    <w:rsid w:val="2BF70CB2"/>
    <w:rsid w:val="2BF7C116"/>
    <w:rsid w:val="2BF7D492"/>
    <w:rsid w:val="2BFF10F8"/>
    <w:rsid w:val="2BFFAB34"/>
    <w:rsid w:val="2C011E24"/>
    <w:rsid w:val="2C0205B2"/>
    <w:rsid w:val="2C02DD47"/>
    <w:rsid w:val="2C072FB6"/>
    <w:rsid w:val="2C0E2D50"/>
    <w:rsid w:val="2C12ED37"/>
    <w:rsid w:val="2C13ACDF"/>
    <w:rsid w:val="2C13D34E"/>
    <w:rsid w:val="2C14DF8D"/>
    <w:rsid w:val="2C165E2C"/>
    <w:rsid w:val="2C1A1166"/>
    <w:rsid w:val="2C1AF088"/>
    <w:rsid w:val="2C1C4B9C"/>
    <w:rsid w:val="2C233DA4"/>
    <w:rsid w:val="2C2634B5"/>
    <w:rsid w:val="2C280AC4"/>
    <w:rsid w:val="2C288C84"/>
    <w:rsid w:val="2C29BE83"/>
    <w:rsid w:val="2C2A2AA6"/>
    <w:rsid w:val="2C2DFB05"/>
    <w:rsid w:val="2C35F056"/>
    <w:rsid w:val="2C381C8C"/>
    <w:rsid w:val="2C39F396"/>
    <w:rsid w:val="2C3B98ED"/>
    <w:rsid w:val="2C43193D"/>
    <w:rsid w:val="2C46B7F8"/>
    <w:rsid w:val="2C521369"/>
    <w:rsid w:val="2C559CE3"/>
    <w:rsid w:val="2C581625"/>
    <w:rsid w:val="2C59EF22"/>
    <w:rsid w:val="2C5A2430"/>
    <w:rsid w:val="2C5A99CD"/>
    <w:rsid w:val="2C5BBBB7"/>
    <w:rsid w:val="2C5D16FE"/>
    <w:rsid w:val="2C5D53E3"/>
    <w:rsid w:val="2C5DCDC2"/>
    <w:rsid w:val="2C5E48F2"/>
    <w:rsid w:val="2C5F5099"/>
    <w:rsid w:val="2C5FF43E"/>
    <w:rsid w:val="2C63F48E"/>
    <w:rsid w:val="2C654A6B"/>
    <w:rsid w:val="2C687D8B"/>
    <w:rsid w:val="2C6A0249"/>
    <w:rsid w:val="2C6AF5B9"/>
    <w:rsid w:val="2C6C2EB7"/>
    <w:rsid w:val="2C6C567F"/>
    <w:rsid w:val="2C70A8A3"/>
    <w:rsid w:val="2C712903"/>
    <w:rsid w:val="2C71B5BD"/>
    <w:rsid w:val="2C721021"/>
    <w:rsid w:val="2C73451E"/>
    <w:rsid w:val="2C742683"/>
    <w:rsid w:val="2C768AED"/>
    <w:rsid w:val="2C76B071"/>
    <w:rsid w:val="2C7C6099"/>
    <w:rsid w:val="2C7E303C"/>
    <w:rsid w:val="2C7FCE09"/>
    <w:rsid w:val="2C80DCC5"/>
    <w:rsid w:val="2C80F6C5"/>
    <w:rsid w:val="2C82FA34"/>
    <w:rsid w:val="2C856681"/>
    <w:rsid w:val="2C85B6B7"/>
    <w:rsid w:val="2C867018"/>
    <w:rsid w:val="2C87C11D"/>
    <w:rsid w:val="2C8D280A"/>
    <w:rsid w:val="2C91E038"/>
    <w:rsid w:val="2C928B89"/>
    <w:rsid w:val="2C939F00"/>
    <w:rsid w:val="2CA1CD35"/>
    <w:rsid w:val="2CA375E7"/>
    <w:rsid w:val="2CA62662"/>
    <w:rsid w:val="2CA8C28C"/>
    <w:rsid w:val="2CABC843"/>
    <w:rsid w:val="2CADCE13"/>
    <w:rsid w:val="2CAE22AD"/>
    <w:rsid w:val="2CAFB658"/>
    <w:rsid w:val="2CB024F9"/>
    <w:rsid w:val="2CB1682B"/>
    <w:rsid w:val="2CB47B78"/>
    <w:rsid w:val="2CB9B0D4"/>
    <w:rsid w:val="2CBB5D44"/>
    <w:rsid w:val="2CC01768"/>
    <w:rsid w:val="2CC1D58A"/>
    <w:rsid w:val="2CC2D0EC"/>
    <w:rsid w:val="2CC2DEB5"/>
    <w:rsid w:val="2CC4C899"/>
    <w:rsid w:val="2CC76C36"/>
    <w:rsid w:val="2CD6600B"/>
    <w:rsid w:val="2CD92918"/>
    <w:rsid w:val="2CD96091"/>
    <w:rsid w:val="2CDBF2A5"/>
    <w:rsid w:val="2CDC1573"/>
    <w:rsid w:val="2CE1737A"/>
    <w:rsid w:val="2CE43494"/>
    <w:rsid w:val="2CE66A89"/>
    <w:rsid w:val="2CE7B435"/>
    <w:rsid w:val="2CEE67FF"/>
    <w:rsid w:val="2CEE7063"/>
    <w:rsid w:val="2CF23EA2"/>
    <w:rsid w:val="2CF6E401"/>
    <w:rsid w:val="2CF85B0D"/>
    <w:rsid w:val="2CFAA9BA"/>
    <w:rsid w:val="2CFAABB0"/>
    <w:rsid w:val="2CFB4529"/>
    <w:rsid w:val="2CFC1868"/>
    <w:rsid w:val="2CFC3AA5"/>
    <w:rsid w:val="2CFD4D49"/>
    <w:rsid w:val="2CFF45C5"/>
    <w:rsid w:val="2CFFD713"/>
    <w:rsid w:val="2D052FEF"/>
    <w:rsid w:val="2D0693D1"/>
    <w:rsid w:val="2D092DA0"/>
    <w:rsid w:val="2D09F9E4"/>
    <w:rsid w:val="2D0B3495"/>
    <w:rsid w:val="2D0C5CD3"/>
    <w:rsid w:val="2D0EC703"/>
    <w:rsid w:val="2D0EE0E4"/>
    <w:rsid w:val="2D104867"/>
    <w:rsid w:val="2D112E92"/>
    <w:rsid w:val="2D1925F6"/>
    <w:rsid w:val="2D19B7B6"/>
    <w:rsid w:val="2D1B379F"/>
    <w:rsid w:val="2D1EDC9B"/>
    <w:rsid w:val="2D227846"/>
    <w:rsid w:val="2D24FE1E"/>
    <w:rsid w:val="2D26AC23"/>
    <w:rsid w:val="2D2A2C21"/>
    <w:rsid w:val="2D2A409F"/>
    <w:rsid w:val="2D2AAE34"/>
    <w:rsid w:val="2D2BD1B2"/>
    <w:rsid w:val="2D30A8D5"/>
    <w:rsid w:val="2D313BB9"/>
    <w:rsid w:val="2D317DF9"/>
    <w:rsid w:val="2D371EBE"/>
    <w:rsid w:val="2D3810CA"/>
    <w:rsid w:val="2D389570"/>
    <w:rsid w:val="2D3D9718"/>
    <w:rsid w:val="2D3DE4BF"/>
    <w:rsid w:val="2D3FB609"/>
    <w:rsid w:val="2D3FD2A6"/>
    <w:rsid w:val="2D409195"/>
    <w:rsid w:val="2D416EE1"/>
    <w:rsid w:val="2D4381D8"/>
    <w:rsid w:val="2D451C46"/>
    <w:rsid w:val="2D453E3C"/>
    <w:rsid w:val="2D4696F1"/>
    <w:rsid w:val="2D4891AF"/>
    <w:rsid w:val="2D5158E1"/>
    <w:rsid w:val="2D522DA0"/>
    <w:rsid w:val="2D52BCB9"/>
    <w:rsid w:val="2D52C5D7"/>
    <w:rsid w:val="2D541626"/>
    <w:rsid w:val="2D5605B2"/>
    <w:rsid w:val="2D57CFC8"/>
    <w:rsid w:val="2D57F849"/>
    <w:rsid w:val="2D581C63"/>
    <w:rsid w:val="2D58F468"/>
    <w:rsid w:val="2D5CD197"/>
    <w:rsid w:val="2D5CE83D"/>
    <w:rsid w:val="2D5F7033"/>
    <w:rsid w:val="2D61D850"/>
    <w:rsid w:val="2D640902"/>
    <w:rsid w:val="2D663790"/>
    <w:rsid w:val="2D667CBD"/>
    <w:rsid w:val="2D67E60D"/>
    <w:rsid w:val="2D686933"/>
    <w:rsid w:val="2D690AB0"/>
    <w:rsid w:val="2D6A4CDE"/>
    <w:rsid w:val="2D6C9B49"/>
    <w:rsid w:val="2D6DF8D9"/>
    <w:rsid w:val="2D710D9C"/>
    <w:rsid w:val="2D718376"/>
    <w:rsid w:val="2D7655FF"/>
    <w:rsid w:val="2D77E04A"/>
    <w:rsid w:val="2D77E3CD"/>
    <w:rsid w:val="2D7A19B1"/>
    <w:rsid w:val="2D7B0A3E"/>
    <w:rsid w:val="2D7D39EA"/>
    <w:rsid w:val="2D7DCB4F"/>
    <w:rsid w:val="2D7E0D31"/>
    <w:rsid w:val="2D843259"/>
    <w:rsid w:val="2D84C5A7"/>
    <w:rsid w:val="2D875A7A"/>
    <w:rsid w:val="2D91F70E"/>
    <w:rsid w:val="2D92B574"/>
    <w:rsid w:val="2D930194"/>
    <w:rsid w:val="2D9506F4"/>
    <w:rsid w:val="2DA36F54"/>
    <w:rsid w:val="2DA8931F"/>
    <w:rsid w:val="2DAA9600"/>
    <w:rsid w:val="2DB53B43"/>
    <w:rsid w:val="2DB5FAB7"/>
    <w:rsid w:val="2DB93696"/>
    <w:rsid w:val="2DBAEDEB"/>
    <w:rsid w:val="2DBBCE0F"/>
    <w:rsid w:val="2DC0E4B1"/>
    <w:rsid w:val="2DC26C83"/>
    <w:rsid w:val="2DCB7CDB"/>
    <w:rsid w:val="2DCC55D7"/>
    <w:rsid w:val="2DCDD025"/>
    <w:rsid w:val="2DD4974A"/>
    <w:rsid w:val="2DD987B5"/>
    <w:rsid w:val="2DDA9CA6"/>
    <w:rsid w:val="2DDB0831"/>
    <w:rsid w:val="2DDB886D"/>
    <w:rsid w:val="2DE29E4A"/>
    <w:rsid w:val="2DE5E233"/>
    <w:rsid w:val="2DE8B39C"/>
    <w:rsid w:val="2DE94A46"/>
    <w:rsid w:val="2DE964FD"/>
    <w:rsid w:val="2DEA2825"/>
    <w:rsid w:val="2DEB68D1"/>
    <w:rsid w:val="2DEEC884"/>
    <w:rsid w:val="2DEED953"/>
    <w:rsid w:val="2DF0EB78"/>
    <w:rsid w:val="2DF3D8AB"/>
    <w:rsid w:val="2DF495A5"/>
    <w:rsid w:val="2DF64990"/>
    <w:rsid w:val="2DF71857"/>
    <w:rsid w:val="2DF9ABD7"/>
    <w:rsid w:val="2DFAFBD7"/>
    <w:rsid w:val="2DFB6A8B"/>
    <w:rsid w:val="2DFD7727"/>
    <w:rsid w:val="2DFF32EA"/>
    <w:rsid w:val="2E01BB45"/>
    <w:rsid w:val="2E032FE7"/>
    <w:rsid w:val="2E05F3E2"/>
    <w:rsid w:val="2E07CBF5"/>
    <w:rsid w:val="2E08CC65"/>
    <w:rsid w:val="2E1069AB"/>
    <w:rsid w:val="2E137618"/>
    <w:rsid w:val="2E13761E"/>
    <w:rsid w:val="2E1615E5"/>
    <w:rsid w:val="2E1693BA"/>
    <w:rsid w:val="2E16A879"/>
    <w:rsid w:val="2E194121"/>
    <w:rsid w:val="2E1A5D95"/>
    <w:rsid w:val="2E1E7871"/>
    <w:rsid w:val="2E237054"/>
    <w:rsid w:val="2E326FA5"/>
    <w:rsid w:val="2E363793"/>
    <w:rsid w:val="2E38D041"/>
    <w:rsid w:val="2E3C41E0"/>
    <w:rsid w:val="2E3CF364"/>
    <w:rsid w:val="2E3E09EF"/>
    <w:rsid w:val="2E421BCB"/>
    <w:rsid w:val="2E4763DD"/>
    <w:rsid w:val="2E47C9A9"/>
    <w:rsid w:val="2E4855B5"/>
    <w:rsid w:val="2E54F979"/>
    <w:rsid w:val="2E57FCD3"/>
    <w:rsid w:val="2E59D17A"/>
    <w:rsid w:val="2E5C4D6F"/>
    <w:rsid w:val="2E5F5E84"/>
    <w:rsid w:val="2E6497FD"/>
    <w:rsid w:val="2E64CA1A"/>
    <w:rsid w:val="2E68CB99"/>
    <w:rsid w:val="2E713C1C"/>
    <w:rsid w:val="2E71E205"/>
    <w:rsid w:val="2E73C7FC"/>
    <w:rsid w:val="2E769A7A"/>
    <w:rsid w:val="2E775DE9"/>
    <w:rsid w:val="2E7AB992"/>
    <w:rsid w:val="2E7B5895"/>
    <w:rsid w:val="2E7B7DE7"/>
    <w:rsid w:val="2E7E8B05"/>
    <w:rsid w:val="2E7EDA5C"/>
    <w:rsid w:val="2E82542C"/>
    <w:rsid w:val="2E851861"/>
    <w:rsid w:val="2E88251E"/>
    <w:rsid w:val="2E88E9F0"/>
    <w:rsid w:val="2E8A66CD"/>
    <w:rsid w:val="2E8E96CA"/>
    <w:rsid w:val="2E8F0767"/>
    <w:rsid w:val="2E94606D"/>
    <w:rsid w:val="2E9472AC"/>
    <w:rsid w:val="2E9FDFCA"/>
    <w:rsid w:val="2EA242C6"/>
    <w:rsid w:val="2EA2A39F"/>
    <w:rsid w:val="2EA53037"/>
    <w:rsid w:val="2EA5C736"/>
    <w:rsid w:val="2EA60FEB"/>
    <w:rsid w:val="2EA76C5E"/>
    <w:rsid w:val="2EABBE24"/>
    <w:rsid w:val="2EADEB93"/>
    <w:rsid w:val="2EAE66A9"/>
    <w:rsid w:val="2EB00846"/>
    <w:rsid w:val="2EB17584"/>
    <w:rsid w:val="2EB29BCA"/>
    <w:rsid w:val="2EB2DBEC"/>
    <w:rsid w:val="2EB54160"/>
    <w:rsid w:val="2EB74A0E"/>
    <w:rsid w:val="2EB90352"/>
    <w:rsid w:val="2EBA309F"/>
    <w:rsid w:val="2EBBCF14"/>
    <w:rsid w:val="2EC1BA1A"/>
    <w:rsid w:val="2EC32045"/>
    <w:rsid w:val="2ECA5115"/>
    <w:rsid w:val="2ECC0098"/>
    <w:rsid w:val="2ECE02EF"/>
    <w:rsid w:val="2ED2061F"/>
    <w:rsid w:val="2ED41FFF"/>
    <w:rsid w:val="2ED68EB5"/>
    <w:rsid w:val="2EDCC8C7"/>
    <w:rsid w:val="2EDFFD22"/>
    <w:rsid w:val="2EE4657B"/>
    <w:rsid w:val="2EE51B57"/>
    <w:rsid w:val="2EE98F8E"/>
    <w:rsid w:val="2EEAFA04"/>
    <w:rsid w:val="2EEB6E95"/>
    <w:rsid w:val="2EEC3F8F"/>
    <w:rsid w:val="2EED9ECA"/>
    <w:rsid w:val="2EF9CE92"/>
    <w:rsid w:val="2EFBD5C4"/>
    <w:rsid w:val="2EFC81A7"/>
    <w:rsid w:val="2EFD6436"/>
    <w:rsid w:val="2EFDA7ED"/>
    <w:rsid w:val="2EFEE162"/>
    <w:rsid w:val="2EFF18F0"/>
    <w:rsid w:val="2F02E77F"/>
    <w:rsid w:val="2F06DFC8"/>
    <w:rsid w:val="2F078E1B"/>
    <w:rsid w:val="2F08BE21"/>
    <w:rsid w:val="2F0A608F"/>
    <w:rsid w:val="2F0B5A25"/>
    <w:rsid w:val="2F0F7519"/>
    <w:rsid w:val="2F111EBD"/>
    <w:rsid w:val="2F1247C6"/>
    <w:rsid w:val="2F1A2163"/>
    <w:rsid w:val="2F1AC13A"/>
    <w:rsid w:val="2F1C174D"/>
    <w:rsid w:val="2F20F032"/>
    <w:rsid w:val="2F213B3D"/>
    <w:rsid w:val="2F25204D"/>
    <w:rsid w:val="2F26D913"/>
    <w:rsid w:val="2F280B6F"/>
    <w:rsid w:val="2F2AFDDF"/>
    <w:rsid w:val="2F2E57B5"/>
    <w:rsid w:val="2F2E8898"/>
    <w:rsid w:val="2F32D3EA"/>
    <w:rsid w:val="2F340473"/>
    <w:rsid w:val="2F34E944"/>
    <w:rsid w:val="2F3939C3"/>
    <w:rsid w:val="2F3B4606"/>
    <w:rsid w:val="2F418436"/>
    <w:rsid w:val="2F44A8E9"/>
    <w:rsid w:val="2F4CC308"/>
    <w:rsid w:val="2F52F98B"/>
    <w:rsid w:val="2F59EB5C"/>
    <w:rsid w:val="2F5AB951"/>
    <w:rsid w:val="2F5C8911"/>
    <w:rsid w:val="2F5C96DD"/>
    <w:rsid w:val="2F6433A4"/>
    <w:rsid w:val="2F6876F1"/>
    <w:rsid w:val="2F6B666A"/>
    <w:rsid w:val="2F6D5205"/>
    <w:rsid w:val="2F7064E4"/>
    <w:rsid w:val="2F70E31F"/>
    <w:rsid w:val="2F7C4199"/>
    <w:rsid w:val="2F8043E7"/>
    <w:rsid w:val="2F80747A"/>
    <w:rsid w:val="2F80C4D9"/>
    <w:rsid w:val="2F823A71"/>
    <w:rsid w:val="2F85A215"/>
    <w:rsid w:val="2F87B170"/>
    <w:rsid w:val="2F8C3305"/>
    <w:rsid w:val="2F8F99C9"/>
    <w:rsid w:val="2F9019BB"/>
    <w:rsid w:val="2F905B05"/>
    <w:rsid w:val="2F910921"/>
    <w:rsid w:val="2F91EA19"/>
    <w:rsid w:val="2F925C47"/>
    <w:rsid w:val="2F95EF07"/>
    <w:rsid w:val="2F989AC1"/>
    <w:rsid w:val="2F9C2926"/>
    <w:rsid w:val="2F9E4593"/>
    <w:rsid w:val="2F9F85EA"/>
    <w:rsid w:val="2F9FE897"/>
    <w:rsid w:val="2FA5113F"/>
    <w:rsid w:val="2FA95ADB"/>
    <w:rsid w:val="2FAAB7FB"/>
    <w:rsid w:val="2FAAC427"/>
    <w:rsid w:val="2FAB095A"/>
    <w:rsid w:val="2FAC5288"/>
    <w:rsid w:val="2FB9AFAF"/>
    <w:rsid w:val="2FBA29DF"/>
    <w:rsid w:val="2FBC50AC"/>
    <w:rsid w:val="2FBEF65D"/>
    <w:rsid w:val="2FC1DB5C"/>
    <w:rsid w:val="2FC39C7A"/>
    <w:rsid w:val="2FC8153F"/>
    <w:rsid w:val="2FC9F89B"/>
    <w:rsid w:val="2FCAF442"/>
    <w:rsid w:val="2FCCBD51"/>
    <w:rsid w:val="2FCF25D1"/>
    <w:rsid w:val="2FD10DC4"/>
    <w:rsid w:val="2FD31A08"/>
    <w:rsid w:val="2FD36DC8"/>
    <w:rsid w:val="2FD505E2"/>
    <w:rsid w:val="2FD6CD7E"/>
    <w:rsid w:val="2FD70CF9"/>
    <w:rsid w:val="2FD7A129"/>
    <w:rsid w:val="2FDBE0AE"/>
    <w:rsid w:val="2FDD74A8"/>
    <w:rsid w:val="2FE11371"/>
    <w:rsid w:val="2FE49751"/>
    <w:rsid w:val="2FE67799"/>
    <w:rsid w:val="2FE68AAC"/>
    <w:rsid w:val="2FE87F3E"/>
    <w:rsid w:val="2FE974BA"/>
    <w:rsid w:val="2FE97F1F"/>
    <w:rsid w:val="2FEF8BFC"/>
    <w:rsid w:val="2FEFFEC3"/>
    <w:rsid w:val="2FF0DFC5"/>
    <w:rsid w:val="2FF1FB96"/>
    <w:rsid w:val="2FF59F64"/>
    <w:rsid w:val="2FF69975"/>
    <w:rsid w:val="2FF8C30D"/>
    <w:rsid w:val="2FFD1132"/>
    <w:rsid w:val="3000D635"/>
    <w:rsid w:val="30018103"/>
    <w:rsid w:val="30091725"/>
    <w:rsid w:val="300982C3"/>
    <w:rsid w:val="300FD853"/>
    <w:rsid w:val="3010D56A"/>
    <w:rsid w:val="30143672"/>
    <w:rsid w:val="30157C50"/>
    <w:rsid w:val="301AF40D"/>
    <w:rsid w:val="301C7F41"/>
    <w:rsid w:val="3022FD3E"/>
    <w:rsid w:val="30237810"/>
    <w:rsid w:val="30280852"/>
    <w:rsid w:val="30285BAA"/>
    <w:rsid w:val="3029971C"/>
    <w:rsid w:val="3029F11C"/>
    <w:rsid w:val="302D7DB4"/>
    <w:rsid w:val="302FD03B"/>
    <w:rsid w:val="30300B41"/>
    <w:rsid w:val="30304AF9"/>
    <w:rsid w:val="30338150"/>
    <w:rsid w:val="3035FA18"/>
    <w:rsid w:val="303D0929"/>
    <w:rsid w:val="303ED370"/>
    <w:rsid w:val="30473341"/>
    <w:rsid w:val="3049924B"/>
    <w:rsid w:val="304C60C1"/>
    <w:rsid w:val="304C6F38"/>
    <w:rsid w:val="304CE480"/>
    <w:rsid w:val="304D2765"/>
    <w:rsid w:val="304E9D3B"/>
    <w:rsid w:val="305043A3"/>
    <w:rsid w:val="3053DE36"/>
    <w:rsid w:val="3055D0B7"/>
    <w:rsid w:val="3056096C"/>
    <w:rsid w:val="3058EA5A"/>
    <w:rsid w:val="3060E150"/>
    <w:rsid w:val="30614BF4"/>
    <w:rsid w:val="30632B8B"/>
    <w:rsid w:val="30643E31"/>
    <w:rsid w:val="30649AC5"/>
    <w:rsid w:val="3064D29A"/>
    <w:rsid w:val="30650F90"/>
    <w:rsid w:val="30694B81"/>
    <w:rsid w:val="306A8C81"/>
    <w:rsid w:val="306E242F"/>
    <w:rsid w:val="306EE9E0"/>
    <w:rsid w:val="3070893F"/>
    <w:rsid w:val="30728350"/>
    <w:rsid w:val="3072887A"/>
    <w:rsid w:val="3078B1DD"/>
    <w:rsid w:val="3081F541"/>
    <w:rsid w:val="3083E9C3"/>
    <w:rsid w:val="3084445D"/>
    <w:rsid w:val="30880528"/>
    <w:rsid w:val="3089FD5A"/>
    <w:rsid w:val="308D89EC"/>
    <w:rsid w:val="308E3715"/>
    <w:rsid w:val="3091F356"/>
    <w:rsid w:val="3092FF2D"/>
    <w:rsid w:val="3095D1EE"/>
    <w:rsid w:val="30985208"/>
    <w:rsid w:val="3099A2AB"/>
    <w:rsid w:val="309A32D9"/>
    <w:rsid w:val="309DF162"/>
    <w:rsid w:val="309E8EF8"/>
    <w:rsid w:val="30A088D5"/>
    <w:rsid w:val="30A0FCC0"/>
    <w:rsid w:val="30A14CF3"/>
    <w:rsid w:val="30A4D318"/>
    <w:rsid w:val="30AB5B62"/>
    <w:rsid w:val="30AF87DC"/>
    <w:rsid w:val="30B01D4E"/>
    <w:rsid w:val="30B12012"/>
    <w:rsid w:val="30B1C83A"/>
    <w:rsid w:val="30B203B6"/>
    <w:rsid w:val="30B292F4"/>
    <w:rsid w:val="30B66FDC"/>
    <w:rsid w:val="30BBB2C1"/>
    <w:rsid w:val="30C21507"/>
    <w:rsid w:val="30C501B7"/>
    <w:rsid w:val="30C5DB21"/>
    <w:rsid w:val="30C9FCE8"/>
    <w:rsid w:val="30CA2F85"/>
    <w:rsid w:val="30CE5581"/>
    <w:rsid w:val="30D3C223"/>
    <w:rsid w:val="30D569EA"/>
    <w:rsid w:val="30D5B6EE"/>
    <w:rsid w:val="30DD6B3B"/>
    <w:rsid w:val="30DFFB77"/>
    <w:rsid w:val="30E0F95B"/>
    <w:rsid w:val="30E5F279"/>
    <w:rsid w:val="30E5F614"/>
    <w:rsid w:val="30E6B92A"/>
    <w:rsid w:val="30E74D50"/>
    <w:rsid w:val="30EA2249"/>
    <w:rsid w:val="30EAA078"/>
    <w:rsid w:val="30EB66E3"/>
    <w:rsid w:val="30ECD35D"/>
    <w:rsid w:val="30EF4A59"/>
    <w:rsid w:val="30EF9C94"/>
    <w:rsid w:val="30F0FF0F"/>
    <w:rsid w:val="30F3CFE4"/>
    <w:rsid w:val="30F4D6FC"/>
    <w:rsid w:val="30F5A313"/>
    <w:rsid w:val="30FAD962"/>
    <w:rsid w:val="30FD01C2"/>
    <w:rsid w:val="31005355"/>
    <w:rsid w:val="3102857B"/>
    <w:rsid w:val="3107E403"/>
    <w:rsid w:val="310A27EB"/>
    <w:rsid w:val="310D02A6"/>
    <w:rsid w:val="310DFE76"/>
    <w:rsid w:val="310E102C"/>
    <w:rsid w:val="31121471"/>
    <w:rsid w:val="311331DF"/>
    <w:rsid w:val="311333F8"/>
    <w:rsid w:val="31152759"/>
    <w:rsid w:val="3117AB22"/>
    <w:rsid w:val="31195CA8"/>
    <w:rsid w:val="311B088F"/>
    <w:rsid w:val="311B85B0"/>
    <w:rsid w:val="311D679D"/>
    <w:rsid w:val="311DD578"/>
    <w:rsid w:val="3123898B"/>
    <w:rsid w:val="31238F43"/>
    <w:rsid w:val="3124A673"/>
    <w:rsid w:val="31264241"/>
    <w:rsid w:val="3126A5DB"/>
    <w:rsid w:val="31289CCC"/>
    <w:rsid w:val="312DF63D"/>
    <w:rsid w:val="3130A0E2"/>
    <w:rsid w:val="313122C1"/>
    <w:rsid w:val="31316FB0"/>
    <w:rsid w:val="31325BC5"/>
    <w:rsid w:val="3133E5EA"/>
    <w:rsid w:val="3134B5BB"/>
    <w:rsid w:val="3136EF2E"/>
    <w:rsid w:val="31395B0C"/>
    <w:rsid w:val="313EFB8C"/>
    <w:rsid w:val="313F0D4C"/>
    <w:rsid w:val="314200C2"/>
    <w:rsid w:val="3147A7FD"/>
    <w:rsid w:val="314E8034"/>
    <w:rsid w:val="31518377"/>
    <w:rsid w:val="3153CF77"/>
    <w:rsid w:val="315530C2"/>
    <w:rsid w:val="31565B2C"/>
    <w:rsid w:val="3157EE70"/>
    <w:rsid w:val="31582B4A"/>
    <w:rsid w:val="31585F3A"/>
    <w:rsid w:val="315D266E"/>
    <w:rsid w:val="315DBEAD"/>
    <w:rsid w:val="31622DEE"/>
    <w:rsid w:val="31658FF5"/>
    <w:rsid w:val="31690F6D"/>
    <w:rsid w:val="316ADF30"/>
    <w:rsid w:val="316AE6C9"/>
    <w:rsid w:val="316AEF83"/>
    <w:rsid w:val="316D957D"/>
    <w:rsid w:val="3170AA22"/>
    <w:rsid w:val="3170AD55"/>
    <w:rsid w:val="3171A804"/>
    <w:rsid w:val="3172EABD"/>
    <w:rsid w:val="317AA6DF"/>
    <w:rsid w:val="317E5F11"/>
    <w:rsid w:val="317E616B"/>
    <w:rsid w:val="317F39B7"/>
    <w:rsid w:val="3181FAEF"/>
    <w:rsid w:val="31846A13"/>
    <w:rsid w:val="3185EFB5"/>
    <w:rsid w:val="3188CD5B"/>
    <w:rsid w:val="3188E72F"/>
    <w:rsid w:val="3189745D"/>
    <w:rsid w:val="31931584"/>
    <w:rsid w:val="3193E32E"/>
    <w:rsid w:val="319486A9"/>
    <w:rsid w:val="3198CD35"/>
    <w:rsid w:val="319A51A1"/>
    <w:rsid w:val="319BA172"/>
    <w:rsid w:val="319D4C5D"/>
    <w:rsid w:val="319D5385"/>
    <w:rsid w:val="319E0545"/>
    <w:rsid w:val="31A3A69D"/>
    <w:rsid w:val="31A46BAD"/>
    <w:rsid w:val="31A62DA2"/>
    <w:rsid w:val="31A7CABC"/>
    <w:rsid w:val="31A978EE"/>
    <w:rsid w:val="31A9CD09"/>
    <w:rsid w:val="31ACB141"/>
    <w:rsid w:val="31ADE073"/>
    <w:rsid w:val="31AFC30D"/>
    <w:rsid w:val="31B02D71"/>
    <w:rsid w:val="31B35AFD"/>
    <w:rsid w:val="31B99BF3"/>
    <w:rsid w:val="31BACACF"/>
    <w:rsid w:val="31BAF049"/>
    <w:rsid w:val="31BD247E"/>
    <w:rsid w:val="31C53FDD"/>
    <w:rsid w:val="31C68581"/>
    <w:rsid w:val="31C9C531"/>
    <w:rsid w:val="31CAF734"/>
    <w:rsid w:val="31CB8E88"/>
    <w:rsid w:val="31CC2A1E"/>
    <w:rsid w:val="31CC5355"/>
    <w:rsid w:val="31D07800"/>
    <w:rsid w:val="31D2842C"/>
    <w:rsid w:val="31D2AF1D"/>
    <w:rsid w:val="31D7D7D0"/>
    <w:rsid w:val="31D7F056"/>
    <w:rsid w:val="31D9707C"/>
    <w:rsid w:val="31DB477F"/>
    <w:rsid w:val="31E1658C"/>
    <w:rsid w:val="31E25C6C"/>
    <w:rsid w:val="31E27CC8"/>
    <w:rsid w:val="31E9A337"/>
    <w:rsid w:val="31ECE27B"/>
    <w:rsid w:val="31EF4B47"/>
    <w:rsid w:val="31EF54D5"/>
    <w:rsid w:val="31F0B452"/>
    <w:rsid w:val="31F0D8D3"/>
    <w:rsid w:val="31F723E7"/>
    <w:rsid w:val="31FA9081"/>
    <w:rsid w:val="31FB0530"/>
    <w:rsid w:val="31FD5910"/>
    <w:rsid w:val="31FDECD2"/>
    <w:rsid w:val="32019DC3"/>
    <w:rsid w:val="320311C6"/>
    <w:rsid w:val="32046578"/>
    <w:rsid w:val="320467E6"/>
    <w:rsid w:val="3209E5F5"/>
    <w:rsid w:val="320A59F6"/>
    <w:rsid w:val="320B2723"/>
    <w:rsid w:val="320C75B4"/>
    <w:rsid w:val="320D1D46"/>
    <w:rsid w:val="320E6C9A"/>
    <w:rsid w:val="320F0D9A"/>
    <w:rsid w:val="3210F1B3"/>
    <w:rsid w:val="3210F243"/>
    <w:rsid w:val="3212403A"/>
    <w:rsid w:val="32148B73"/>
    <w:rsid w:val="32149660"/>
    <w:rsid w:val="32152225"/>
    <w:rsid w:val="321573BC"/>
    <w:rsid w:val="32176A73"/>
    <w:rsid w:val="321807CD"/>
    <w:rsid w:val="32181BE6"/>
    <w:rsid w:val="3218AE20"/>
    <w:rsid w:val="321BDA0B"/>
    <w:rsid w:val="321D16F7"/>
    <w:rsid w:val="321D62A3"/>
    <w:rsid w:val="321DB51B"/>
    <w:rsid w:val="321E12B2"/>
    <w:rsid w:val="321F8ACB"/>
    <w:rsid w:val="3220575B"/>
    <w:rsid w:val="3221499D"/>
    <w:rsid w:val="3222BB1F"/>
    <w:rsid w:val="32233242"/>
    <w:rsid w:val="32241D97"/>
    <w:rsid w:val="32250364"/>
    <w:rsid w:val="322638D5"/>
    <w:rsid w:val="32264BDB"/>
    <w:rsid w:val="32298DC0"/>
    <w:rsid w:val="322A0411"/>
    <w:rsid w:val="322C45E2"/>
    <w:rsid w:val="322CCD60"/>
    <w:rsid w:val="322E140A"/>
    <w:rsid w:val="322E8AE1"/>
    <w:rsid w:val="323005B7"/>
    <w:rsid w:val="3230FE84"/>
    <w:rsid w:val="3235E131"/>
    <w:rsid w:val="32368C67"/>
    <w:rsid w:val="3239896C"/>
    <w:rsid w:val="3239FA16"/>
    <w:rsid w:val="323E47F7"/>
    <w:rsid w:val="323F87BF"/>
    <w:rsid w:val="323F9B68"/>
    <w:rsid w:val="32441C47"/>
    <w:rsid w:val="3244AB56"/>
    <w:rsid w:val="3246210C"/>
    <w:rsid w:val="3248175D"/>
    <w:rsid w:val="324CB2F2"/>
    <w:rsid w:val="32555E96"/>
    <w:rsid w:val="32564A80"/>
    <w:rsid w:val="3258478E"/>
    <w:rsid w:val="32586E35"/>
    <w:rsid w:val="3258AEAC"/>
    <w:rsid w:val="325D0875"/>
    <w:rsid w:val="325D89D7"/>
    <w:rsid w:val="3260B3A1"/>
    <w:rsid w:val="3261E058"/>
    <w:rsid w:val="3261F90C"/>
    <w:rsid w:val="32632611"/>
    <w:rsid w:val="3271FC59"/>
    <w:rsid w:val="3272A381"/>
    <w:rsid w:val="327481BC"/>
    <w:rsid w:val="3277FCB4"/>
    <w:rsid w:val="327A3C50"/>
    <w:rsid w:val="327ACCA3"/>
    <w:rsid w:val="327AD417"/>
    <w:rsid w:val="327CDDDF"/>
    <w:rsid w:val="327F80B1"/>
    <w:rsid w:val="3282781E"/>
    <w:rsid w:val="3282F0D6"/>
    <w:rsid w:val="3286B6FB"/>
    <w:rsid w:val="328793C6"/>
    <w:rsid w:val="32888227"/>
    <w:rsid w:val="3288FE68"/>
    <w:rsid w:val="32896309"/>
    <w:rsid w:val="328B5DEB"/>
    <w:rsid w:val="32912CE9"/>
    <w:rsid w:val="329533D3"/>
    <w:rsid w:val="32954E9E"/>
    <w:rsid w:val="3296D25A"/>
    <w:rsid w:val="32988D54"/>
    <w:rsid w:val="32991CB0"/>
    <w:rsid w:val="329A3C01"/>
    <w:rsid w:val="329F78FB"/>
    <w:rsid w:val="329F84BB"/>
    <w:rsid w:val="32A2729D"/>
    <w:rsid w:val="32A36EA7"/>
    <w:rsid w:val="32A9EDB0"/>
    <w:rsid w:val="32AA3895"/>
    <w:rsid w:val="32ACA6DD"/>
    <w:rsid w:val="32AFF560"/>
    <w:rsid w:val="32B028B1"/>
    <w:rsid w:val="32B141BD"/>
    <w:rsid w:val="32B1690A"/>
    <w:rsid w:val="32B1D26C"/>
    <w:rsid w:val="32B39502"/>
    <w:rsid w:val="32B9DB1B"/>
    <w:rsid w:val="32BB88E4"/>
    <w:rsid w:val="32BC5CD3"/>
    <w:rsid w:val="32BD4DC0"/>
    <w:rsid w:val="32BD9115"/>
    <w:rsid w:val="32C8FCC2"/>
    <w:rsid w:val="32C90CE6"/>
    <w:rsid w:val="32CA80D3"/>
    <w:rsid w:val="32CA9277"/>
    <w:rsid w:val="32CABB6D"/>
    <w:rsid w:val="32CDF49D"/>
    <w:rsid w:val="32D06BF5"/>
    <w:rsid w:val="32D0B929"/>
    <w:rsid w:val="32D1682A"/>
    <w:rsid w:val="32D4C517"/>
    <w:rsid w:val="32D50C2D"/>
    <w:rsid w:val="32D5B3BA"/>
    <w:rsid w:val="32D63173"/>
    <w:rsid w:val="32D6A225"/>
    <w:rsid w:val="32D6CB99"/>
    <w:rsid w:val="32D90FB1"/>
    <w:rsid w:val="32DCA583"/>
    <w:rsid w:val="32DF2B10"/>
    <w:rsid w:val="32E07C8B"/>
    <w:rsid w:val="32E16884"/>
    <w:rsid w:val="32E32A01"/>
    <w:rsid w:val="32E407E2"/>
    <w:rsid w:val="32E8C62E"/>
    <w:rsid w:val="32E94813"/>
    <w:rsid w:val="32E9B089"/>
    <w:rsid w:val="32EA13A5"/>
    <w:rsid w:val="32EB2D06"/>
    <w:rsid w:val="32EC6D6A"/>
    <w:rsid w:val="32EE787D"/>
    <w:rsid w:val="32F4B056"/>
    <w:rsid w:val="32F4C2A3"/>
    <w:rsid w:val="32F7BFA1"/>
    <w:rsid w:val="32FE8535"/>
    <w:rsid w:val="32FEC1ED"/>
    <w:rsid w:val="330145EA"/>
    <w:rsid w:val="3304C563"/>
    <w:rsid w:val="3307662C"/>
    <w:rsid w:val="330877F3"/>
    <w:rsid w:val="3308A48E"/>
    <w:rsid w:val="330AF896"/>
    <w:rsid w:val="330BC3D1"/>
    <w:rsid w:val="330DEF55"/>
    <w:rsid w:val="330F2B02"/>
    <w:rsid w:val="330FF34C"/>
    <w:rsid w:val="3310EFE1"/>
    <w:rsid w:val="3315856C"/>
    <w:rsid w:val="33182854"/>
    <w:rsid w:val="3318ECE8"/>
    <w:rsid w:val="331E04DF"/>
    <w:rsid w:val="331F8E09"/>
    <w:rsid w:val="331FAB75"/>
    <w:rsid w:val="3320B219"/>
    <w:rsid w:val="33235F4F"/>
    <w:rsid w:val="33273339"/>
    <w:rsid w:val="332919D3"/>
    <w:rsid w:val="332B496D"/>
    <w:rsid w:val="332CA75D"/>
    <w:rsid w:val="3331384B"/>
    <w:rsid w:val="33343A7C"/>
    <w:rsid w:val="333B44D8"/>
    <w:rsid w:val="333B7B22"/>
    <w:rsid w:val="333BF1A8"/>
    <w:rsid w:val="334015CB"/>
    <w:rsid w:val="3341107D"/>
    <w:rsid w:val="33427CCA"/>
    <w:rsid w:val="3346C5D2"/>
    <w:rsid w:val="33527A9B"/>
    <w:rsid w:val="3354D87B"/>
    <w:rsid w:val="33556404"/>
    <w:rsid w:val="33556425"/>
    <w:rsid w:val="3357BADC"/>
    <w:rsid w:val="335E88A1"/>
    <w:rsid w:val="33669339"/>
    <w:rsid w:val="33669652"/>
    <w:rsid w:val="3367EA1E"/>
    <w:rsid w:val="336AB45D"/>
    <w:rsid w:val="336BE7E0"/>
    <w:rsid w:val="3372E85A"/>
    <w:rsid w:val="337459AC"/>
    <w:rsid w:val="33784B45"/>
    <w:rsid w:val="337980FF"/>
    <w:rsid w:val="337CBFE5"/>
    <w:rsid w:val="337CC43B"/>
    <w:rsid w:val="3383D378"/>
    <w:rsid w:val="33845412"/>
    <w:rsid w:val="33858D4E"/>
    <w:rsid w:val="3388201E"/>
    <w:rsid w:val="33944E56"/>
    <w:rsid w:val="33990F3E"/>
    <w:rsid w:val="339E7DE1"/>
    <w:rsid w:val="339EB4C9"/>
    <w:rsid w:val="33A3E785"/>
    <w:rsid w:val="33A938F1"/>
    <w:rsid w:val="33ACD068"/>
    <w:rsid w:val="33AD433D"/>
    <w:rsid w:val="33AD9A76"/>
    <w:rsid w:val="33AF7236"/>
    <w:rsid w:val="33B1075A"/>
    <w:rsid w:val="33B2572F"/>
    <w:rsid w:val="33B36A72"/>
    <w:rsid w:val="33B4862C"/>
    <w:rsid w:val="33BB9463"/>
    <w:rsid w:val="33BB9528"/>
    <w:rsid w:val="33BBDC53"/>
    <w:rsid w:val="33BBEF70"/>
    <w:rsid w:val="33BC8154"/>
    <w:rsid w:val="33BDAB0E"/>
    <w:rsid w:val="33BFCC58"/>
    <w:rsid w:val="33C040DD"/>
    <w:rsid w:val="33C605FF"/>
    <w:rsid w:val="33C950C2"/>
    <w:rsid w:val="33CFC947"/>
    <w:rsid w:val="33D4ED98"/>
    <w:rsid w:val="33D63066"/>
    <w:rsid w:val="33DB37D8"/>
    <w:rsid w:val="33DDB466"/>
    <w:rsid w:val="33E67AB8"/>
    <w:rsid w:val="33E85BA3"/>
    <w:rsid w:val="33E91160"/>
    <w:rsid w:val="33EB4486"/>
    <w:rsid w:val="33ED5201"/>
    <w:rsid w:val="33ED5957"/>
    <w:rsid w:val="33EDEF5E"/>
    <w:rsid w:val="33F0C94D"/>
    <w:rsid w:val="33F3365C"/>
    <w:rsid w:val="33F3AA85"/>
    <w:rsid w:val="33F55E89"/>
    <w:rsid w:val="33F8979B"/>
    <w:rsid w:val="33F9E527"/>
    <w:rsid w:val="33FD35D3"/>
    <w:rsid w:val="33FE52BF"/>
    <w:rsid w:val="33FE54A3"/>
    <w:rsid w:val="34030E1B"/>
    <w:rsid w:val="340424C2"/>
    <w:rsid w:val="34054B03"/>
    <w:rsid w:val="3405B02F"/>
    <w:rsid w:val="34095B26"/>
    <w:rsid w:val="3409B29F"/>
    <w:rsid w:val="340D36D4"/>
    <w:rsid w:val="340EA6A7"/>
    <w:rsid w:val="340ED13F"/>
    <w:rsid w:val="340FD67D"/>
    <w:rsid w:val="34107A2F"/>
    <w:rsid w:val="3411C2A7"/>
    <w:rsid w:val="3413E7EB"/>
    <w:rsid w:val="341A8982"/>
    <w:rsid w:val="341DD592"/>
    <w:rsid w:val="341F1FED"/>
    <w:rsid w:val="34237098"/>
    <w:rsid w:val="3424187A"/>
    <w:rsid w:val="3424F118"/>
    <w:rsid w:val="3433F037"/>
    <w:rsid w:val="3435D578"/>
    <w:rsid w:val="3438085C"/>
    <w:rsid w:val="34383911"/>
    <w:rsid w:val="343A714C"/>
    <w:rsid w:val="343AE298"/>
    <w:rsid w:val="343B922D"/>
    <w:rsid w:val="343D887F"/>
    <w:rsid w:val="343DBD24"/>
    <w:rsid w:val="343DC143"/>
    <w:rsid w:val="343EC0DA"/>
    <w:rsid w:val="3445132A"/>
    <w:rsid w:val="3449102D"/>
    <w:rsid w:val="344C41C4"/>
    <w:rsid w:val="344D85B5"/>
    <w:rsid w:val="34502FE8"/>
    <w:rsid w:val="3451C208"/>
    <w:rsid w:val="3458151F"/>
    <w:rsid w:val="34582D35"/>
    <w:rsid w:val="345A61DC"/>
    <w:rsid w:val="345A8D38"/>
    <w:rsid w:val="345DB982"/>
    <w:rsid w:val="345F3D21"/>
    <w:rsid w:val="34631360"/>
    <w:rsid w:val="3463AB06"/>
    <w:rsid w:val="34653E24"/>
    <w:rsid w:val="346B70AF"/>
    <w:rsid w:val="346C3F1E"/>
    <w:rsid w:val="346CEC04"/>
    <w:rsid w:val="346E9909"/>
    <w:rsid w:val="3473E416"/>
    <w:rsid w:val="34741179"/>
    <w:rsid w:val="34767DE9"/>
    <w:rsid w:val="34780AA3"/>
    <w:rsid w:val="347A5C39"/>
    <w:rsid w:val="347BBDC1"/>
    <w:rsid w:val="347E86CA"/>
    <w:rsid w:val="347FA4B7"/>
    <w:rsid w:val="3483CE7C"/>
    <w:rsid w:val="3485C418"/>
    <w:rsid w:val="34891126"/>
    <w:rsid w:val="348A1445"/>
    <w:rsid w:val="348A5EA1"/>
    <w:rsid w:val="348DB86E"/>
    <w:rsid w:val="348E08BF"/>
    <w:rsid w:val="348E7713"/>
    <w:rsid w:val="34921611"/>
    <w:rsid w:val="34955F6F"/>
    <w:rsid w:val="34961AEF"/>
    <w:rsid w:val="3497901F"/>
    <w:rsid w:val="3499C565"/>
    <w:rsid w:val="349BC099"/>
    <w:rsid w:val="349C47CE"/>
    <w:rsid w:val="349CFAD5"/>
    <w:rsid w:val="349DB07D"/>
    <w:rsid w:val="34A135E7"/>
    <w:rsid w:val="34A1E5D2"/>
    <w:rsid w:val="34A57AD2"/>
    <w:rsid w:val="34A85289"/>
    <w:rsid w:val="34A8D44A"/>
    <w:rsid w:val="34ACC16C"/>
    <w:rsid w:val="34ACE6E7"/>
    <w:rsid w:val="34ACE74D"/>
    <w:rsid w:val="34B279DE"/>
    <w:rsid w:val="34B4A0DF"/>
    <w:rsid w:val="34BCD9F6"/>
    <w:rsid w:val="34BCEEC0"/>
    <w:rsid w:val="34BE6574"/>
    <w:rsid w:val="34BF4645"/>
    <w:rsid w:val="34C4E7F0"/>
    <w:rsid w:val="34C80B11"/>
    <w:rsid w:val="34C8300B"/>
    <w:rsid w:val="34CA687D"/>
    <w:rsid w:val="34CB8EE6"/>
    <w:rsid w:val="34CD65E8"/>
    <w:rsid w:val="34CDB3BA"/>
    <w:rsid w:val="34CDE5B6"/>
    <w:rsid w:val="34D075C0"/>
    <w:rsid w:val="34D27521"/>
    <w:rsid w:val="34D70643"/>
    <w:rsid w:val="34D7DE25"/>
    <w:rsid w:val="34DBC0C6"/>
    <w:rsid w:val="34DBC2B1"/>
    <w:rsid w:val="34DBC850"/>
    <w:rsid w:val="34E8AB04"/>
    <w:rsid w:val="34EA8D38"/>
    <w:rsid w:val="34EAE69E"/>
    <w:rsid w:val="34EC99F6"/>
    <w:rsid w:val="34ED8C75"/>
    <w:rsid w:val="34EDB785"/>
    <w:rsid w:val="34EFA8CF"/>
    <w:rsid w:val="34F24CD5"/>
    <w:rsid w:val="34F42A7B"/>
    <w:rsid w:val="34F97043"/>
    <w:rsid w:val="34FA16B4"/>
    <w:rsid w:val="34FCD511"/>
    <w:rsid w:val="34FEE86B"/>
    <w:rsid w:val="35021A8D"/>
    <w:rsid w:val="3506C2CC"/>
    <w:rsid w:val="35079C1F"/>
    <w:rsid w:val="35081D62"/>
    <w:rsid w:val="350DA8B4"/>
    <w:rsid w:val="3513F3C4"/>
    <w:rsid w:val="3514BB8A"/>
    <w:rsid w:val="3516C8C4"/>
    <w:rsid w:val="35186E75"/>
    <w:rsid w:val="35188FB2"/>
    <w:rsid w:val="35234F4D"/>
    <w:rsid w:val="35247946"/>
    <w:rsid w:val="3525BDA2"/>
    <w:rsid w:val="3526158B"/>
    <w:rsid w:val="35262BC6"/>
    <w:rsid w:val="352C69D6"/>
    <w:rsid w:val="352D6B08"/>
    <w:rsid w:val="352DBE85"/>
    <w:rsid w:val="352E7A41"/>
    <w:rsid w:val="352EF36A"/>
    <w:rsid w:val="352FA60A"/>
    <w:rsid w:val="353138BF"/>
    <w:rsid w:val="35320110"/>
    <w:rsid w:val="3532C5FB"/>
    <w:rsid w:val="35370764"/>
    <w:rsid w:val="3537087D"/>
    <w:rsid w:val="353A65EB"/>
    <w:rsid w:val="353B18EC"/>
    <w:rsid w:val="353B2B88"/>
    <w:rsid w:val="353C56A6"/>
    <w:rsid w:val="353CB637"/>
    <w:rsid w:val="353F8D7B"/>
    <w:rsid w:val="35411147"/>
    <w:rsid w:val="354286C8"/>
    <w:rsid w:val="3543A77E"/>
    <w:rsid w:val="3546B224"/>
    <w:rsid w:val="3546FCF9"/>
    <w:rsid w:val="35482700"/>
    <w:rsid w:val="354A65E2"/>
    <w:rsid w:val="354A6809"/>
    <w:rsid w:val="354B6973"/>
    <w:rsid w:val="354D61B2"/>
    <w:rsid w:val="354E64BC"/>
    <w:rsid w:val="3550190A"/>
    <w:rsid w:val="355132B6"/>
    <w:rsid w:val="35518337"/>
    <w:rsid w:val="35536649"/>
    <w:rsid w:val="3559F6E5"/>
    <w:rsid w:val="355AE9F3"/>
    <w:rsid w:val="355C745D"/>
    <w:rsid w:val="355DF01C"/>
    <w:rsid w:val="355E61AB"/>
    <w:rsid w:val="355F6626"/>
    <w:rsid w:val="35618655"/>
    <w:rsid w:val="3564DD65"/>
    <w:rsid w:val="3565E20A"/>
    <w:rsid w:val="35675CAF"/>
    <w:rsid w:val="356781F8"/>
    <w:rsid w:val="356DF840"/>
    <w:rsid w:val="356E63AD"/>
    <w:rsid w:val="356E739A"/>
    <w:rsid w:val="357243E7"/>
    <w:rsid w:val="3572C004"/>
    <w:rsid w:val="35762A12"/>
    <w:rsid w:val="3577F63E"/>
    <w:rsid w:val="357A48FF"/>
    <w:rsid w:val="357B019C"/>
    <w:rsid w:val="3583F495"/>
    <w:rsid w:val="3585AEAA"/>
    <w:rsid w:val="358FAF45"/>
    <w:rsid w:val="35922E03"/>
    <w:rsid w:val="35923192"/>
    <w:rsid w:val="35930A08"/>
    <w:rsid w:val="3594C442"/>
    <w:rsid w:val="3594FE37"/>
    <w:rsid w:val="3595E728"/>
    <w:rsid w:val="35969C9B"/>
    <w:rsid w:val="35979152"/>
    <w:rsid w:val="359C79A5"/>
    <w:rsid w:val="359D9DDB"/>
    <w:rsid w:val="359F84B9"/>
    <w:rsid w:val="35A050DF"/>
    <w:rsid w:val="35A15900"/>
    <w:rsid w:val="35A62BC9"/>
    <w:rsid w:val="35A90EA4"/>
    <w:rsid w:val="35A9751B"/>
    <w:rsid w:val="35ABDC55"/>
    <w:rsid w:val="35AD48AD"/>
    <w:rsid w:val="35ADD153"/>
    <w:rsid w:val="35AE44CD"/>
    <w:rsid w:val="35B3A460"/>
    <w:rsid w:val="35B3CB5A"/>
    <w:rsid w:val="35B772BE"/>
    <w:rsid w:val="35B87D81"/>
    <w:rsid w:val="35BD0E29"/>
    <w:rsid w:val="35BE8972"/>
    <w:rsid w:val="35CBF307"/>
    <w:rsid w:val="35CC54E2"/>
    <w:rsid w:val="35CC6B90"/>
    <w:rsid w:val="35CEC2BB"/>
    <w:rsid w:val="35CED23F"/>
    <w:rsid w:val="35D0D28A"/>
    <w:rsid w:val="35D18492"/>
    <w:rsid w:val="35D23BA8"/>
    <w:rsid w:val="35D68D13"/>
    <w:rsid w:val="35D722E4"/>
    <w:rsid w:val="35DACB68"/>
    <w:rsid w:val="35DBAEF0"/>
    <w:rsid w:val="35E35C77"/>
    <w:rsid w:val="35E74C1E"/>
    <w:rsid w:val="35E75F8F"/>
    <w:rsid w:val="35EA4388"/>
    <w:rsid w:val="35EA714B"/>
    <w:rsid w:val="35EA7A50"/>
    <w:rsid w:val="35EB40B5"/>
    <w:rsid w:val="35EF9043"/>
    <w:rsid w:val="35F07596"/>
    <w:rsid w:val="35F16679"/>
    <w:rsid w:val="35F32785"/>
    <w:rsid w:val="35F78596"/>
    <w:rsid w:val="35F7DCD1"/>
    <w:rsid w:val="35F8C766"/>
    <w:rsid w:val="35F8DF75"/>
    <w:rsid w:val="35FB7743"/>
    <w:rsid w:val="35FC336E"/>
    <w:rsid w:val="35FE9780"/>
    <w:rsid w:val="36002CB2"/>
    <w:rsid w:val="3601C231"/>
    <w:rsid w:val="36025944"/>
    <w:rsid w:val="3604E82B"/>
    <w:rsid w:val="36055B28"/>
    <w:rsid w:val="3605BDAC"/>
    <w:rsid w:val="36076377"/>
    <w:rsid w:val="3608F5C5"/>
    <w:rsid w:val="36093AB2"/>
    <w:rsid w:val="360FCDA5"/>
    <w:rsid w:val="3611A9EE"/>
    <w:rsid w:val="36153A2A"/>
    <w:rsid w:val="361575EA"/>
    <w:rsid w:val="3618C929"/>
    <w:rsid w:val="361C152D"/>
    <w:rsid w:val="361C156E"/>
    <w:rsid w:val="3621707E"/>
    <w:rsid w:val="36219CC7"/>
    <w:rsid w:val="3622CBBC"/>
    <w:rsid w:val="3627E860"/>
    <w:rsid w:val="362A1930"/>
    <w:rsid w:val="363036FB"/>
    <w:rsid w:val="36356433"/>
    <w:rsid w:val="363751E9"/>
    <w:rsid w:val="3637FE31"/>
    <w:rsid w:val="3639D8DE"/>
    <w:rsid w:val="363B7C64"/>
    <w:rsid w:val="363BF07F"/>
    <w:rsid w:val="363E9FD1"/>
    <w:rsid w:val="363F2542"/>
    <w:rsid w:val="36441E78"/>
    <w:rsid w:val="364437D3"/>
    <w:rsid w:val="3645381F"/>
    <w:rsid w:val="3645EA50"/>
    <w:rsid w:val="3649EE06"/>
    <w:rsid w:val="364A546D"/>
    <w:rsid w:val="364A8639"/>
    <w:rsid w:val="364B5565"/>
    <w:rsid w:val="364EC7EC"/>
    <w:rsid w:val="364F8774"/>
    <w:rsid w:val="36504061"/>
    <w:rsid w:val="3652DD2B"/>
    <w:rsid w:val="3652EC99"/>
    <w:rsid w:val="36547421"/>
    <w:rsid w:val="365589ED"/>
    <w:rsid w:val="3657983B"/>
    <w:rsid w:val="3657F831"/>
    <w:rsid w:val="365A0A5E"/>
    <w:rsid w:val="365C5095"/>
    <w:rsid w:val="365E7407"/>
    <w:rsid w:val="365E877D"/>
    <w:rsid w:val="36619242"/>
    <w:rsid w:val="3663B8C5"/>
    <w:rsid w:val="36669415"/>
    <w:rsid w:val="366A8BBA"/>
    <w:rsid w:val="366BD57D"/>
    <w:rsid w:val="366BEBED"/>
    <w:rsid w:val="366E6867"/>
    <w:rsid w:val="366E9350"/>
    <w:rsid w:val="366E9D04"/>
    <w:rsid w:val="366F31F8"/>
    <w:rsid w:val="366FCA61"/>
    <w:rsid w:val="36718C4D"/>
    <w:rsid w:val="36760785"/>
    <w:rsid w:val="367CA2DE"/>
    <w:rsid w:val="367F0DD8"/>
    <w:rsid w:val="367F531D"/>
    <w:rsid w:val="36867987"/>
    <w:rsid w:val="3687D8DB"/>
    <w:rsid w:val="3687EFD5"/>
    <w:rsid w:val="368B16CE"/>
    <w:rsid w:val="368EA1F1"/>
    <w:rsid w:val="36924C18"/>
    <w:rsid w:val="36927D5F"/>
    <w:rsid w:val="3694E095"/>
    <w:rsid w:val="36971188"/>
    <w:rsid w:val="369758B0"/>
    <w:rsid w:val="3698C557"/>
    <w:rsid w:val="369B95BF"/>
    <w:rsid w:val="369E1396"/>
    <w:rsid w:val="36A24191"/>
    <w:rsid w:val="36A33B12"/>
    <w:rsid w:val="36A417D1"/>
    <w:rsid w:val="36A51895"/>
    <w:rsid w:val="36A5A1D5"/>
    <w:rsid w:val="36A685CD"/>
    <w:rsid w:val="36A70D22"/>
    <w:rsid w:val="36A80DCB"/>
    <w:rsid w:val="36A893C6"/>
    <w:rsid w:val="36A9C162"/>
    <w:rsid w:val="36AB72A5"/>
    <w:rsid w:val="36AC3B9C"/>
    <w:rsid w:val="36AF243F"/>
    <w:rsid w:val="36AF30EC"/>
    <w:rsid w:val="36B0BFEB"/>
    <w:rsid w:val="36B0D688"/>
    <w:rsid w:val="36B1DFDB"/>
    <w:rsid w:val="36B4F158"/>
    <w:rsid w:val="36B8878D"/>
    <w:rsid w:val="36BA2A15"/>
    <w:rsid w:val="36BEA78A"/>
    <w:rsid w:val="36BEDB90"/>
    <w:rsid w:val="36C4BEBE"/>
    <w:rsid w:val="36C5AA3B"/>
    <w:rsid w:val="36C778E7"/>
    <w:rsid w:val="36CD7FA7"/>
    <w:rsid w:val="36D3BA98"/>
    <w:rsid w:val="36D68761"/>
    <w:rsid w:val="36D72894"/>
    <w:rsid w:val="36D81B85"/>
    <w:rsid w:val="36D84E37"/>
    <w:rsid w:val="36D9605C"/>
    <w:rsid w:val="36D97BF1"/>
    <w:rsid w:val="36DB966E"/>
    <w:rsid w:val="36DB9905"/>
    <w:rsid w:val="36DCD0FC"/>
    <w:rsid w:val="36E0BDAD"/>
    <w:rsid w:val="36E0FDF5"/>
    <w:rsid w:val="36E1B8EB"/>
    <w:rsid w:val="36E1EFF2"/>
    <w:rsid w:val="36E48AC7"/>
    <w:rsid w:val="36E6ED24"/>
    <w:rsid w:val="36ED2623"/>
    <w:rsid w:val="36ED8E31"/>
    <w:rsid w:val="36F1284F"/>
    <w:rsid w:val="36F20EDA"/>
    <w:rsid w:val="36F25F6F"/>
    <w:rsid w:val="36F3BB6C"/>
    <w:rsid w:val="36F531A9"/>
    <w:rsid w:val="36F87192"/>
    <w:rsid w:val="36F8A4A7"/>
    <w:rsid w:val="36FD1C0F"/>
    <w:rsid w:val="3700F0D4"/>
    <w:rsid w:val="3703F1E9"/>
    <w:rsid w:val="37074D2D"/>
    <w:rsid w:val="370797CA"/>
    <w:rsid w:val="3710F2D8"/>
    <w:rsid w:val="371347C1"/>
    <w:rsid w:val="37144820"/>
    <w:rsid w:val="37167576"/>
    <w:rsid w:val="371686E9"/>
    <w:rsid w:val="3716D171"/>
    <w:rsid w:val="37177352"/>
    <w:rsid w:val="3718E1DC"/>
    <w:rsid w:val="371904E7"/>
    <w:rsid w:val="371A5C46"/>
    <w:rsid w:val="371ADE6F"/>
    <w:rsid w:val="371B949A"/>
    <w:rsid w:val="371BB230"/>
    <w:rsid w:val="371DB7AC"/>
    <w:rsid w:val="3720FFC1"/>
    <w:rsid w:val="3722BDAF"/>
    <w:rsid w:val="372362C9"/>
    <w:rsid w:val="3723C872"/>
    <w:rsid w:val="372C44AD"/>
    <w:rsid w:val="373255F6"/>
    <w:rsid w:val="3732E432"/>
    <w:rsid w:val="3735E009"/>
    <w:rsid w:val="373EC048"/>
    <w:rsid w:val="373F8B32"/>
    <w:rsid w:val="373FCCD9"/>
    <w:rsid w:val="374020AF"/>
    <w:rsid w:val="3740950C"/>
    <w:rsid w:val="3742AF32"/>
    <w:rsid w:val="3746992D"/>
    <w:rsid w:val="374B8B13"/>
    <w:rsid w:val="37575A54"/>
    <w:rsid w:val="3757932F"/>
    <w:rsid w:val="375C0732"/>
    <w:rsid w:val="375C85C1"/>
    <w:rsid w:val="375E0A90"/>
    <w:rsid w:val="3764CF0A"/>
    <w:rsid w:val="3764F6A7"/>
    <w:rsid w:val="376653BC"/>
    <w:rsid w:val="376744A5"/>
    <w:rsid w:val="37689655"/>
    <w:rsid w:val="376BCFEF"/>
    <w:rsid w:val="376CC2E8"/>
    <w:rsid w:val="376CC587"/>
    <w:rsid w:val="37728CC3"/>
    <w:rsid w:val="377BA97D"/>
    <w:rsid w:val="377F05CF"/>
    <w:rsid w:val="378221F4"/>
    <w:rsid w:val="3784638D"/>
    <w:rsid w:val="3787B05E"/>
    <w:rsid w:val="3787DBBF"/>
    <w:rsid w:val="378E2526"/>
    <w:rsid w:val="378E79E0"/>
    <w:rsid w:val="378EB06F"/>
    <w:rsid w:val="37943CC0"/>
    <w:rsid w:val="3794EA5B"/>
    <w:rsid w:val="37956066"/>
    <w:rsid w:val="37957411"/>
    <w:rsid w:val="3796808E"/>
    <w:rsid w:val="3798FBD8"/>
    <w:rsid w:val="37991BE5"/>
    <w:rsid w:val="379E700A"/>
    <w:rsid w:val="37A6E12C"/>
    <w:rsid w:val="37A783A8"/>
    <w:rsid w:val="37A7DDAF"/>
    <w:rsid w:val="37A7F4AF"/>
    <w:rsid w:val="37A7FA8C"/>
    <w:rsid w:val="37A839A0"/>
    <w:rsid w:val="37A965D4"/>
    <w:rsid w:val="37AF0ADA"/>
    <w:rsid w:val="37B6BEDF"/>
    <w:rsid w:val="37B9FD66"/>
    <w:rsid w:val="37BBA747"/>
    <w:rsid w:val="37C2C4C0"/>
    <w:rsid w:val="37C32721"/>
    <w:rsid w:val="37C58CD6"/>
    <w:rsid w:val="37C8FEE0"/>
    <w:rsid w:val="37CAA769"/>
    <w:rsid w:val="37CE9884"/>
    <w:rsid w:val="37D119DE"/>
    <w:rsid w:val="37D323F6"/>
    <w:rsid w:val="37D36946"/>
    <w:rsid w:val="37D3EB53"/>
    <w:rsid w:val="37D85A7C"/>
    <w:rsid w:val="37D9B3D7"/>
    <w:rsid w:val="37DA2DEF"/>
    <w:rsid w:val="37DB9D13"/>
    <w:rsid w:val="37E01D4C"/>
    <w:rsid w:val="37E20201"/>
    <w:rsid w:val="37E9B2AD"/>
    <w:rsid w:val="37EC4393"/>
    <w:rsid w:val="37F6C83E"/>
    <w:rsid w:val="37F722C4"/>
    <w:rsid w:val="37F78D8E"/>
    <w:rsid w:val="37F94BEE"/>
    <w:rsid w:val="37F95DCC"/>
    <w:rsid w:val="37FBBFBC"/>
    <w:rsid w:val="37FE65DD"/>
    <w:rsid w:val="380000CF"/>
    <w:rsid w:val="3803DB6C"/>
    <w:rsid w:val="38048FF5"/>
    <w:rsid w:val="38079293"/>
    <w:rsid w:val="38080697"/>
    <w:rsid w:val="3808F780"/>
    <w:rsid w:val="380A743B"/>
    <w:rsid w:val="380A9940"/>
    <w:rsid w:val="380AE2F5"/>
    <w:rsid w:val="380AE664"/>
    <w:rsid w:val="3810F0A5"/>
    <w:rsid w:val="38113120"/>
    <w:rsid w:val="38128547"/>
    <w:rsid w:val="38139AA8"/>
    <w:rsid w:val="38196573"/>
    <w:rsid w:val="381AC13B"/>
    <w:rsid w:val="381C276D"/>
    <w:rsid w:val="381E06E4"/>
    <w:rsid w:val="38216B63"/>
    <w:rsid w:val="3826583E"/>
    <w:rsid w:val="3827343A"/>
    <w:rsid w:val="382BB66B"/>
    <w:rsid w:val="382C0B9D"/>
    <w:rsid w:val="382CA9B0"/>
    <w:rsid w:val="38355A09"/>
    <w:rsid w:val="38359528"/>
    <w:rsid w:val="38366978"/>
    <w:rsid w:val="3838E385"/>
    <w:rsid w:val="383DE3AB"/>
    <w:rsid w:val="384055C2"/>
    <w:rsid w:val="38429CD6"/>
    <w:rsid w:val="38435E1C"/>
    <w:rsid w:val="3843EAA7"/>
    <w:rsid w:val="38505593"/>
    <w:rsid w:val="38507060"/>
    <w:rsid w:val="3850A662"/>
    <w:rsid w:val="385105D6"/>
    <w:rsid w:val="385A4FE5"/>
    <w:rsid w:val="385BDA80"/>
    <w:rsid w:val="385E17F6"/>
    <w:rsid w:val="385E2684"/>
    <w:rsid w:val="38606403"/>
    <w:rsid w:val="3861408C"/>
    <w:rsid w:val="38623AC5"/>
    <w:rsid w:val="386595BF"/>
    <w:rsid w:val="38686D2B"/>
    <w:rsid w:val="3869EE99"/>
    <w:rsid w:val="386B9AB4"/>
    <w:rsid w:val="386C857D"/>
    <w:rsid w:val="386CE054"/>
    <w:rsid w:val="38707042"/>
    <w:rsid w:val="3875FB2A"/>
    <w:rsid w:val="3882C136"/>
    <w:rsid w:val="388307E2"/>
    <w:rsid w:val="38837392"/>
    <w:rsid w:val="3885F319"/>
    <w:rsid w:val="3886EDB8"/>
    <w:rsid w:val="388C4F32"/>
    <w:rsid w:val="3891E8B7"/>
    <w:rsid w:val="3892EB6F"/>
    <w:rsid w:val="38977F9D"/>
    <w:rsid w:val="389D83CA"/>
    <w:rsid w:val="38A40193"/>
    <w:rsid w:val="38A498CA"/>
    <w:rsid w:val="38A80310"/>
    <w:rsid w:val="38A8161F"/>
    <w:rsid w:val="38AD1938"/>
    <w:rsid w:val="38B137E3"/>
    <w:rsid w:val="38B26399"/>
    <w:rsid w:val="38B31E90"/>
    <w:rsid w:val="38B8394C"/>
    <w:rsid w:val="38BCA94B"/>
    <w:rsid w:val="38BCFF20"/>
    <w:rsid w:val="38BFEA6B"/>
    <w:rsid w:val="38C55F68"/>
    <w:rsid w:val="38C77359"/>
    <w:rsid w:val="38C99D10"/>
    <w:rsid w:val="38CC9541"/>
    <w:rsid w:val="38D1FA3F"/>
    <w:rsid w:val="38D2A080"/>
    <w:rsid w:val="38DA8E25"/>
    <w:rsid w:val="38DB70E2"/>
    <w:rsid w:val="38DCBB96"/>
    <w:rsid w:val="38E5458D"/>
    <w:rsid w:val="38E69792"/>
    <w:rsid w:val="38E8CF4C"/>
    <w:rsid w:val="38EB9E86"/>
    <w:rsid w:val="38EC50A7"/>
    <w:rsid w:val="38EDC428"/>
    <w:rsid w:val="38EEA651"/>
    <w:rsid w:val="38F6C0BB"/>
    <w:rsid w:val="38F6D07F"/>
    <w:rsid w:val="38F9E8D5"/>
    <w:rsid w:val="38F9F061"/>
    <w:rsid w:val="38FB4E61"/>
    <w:rsid w:val="38FB68C2"/>
    <w:rsid w:val="39011EFE"/>
    <w:rsid w:val="390C0C8C"/>
    <w:rsid w:val="390CC7CE"/>
    <w:rsid w:val="390F37C8"/>
    <w:rsid w:val="391045BE"/>
    <w:rsid w:val="391173B2"/>
    <w:rsid w:val="3914EF4C"/>
    <w:rsid w:val="39153BC3"/>
    <w:rsid w:val="391A96D4"/>
    <w:rsid w:val="391F0BFE"/>
    <w:rsid w:val="391F3315"/>
    <w:rsid w:val="391F6A2C"/>
    <w:rsid w:val="3920AC84"/>
    <w:rsid w:val="3920B894"/>
    <w:rsid w:val="3923AA2B"/>
    <w:rsid w:val="39259EE6"/>
    <w:rsid w:val="39277BD1"/>
    <w:rsid w:val="392A8E3C"/>
    <w:rsid w:val="392B38D7"/>
    <w:rsid w:val="392C3CF4"/>
    <w:rsid w:val="392CA9BC"/>
    <w:rsid w:val="392D7187"/>
    <w:rsid w:val="392DEE71"/>
    <w:rsid w:val="392E3378"/>
    <w:rsid w:val="392E8D56"/>
    <w:rsid w:val="39306DC5"/>
    <w:rsid w:val="3932B470"/>
    <w:rsid w:val="393B7AEB"/>
    <w:rsid w:val="393BEA82"/>
    <w:rsid w:val="393BF522"/>
    <w:rsid w:val="393E1E7F"/>
    <w:rsid w:val="393FC424"/>
    <w:rsid w:val="3940AE2E"/>
    <w:rsid w:val="39416AEF"/>
    <w:rsid w:val="3941B194"/>
    <w:rsid w:val="394414BB"/>
    <w:rsid w:val="3944CAB1"/>
    <w:rsid w:val="39482FD7"/>
    <w:rsid w:val="394BBCA1"/>
    <w:rsid w:val="394CBC3E"/>
    <w:rsid w:val="3954C087"/>
    <w:rsid w:val="3954C99F"/>
    <w:rsid w:val="39552DF2"/>
    <w:rsid w:val="3958109E"/>
    <w:rsid w:val="39594652"/>
    <w:rsid w:val="39617262"/>
    <w:rsid w:val="396481A2"/>
    <w:rsid w:val="39649A9C"/>
    <w:rsid w:val="396511D9"/>
    <w:rsid w:val="39681478"/>
    <w:rsid w:val="39682CD0"/>
    <w:rsid w:val="3968D092"/>
    <w:rsid w:val="39696417"/>
    <w:rsid w:val="396C4323"/>
    <w:rsid w:val="396D645B"/>
    <w:rsid w:val="396EF1AC"/>
    <w:rsid w:val="397047AB"/>
    <w:rsid w:val="39734975"/>
    <w:rsid w:val="3974118D"/>
    <w:rsid w:val="3978D272"/>
    <w:rsid w:val="39794C86"/>
    <w:rsid w:val="397A2442"/>
    <w:rsid w:val="397ADA93"/>
    <w:rsid w:val="397CF044"/>
    <w:rsid w:val="397CF9C3"/>
    <w:rsid w:val="39811ECC"/>
    <w:rsid w:val="39875AAF"/>
    <w:rsid w:val="39883E44"/>
    <w:rsid w:val="398AF794"/>
    <w:rsid w:val="398B0C4D"/>
    <w:rsid w:val="398E48E0"/>
    <w:rsid w:val="3990B73C"/>
    <w:rsid w:val="39922D47"/>
    <w:rsid w:val="39948503"/>
    <w:rsid w:val="3996FABF"/>
    <w:rsid w:val="39990A43"/>
    <w:rsid w:val="399952B5"/>
    <w:rsid w:val="399B57BA"/>
    <w:rsid w:val="39A0CD4E"/>
    <w:rsid w:val="39A2CBDC"/>
    <w:rsid w:val="39A87AAC"/>
    <w:rsid w:val="39ABBE30"/>
    <w:rsid w:val="39AC1DBF"/>
    <w:rsid w:val="39AEECE4"/>
    <w:rsid w:val="39AEF532"/>
    <w:rsid w:val="39B00796"/>
    <w:rsid w:val="39B13F36"/>
    <w:rsid w:val="39B1683C"/>
    <w:rsid w:val="39B36CA4"/>
    <w:rsid w:val="39BA49DA"/>
    <w:rsid w:val="39BC9A78"/>
    <w:rsid w:val="39BCAB7E"/>
    <w:rsid w:val="39BDA1F0"/>
    <w:rsid w:val="39C581CB"/>
    <w:rsid w:val="39C6984D"/>
    <w:rsid w:val="39C86E46"/>
    <w:rsid w:val="39C9A67C"/>
    <w:rsid w:val="39CA3D99"/>
    <w:rsid w:val="39CB14A9"/>
    <w:rsid w:val="39CB9EE6"/>
    <w:rsid w:val="39D1B760"/>
    <w:rsid w:val="39D97D5B"/>
    <w:rsid w:val="39DB212E"/>
    <w:rsid w:val="39DC2674"/>
    <w:rsid w:val="39DEF82C"/>
    <w:rsid w:val="39E1FD49"/>
    <w:rsid w:val="39E3DE99"/>
    <w:rsid w:val="39E49DA6"/>
    <w:rsid w:val="39E7FAC5"/>
    <w:rsid w:val="39E9F84D"/>
    <w:rsid w:val="39EA39E7"/>
    <w:rsid w:val="39EBBD77"/>
    <w:rsid w:val="39F0321A"/>
    <w:rsid w:val="39F752A0"/>
    <w:rsid w:val="39FB393C"/>
    <w:rsid w:val="39FCF748"/>
    <w:rsid w:val="39FD332A"/>
    <w:rsid w:val="3A00B017"/>
    <w:rsid w:val="3A01EAFD"/>
    <w:rsid w:val="3A0F289B"/>
    <w:rsid w:val="3A15E7B8"/>
    <w:rsid w:val="3A165479"/>
    <w:rsid w:val="3A16EB42"/>
    <w:rsid w:val="3A186717"/>
    <w:rsid w:val="3A1A9191"/>
    <w:rsid w:val="3A1CD730"/>
    <w:rsid w:val="3A1DB3F5"/>
    <w:rsid w:val="3A1DD8BA"/>
    <w:rsid w:val="3A1E4BF2"/>
    <w:rsid w:val="3A1F500A"/>
    <w:rsid w:val="3A1F8F24"/>
    <w:rsid w:val="3A21880F"/>
    <w:rsid w:val="3A285B54"/>
    <w:rsid w:val="3A2A0A12"/>
    <w:rsid w:val="3A2AB9E1"/>
    <w:rsid w:val="3A2B62D7"/>
    <w:rsid w:val="3A2CEAE0"/>
    <w:rsid w:val="3A2FF9AA"/>
    <w:rsid w:val="3A319201"/>
    <w:rsid w:val="3A31BE82"/>
    <w:rsid w:val="3A34D936"/>
    <w:rsid w:val="3A34F568"/>
    <w:rsid w:val="3A39AD20"/>
    <w:rsid w:val="3A3B8FBE"/>
    <w:rsid w:val="3A3BBDBA"/>
    <w:rsid w:val="3A3BC2E2"/>
    <w:rsid w:val="3A3DA2D5"/>
    <w:rsid w:val="3A3DC617"/>
    <w:rsid w:val="3A426051"/>
    <w:rsid w:val="3A43BF7C"/>
    <w:rsid w:val="3A43E7A4"/>
    <w:rsid w:val="3A46DB90"/>
    <w:rsid w:val="3A4A25C8"/>
    <w:rsid w:val="3A4A7CB3"/>
    <w:rsid w:val="3A4B6C3F"/>
    <w:rsid w:val="3A4C3767"/>
    <w:rsid w:val="3A4D451F"/>
    <w:rsid w:val="3A4E7F31"/>
    <w:rsid w:val="3A54406E"/>
    <w:rsid w:val="3A554B2F"/>
    <w:rsid w:val="3A55E176"/>
    <w:rsid w:val="3A56EC09"/>
    <w:rsid w:val="3A5EA251"/>
    <w:rsid w:val="3A5F0D26"/>
    <w:rsid w:val="3A5FD5C6"/>
    <w:rsid w:val="3A6033B4"/>
    <w:rsid w:val="3A604E30"/>
    <w:rsid w:val="3A607C77"/>
    <w:rsid w:val="3A6113E1"/>
    <w:rsid w:val="3A6572DC"/>
    <w:rsid w:val="3A6833AF"/>
    <w:rsid w:val="3A69766E"/>
    <w:rsid w:val="3A6A707B"/>
    <w:rsid w:val="3A6ED0C3"/>
    <w:rsid w:val="3A7274CE"/>
    <w:rsid w:val="3A761761"/>
    <w:rsid w:val="3A7676CF"/>
    <w:rsid w:val="3A7689EC"/>
    <w:rsid w:val="3A790BCD"/>
    <w:rsid w:val="3A7D717C"/>
    <w:rsid w:val="3A7E8EC6"/>
    <w:rsid w:val="3A7EC571"/>
    <w:rsid w:val="3A80B0B7"/>
    <w:rsid w:val="3A845366"/>
    <w:rsid w:val="3A8B2AC3"/>
    <w:rsid w:val="3A8CADAE"/>
    <w:rsid w:val="3A8E8984"/>
    <w:rsid w:val="3A8FDDCF"/>
    <w:rsid w:val="3A961CF1"/>
    <w:rsid w:val="3A9AEB37"/>
    <w:rsid w:val="3A9BC234"/>
    <w:rsid w:val="3AA0368B"/>
    <w:rsid w:val="3AA75B33"/>
    <w:rsid w:val="3AA76F65"/>
    <w:rsid w:val="3AAA69F4"/>
    <w:rsid w:val="3AAC2DDA"/>
    <w:rsid w:val="3AAFFB96"/>
    <w:rsid w:val="3AB098AF"/>
    <w:rsid w:val="3AB186B2"/>
    <w:rsid w:val="3AB3E3BB"/>
    <w:rsid w:val="3AB5DDAA"/>
    <w:rsid w:val="3AB69271"/>
    <w:rsid w:val="3AB694CE"/>
    <w:rsid w:val="3AB89EC8"/>
    <w:rsid w:val="3ABD6D65"/>
    <w:rsid w:val="3ABD8CCD"/>
    <w:rsid w:val="3ABE1D7B"/>
    <w:rsid w:val="3AC0A068"/>
    <w:rsid w:val="3AC1C45A"/>
    <w:rsid w:val="3AC2D021"/>
    <w:rsid w:val="3AC8D198"/>
    <w:rsid w:val="3ACC131B"/>
    <w:rsid w:val="3ACF6819"/>
    <w:rsid w:val="3ACFFC95"/>
    <w:rsid w:val="3AD2C5C7"/>
    <w:rsid w:val="3AD36DB7"/>
    <w:rsid w:val="3AD4ECE1"/>
    <w:rsid w:val="3AD5B1FF"/>
    <w:rsid w:val="3AD68538"/>
    <w:rsid w:val="3AD68E5C"/>
    <w:rsid w:val="3AD76776"/>
    <w:rsid w:val="3AD82B0C"/>
    <w:rsid w:val="3AD84C5D"/>
    <w:rsid w:val="3AD8B104"/>
    <w:rsid w:val="3AD8B6ED"/>
    <w:rsid w:val="3AD95546"/>
    <w:rsid w:val="3ADB739B"/>
    <w:rsid w:val="3AE1D812"/>
    <w:rsid w:val="3AE56433"/>
    <w:rsid w:val="3AE5C5D0"/>
    <w:rsid w:val="3AE6534E"/>
    <w:rsid w:val="3AEB5E21"/>
    <w:rsid w:val="3AECF8E0"/>
    <w:rsid w:val="3AEDC238"/>
    <w:rsid w:val="3AEDDAD2"/>
    <w:rsid w:val="3AEE78DF"/>
    <w:rsid w:val="3AEFE815"/>
    <w:rsid w:val="3AF1F5A3"/>
    <w:rsid w:val="3AF22343"/>
    <w:rsid w:val="3AF491EB"/>
    <w:rsid w:val="3AF60D36"/>
    <w:rsid w:val="3AF74136"/>
    <w:rsid w:val="3AF7BEC3"/>
    <w:rsid w:val="3AF93B61"/>
    <w:rsid w:val="3AFC3E99"/>
    <w:rsid w:val="3AFC656A"/>
    <w:rsid w:val="3AFD7F70"/>
    <w:rsid w:val="3AFEDA5C"/>
    <w:rsid w:val="3B005C5D"/>
    <w:rsid w:val="3B025FE7"/>
    <w:rsid w:val="3B04EDE4"/>
    <w:rsid w:val="3B066D3B"/>
    <w:rsid w:val="3B08971F"/>
    <w:rsid w:val="3B0AC13A"/>
    <w:rsid w:val="3B0E8615"/>
    <w:rsid w:val="3B12E835"/>
    <w:rsid w:val="3B15638A"/>
    <w:rsid w:val="3B166864"/>
    <w:rsid w:val="3B173E2F"/>
    <w:rsid w:val="3B174EB8"/>
    <w:rsid w:val="3B1A598A"/>
    <w:rsid w:val="3B1DCA1F"/>
    <w:rsid w:val="3B1EDE92"/>
    <w:rsid w:val="3B23D2E3"/>
    <w:rsid w:val="3B271E53"/>
    <w:rsid w:val="3B273BFB"/>
    <w:rsid w:val="3B2870C9"/>
    <w:rsid w:val="3B295F8F"/>
    <w:rsid w:val="3B2A6935"/>
    <w:rsid w:val="3B2E2CD1"/>
    <w:rsid w:val="3B2ED91F"/>
    <w:rsid w:val="3B366A1A"/>
    <w:rsid w:val="3B39092D"/>
    <w:rsid w:val="3B392311"/>
    <w:rsid w:val="3B3D5809"/>
    <w:rsid w:val="3B3D7732"/>
    <w:rsid w:val="3B3E41E6"/>
    <w:rsid w:val="3B3F27D9"/>
    <w:rsid w:val="3B41BACC"/>
    <w:rsid w:val="3B438015"/>
    <w:rsid w:val="3B453D07"/>
    <w:rsid w:val="3B4657BF"/>
    <w:rsid w:val="3B47FD54"/>
    <w:rsid w:val="3B4E8481"/>
    <w:rsid w:val="3B4ECC23"/>
    <w:rsid w:val="3B5045A3"/>
    <w:rsid w:val="3B50BA0D"/>
    <w:rsid w:val="3B52B2B0"/>
    <w:rsid w:val="3B576AF5"/>
    <w:rsid w:val="3B57EA85"/>
    <w:rsid w:val="3B5D9A3B"/>
    <w:rsid w:val="3B5DFD4C"/>
    <w:rsid w:val="3B6112C1"/>
    <w:rsid w:val="3B6113FB"/>
    <w:rsid w:val="3B63C166"/>
    <w:rsid w:val="3B652ACD"/>
    <w:rsid w:val="3B65A2F0"/>
    <w:rsid w:val="3B6AFB3F"/>
    <w:rsid w:val="3B74FBB6"/>
    <w:rsid w:val="3B7BAFEE"/>
    <w:rsid w:val="3B7C83EB"/>
    <w:rsid w:val="3B7CD98C"/>
    <w:rsid w:val="3B7DA7AE"/>
    <w:rsid w:val="3B80B872"/>
    <w:rsid w:val="3B8237BE"/>
    <w:rsid w:val="3B830BAB"/>
    <w:rsid w:val="3B85B5CA"/>
    <w:rsid w:val="3B86BDC7"/>
    <w:rsid w:val="3B8EE751"/>
    <w:rsid w:val="3B91F17E"/>
    <w:rsid w:val="3B9400AC"/>
    <w:rsid w:val="3B949F45"/>
    <w:rsid w:val="3B971D0A"/>
    <w:rsid w:val="3B978A6C"/>
    <w:rsid w:val="3B999498"/>
    <w:rsid w:val="3B9AC343"/>
    <w:rsid w:val="3BA11006"/>
    <w:rsid w:val="3BA1CBF6"/>
    <w:rsid w:val="3BA567D9"/>
    <w:rsid w:val="3BAE2823"/>
    <w:rsid w:val="3BB14DB2"/>
    <w:rsid w:val="3BB17ECB"/>
    <w:rsid w:val="3BB207F0"/>
    <w:rsid w:val="3BB335DF"/>
    <w:rsid w:val="3BB45FFF"/>
    <w:rsid w:val="3BBBC280"/>
    <w:rsid w:val="3BBEA3A7"/>
    <w:rsid w:val="3BBF6CF5"/>
    <w:rsid w:val="3BC0347A"/>
    <w:rsid w:val="3BC110BF"/>
    <w:rsid w:val="3BC24EBC"/>
    <w:rsid w:val="3BC3804D"/>
    <w:rsid w:val="3BC48BED"/>
    <w:rsid w:val="3BC5E31F"/>
    <w:rsid w:val="3BC616AF"/>
    <w:rsid w:val="3BC6B189"/>
    <w:rsid w:val="3BC7A3EA"/>
    <w:rsid w:val="3BC7D03B"/>
    <w:rsid w:val="3BC7D5AC"/>
    <w:rsid w:val="3BCC46A3"/>
    <w:rsid w:val="3BCC64F8"/>
    <w:rsid w:val="3BCCDF8C"/>
    <w:rsid w:val="3BD2FAB1"/>
    <w:rsid w:val="3BD5AC04"/>
    <w:rsid w:val="3BD7B823"/>
    <w:rsid w:val="3BD7FDEC"/>
    <w:rsid w:val="3BD91763"/>
    <w:rsid w:val="3BD9CD32"/>
    <w:rsid w:val="3BDAF6EE"/>
    <w:rsid w:val="3BDBA3B7"/>
    <w:rsid w:val="3BDC9B2E"/>
    <w:rsid w:val="3BE22D57"/>
    <w:rsid w:val="3BEACBE4"/>
    <w:rsid w:val="3BEBB8D7"/>
    <w:rsid w:val="3BED3AB1"/>
    <w:rsid w:val="3BEE2DD5"/>
    <w:rsid w:val="3BF07D16"/>
    <w:rsid w:val="3BF0AE25"/>
    <w:rsid w:val="3BF2937D"/>
    <w:rsid w:val="3BF506F3"/>
    <w:rsid w:val="3BFD4C3A"/>
    <w:rsid w:val="3C07C45A"/>
    <w:rsid w:val="3C0A2DCF"/>
    <w:rsid w:val="3C0BDDF0"/>
    <w:rsid w:val="3C10270E"/>
    <w:rsid w:val="3C14964F"/>
    <w:rsid w:val="3C14BAE9"/>
    <w:rsid w:val="3C1C01F4"/>
    <w:rsid w:val="3C1C089C"/>
    <w:rsid w:val="3C25486D"/>
    <w:rsid w:val="3C266DF0"/>
    <w:rsid w:val="3C2696C4"/>
    <w:rsid w:val="3C28F2D5"/>
    <w:rsid w:val="3C2C1183"/>
    <w:rsid w:val="3C2D8C02"/>
    <w:rsid w:val="3C2D9FCA"/>
    <w:rsid w:val="3C2FF82B"/>
    <w:rsid w:val="3C30D72A"/>
    <w:rsid w:val="3C328410"/>
    <w:rsid w:val="3C330209"/>
    <w:rsid w:val="3C361506"/>
    <w:rsid w:val="3C37B4B7"/>
    <w:rsid w:val="3C3A0828"/>
    <w:rsid w:val="3C3B6658"/>
    <w:rsid w:val="3C3F392C"/>
    <w:rsid w:val="3C41D930"/>
    <w:rsid w:val="3C442D65"/>
    <w:rsid w:val="3C45BAF5"/>
    <w:rsid w:val="3C45F47D"/>
    <w:rsid w:val="3C46A1F3"/>
    <w:rsid w:val="3C47215B"/>
    <w:rsid w:val="3C480892"/>
    <w:rsid w:val="3C486D6A"/>
    <w:rsid w:val="3C4BAD71"/>
    <w:rsid w:val="3C4C2870"/>
    <w:rsid w:val="3C506119"/>
    <w:rsid w:val="3C516B48"/>
    <w:rsid w:val="3C5438DC"/>
    <w:rsid w:val="3C55C8A8"/>
    <w:rsid w:val="3C569350"/>
    <w:rsid w:val="3C56AFF9"/>
    <w:rsid w:val="3C5C23BE"/>
    <w:rsid w:val="3C5DA084"/>
    <w:rsid w:val="3C62F68C"/>
    <w:rsid w:val="3C6353B6"/>
    <w:rsid w:val="3C63A71A"/>
    <w:rsid w:val="3C6FA46E"/>
    <w:rsid w:val="3C70E972"/>
    <w:rsid w:val="3C78D5B8"/>
    <w:rsid w:val="3C7A938C"/>
    <w:rsid w:val="3C80D9C5"/>
    <w:rsid w:val="3C82F754"/>
    <w:rsid w:val="3C84C0C1"/>
    <w:rsid w:val="3C850F09"/>
    <w:rsid w:val="3C856640"/>
    <w:rsid w:val="3C8707D2"/>
    <w:rsid w:val="3C8AEEEC"/>
    <w:rsid w:val="3C8D2394"/>
    <w:rsid w:val="3C904346"/>
    <w:rsid w:val="3C92CBCF"/>
    <w:rsid w:val="3C97883D"/>
    <w:rsid w:val="3C985069"/>
    <w:rsid w:val="3C9B219C"/>
    <w:rsid w:val="3C9DA124"/>
    <w:rsid w:val="3CA0A7A4"/>
    <w:rsid w:val="3CA0DC0E"/>
    <w:rsid w:val="3CA20982"/>
    <w:rsid w:val="3CA49A4B"/>
    <w:rsid w:val="3CA595F2"/>
    <w:rsid w:val="3CA782EC"/>
    <w:rsid w:val="3CA96CE3"/>
    <w:rsid w:val="3CA99A8E"/>
    <w:rsid w:val="3CAD8945"/>
    <w:rsid w:val="3CAE5D22"/>
    <w:rsid w:val="3CB0EF03"/>
    <w:rsid w:val="3CB530EB"/>
    <w:rsid w:val="3CB53BFF"/>
    <w:rsid w:val="3CBC4CA9"/>
    <w:rsid w:val="3CBD20C0"/>
    <w:rsid w:val="3CC16326"/>
    <w:rsid w:val="3CC2E01D"/>
    <w:rsid w:val="3CC4AFE7"/>
    <w:rsid w:val="3CC85D98"/>
    <w:rsid w:val="3CCE585D"/>
    <w:rsid w:val="3CD740D3"/>
    <w:rsid w:val="3CDABDB1"/>
    <w:rsid w:val="3CDBFE27"/>
    <w:rsid w:val="3CDCAEAD"/>
    <w:rsid w:val="3CDE0E5F"/>
    <w:rsid w:val="3CE1A5E1"/>
    <w:rsid w:val="3CE1E3A5"/>
    <w:rsid w:val="3CE407FF"/>
    <w:rsid w:val="3CE61EA7"/>
    <w:rsid w:val="3CE77653"/>
    <w:rsid w:val="3CE8DDFA"/>
    <w:rsid w:val="3CEB2A3D"/>
    <w:rsid w:val="3CF3BE48"/>
    <w:rsid w:val="3CF6C23C"/>
    <w:rsid w:val="3CF7ACCD"/>
    <w:rsid w:val="3CFB94A8"/>
    <w:rsid w:val="3CFF6892"/>
    <w:rsid w:val="3D00824D"/>
    <w:rsid w:val="3D020C2C"/>
    <w:rsid w:val="3D02CD10"/>
    <w:rsid w:val="3D04A577"/>
    <w:rsid w:val="3D0B2072"/>
    <w:rsid w:val="3D0DF453"/>
    <w:rsid w:val="3D1102F0"/>
    <w:rsid w:val="3D11D6A0"/>
    <w:rsid w:val="3D12DB1E"/>
    <w:rsid w:val="3D13A72B"/>
    <w:rsid w:val="3D189A00"/>
    <w:rsid w:val="3D19D910"/>
    <w:rsid w:val="3D1A3580"/>
    <w:rsid w:val="3D1B9B92"/>
    <w:rsid w:val="3D210CFF"/>
    <w:rsid w:val="3D231B13"/>
    <w:rsid w:val="3D23CD73"/>
    <w:rsid w:val="3D26A176"/>
    <w:rsid w:val="3D2B88E0"/>
    <w:rsid w:val="3D2BCCB2"/>
    <w:rsid w:val="3D2C2E42"/>
    <w:rsid w:val="3D310105"/>
    <w:rsid w:val="3D31EE76"/>
    <w:rsid w:val="3D324167"/>
    <w:rsid w:val="3D33F135"/>
    <w:rsid w:val="3D3509FD"/>
    <w:rsid w:val="3D364634"/>
    <w:rsid w:val="3D39BF3C"/>
    <w:rsid w:val="3D3BA563"/>
    <w:rsid w:val="3D3C241F"/>
    <w:rsid w:val="3D3C9952"/>
    <w:rsid w:val="3D429B72"/>
    <w:rsid w:val="3D48165F"/>
    <w:rsid w:val="3D49E67D"/>
    <w:rsid w:val="3D4C0D07"/>
    <w:rsid w:val="3D4CE458"/>
    <w:rsid w:val="3D4F4B6C"/>
    <w:rsid w:val="3D504117"/>
    <w:rsid w:val="3D531B9C"/>
    <w:rsid w:val="3D55748C"/>
    <w:rsid w:val="3D5870ED"/>
    <w:rsid w:val="3D594959"/>
    <w:rsid w:val="3D59FE72"/>
    <w:rsid w:val="3D5AA0C4"/>
    <w:rsid w:val="3D5B52F0"/>
    <w:rsid w:val="3D5BAD8D"/>
    <w:rsid w:val="3D5CD9E1"/>
    <w:rsid w:val="3D5D1A1C"/>
    <w:rsid w:val="3D5D6830"/>
    <w:rsid w:val="3D5EE422"/>
    <w:rsid w:val="3D5F0B6E"/>
    <w:rsid w:val="3D62E491"/>
    <w:rsid w:val="3D66A4E7"/>
    <w:rsid w:val="3D674792"/>
    <w:rsid w:val="3D6B7AC6"/>
    <w:rsid w:val="3D6C24D8"/>
    <w:rsid w:val="3D6CBB43"/>
    <w:rsid w:val="3D6D0914"/>
    <w:rsid w:val="3D7095C6"/>
    <w:rsid w:val="3D714A3F"/>
    <w:rsid w:val="3D72995B"/>
    <w:rsid w:val="3D75711B"/>
    <w:rsid w:val="3D7641EC"/>
    <w:rsid w:val="3D768CC5"/>
    <w:rsid w:val="3D76D996"/>
    <w:rsid w:val="3D772338"/>
    <w:rsid w:val="3D776C1B"/>
    <w:rsid w:val="3D7928CF"/>
    <w:rsid w:val="3D7B7640"/>
    <w:rsid w:val="3D7D899F"/>
    <w:rsid w:val="3D7E932E"/>
    <w:rsid w:val="3D7F615C"/>
    <w:rsid w:val="3D8244BC"/>
    <w:rsid w:val="3D83E9D2"/>
    <w:rsid w:val="3D8747FF"/>
    <w:rsid w:val="3D886DA1"/>
    <w:rsid w:val="3D891DBF"/>
    <w:rsid w:val="3D898C11"/>
    <w:rsid w:val="3D8CB4F6"/>
    <w:rsid w:val="3D8CEE34"/>
    <w:rsid w:val="3D8FDE4D"/>
    <w:rsid w:val="3D9243F1"/>
    <w:rsid w:val="3D983810"/>
    <w:rsid w:val="3DA18141"/>
    <w:rsid w:val="3DA1F519"/>
    <w:rsid w:val="3DA7BE35"/>
    <w:rsid w:val="3DA9AC6B"/>
    <w:rsid w:val="3DA9F76B"/>
    <w:rsid w:val="3DAA620A"/>
    <w:rsid w:val="3DB00ECE"/>
    <w:rsid w:val="3DB1367E"/>
    <w:rsid w:val="3DB2C727"/>
    <w:rsid w:val="3DB8324B"/>
    <w:rsid w:val="3DB9D741"/>
    <w:rsid w:val="3DBA0867"/>
    <w:rsid w:val="3DBAC572"/>
    <w:rsid w:val="3DBD2955"/>
    <w:rsid w:val="3DBDE590"/>
    <w:rsid w:val="3DBF637E"/>
    <w:rsid w:val="3DC2ACAD"/>
    <w:rsid w:val="3DC747B6"/>
    <w:rsid w:val="3DC7AA13"/>
    <w:rsid w:val="3DC81D06"/>
    <w:rsid w:val="3DC844DD"/>
    <w:rsid w:val="3DCB899E"/>
    <w:rsid w:val="3DCD4522"/>
    <w:rsid w:val="3DCED0B6"/>
    <w:rsid w:val="3DD12523"/>
    <w:rsid w:val="3DD16E58"/>
    <w:rsid w:val="3DD26CF9"/>
    <w:rsid w:val="3DD3B367"/>
    <w:rsid w:val="3DD67B0D"/>
    <w:rsid w:val="3DD7ECF6"/>
    <w:rsid w:val="3DD8C05F"/>
    <w:rsid w:val="3DDB3472"/>
    <w:rsid w:val="3DDB68D8"/>
    <w:rsid w:val="3DDF28A6"/>
    <w:rsid w:val="3DE22D7D"/>
    <w:rsid w:val="3DE65A21"/>
    <w:rsid w:val="3DEAF76D"/>
    <w:rsid w:val="3DEB5996"/>
    <w:rsid w:val="3DEDC6FD"/>
    <w:rsid w:val="3DEFC1AF"/>
    <w:rsid w:val="3DF01E2D"/>
    <w:rsid w:val="3DF07259"/>
    <w:rsid w:val="3DF144C7"/>
    <w:rsid w:val="3DF35975"/>
    <w:rsid w:val="3DF7BD35"/>
    <w:rsid w:val="3DF8F438"/>
    <w:rsid w:val="3DFD7B2F"/>
    <w:rsid w:val="3E005187"/>
    <w:rsid w:val="3E009A0C"/>
    <w:rsid w:val="3E010D23"/>
    <w:rsid w:val="3E017927"/>
    <w:rsid w:val="3E02E243"/>
    <w:rsid w:val="3E04D64C"/>
    <w:rsid w:val="3E06A7A4"/>
    <w:rsid w:val="3E06E27B"/>
    <w:rsid w:val="3E0776FD"/>
    <w:rsid w:val="3E0D474A"/>
    <w:rsid w:val="3E0D91A7"/>
    <w:rsid w:val="3E0EA46D"/>
    <w:rsid w:val="3E0F589D"/>
    <w:rsid w:val="3E105A0E"/>
    <w:rsid w:val="3E110375"/>
    <w:rsid w:val="3E127AB2"/>
    <w:rsid w:val="3E13F52E"/>
    <w:rsid w:val="3E17126F"/>
    <w:rsid w:val="3E18F5C0"/>
    <w:rsid w:val="3E1C653B"/>
    <w:rsid w:val="3E1D2AD8"/>
    <w:rsid w:val="3E1D983C"/>
    <w:rsid w:val="3E22176D"/>
    <w:rsid w:val="3E251F91"/>
    <w:rsid w:val="3E2635F9"/>
    <w:rsid w:val="3E26BB01"/>
    <w:rsid w:val="3E27D2C7"/>
    <w:rsid w:val="3E2ABD9F"/>
    <w:rsid w:val="3E2B0A3E"/>
    <w:rsid w:val="3E2CDA8D"/>
    <w:rsid w:val="3E2F5B67"/>
    <w:rsid w:val="3E2FF810"/>
    <w:rsid w:val="3E3045E5"/>
    <w:rsid w:val="3E30505B"/>
    <w:rsid w:val="3E3164D1"/>
    <w:rsid w:val="3E340589"/>
    <w:rsid w:val="3E36FCE7"/>
    <w:rsid w:val="3E39515E"/>
    <w:rsid w:val="3E3A60D8"/>
    <w:rsid w:val="3E4135CA"/>
    <w:rsid w:val="3E44BB79"/>
    <w:rsid w:val="3E452A0C"/>
    <w:rsid w:val="3E468940"/>
    <w:rsid w:val="3E48F75A"/>
    <w:rsid w:val="3E5313D5"/>
    <w:rsid w:val="3E542188"/>
    <w:rsid w:val="3E559572"/>
    <w:rsid w:val="3E55AA97"/>
    <w:rsid w:val="3E56629C"/>
    <w:rsid w:val="3E5759BD"/>
    <w:rsid w:val="3E57EFC6"/>
    <w:rsid w:val="3E589DBE"/>
    <w:rsid w:val="3E5AAC09"/>
    <w:rsid w:val="3E602350"/>
    <w:rsid w:val="3E634BCC"/>
    <w:rsid w:val="3E661EE5"/>
    <w:rsid w:val="3E686534"/>
    <w:rsid w:val="3E6B2CD8"/>
    <w:rsid w:val="3E6D4E27"/>
    <w:rsid w:val="3E6E0B3C"/>
    <w:rsid w:val="3E70D1C8"/>
    <w:rsid w:val="3E70F295"/>
    <w:rsid w:val="3E74329C"/>
    <w:rsid w:val="3E7448FB"/>
    <w:rsid w:val="3E755A61"/>
    <w:rsid w:val="3E7FE87E"/>
    <w:rsid w:val="3E804D7C"/>
    <w:rsid w:val="3E8290A7"/>
    <w:rsid w:val="3E83C944"/>
    <w:rsid w:val="3E848261"/>
    <w:rsid w:val="3E87AD39"/>
    <w:rsid w:val="3E8C0181"/>
    <w:rsid w:val="3E8F145E"/>
    <w:rsid w:val="3E8F341F"/>
    <w:rsid w:val="3E910FDC"/>
    <w:rsid w:val="3E9299CE"/>
    <w:rsid w:val="3E92F442"/>
    <w:rsid w:val="3E9600BA"/>
    <w:rsid w:val="3E96E1E9"/>
    <w:rsid w:val="3E980837"/>
    <w:rsid w:val="3E988A04"/>
    <w:rsid w:val="3E99499C"/>
    <w:rsid w:val="3E995BCD"/>
    <w:rsid w:val="3E9B1546"/>
    <w:rsid w:val="3E9DEB81"/>
    <w:rsid w:val="3E9ECCCC"/>
    <w:rsid w:val="3EA17192"/>
    <w:rsid w:val="3EA2EABC"/>
    <w:rsid w:val="3EA45B0D"/>
    <w:rsid w:val="3EA5D788"/>
    <w:rsid w:val="3EA8E73E"/>
    <w:rsid w:val="3EAE2425"/>
    <w:rsid w:val="3EAF3758"/>
    <w:rsid w:val="3EB1487D"/>
    <w:rsid w:val="3EB2839F"/>
    <w:rsid w:val="3EB5FFF6"/>
    <w:rsid w:val="3EBC2A0C"/>
    <w:rsid w:val="3EBE8990"/>
    <w:rsid w:val="3EC222DC"/>
    <w:rsid w:val="3EC5F2C4"/>
    <w:rsid w:val="3EC801CC"/>
    <w:rsid w:val="3ECB28BB"/>
    <w:rsid w:val="3ECECE3C"/>
    <w:rsid w:val="3ED0772C"/>
    <w:rsid w:val="3EDA2521"/>
    <w:rsid w:val="3EDA3B20"/>
    <w:rsid w:val="3EDD0A92"/>
    <w:rsid w:val="3EDE0B03"/>
    <w:rsid w:val="3EE25FAD"/>
    <w:rsid w:val="3EE43634"/>
    <w:rsid w:val="3EE43B6F"/>
    <w:rsid w:val="3EE85C00"/>
    <w:rsid w:val="3EE8D066"/>
    <w:rsid w:val="3EE91E0E"/>
    <w:rsid w:val="3EF05AFA"/>
    <w:rsid w:val="3EF251DA"/>
    <w:rsid w:val="3EF263C1"/>
    <w:rsid w:val="3EF3EB20"/>
    <w:rsid w:val="3EF5C55E"/>
    <w:rsid w:val="3EF5D97B"/>
    <w:rsid w:val="3EF5E471"/>
    <w:rsid w:val="3EF65D30"/>
    <w:rsid w:val="3EFAEFDA"/>
    <w:rsid w:val="3EFB9BBE"/>
    <w:rsid w:val="3EFD77EF"/>
    <w:rsid w:val="3F006043"/>
    <w:rsid w:val="3F0465F8"/>
    <w:rsid w:val="3F05FE88"/>
    <w:rsid w:val="3F06FE7B"/>
    <w:rsid w:val="3F089FBD"/>
    <w:rsid w:val="3F0A56A9"/>
    <w:rsid w:val="3F0B9202"/>
    <w:rsid w:val="3F1BFE37"/>
    <w:rsid w:val="3F1C9517"/>
    <w:rsid w:val="3F253F58"/>
    <w:rsid w:val="3F2549A9"/>
    <w:rsid w:val="3F2A46C3"/>
    <w:rsid w:val="3F2CA5F9"/>
    <w:rsid w:val="3F2E132E"/>
    <w:rsid w:val="3F32596C"/>
    <w:rsid w:val="3F34B152"/>
    <w:rsid w:val="3F36C29C"/>
    <w:rsid w:val="3F3B5A34"/>
    <w:rsid w:val="3F3D576C"/>
    <w:rsid w:val="3F3DF79E"/>
    <w:rsid w:val="3F3FCB28"/>
    <w:rsid w:val="3F46C755"/>
    <w:rsid w:val="3F4C0FB0"/>
    <w:rsid w:val="3F52C0A3"/>
    <w:rsid w:val="3F52CDF1"/>
    <w:rsid w:val="3F5525CD"/>
    <w:rsid w:val="3F5747B7"/>
    <w:rsid w:val="3F58E334"/>
    <w:rsid w:val="3F64DE7E"/>
    <w:rsid w:val="3F67FB05"/>
    <w:rsid w:val="3F68E582"/>
    <w:rsid w:val="3F6B32BC"/>
    <w:rsid w:val="3F6C33A8"/>
    <w:rsid w:val="3F71F832"/>
    <w:rsid w:val="3F72B141"/>
    <w:rsid w:val="3F740B22"/>
    <w:rsid w:val="3F74B82C"/>
    <w:rsid w:val="3F76519E"/>
    <w:rsid w:val="3F787D8D"/>
    <w:rsid w:val="3F7E9BF3"/>
    <w:rsid w:val="3F81F33B"/>
    <w:rsid w:val="3F82B274"/>
    <w:rsid w:val="3F84141E"/>
    <w:rsid w:val="3F858727"/>
    <w:rsid w:val="3F87BBC8"/>
    <w:rsid w:val="3F87C4C3"/>
    <w:rsid w:val="3F895E53"/>
    <w:rsid w:val="3F89B86F"/>
    <w:rsid w:val="3F8AADB8"/>
    <w:rsid w:val="3F8BBC30"/>
    <w:rsid w:val="3F8EEA4F"/>
    <w:rsid w:val="3F8FE493"/>
    <w:rsid w:val="3F91CE4C"/>
    <w:rsid w:val="3F9860AA"/>
    <w:rsid w:val="3F993407"/>
    <w:rsid w:val="3F9A7E78"/>
    <w:rsid w:val="3F9ACA1F"/>
    <w:rsid w:val="3F9BEEE6"/>
    <w:rsid w:val="3FA104C6"/>
    <w:rsid w:val="3FA1AB47"/>
    <w:rsid w:val="3FA6E54F"/>
    <w:rsid w:val="3FA7C5A4"/>
    <w:rsid w:val="3FACF7A4"/>
    <w:rsid w:val="3FADE429"/>
    <w:rsid w:val="3FB09460"/>
    <w:rsid w:val="3FB70575"/>
    <w:rsid w:val="3FB8E04B"/>
    <w:rsid w:val="3FB95158"/>
    <w:rsid w:val="3FBB507E"/>
    <w:rsid w:val="3FBD9F1A"/>
    <w:rsid w:val="3FC1F417"/>
    <w:rsid w:val="3FC3643D"/>
    <w:rsid w:val="3FC3ACEC"/>
    <w:rsid w:val="3FC688A5"/>
    <w:rsid w:val="3FC91D2A"/>
    <w:rsid w:val="3FCB99B8"/>
    <w:rsid w:val="3FCC1346"/>
    <w:rsid w:val="3FCC8462"/>
    <w:rsid w:val="3FCE6798"/>
    <w:rsid w:val="3FCE92FD"/>
    <w:rsid w:val="3FCF9369"/>
    <w:rsid w:val="3FD330D7"/>
    <w:rsid w:val="3FD69DD5"/>
    <w:rsid w:val="3FD8D7A8"/>
    <w:rsid w:val="3FDC7B1F"/>
    <w:rsid w:val="3FDCC3C9"/>
    <w:rsid w:val="3FDDA7B8"/>
    <w:rsid w:val="3FE0530E"/>
    <w:rsid w:val="3FE3FFC8"/>
    <w:rsid w:val="3FEC29F7"/>
    <w:rsid w:val="3FEEDA0B"/>
    <w:rsid w:val="3FEF3282"/>
    <w:rsid w:val="3FF0C738"/>
    <w:rsid w:val="3FF26098"/>
    <w:rsid w:val="3FF58064"/>
    <w:rsid w:val="3FFACEC4"/>
    <w:rsid w:val="3FFDB94D"/>
    <w:rsid w:val="40005ECB"/>
    <w:rsid w:val="400466D1"/>
    <w:rsid w:val="40048DC2"/>
    <w:rsid w:val="400B8EAA"/>
    <w:rsid w:val="400FDC72"/>
    <w:rsid w:val="40121B93"/>
    <w:rsid w:val="40146923"/>
    <w:rsid w:val="401A03D3"/>
    <w:rsid w:val="4021C11B"/>
    <w:rsid w:val="402540FC"/>
    <w:rsid w:val="4025FCA0"/>
    <w:rsid w:val="4027174E"/>
    <w:rsid w:val="4027DEE3"/>
    <w:rsid w:val="403042F6"/>
    <w:rsid w:val="403083D6"/>
    <w:rsid w:val="4030F46E"/>
    <w:rsid w:val="40312294"/>
    <w:rsid w:val="4031462D"/>
    <w:rsid w:val="4035E5DE"/>
    <w:rsid w:val="403860B6"/>
    <w:rsid w:val="403A7DA5"/>
    <w:rsid w:val="403A8584"/>
    <w:rsid w:val="403ADAE7"/>
    <w:rsid w:val="403FF1BA"/>
    <w:rsid w:val="404005D5"/>
    <w:rsid w:val="40420DE3"/>
    <w:rsid w:val="4043E3EC"/>
    <w:rsid w:val="4044FFA1"/>
    <w:rsid w:val="40453F29"/>
    <w:rsid w:val="40466849"/>
    <w:rsid w:val="40496300"/>
    <w:rsid w:val="4049FDE0"/>
    <w:rsid w:val="404A84EC"/>
    <w:rsid w:val="404CD139"/>
    <w:rsid w:val="404E8AE3"/>
    <w:rsid w:val="40506325"/>
    <w:rsid w:val="4050B507"/>
    <w:rsid w:val="4058955E"/>
    <w:rsid w:val="405C2185"/>
    <w:rsid w:val="405C3DDC"/>
    <w:rsid w:val="405DAAF4"/>
    <w:rsid w:val="405E6E64"/>
    <w:rsid w:val="4063BF70"/>
    <w:rsid w:val="406707E2"/>
    <w:rsid w:val="406A1D4E"/>
    <w:rsid w:val="406A94EE"/>
    <w:rsid w:val="406C366C"/>
    <w:rsid w:val="40773C9E"/>
    <w:rsid w:val="40783869"/>
    <w:rsid w:val="407AB7FF"/>
    <w:rsid w:val="407C034A"/>
    <w:rsid w:val="407CBEB5"/>
    <w:rsid w:val="407DF3BA"/>
    <w:rsid w:val="40836631"/>
    <w:rsid w:val="408D7762"/>
    <w:rsid w:val="408DCA26"/>
    <w:rsid w:val="408E65E9"/>
    <w:rsid w:val="40990119"/>
    <w:rsid w:val="409A7AD4"/>
    <w:rsid w:val="409B3C94"/>
    <w:rsid w:val="409BE867"/>
    <w:rsid w:val="409D27C0"/>
    <w:rsid w:val="409E0600"/>
    <w:rsid w:val="409F384F"/>
    <w:rsid w:val="40A02D57"/>
    <w:rsid w:val="40A51009"/>
    <w:rsid w:val="40A692FD"/>
    <w:rsid w:val="40AAD24E"/>
    <w:rsid w:val="40AE2564"/>
    <w:rsid w:val="40AE9F97"/>
    <w:rsid w:val="40B29331"/>
    <w:rsid w:val="40B2ACAC"/>
    <w:rsid w:val="40B33FFE"/>
    <w:rsid w:val="40B44896"/>
    <w:rsid w:val="40B5A05F"/>
    <w:rsid w:val="40B71D14"/>
    <w:rsid w:val="40B72310"/>
    <w:rsid w:val="40B914F7"/>
    <w:rsid w:val="40BA7C25"/>
    <w:rsid w:val="40BBAF70"/>
    <w:rsid w:val="40BE3C38"/>
    <w:rsid w:val="40BFB898"/>
    <w:rsid w:val="40C15C50"/>
    <w:rsid w:val="40C1E347"/>
    <w:rsid w:val="40C256D9"/>
    <w:rsid w:val="40C30165"/>
    <w:rsid w:val="40C3641B"/>
    <w:rsid w:val="40C3D72B"/>
    <w:rsid w:val="40C3D7D5"/>
    <w:rsid w:val="40C42738"/>
    <w:rsid w:val="40C69CF4"/>
    <w:rsid w:val="40C6AEFA"/>
    <w:rsid w:val="40C7028C"/>
    <w:rsid w:val="40C75077"/>
    <w:rsid w:val="40C95869"/>
    <w:rsid w:val="40CA07F6"/>
    <w:rsid w:val="40CC0031"/>
    <w:rsid w:val="40CEA0C4"/>
    <w:rsid w:val="40D05C7B"/>
    <w:rsid w:val="40D1A170"/>
    <w:rsid w:val="40D24181"/>
    <w:rsid w:val="40D50AFF"/>
    <w:rsid w:val="40D55C29"/>
    <w:rsid w:val="40D56AB6"/>
    <w:rsid w:val="40DF806C"/>
    <w:rsid w:val="40E4B3EB"/>
    <w:rsid w:val="40E64A03"/>
    <w:rsid w:val="40E7F7C6"/>
    <w:rsid w:val="40ED5B39"/>
    <w:rsid w:val="40EEC82B"/>
    <w:rsid w:val="40EF0BAF"/>
    <w:rsid w:val="40EFD9F8"/>
    <w:rsid w:val="40F095D8"/>
    <w:rsid w:val="40F36EDF"/>
    <w:rsid w:val="40F4B957"/>
    <w:rsid w:val="40F564A3"/>
    <w:rsid w:val="40F591D3"/>
    <w:rsid w:val="40F739A5"/>
    <w:rsid w:val="40F9E848"/>
    <w:rsid w:val="40FA0D71"/>
    <w:rsid w:val="40FA3D01"/>
    <w:rsid w:val="41003D43"/>
    <w:rsid w:val="4100B278"/>
    <w:rsid w:val="4105323B"/>
    <w:rsid w:val="41093AD3"/>
    <w:rsid w:val="410C02D2"/>
    <w:rsid w:val="410C9B6A"/>
    <w:rsid w:val="411815ED"/>
    <w:rsid w:val="411CA6BF"/>
    <w:rsid w:val="411E31FE"/>
    <w:rsid w:val="41214A41"/>
    <w:rsid w:val="4123FD2E"/>
    <w:rsid w:val="41263EAD"/>
    <w:rsid w:val="4126C137"/>
    <w:rsid w:val="412B4B93"/>
    <w:rsid w:val="412D746D"/>
    <w:rsid w:val="41375D56"/>
    <w:rsid w:val="413D29E6"/>
    <w:rsid w:val="413D897B"/>
    <w:rsid w:val="4141B022"/>
    <w:rsid w:val="41488D02"/>
    <w:rsid w:val="414C3061"/>
    <w:rsid w:val="414CDB95"/>
    <w:rsid w:val="41506E27"/>
    <w:rsid w:val="415243A5"/>
    <w:rsid w:val="41554142"/>
    <w:rsid w:val="4156146F"/>
    <w:rsid w:val="415647F8"/>
    <w:rsid w:val="415903ED"/>
    <w:rsid w:val="4161D945"/>
    <w:rsid w:val="4161E00A"/>
    <w:rsid w:val="4163FF04"/>
    <w:rsid w:val="416586F4"/>
    <w:rsid w:val="4166AA83"/>
    <w:rsid w:val="41692395"/>
    <w:rsid w:val="4169E5DB"/>
    <w:rsid w:val="416AC9F7"/>
    <w:rsid w:val="416C6F99"/>
    <w:rsid w:val="416FEF54"/>
    <w:rsid w:val="4172DA77"/>
    <w:rsid w:val="417338AB"/>
    <w:rsid w:val="41761B5E"/>
    <w:rsid w:val="4176F68F"/>
    <w:rsid w:val="41779923"/>
    <w:rsid w:val="41782D8F"/>
    <w:rsid w:val="417D2785"/>
    <w:rsid w:val="41800807"/>
    <w:rsid w:val="4184093A"/>
    <w:rsid w:val="41876705"/>
    <w:rsid w:val="41880544"/>
    <w:rsid w:val="41888877"/>
    <w:rsid w:val="418A1610"/>
    <w:rsid w:val="418B69E9"/>
    <w:rsid w:val="418C6635"/>
    <w:rsid w:val="41910465"/>
    <w:rsid w:val="41988C6A"/>
    <w:rsid w:val="419F5C12"/>
    <w:rsid w:val="419F95F1"/>
    <w:rsid w:val="419F9810"/>
    <w:rsid w:val="41A09ABE"/>
    <w:rsid w:val="41A3FF22"/>
    <w:rsid w:val="41A40144"/>
    <w:rsid w:val="41A5C778"/>
    <w:rsid w:val="41A971A6"/>
    <w:rsid w:val="41AE28CE"/>
    <w:rsid w:val="41B51924"/>
    <w:rsid w:val="41B7361C"/>
    <w:rsid w:val="41BB84B8"/>
    <w:rsid w:val="41C0464C"/>
    <w:rsid w:val="41C37D0D"/>
    <w:rsid w:val="41C380EE"/>
    <w:rsid w:val="41C53AA3"/>
    <w:rsid w:val="41C68743"/>
    <w:rsid w:val="41CB47EE"/>
    <w:rsid w:val="41CC57AD"/>
    <w:rsid w:val="41CD0589"/>
    <w:rsid w:val="41CDF7C7"/>
    <w:rsid w:val="41CEC5E2"/>
    <w:rsid w:val="41D223C1"/>
    <w:rsid w:val="41D27291"/>
    <w:rsid w:val="41D5038A"/>
    <w:rsid w:val="41D6BC59"/>
    <w:rsid w:val="41D6CA10"/>
    <w:rsid w:val="41D71665"/>
    <w:rsid w:val="41D99F4E"/>
    <w:rsid w:val="41D9DE51"/>
    <w:rsid w:val="41DA89F4"/>
    <w:rsid w:val="41DD83B9"/>
    <w:rsid w:val="41E185DD"/>
    <w:rsid w:val="41E50C7D"/>
    <w:rsid w:val="41E55202"/>
    <w:rsid w:val="41E89B30"/>
    <w:rsid w:val="41E89EC5"/>
    <w:rsid w:val="41E946C6"/>
    <w:rsid w:val="41EA423F"/>
    <w:rsid w:val="41ED3682"/>
    <w:rsid w:val="41EDCE50"/>
    <w:rsid w:val="41F11979"/>
    <w:rsid w:val="41F25F92"/>
    <w:rsid w:val="41F43F5E"/>
    <w:rsid w:val="41F6B8DB"/>
    <w:rsid w:val="42031E1D"/>
    <w:rsid w:val="4208A148"/>
    <w:rsid w:val="4211281D"/>
    <w:rsid w:val="421142E4"/>
    <w:rsid w:val="4214C7E1"/>
    <w:rsid w:val="42167D38"/>
    <w:rsid w:val="4216F01E"/>
    <w:rsid w:val="421920C4"/>
    <w:rsid w:val="421E13A8"/>
    <w:rsid w:val="42206C49"/>
    <w:rsid w:val="4223E762"/>
    <w:rsid w:val="42242582"/>
    <w:rsid w:val="42255D77"/>
    <w:rsid w:val="4226F041"/>
    <w:rsid w:val="4227E8FB"/>
    <w:rsid w:val="4229E225"/>
    <w:rsid w:val="422AC1D7"/>
    <w:rsid w:val="422EC4F5"/>
    <w:rsid w:val="42316E6F"/>
    <w:rsid w:val="423612E0"/>
    <w:rsid w:val="42382085"/>
    <w:rsid w:val="42384B54"/>
    <w:rsid w:val="4238DF3B"/>
    <w:rsid w:val="42400851"/>
    <w:rsid w:val="42489F5A"/>
    <w:rsid w:val="42495522"/>
    <w:rsid w:val="424EA0D0"/>
    <w:rsid w:val="424FBE77"/>
    <w:rsid w:val="424FD62D"/>
    <w:rsid w:val="42518550"/>
    <w:rsid w:val="425301F0"/>
    <w:rsid w:val="4254C7BB"/>
    <w:rsid w:val="4257F8BE"/>
    <w:rsid w:val="425CA1A4"/>
    <w:rsid w:val="425D4F42"/>
    <w:rsid w:val="42616A52"/>
    <w:rsid w:val="42669998"/>
    <w:rsid w:val="42670A8C"/>
    <w:rsid w:val="426AA64F"/>
    <w:rsid w:val="426D7046"/>
    <w:rsid w:val="42740998"/>
    <w:rsid w:val="4274BA99"/>
    <w:rsid w:val="427653A6"/>
    <w:rsid w:val="42782E35"/>
    <w:rsid w:val="427DFA6B"/>
    <w:rsid w:val="4280B7C9"/>
    <w:rsid w:val="4281B988"/>
    <w:rsid w:val="4286F41C"/>
    <w:rsid w:val="42877814"/>
    <w:rsid w:val="42882BDA"/>
    <w:rsid w:val="428B5FE2"/>
    <w:rsid w:val="428CFAA6"/>
    <w:rsid w:val="428DE548"/>
    <w:rsid w:val="4290CC62"/>
    <w:rsid w:val="4290E45C"/>
    <w:rsid w:val="42939668"/>
    <w:rsid w:val="4295EE2C"/>
    <w:rsid w:val="429FD70E"/>
    <w:rsid w:val="42A02434"/>
    <w:rsid w:val="42A72328"/>
    <w:rsid w:val="42A851F0"/>
    <w:rsid w:val="42A9F136"/>
    <w:rsid w:val="42AB8C04"/>
    <w:rsid w:val="42AB97BA"/>
    <w:rsid w:val="42AE93B0"/>
    <w:rsid w:val="42AFF19C"/>
    <w:rsid w:val="42B0FC39"/>
    <w:rsid w:val="42B1BDFF"/>
    <w:rsid w:val="42B3BAEB"/>
    <w:rsid w:val="42B69A95"/>
    <w:rsid w:val="42BC989D"/>
    <w:rsid w:val="42BDE371"/>
    <w:rsid w:val="42C02357"/>
    <w:rsid w:val="42C084B7"/>
    <w:rsid w:val="42C9873C"/>
    <w:rsid w:val="42C98900"/>
    <w:rsid w:val="42CE03DD"/>
    <w:rsid w:val="42D34F43"/>
    <w:rsid w:val="42D3A7B9"/>
    <w:rsid w:val="42D61789"/>
    <w:rsid w:val="42D83D19"/>
    <w:rsid w:val="42D9231B"/>
    <w:rsid w:val="42DBD96A"/>
    <w:rsid w:val="42DCF242"/>
    <w:rsid w:val="42E35D0B"/>
    <w:rsid w:val="42E4C8E0"/>
    <w:rsid w:val="42E6BBEA"/>
    <w:rsid w:val="42E9D7F1"/>
    <w:rsid w:val="42EC967B"/>
    <w:rsid w:val="42EC9A22"/>
    <w:rsid w:val="42F22EAE"/>
    <w:rsid w:val="42F4E369"/>
    <w:rsid w:val="42F560C2"/>
    <w:rsid w:val="42F5AA89"/>
    <w:rsid w:val="42F8756E"/>
    <w:rsid w:val="42FD3BD3"/>
    <w:rsid w:val="42FE2860"/>
    <w:rsid w:val="43023CF7"/>
    <w:rsid w:val="4303EC11"/>
    <w:rsid w:val="430AE9B2"/>
    <w:rsid w:val="430B5109"/>
    <w:rsid w:val="430C045A"/>
    <w:rsid w:val="430C5908"/>
    <w:rsid w:val="430D33C8"/>
    <w:rsid w:val="430E32B8"/>
    <w:rsid w:val="430E93B4"/>
    <w:rsid w:val="430F25CB"/>
    <w:rsid w:val="431009B8"/>
    <w:rsid w:val="431045EC"/>
    <w:rsid w:val="431067EA"/>
    <w:rsid w:val="43120AEC"/>
    <w:rsid w:val="43147194"/>
    <w:rsid w:val="43149494"/>
    <w:rsid w:val="4317AA54"/>
    <w:rsid w:val="431ACD6D"/>
    <w:rsid w:val="431D3747"/>
    <w:rsid w:val="431D561D"/>
    <w:rsid w:val="432067A7"/>
    <w:rsid w:val="4321EBFB"/>
    <w:rsid w:val="43247BC6"/>
    <w:rsid w:val="43262BA7"/>
    <w:rsid w:val="43264664"/>
    <w:rsid w:val="43264F40"/>
    <w:rsid w:val="432A8720"/>
    <w:rsid w:val="432B3721"/>
    <w:rsid w:val="432B7B16"/>
    <w:rsid w:val="432D2E06"/>
    <w:rsid w:val="432E08D0"/>
    <w:rsid w:val="432E674F"/>
    <w:rsid w:val="432E9C87"/>
    <w:rsid w:val="43331CE0"/>
    <w:rsid w:val="4333207A"/>
    <w:rsid w:val="43346828"/>
    <w:rsid w:val="4334FF58"/>
    <w:rsid w:val="43398C6C"/>
    <w:rsid w:val="433E76EA"/>
    <w:rsid w:val="433E7EFE"/>
    <w:rsid w:val="433F7C07"/>
    <w:rsid w:val="4340BF0F"/>
    <w:rsid w:val="43420D05"/>
    <w:rsid w:val="4343FC11"/>
    <w:rsid w:val="43466D5A"/>
    <w:rsid w:val="434740FC"/>
    <w:rsid w:val="434B25B8"/>
    <w:rsid w:val="435172BC"/>
    <w:rsid w:val="435B1BB9"/>
    <w:rsid w:val="435C7DA7"/>
    <w:rsid w:val="435EF988"/>
    <w:rsid w:val="4362C5B5"/>
    <w:rsid w:val="4363020E"/>
    <w:rsid w:val="43634E11"/>
    <w:rsid w:val="4367E1E6"/>
    <w:rsid w:val="4368D875"/>
    <w:rsid w:val="436C6433"/>
    <w:rsid w:val="436D1F3D"/>
    <w:rsid w:val="436D8D48"/>
    <w:rsid w:val="436E6317"/>
    <w:rsid w:val="437203C6"/>
    <w:rsid w:val="4378B1E0"/>
    <w:rsid w:val="437A77D8"/>
    <w:rsid w:val="437C7E33"/>
    <w:rsid w:val="437F0922"/>
    <w:rsid w:val="4383DC3F"/>
    <w:rsid w:val="438856CA"/>
    <w:rsid w:val="438864B2"/>
    <w:rsid w:val="43889828"/>
    <w:rsid w:val="43920FA8"/>
    <w:rsid w:val="439295C8"/>
    <w:rsid w:val="4395BF96"/>
    <w:rsid w:val="43962770"/>
    <w:rsid w:val="4396FAB8"/>
    <w:rsid w:val="4399339F"/>
    <w:rsid w:val="4399A06D"/>
    <w:rsid w:val="439C0510"/>
    <w:rsid w:val="43A6DE0E"/>
    <w:rsid w:val="43A97062"/>
    <w:rsid w:val="43A984E5"/>
    <w:rsid w:val="43AF1BE1"/>
    <w:rsid w:val="43B25256"/>
    <w:rsid w:val="43B51FD1"/>
    <w:rsid w:val="43B5C3A8"/>
    <w:rsid w:val="43B6170A"/>
    <w:rsid w:val="43B6489F"/>
    <w:rsid w:val="43BA5606"/>
    <w:rsid w:val="43BBB239"/>
    <w:rsid w:val="43BC8F31"/>
    <w:rsid w:val="43C03504"/>
    <w:rsid w:val="43C0A0FB"/>
    <w:rsid w:val="43C1716C"/>
    <w:rsid w:val="43C3E4EA"/>
    <w:rsid w:val="43CFAD89"/>
    <w:rsid w:val="43D0F3B1"/>
    <w:rsid w:val="43D16D73"/>
    <w:rsid w:val="43D33E22"/>
    <w:rsid w:val="43D3F0E6"/>
    <w:rsid w:val="43D41135"/>
    <w:rsid w:val="43D414CC"/>
    <w:rsid w:val="43D982FE"/>
    <w:rsid w:val="43DCCD18"/>
    <w:rsid w:val="43DF5E25"/>
    <w:rsid w:val="43DF5EAE"/>
    <w:rsid w:val="43E07730"/>
    <w:rsid w:val="43E0EC3F"/>
    <w:rsid w:val="43E0EE97"/>
    <w:rsid w:val="43E16539"/>
    <w:rsid w:val="43E28FDB"/>
    <w:rsid w:val="43E29DC7"/>
    <w:rsid w:val="43E673FC"/>
    <w:rsid w:val="43E82813"/>
    <w:rsid w:val="43EA4D6E"/>
    <w:rsid w:val="43EB7207"/>
    <w:rsid w:val="43F30998"/>
    <w:rsid w:val="43F61CD5"/>
    <w:rsid w:val="43F64CDA"/>
    <w:rsid w:val="43F707A0"/>
    <w:rsid w:val="43F7F3F7"/>
    <w:rsid w:val="43F8CFFC"/>
    <w:rsid w:val="43FBE7A4"/>
    <w:rsid w:val="44000C66"/>
    <w:rsid w:val="4401A3F4"/>
    <w:rsid w:val="440267FA"/>
    <w:rsid w:val="44080E8A"/>
    <w:rsid w:val="440A7EEF"/>
    <w:rsid w:val="440B68BF"/>
    <w:rsid w:val="440D1DE7"/>
    <w:rsid w:val="440F12BC"/>
    <w:rsid w:val="440F9EBA"/>
    <w:rsid w:val="440FC744"/>
    <w:rsid w:val="4411E585"/>
    <w:rsid w:val="44154EA3"/>
    <w:rsid w:val="44191BB0"/>
    <w:rsid w:val="4419C555"/>
    <w:rsid w:val="441B7150"/>
    <w:rsid w:val="441DFAA5"/>
    <w:rsid w:val="4421BF10"/>
    <w:rsid w:val="4421DB67"/>
    <w:rsid w:val="4423AFB5"/>
    <w:rsid w:val="44242BB8"/>
    <w:rsid w:val="44290042"/>
    <w:rsid w:val="44291D98"/>
    <w:rsid w:val="442921CE"/>
    <w:rsid w:val="44292390"/>
    <w:rsid w:val="442ADA56"/>
    <w:rsid w:val="44303909"/>
    <w:rsid w:val="44305429"/>
    <w:rsid w:val="44319BD0"/>
    <w:rsid w:val="44327E09"/>
    <w:rsid w:val="4437DE05"/>
    <w:rsid w:val="4439BAC2"/>
    <w:rsid w:val="443A8456"/>
    <w:rsid w:val="443CDACE"/>
    <w:rsid w:val="443F048E"/>
    <w:rsid w:val="443FEFD1"/>
    <w:rsid w:val="4440A639"/>
    <w:rsid w:val="4441B677"/>
    <w:rsid w:val="44468E16"/>
    <w:rsid w:val="44487B77"/>
    <w:rsid w:val="444C7265"/>
    <w:rsid w:val="444CB4BD"/>
    <w:rsid w:val="444CE600"/>
    <w:rsid w:val="444DE398"/>
    <w:rsid w:val="444DEDE3"/>
    <w:rsid w:val="444EE8A5"/>
    <w:rsid w:val="444FD9C8"/>
    <w:rsid w:val="445159DA"/>
    <w:rsid w:val="445811AC"/>
    <w:rsid w:val="445BD07A"/>
    <w:rsid w:val="445C4213"/>
    <w:rsid w:val="44607B1B"/>
    <w:rsid w:val="4461ADD1"/>
    <w:rsid w:val="44624841"/>
    <w:rsid w:val="446DCC08"/>
    <w:rsid w:val="44737DF4"/>
    <w:rsid w:val="4474269B"/>
    <w:rsid w:val="4475CDD7"/>
    <w:rsid w:val="44771ED0"/>
    <w:rsid w:val="4477660A"/>
    <w:rsid w:val="4477B2F9"/>
    <w:rsid w:val="4478CB70"/>
    <w:rsid w:val="447AE708"/>
    <w:rsid w:val="447BEFA6"/>
    <w:rsid w:val="447C74A2"/>
    <w:rsid w:val="447CCC9C"/>
    <w:rsid w:val="447DF3A4"/>
    <w:rsid w:val="447F97FB"/>
    <w:rsid w:val="44837FAC"/>
    <w:rsid w:val="4486D6BF"/>
    <w:rsid w:val="448840D4"/>
    <w:rsid w:val="4488B928"/>
    <w:rsid w:val="448C2B02"/>
    <w:rsid w:val="448CD9CE"/>
    <w:rsid w:val="44900AF7"/>
    <w:rsid w:val="44902FA5"/>
    <w:rsid w:val="44974852"/>
    <w:rsid w:val="44A8E849"/>
    <w:rsid w:val="44AAF132"/>
    <w:rsid w:val="44AE0A19"/>
    <w:rsid w:val="44B6C277"/>
    <w:rsid w:val="44BAAD2B"/>
    <w:rsid w:val="44BC452B"/>
    <w:rsid w:val="44C2C15B"/>
    <w:rsid w:val="44C4EF9F"/>
    <w:rsid w:val="44C57608"/>
    <w:rsid w:val="44C69C30"/>
    <w:rsid w:val="44C89A87"/>
    <w:rsid w:val="44CB9320"/>
    <w:rsid w:val="44CBFA17"/>
    <w:rsid w:val="44CFC82E"/>
    <w:rsid w:val="44D077F2"/>
    <w:rsid w:val="44D3B72A"/>
    <w:rsid w:val="44D66856"/>
    <w:rsid w:val="44D88218"/>
    <w:rsid w:val="44D8834E"/>
    <w:rsid w:val="44E4061D"/>
    <w:rsid w:val="44E55A10"/>
    <w:rsid w:val="44EB0510"/>
    <w:rsid w:val="44EE4F22"/>
    <w:rsid w:val="44F031B9"/>
    <w:rsid w:val="44F10422"/>
    <w:rsid w:val="44F2781F"/>
    <w:rsid w:val="44F3255E"/>
    <w:rsid w:val="44F5171F"/>
    <w:rsid w:val="44FBB750"/>
    <w:rsid w:val="44FBD6C2"/>
    <w:rsid w:val="45034625"/>
    <w:rsid w:val="4504C016"/>
    <w:rsid w:val="450537B8"/>
    <w:rsid w:val="4505B167"/>
    <w:rsid w:val="450A652E"/>
    <w:rsid w:val="4513341B"/>
    <w:rsid w:val="451720E9"/>
    <w:rsid w:val="4517B9FD"/>
    <w:rsid w:val="45182286"/>
    <w:rsid w:val="451B311A"/>
    <w:rsid w:val="451CBF59"/>
    <w:rsid w:val="4520D5E3"/>
    <w:rsid w:val="4522D1F0"/>
    <w:rsid w:val="45234B95"/>
    <w:rsid w:val="452546C6"/>
    <w:rsid w:val="45287593"/>
    <w:rsid w:val="452D29FD"/>
    <w:rsid w:val="452D638B"/>
    <w:rsid w:val="452D884C"/>
    <w:rsid w:val="452EACA5"/>
    <w:rsid w:val="452F84B7"/>
    <w:rsid w:val="45303EE6"/>
    <w:rsid w:val="4533FB8F"/>
    <w:rsid w:val="453B2CA2"/>
    <w:rsid w:val="453C4723"/>
    <w:rsid w:val="4541E16B"/>
    <w:rsid w:val="45480AF3"/>
    <w:rsid w:val="454999DA"/>
    <w:rsid w:val="454CE3A9"/>
    <w:rsid w:val="454CFE59"/>
    <w:rsid w:val="454D6EFD"/>
    <w:rsid w:val="454DA1A6"/>
    <w:rsid w:val="454E1257"/>
    <w:rsid w:val="454EEBCB"/>
    <w:rsid w:val="454F5A16"/>
    <w:rsid w:val="4552950A"/>
    <w:rsid w:val="4554236F"/>
    <w:rsid w:val="45558D6D"/>
    <w:rsid w:val="4555BDB9"/>
    <w:rsid w:val="45561123"/>
    <w:rsid w:val="455730F7"/>
    <w:rsid w:val="455A907B"/>
    <w:rsid w:val="455D983D"/>
    <w:rsid w:val="45626F0B"/>
    <w:rsid w:val="45699C5E"/>
    <w:rsid w:val="456FA59B"/>
    <w:rsid w:val="4576603A"/>
    <w:rsid w:val="4578C018"/>
    <w:rsid w:val="457A43B3"/>
    <w:rsid w:val="457BE730"/>
    <w:rsid w:val="457F7F35"/>
    <w:rsid w:val="45806507"/>
    <w:rsid w:val="458384B0"/>
    <w:rsid w:val="4583D41E"/>
    <w:rsid w:val="45850340"/>
    <w:rsid w:val="45861DCF"/>
    <w:rsid w:val="45865B35"/>
    <w:rsid w:val="45870BA3"/>
    <w:rsid w:val="4589282D"/>
    <w:rsid w:val="458D4D42"/>
    <w:rsid w:val="458EBA31"/>
    <w:rsid w:val="45927D40"/>
    <w:rsid w:val="4592CD25"/>
    <w:rsid w:val="45936995"/>
    <w:rsid w:val="4598810C"/>
    <w:rsid w:val="4599685E"/>
    <w:rsid w:val="4599A4F0"/>
    <w:rsid w:val="459C299E"/>
    <w:rsid w:val="459D5D16"/>
    <w:rsid w:val="459EFFAB"/>
    <w:rsid w:val="45A1250E"/>
    <w:rsid w:val="45A1501E"/>
    <w:rsid w:val="45A1F623"/>
    <w:rsid w:val="45A2A5CF"/>
    <w:rsid w:val="45A3AB18"/>
    <w:rsid w:val="45A413F3"/>
    <w:rsid w:val="45A5DC7F"/>
    <w:rsid w:val="45A7E138"/>
    <w:rsid w:val="45A8CF7F"/>
    <w:rsid w:val="45AD03E8"/>
    <w:rsid w:val="45ADF9A0"/>
    <w:rsid w:val="45AE2D8E"/>
    <w:rsid w:val="45AFAA38"/>
    <w:rsid w:val="45B22F07"/>
    <w:rsid w:val="45B3F924"/>
    <w:rsid w:val="45B4038C"/>
    <w:rsid w:val="45B42FD5"/>
    <w:rsid w:val="45B6136A"/>
    <w:rsid w:val="45B70DD4"/>
    <w:rsid w:val="45B9BAD1"/>
    <w:rsid w:val="45BB0107"/>
    <w:rsid w:val="45BB50ED"/>
    <w:rsid w:val="45C1DCCA"/>
    <w:rsid w:val="45CB246C"/>
    <w:rsid w:val="45CB2805"/>
    <w:rsid w:val="45CF3AA5"/>
    <w:rsid w:val="45D01D46"/>
    <w:rsid w:val="45D0FB5A"/>
    <w:rsid w:val="45D1159E"/>
    <w:rsid w:val="45D2A57F"/>
    <w:rsid w:val="45D2B99A"/>
    <w:rsid w:val="45D47C18"/>
    <w:rsid w:val="45D52062"/>
    <w:rsid w:val="45D5CFBF"/>
    <w:rsid w:val="45D6D740"/>
    <w:rsid w:val="45D73A97"/>
    <w:rsid w:val="45D9D90D"/>
    <w:rsid w:val="45DBD466"/>
    <w:rsid w:val="45DC4D58"/>
    <w:rsid w:val="45DE50DE"/>
    <w:rsid w:val="45E4012B"/>
    <w:rsid w:val="45E58E07"/>
    <w:rsid w:val="45E90E2C"/>
    <w:rsid w:val="45ECD431"/>
    <w:rsid w:val="45ED01E8"/>
    <w:rsid w:val="45F23885"/>
    <w:rsid w:val="45F666FA"/>
    <w:rsid w:val="45F74DE0"/>
    <w:rsid w:val="45F8C573"/>
    <w:rsid w:val="45FFCCCB"/>
    <w:rsid w:val="4602DBE5"/>
    <w:rsid w:val="46031E87"/>
    <w:rsid w:val="46074BE5"/>
    <w:rsid w:val="461355D2"/>
    <w:rsid w:val="461693C8"/>
    <w:rsid w:val="46184258"/>
    <w:rsid w:val="4618DC15"/>
    <w:rsid w:val="4618DE16"/>
    <w:rsid w:val="461ADABF"/>
    <w:rsid w:val="461CF6A0"/>
    <w:rsid w:val="461F427D"/>
    <w:rsid w:val="46228261"/>
    <w:rsid w:val="4622A10E"/>
    <w:rsid w:val="4623DBCA"/>
    <w:rsid w:val="46257888"/>
    <w:rsid w:val="462640CA"/>
    <w:rsid w:val="4627C1CF"/>
    <w:rsid w:val="4627DFED"/>
    <w:rsid w:val="462988D7"/>
    <w:rsid w:val="462C36CC"/>
    <w:rsid w:val="46317301"/>
    <w:rsid w:val="4631AC41"/>
    <w:rsid w:val="4632930A"/>
    <w:rsid w:val="46330805"/>
    <w:rsid w:val="46358B89"/>
    <w:rsid w:val="4635BB25"/>
    <w:rsid w:val="4636930F"/>
    <w:rsid w:val="463DDAC3"/>
    <w:rsid w:val="463E55FB"/>
    <w:rsid w:val="464011C0"/>
    <w:rsid w:val="4643498C"/>
    <w:rsid w:val="46475AD7"/>
    <w:rsid w:val="464A1904"/>
    <w:rsid w:val="464A3241"/>
    <w:rsid w:val="464C153B"/>
    <w:rsid w:val="464D18D0"/>
    <w:rsid w:val="464D5C92"/>
    <w:rsid w:val="464E1B67"/>
    <w:rsid w:val="46531235"/>
    <w:rsid w:val="46567D80"/>
    <w:rsid w:val="465D8AD5"/>
    <w:rsid w:val="465DF6B5"/>
    <w:rsid w:val="4660CCF3"/>
    <w:rsid w:val="46655431"/>
    <w:rsid w:val="4665652C"/>
    <w:rsid w:val="4665D5D2"/>
    <w:rsid w:val="4665EB9F"/>
    <w:rsid w:val="4668D095"/>
    <w:rsid w:val="466A5AF0"/>
    <w:rsid w:val="4672363E"/>
    <w:rsid w:val="46730E98"/>
    <w:rsid w:val="46738D3E"/>
    <w:rsid w:val="46750279"/>
    <w:rsid w:val="46772F2F"/>
    <w:rsid w:val="467B1C8A"/>
    <w:rsid w:val="467B6177"/>
    <w:rsid w:val="467C2B46"/>
    <w:rsid w:val="467F242D"/>
    <w:rsid w:val="46834AE7"/>
    <w:rsid w:val="468398C6"/>
    <w:rsid w:val="4683BAC9"/>
    <w:rsid w:val="4684BBCE"/>
    <w:rsid w:val="4687741C"/>
    <w:rsid w:val="468938D7"/>
    <w:rsid w:val="468B2696"/>
    <w:rsid w:val="468E4FE2"/>
    <w:rsid w:val="468F6ADA"/>
    <w:rsid w:val="468FF471"/>
    <w:rsid w:val="4691E759"/>
    <w:rsid w:val="4695475F"/>
    <w:rsid w:val="4696F211"/>
    <w:rsid w:val="46997AF2"/>
    <w:rsid w:val="469AAF25"/>
    <w:rsid w:val="469B5CFB"/>
    <w:rsid w:val="469BB8CC"/>
    <w:rsid w:val="469E83FB"/>
    <w:rsid w:val="46A00A95"/>
    <w:rsid w:val="46A0B2FF"/>
    <w:rsid w:val="46A12CC1"/>
    <w:rsid w:val="46A31731"/>
    <w:rsid w:val="46A3E945"/>
    <w:rsid w:val="46A8D973"/>
    <w:rsid w:val="46AA7DDA"/>
    <w:rsid w:val="46ADA3B6"/>
    <w:rsid w:val="46AEA6D1"/>
    <w:rsid w:val="46AEC4E5"/>
    <w:rsid w:val="46AEFD76"/>
    <w:rsid w:val="46AF66FA"/>
    <w:rsid w:val="46B0E04C"/>
    <w:rsid w:val="46B6475F"/>
    <w:rsid w:val="46B7C533"/>
    <w:rsid w:val="46B8A3A9"/>
    <w:rsid w:val="46B95A48"/>
    <w:rsid w:val="46BA51F3"/>
    <w:rsid w:val="46BAF68B"/>
    <w:rsid w:val="46C29B94"/>
    <w:rsid w:val="46C4525B"/>
    <w:rsid w:val="46C46080"/>
    <w:rsid w:val="46C47B9A"/>
    <w:rsid w:val="46C61F1B"/>
    <w:rsid w:val="46CA9F13"/>
    <w:rsid w:val="46CE9E36"/>
    <w:rsid w:val="46CFC5A1"/>
    <w:rsid w:val="46D13E89"/>
    <w:rsid w:val="46D3722C"/>
    <w:rsid w:val="46D3D3E5"/>
    <w:rsid w:val="46D65BA2"/>
    <w:rsid w:val="46DA82B4"/>
    <w:rsid w:val="46DB94D5"/>
    <w:rsid w:val="46DBB594"/>
    <w:rsid w:val="46E4279B"/>
    <w:rsid w:val="46E49C34"/>
    <w:rsid w:val="46E509E1"/>
    <w:rsid w:val="46E55EDF"/>
    <w:rsid w:val="46E6F44B"/>
    <w:rsid w:val="46EDDAAA"/>
    <w:rsid w:val="46EF069F"/>
    <w:rsid w:val="46EF1372"/>
    <w:rsid w:val="46EF2F5C"/>
    <w:rsid w:val="46F30D96"/>
    <w:rsid w:val="46F8E14E"/>
    <w:rsid w:val="46FC52CB"/>
    <w:rsid w:val="46FD902D"/>
    <w:rsid w:val="46FF2F46"/>
    <w:rsid w:val="46FFA71D"/>
    <w:rsid w:val="46FFB08B"/>
    <w:rsid w:val="47029465"/>
    <w:rsid w:val="4707D51D"/>
    <w:rsid w:val="470A26E3"/>
    <w:rsid w:val="470A551A"/>
    <w:rsid w:val="470D3EE8"/>
    <w:rsid w:val="470DA8A7"/>
    <w:rsid w:val="47111093"/>
    <w:rsid w:val="4712399A"/>
    <w:rsid w:val="4713E4C3"/>
    <w:rsid w:val="471D3A47"/>
    <w:rsid w:val="4722F7B0"/>
    <w:rsid w:val="47240A87"/>
    <w:rsid w:val="472488E8"/>
    <w:rsid w:val="472AA36C"/>
    <w:rsid w:val="472B769C"/>
    <w:rsid w:val="472D6417"/>
    <w:rsid w:val="472E1119"/>
    <w:rsid w:val="47361C12"/>
    <w:rsid w:val="4738AD71"/>
    <w:rsid w:val="4738ADBC"/>
    <w:rsid w:val="4739068C"/>
    <w:rsid w:val="47395D07"/>
    <w:rsid w:val="473B0FB6"/>
    <w:rsid w:val="473CA636"/>
    <w:rsid w:val="473D8782"/>
    <w:rsid w:val="473DEFDE"/>
    <w:rsid w:val="4740D8B1"/>
    <w:rsid w:val="47478347"/>
    <w:rsid w:val="4747ABFC"/>
    <w:rsid w:val="4747DE46"/>
    <w:rsid w:val="474AA7BE"/>
    <w:rsid w:val="474B7E57"/>
    <w:rsid w:val="474BE6BB"/>
    <w:rsid w:val="474C5F8B"/>
    <w:rsid w:val="4752D96D"/>
    <w:rsid w:val="47535A2E"/>
    <w:rsid w:val="47542B50"/>
    <w:rsid w:val="4757A0F7"/>
    <w:rsid w:val="475CC8BB"/>
    <w:rsid w:val="475D9233"/>
    <w:rsid w:val="475F1C32"/>
    <w:rsid w:val="47648F16"/>
    <w:rsid w:val="47663752"/>
    <w:rsid w:val="476A4CD2"/>
    <w:rsid w:val="476CA254"/>
    <w:rsid w:val="476D30DF"/>
    <w:rsid w:val="47716F42"/>
    <w:rsid w:val="4771F4D1"/>
    <w:rsid w:val="4778E35F"/>
    <w:rsid w:val="477903B5"/>
    <w:rsid w:val="4779E005"/>
    <w:rsid w:val="477A5156"/>
    <w:rsid w:val="477ADD9B"/>
    <w:rsid w:val="477B3FFF"/>
    <w:rsid w:val="477BD520"/>
    <w:rsid w:val="477C2256"/>
    <w:rsid w:val="47805D33"/>
    <w:rsid w:val="478094E8"/>
    <w:rsid w:val="4781DD8B"/>
    <w:rsid w:val="4784BC88"/>
    <w:rsid w:val="4786572F"/>
    <w:rsid w:val="4786AECA"/>
    <w:rsid w:val="478865B5"/>
    <w:rsid w:val="4788A152"/>
    <w:rsid w:val="478AB748"/>
    <w:rsid w:val="478E51C7"/>
    <w:rsid w:val="478F81C1"/>
    <w:rsid w:val="47927F53"/>
    <w:rsid w:val="4798ECA7"/>
    <w:rsid w:val="4798EF41"/>
    <w:rsid w:val="47990CAA"/>
    <w:rsid w:val="479D4621"/>
    <w:rsid w:val="47A07580"/>
    <w:rsid w:val="47A3000B"/>
    <w:rsid w:val="47A67764"/>
    <w:rsid w:val="47AA7F2D"/>
    <w:rsid w:val="47AC5869"/>
    <w:rsid w:val="47ADBBBA"/>
    <w:rsid w:val="47ADC85F"/>
    <w:rsid w:val="47AEAB8A"/>
    <w:rsid w:val="47AF2D7C"/>
    <w:rsid w:val="47B08CFC"/>
    <w:rsid w:val="47B0EB4C"/>
    <w:rsid w:val="47B2682C"/>
    <w:rsid w:val="47B2C33D"/>
    <w:rsid w:val="47B333A4"/>
    <w:rsid w:val="47B538D5"/>
    <w:rsid w:val="47B5C0C0"/>
    <w:rsid w:val="47B6EFFA"/>
    <w:rsid w:val="47B7B593"/>
    <w:rsid w:val="47B9C0D3"/>
    <w:rsid w:val="47C0887E"/>
    <w:rsid w:val="47C3B5CD"/>
    <w:rsid w:val="47C7A42A"/>
    <w:rsid w:val="47C8D046"/>
    <w:rsid w:val="47C99F4A"/>
    <w:rsid w:val="47CCCB0C"/>
    <w:rsid w:val="47CDC535"/>
    <w:rsid w:val="47CF1ECD"/>
    <w:rsid w:val="47CF51E8"/>
    <w:rsid w:val="47D04009"/>
    <w:rsid w:val="47D11C60"/>
    <w:rsid w:val="47D22D69"/>
    <w:rsid w:val="47D2F772"/>
    <w:rsid w:val="47D562F9"/>
    <w:rsid w:val="47D745CF"/>
    <w:rsid w:val="47DAB2BE"/>
    <w:rsid w:val="47DC3ACE"/>
    <w:rsid w:val="47DD8361"/>
    <w:rsid w:val="47E29C91"/>
    <w:rsid w:val="47EEC767"/>
    <w:rsid w:val="47F24B30"/>
    <w:rsid w:val="47F37CD1"/>
    <w:rsid w:val="47F7917A"/>
    <w:rsid w:val="47F85068"/>
    <w:rsid w:val="47F9C3AB"/>
    <w:rsid w:val="47FC29E7"/>
    <w:rsid w:val="480A3DAD"/>
    <w:rsid w:val="48163246"/>
    <w:rsid w:val="48192DF4"/>
    <w:rsid w:val="481963DC"/>
    <w:rsid w:val="481FDD91"/>
    <w:rsid w:val="48209487"/>
    <w:rsid w:val="4820CAB2"/>
    <w:rsid w:val="48215A0F"/>
    <w:rsid w:val="482452BA"/>
    <w:rsid w:val="482846A4"/>
    <w:rsid w:val="482862F7"/>
    <w:rsid w:val="482F8DE4"/>
    <w:rsid w:val="48316516"/>
    <w:rsid w:val="483489C6"/>
    <w:rsid w:val="4834E338"/>
    <w:rsid w:val="483553B5"/>
    <w:rsid w:val="483649BD"/>
    <w:rsid w:val="483889FB"/>
    <w:rsid w:val="483B11CF"/>
    <w:rsid w:val="483B3023"/>
    <w:rsid w:val="483D3A95"/>
    <w:rsid w:val="483F99B4"/>
    <w:rsid w:val="483FE9A9"/>
    <w:rsid w:val="4843BC6E"/>
    <w:rsid w:val="484414BE"/>
    <w:rsid w:val="4848D5A9"/>
    <w:rsid w:val="4849E044"/>
    <w:rsid w:val="484AD19B"/>
    <w:rsid w:val="484C107F"/>
    <w:rsid w:val="484D9E7D"/>
    <w:rsid w:val="484EF2A4"/>
    <w:rsid w:val="48506F1B"/>
    <w:rsid w:val="4850E020"/>
    <w:rsid w:val="48519F58"/>
    <w:rsid w:val="48527FC0"/>
    <w:rsid w:val="48533C67"/>
    <w:rsid w:val="48561322"/>
    <w:rsid w:val="48596E04"/>
    <w:rsid w:val="485AACF3"/>
    <w:rsid w:val="485DFC7F"/>
    <w:rsid w:val="485E011A"/>
    <w:rsid w:val="48631194"/>
    <w:rsid w:val="48656804"/>
    <w:rsid w:val="48660899"/>
    <w:rsid w:val="4873D0F3"/>
    <w:rsid w:val="4873DA57"/>
    <w:rsid w:val="4873DCDF"/>
    <w:rsid w:val="48799E60"/>
    <w:rsid w:val="487E19B5"/>
    <w:rsid w:val="488638AC"/>
    <w:rsid w:val="488812F4"/>
    <w:rsid w:val="4889B94D"/>
    <w:rsid w:val="488A9CBC"/>
    <w:rsid w:val="488AD84A"/>
    <w:rsid w:val="488C160C"/>
    <w:rsid w:val="488F9BEF"/>
    <w:rsid w:val="48915E10"/>
    <w:rsid w:val="4898E402"/>
    <w:rsid w:val="489A07FC"/>
    <w:rsid w:val="489CEB27"/>
    <w:rsid w:val="489F3930"/>
    <w:rsid w:val="48A30440"/>
    <w:rsid w:val="48A449BC"/>
    <w:rsid w:val="48A574EC"/>
    <w:rsid w:val="48ABCADE"/>
    <w:rsid w:val="48AC34BF"/>
    <w:rsid w:val="48AEB907"/>
    <w:rsid w:val="48AF4221"/>
    <w:rsid w:val="48B0854A"/>
    <w:rsid w:val="48B32560"/>
    <w:rsid w:val="48B4DE91"/>
    <w:rsid w:val="48BAB452"/>
    <w:rsid w:val="48BBE6D2"/>
    <w:rsid w:val="48CD06F3"/>
    <w:rsid w:val="48CD0ACC"/>
    <w:rsid w:val="48CE4D1A"/>
    <w:rsid w:val="48D13F31"/>
    <w:rsid w:val="48D1DB85"/>
    <w:rsid w:val="48D231C0"/>
    <w:rsid w:val="48D614AB"/>
    <w:rsid w:val="48D67B0E"/>
    <w:rsid w:val="48D7FD94"/>
    <w:rsid w:val="48DA9DED"/>
    <w:rsid w:val="48DCC15A"/>
    <w:rsid w:val="48DD283B"/>
    <w:rsid w:val="48DEBF7F"/>
    <w:rsid w:val="48E6A1B5"/>
    <w:rsid w:val="48E799AF"/>
    <w:rsid w:val="48E93AE6"/>
    <w:rsid w:val="48ECFE1A"/>
    <w:rsid w:val="48EDA0CA"/>
    <w:rsid w:val="48EF7213"/>
    <w:rsid w:val="48F0F741"/>
    <w:rsid w:val="48F12CF0"/>
    <w:rsid w:val="48F265C2"/>
    <w:rsid w:val="48F43B20"/>
    <w:rsid w:val="48F449C0"/>
    <w:rsid w:val="48F60129"/>
    <w:rsid w:val="48F7BBFF"/>
    <w:rsid w:val="48F8F45A"/>
    <w:rsid w:val="48FA88BE"/>
    <w:rsid w:val="48FCF37E"/>
    <w:rsid w:val="48FE2252"/>
    <w:rsid w:val="4902C907"/>
    <w:rsid w:val="49038B1E"/>
    <w:rsid w:val="4903EC80"/>
    <w:rsid w:val="4904B752"/>
    <w:rsid w:val="4906BC97"/>
    <w:rsid w:val="490BBDD1"/>
    <w:rsid w:val="490D7787"/>
    <w:rsid w:val="4914ADB4"/>
    <w:rsid w:val="49150B8C"/>
    <w:rsid w:val="4915E5D5"/>
    <w:rsid w:val="4917839D"/>
    <w:rsid w:val="4917C940"/>
    <w:rsid w:val="49186093"/>
    <w:rsid w:val="4919FCB8"/>
    <w:rsid w:val="492369AD"/>
    <w:rsid w:val="49254435"/>
    <w:rsid w:val="492609DE"/>
    <w:rsid w:val="4926D146"/>
    <w:rsid w:val="492DE320"/>
    <w:rsid w:val="49305E58"/>
    <w:rsid w:val="49308B8F"/>
    <w:rsid w:val="4933DC6F"/>
    <w:rsid w:val="49346255"/>
    <w:rsid w:val="49354260"/>
    <w:rsid w:val="493B2F5C"/>
    <w:rsid w:val="493F79D2"/>
    <w:rsid w:val="4940876B"/>
    <w:rsid w:val="49420E72"/>
    <w:rsid w:val="49426588"/>
    <w:rsid w:val="494274FE"/>
    <w:rsid w:val="494657D4"/>
    <w:rsid w:val="494ABFA9"/>
    <w:rsid w:val="494EB703"/>
    <w:rsid w:val="494F0CAF"/>
    <w:rsid w:val="4950150C"/>
    <w:rsid w:val="49515BAF"/>
    <w:rsid w:val="49534976"/>
    <w:rsid w:val="49534F0B"/>
    <w:rsid w:val="49538468"/>
    <w:rsid w:val="495D1073"/>
    <w:rsid w:val="495E5B1F"/>
    <w:rsid w:val="495F8016"/>
    <w:rsid w:val="4960D103"/>
    <w:rsid w:val="49687DB5"/>
    <w:rsid w:val="496A5BDE"/>
    <w:rsid w:val="496B14CD"/>
    <w:rsid w:val="496B50E3"/>
    <w:rsid w:val="496FDE43"/>
    <w:rsid w:val="49733ACA"/>
    <w:rsid w:val="49753306"/>
    <w:rsid w:val="4975ACB4"/>
    <w:rsid w:val="49774349"/>
    <w:rsid w:val="49790F79"/>
    <w:rsid w:val="497FF88B"/>
    <w:rsid w:val="4980C117"/>
    <w:rsid w:val="4980CDEF"/>
    <w:rsid w:val="498253B1"/>
    <w:rsid w:val="4982F78F"/>
    <w:rsid w:val="4983D431"/>
    <w:rsid w:val="498498E6"/>
    <w:rsid w:val="498A3250"/>
    <w:rsid w:val="498C3EB7"/>
    <w:rsid w:val="4990A60E"/>
    <w:rsid w:val="499725E2"/>
    <w:rsid w:val="499DCF8D"/>
    <w:rsid w:val="499E48B1"/>
    <w:rsid w:val="49A01FA5"/>
    <w:rsid w:val="49A05E5A"/>
    <w:rsid w:val="49A2B361"/>
    <w:rsid w:val="49A2F304"/>
    <w:rsid w:val="49A33F7D"/>
    <w:rsid w:val="49AB7DC8"/>
    <w:rsid w:val="49AF8213"/>
    <w:rsid w:val="49B115B5"/>
    <w:rsid w:val="49B178A5"/>
    <w:rsid w:val="49B4BE13"/>
    <w:rsid w:val="49B50939"/>
    <w:rsid w:val="49B5C007"/>
    <w:rsid w:val="49B8D101"/>
    <w:rsid w:val="49BDF680"/>
    <w:rsid w:val="49C13CF3"/>
    <w:rsid w:val="49C15808"/>
    <w:rsid w:val="49C21C87"/>
    <w:rsid w:val="49CC3D7C"/>
    <w:rsid w:val="49CD08FD"/>
    <w:rsid w:val="49CFD259"/>
    <w:rsid w:val="49D0DB82"/>
    <w:rsid w:val="49D715A7"/>
    <w:rsid w:val="49D8469E"/>
    <w:rsid w:val="49DC5F4C"/>
    <w:rsid w:val="49DDD139"/>
    <w:rsid w:val="49DFB178"/>
    <w:rsid w:val="49DFB8C6"/>
    <w:rsid w:val="49E31462"/>
    <w:rsid w:val="49E37DA5"/>
    <w:rsid w:val="49E44190"/>
    <w:rsid w:val="49E47F22"/>
    <w:rsid w:val="49E4F6B7"/>
    <w:rsid w:val="49E55B37"/>
    <w:rsid w:val="49E9346B"/>
    <w:rsid w:val="49E96135"/>
    <w:rsid w:val="49EB3BC6"/>
    <w:rsid w:val="49EDAA06"/>
    <w:rsid w:val="49F144D0"/>
    <w:rsid w:val="49F2DBF7"/>
    <w:rsid w:val="49F59BDF"/>
    <w:rsid w:val="49F7AC1D"/>
    <w:rsid w:val="49FA79E9"/>
    <w:rsid w:val="49FDB796"/>
    <w:rsid w:val="49FF3D84"/>
    <w:rsid w:val="49FF5640"/>
    <w:rsid w:val="4A01EF77"/>
    <w:rsid w:val="4A0B0535"/>
    <w:rsid w:val="4A0C9822"/>
    <w:rsid w:val="4A1B5B6C"/>
    <w:rsid w:val="4A1E4D09"/>
    <w:rsid w:val="4A1EA98D"/>
    <w:rsid w:val="4A1EB7B9"/>
    <w:rsid w:val="4A258662"/>
    <w:rsid w:val="4A265110"/>
    <w:rsid w:val="4A2AB33D"/>
    <w:rsid w:val="4A2FD7A2"/>
    <w:rsid w:val="4A360DE0"/>
    <w:rsid w:val="4A3CD61D"/>
    <w:rsid w:val="4A3E0AA9"/>
    <w:rsid w:val="4A4082A9"/>
    <w:rsid w:val="4A46EFE8"/>
    <w:rsid w:val="4A4728DE"/>
    <w:rsid w:val="4A48FB96"/>
    <w:rsid w:val="4A49043D"/>
    <w:rsid w:val="4A49ED2B"/>
    <w:rsid w:val="4A4A6324"/>
    <w:rsid w:val="4A4AAC6F"/>
    <w:rsid w:val="4A4B6BC8"/>
    <w:rsid w:val="4A4C7E8B"/>
    <w:rsid w:val="4A4DC7FE"/>
    <w:rsid w:val="4A500237"/>
    <w:rsid w:val="4A504821"/>
    <w:rsid w:val="4A50CA0A"/>
    <w:rsid w:val="4A574785"/>
    <w:rsid w:val="4A5A94A0"/>
    <w:rsid w:val="4A62B021"/>
    <w:rsid w:val="4A6326E1"/>
    <w:rsid w:val="4A637620"/>
    <w:rsid w:val="4A63A665"/>
    <w:rsid w:val="4A68095E"/>
    <w:rsid w:val="4A6A39BA"/>
    <w:rsid w:val="4A6B4300"/>
    <w:rsid w:val="4A7072F1"/>
    <w:rsid w:val="4A725DCF"/>
    <w:rsid w:val="4A7A0BD8"/>
    <w:rsid w:val="4A7ADBBE"/>
    <w:rsid w:val="4A7C205D"/>
    <w:rsid w:val="4A7C9D05"/>
    <w:rsid w:val="4A7D2681"/>
    <w:rsid w:val="4A7FEDA0"/>
    <w:rsid w:val="4A82A40F"/>
    <w:rsid w:val="4A82AE18"/>
    <w:rsid w:val="4A84E4ED"/>
    <w:rsid w:val="4A865979"/>
    <w:rsid w:val="4A8B1000"/>
    <w:rsid w:val="4A8D0D8C"/>
    <w:rsid w:val="4A8DA6C9"/>
    <w:rsid w:val="4A91875A"/>
    <w:rsid w:val="4A921E24"/>
    <w:rsid w:val="4A936805"/>
    <w:rsid w:val="4A9517AF"/>
    <w:rsid w:val="4A951999"/>
    <w:rsid w:val="4A959FE5"/>
    <w:rsid w:val="4A95A262"/>
    <w:rsid w:val="4A9A2CDD"/>
    <w:rsid w:val="4A9A65D0"/>
    <w:rsid w:val="4A9AD109"/>
    <w:rsid w:val="4A9C02D4"/>
    <w:rsid w:val="4AA08ABF"/>
    <w:rsid w:val="4AA0D8C0"/>
    <w:rsid w:val="4AA21D16"/>
    <w:rsid w:val="4AA287F9"/>
    <w:rsid w:val="4AA91782"/>
    <w:rsid w:val="4AACA497"/>
    <w:rsid w:val="4AAF3236"/>
    <w:rsid w:val="4AAFB8A2"/>
    <w:rsid w:val="4AB153BF"/>
    <w:rsid w:val="4AB58622"/>
    <w:rsid w:val="4ABB7B4D"/>
    <w:rsid w:val="4ABD0277"/>
    <w:rsid w:val="4ABE26AB"/>
    <w:rsid w:val="4AC00D75"/>
    <w:rsid w:val="4AC2240C"/>
    <w:rsid w:val="4AC5B1FE"/>
    <w:rsid w:val="4AC9DBEE"/>
    <w:rsid w:val="4ACD792E"/>
    <w:rsid w:val="4AD10406"/>
    <w:rsid w:val="4AD1C4A1"/>
    <w:rsid w:val="4AD248D5"/>
    <w:rsid w:val="4AD3969D"/>
    <w:rsid w:val="4AD49026"/>
    <w:rsid w:val="4AD53D04"/>
    <w:rsid w:val="4AD9DD45"/>
    <w:rsid w:val="4ADF78A1"/>
    <w:rsid w:val="4AE12235"/>
    <w:rsid w:val="4AE49EDF"/>
    <w:rsid w:val="4AEB597E"/>
    <w:rsid w:val="4AEBA5A4"/>
    <w:rsid w:val="4AEC2C8A"/>
    <w:rsid w:val="4AECD878"/>
    <w:rsid w:val="4AED734B"/>
    <w:rsid w:val="4AF09377"/>
    <w:rsid w:val="4AF179AF"/>
    <w:rsid w:val="4AF35E83"/>
    <w:rsid w:val="4AF650FA"/>
    <w:rsid w:val="4AF70A87"/>
    <w:rsid w:val="4AFA49D4"/>
    <w:rsid w:val="4AFA4F9E"/>
    <w:rsid w:val="4AFA6642"/>
    <w:rsid w:val="4AFB3840"/>
    <w:rsid w:val="4AFCD82C"/>
    <w:rsid w:val="4AFD0F24"/>
    <w:rsid w:val="4AFD5C9D"/>
    <w:rsid w:val="4AFFFAA4"/>
    <w:rsid w:val="4B016305"/>
    <w:rsid w:val="4B037D5A"/>
    <w:rsid w:val="4B03AA62"/>
    <w:rsid w:val="4B107573"/>
    <w:rsid w:val="4B11EB0D"/>
    <w:rsid w:val="4B15608A"/>
    <w:rsid w:val="4B19DA40"/>
    <w:rsid w:val="4B1ACCCD"/>
    <w:rsid w:val="4B204B14"/>
    <w:rsid w:val="4B2133B2"/>
    <w:rsid w:val="4B226842"/>
    <w:rsid w:val="4B22E2E5"/>
    <w:rsid w:val="4B2D057E"/>
    <w:rsid w:val="4B2D817A"/>
    <w:rsid w:val="4B2E44A7"/>
    <w:rsid w:val="4B302FA5"/>
    <w:rsid w:val="4B34FD8E"/>
    <w:rsid w:val="4B3541A7"/>
    <w:rsid w:val="4B3632F1"/>
    <w:rsid w:val="4B489B15"/>
    <w:rsid w:val="4B49F5A1"/>
    <w:rsid w:val="4B4A94C0"/>
    <w:rsid w:val="4B4C6A7F"/>
    <w:rsid w:val="4B4CCF73"/>
    <w:rsid w:val="4B4EB62F"/>
    <w:rsid w:val="4B4FC211"/>
    <w:rsid w:val="4B50AFC1"/>
    <w:rsid w:val="4B5276A9"/>
    <w:rsid w:val="4B597BDF"/>
    <w:rsid w:val="4B5A2D90"/>
    <w:rsid w:val="4B5BAB80"/>
    <w:rsid w:val="4B5DE735"/>
    <w:rsid w:val="4B5EDD17"/>
    <w:rsid w:val="4B612AE3"/>
    <w:rsid w:val="4B640324"/>
    <w:rsid w:val="4B64BEAF"/>
    <w:rsid w:val="4B650F01"/>
    <w:rsid w:val="4B666FE5"/>
    <w:rsid w:val="4B66EA93"/>
    <w:rsid w:val="4B6792EA"/>
    <w:rsid w:val="4B69AB0E"/>
    <w:rsid w:val="4B6AABA5"/>
    <w:rsid w:val="4B6D10A1"/>
    <w:rsid w:val="4B6D129E"/>
    <w:rsid w:val="4B71F28A"/>
    <w:rsid w:val="4B747020"/>
    <w:rsid w:val="4B74D5C2"/>
    <w:rsid w:val="4B76B902"/>
    <w:rsid w:val="4B785C8D"/>
    <w:rsid w:val="4B7A2A55"/>
    <w:rsid w:val="4B7AA575"/>
    <w:rsid w:val="4B86F813"/>
    <w:rsid w:val="4B890759"/>
    <w:rsid w:val="4B8ABE85"/>
    <w:rsid w:val="4B8B62B4"/>
    <w:rsid w:val="4B8B634A"/>
    <w:rsid w:val="4B8F26B3"/>
    <w:rsid w:val="4B8F2746"/>
    <w:rsid w:val="4B8F3283"/>
    <w:rsid w:val="4B8F4AB0"/>
    <w:rsid w:val="4B8FD07F"/>
    <w:rsid w:val="4B90093B"/>
    <w:rsid w:val="4B916EB1"/>
    <w:rsid w:val="4B944C1F"/>
    <w:rsid w:val="4B957D77"/>
    <w:rsid w:val="4B9A9E56"/>
    <w:rsid w:val="4BA14A6C"/>
    <w:rsid w:val="4BA32451"/>
    <w:rsid w:val="4BA5F404"/>
    <w:rsid w:val="4BA9B138"/>
    <w:rsid w:val="4BAA54E9"/>
    <w:rsid w:val="4BABFA8D"/>
    <w:rsid w:val="4BAE14ED"/>
    <w:rsid w:val="4BB02991"/>
    <w:rsid w:val="4BB07672"/>
    <w:rsid w:val="4BB159CC"/>
    <w:rsid w:val="4BB17ABE"/>
    <w:rsid w:val="4BB27DD9"/>
    <w:rsid w:val="4BB3B20E"/>
    <w:rsid w:val="4BB487DE"/>
    <w:rsid w:val="4BB50A35"/>
    <w:rsid w:val="4BB5A700"/>
    <w:rsid w:val="4BB5B7C1"/>
    <w:rsid w:val="4BB5C733"/>
    <w:rsid w:val="4BBA0298"/>
    <w:rsid w:val="4BBA0518"/>
    <w:rsid w:val="4BBABDD3"/>
    <w:rsid w:val="4BBAF8AE"/>
    <w:rsid w:val="4BBD62B3"/>
    <w:rsid w:val="4BBE7794"/>
    <w:rsid w:val="4BC13C4A"/>
    <w:rsid w:val="4BC2CD0A"/>
    <w:rsid w:val="4BC30D93"/>
    <w:rsid w:val="4BC3691D"/>
    <w:rsid w:val="4BC38AE3"/>
    <w:rsid w:val="4BC5F189"/>
    <w:rsid w:val="4BC9AC3F"/>
    <w:rsid w:val="4BCEDD4D"/>
    <w:rsid w:val="4BCF3084"/>
    <w:rsid w:val="4BD50CA7"/>
    <w:rsid w:val="4BD5D77A"/>
    <w:rsid w:val="4BD7E8AF"/>
    <w:rsid w:val="4BD95E36"/>
    <w:rsid w:val="4BDB9A07"/>
    <w:rsid w:val="4BDE71A8"/>
    <w:rsid w:val="4BDF4A16"/>
    <w:rsid w:val="4BE035F0"/>
    <w:rsid w:val="4BE5569F"/>
    <w:rsid w:val="4BE80290"/>
    <w:rsid w:val="4BE973CA"/>
    <w:rsid w:val="4BF14C7F"/>
    <w:rsid w:val="4BF68039"/>
    <w:rsid w:val="4BF80B07"/>
    <w:rsid w:val="4BFBDC66"/>
    <w:rsid w:val="4BFBFED9"/>
    <w:rsid w:val="4BFC21F9"/>
    <w:rsid w:val="4BFE748D"/>
    <w:rsid w:val="4C05B072"/>
    <w:rsid w:val="4C09C8A6"/>
    <w:rsid w:val="4C0AD54A"/>
    <w:rsid w:val="4C0BCC05"/>
    <w:rsid w:val="4C0C137B"/>
    <w:rsid w:val="4C0C9EF7"/>
    <w:rsid w:val="4C0F6A85"/>
    <w:rsid w:val="4C16490D"/>
    <w:rsid w:val="4C1989E8"/>
    <w:rsid w:val="4C1B304D"/>
    <w:rsid w:val="4C1C8F8E"/>
    <w:rsid w:val="4C1CAE44"/>
    <w:rsid w:val="4C24E86B"/>
    <w:rsid w:val="4C2584BC"/>
    <w:rsid w:val="4C26A08E"/>
    <w:rsid w:val="4C2744FD"/>
    <w:rsid w:val="4C2766FE"/>
    <w:rsid w:val="4C2B0ACC"/>
    <w:rsid w:val="4C2C8DFF"/>
    <w:rsid w:val="4C301053"/>
    <w:rsid w:val="4C303B2C"/>
    <w:rsid w:val="4C32E81D"/>
    <w:rsid w:val="4C33307D"/>
    <w:rsid w:val="4C3682C3"/>
    <w:rsid w:val="4C36CF54"/>
    <w:rsid w:val="4C3986F8"/>
    <w:rsid w:val="4C3B1037"/>
    <w:rsid w:val="4C400B9B"/>
    <w:rsid w:val="4C408888"/>
    <w:rsid w:val="4C4164E6"/>
    <w:rsid w:val="4C41D5D0"/>
    <w:rsid w:val="4C4C594E"/>
    <w:rsid w:val="4C5023D1"/>
    <w:rsid w:val="4C59E690"/>
    <w:rsid w:val="4C5EC615"/>
    <w:rsid w:val="4C64F11A"/>
    <w:rsid w:val="4C674068"/>
    <w:rsid w:val="4C6BD4CF"/>
    <w:rsid w:val="4C6D23E4"/>
    <w:rsid w:val="4C72D1DB"/>
    <w:rsid w:val="4C77BBBF"/>
    <w:rsid w:val="4C79BD22"/>
    <w:rsid w:val="4C7FAC6E"/>
    <w:rsid w:val="4C81D30F"/>
    <w:rsid w:val="4C83D559"/>
    <w:rsid w:val="4C86F667"/>
    <w:rsid w:val="4C8A5094"/>
    <w:rsid w:val="4C8B37E3"/>
    <w:rsid w:val="4C8BF577"/>
    <w:rsid w:val="4C8DE940"/>
    <w:rsid w:val="4C8E8B5A"/>
    <w:rsid w:val="4C8F1794"/>
    <w:rsid w:val="4C91B632"/>
    <w:rsid w:val="4C94F30C"/>
    <w:rsid w:val="4C9A1926"/>
    <w:rsid w:val="4CA0FEE7"/>
    <w:rsid w:val="4CA11339"/>
    <w:rsid w:val="4CA45E7F"/>
    <w:rsid w:val="4CA486B5"/>
    <w:rsid w:val="4CA57DE5"/>
    <w:rsid w:val="4CA6CDEB"/>
    <w:rsid w:val="4CAC9341"/>
    <w:rsid w:val="4CB118FC"/>
    <w:rsid w:val="4CB2D562"/>
    <w:rsid w:val="4CB41CCB"/>
    <w:rsid w:val="4CB52C93"/>
    <w:rsid w:val="4CB77DD2"/>
    <w:rsid w:val="4CC00143"/>
    <w:rsid w:val="4CC13C60"/>
    <w:rsid w:val="4CC8250D"/>
    <w:rsid w:val="4CCC7FA6"/>
    <w:rsid w:val="4CCE694C"/>
    <w:rsid w:val="4CCFF727"/>
    <w:rsid w:val="4CD652F9"/>
    <w:rsid w:val="4CD7B6B2"/>
    <w:rsid w:val="4CDB2225"/>
    <w:rsid w:val="4CDB2E80"/>
    <w:rsid w:val="4CDC5386"/>
    <w:rsid w:val="4CE06198"/>
    <w:rsid w:val="4CE2CEC4"/>
    <w:rsid w:val="4CE3F300"/>
    <w:rsid w:val="4CE6FA77"/>
    <w:rsid w:val="4CE7211C"/>
    <w:rsid w:val="4CE7287C"/>
    <w:rsid w:val="4CEF7CDB"/>
    <w:rsid w:val="4CEFB7A3"/>
    <w:rsid w:val="4CF13CD6"/>
    <w:rsid w:val="4CF58397"/>
    <w:rsid w:val="4CF882F8"/>
    <w:rsid w:val="4CF8BA8A"/>
    <w:rsid w:val="4CF8D3E5"/>
    <w:rsid w:val="4CFBB0D2"/>
    <w:rsid w:val="4D022A6D"/>
    <w:rsid w:val="4D041885"/>
    <w:rsid w:val="4D06B724"/>
    <w:rsid w:val="4D09E27F"/>
    <w:rsid w:val="4D0A55E3"/>
    <w:rsid w:val="4D0B657C"/>
    <w:rsid w:val="4D0D34B9"/>
    <w:rsid w:val="4D0D4A62"/>
    <w:rsid w:val="4D0ECFC0"/>
    <w:rsid w:val="4D108048"/>
    <w:rsid w:val="4D10CD18"/>
    <w:rsid w:val="4D10F6BF"/>
    <w:rsid w:val="4D1302D3"/>
    <w:rsid w:val="4D133764"/>
    <w:rsid w:val="4D17F851"/>
    <w:rsid w:val="4D184677"/>
    <w:rsid w:val="4D18AC26"/>
    <w:rsid w:val="4D19D305"/>
    <w:rsid w:val="4D1AA400"/>
    <w:rsid w:val="4D1B12B4"/>
    <w:rsid w:val="4D1D5733"/>
    <w:rsid w:val="4D1E0114"/>
    <w:rsid w:val="4D1E5183"/>
    <w:rsid w:val="4D228252"/>
    <w:rsid w:val="4D245D11"/>
    <w:rsid w:val="4D28AD82"/>
    <w:rsid w:val="4D29C7C9"/>
    <w:rsid w:val="4D2A9867"/>
    <w:rsid w:val="4D2C760D"/>
    <w:rsid w:val="4D2CD401"/>
    <w:rsid w:val="4D2D0685"/>
    <w:rsid w:val="4D2F8D53"/>
    <w:rsid w:val="4D343209"/>
    <w:rsid w:val="4D363811"/>
    <w:rsid w:val="4D37E0F8"/>
    <w:rsid w:val="4D3A710B"/>
    <w:rsid w:val="4D3AED44"/>
    <w:rsid w:val="4D3C0953"/>
    <w:rsid w:val="4D3F562E"/>
    <w:rsid w:val="4D41B623"/>
    <w:rsid w:val="4D4A9785"/>
    <w:rsid w:val="4D547A00"/>
    <w:rsid w:val="4D587318"/>
    <w:rsid w:val="4D59DBF0"/>
    <w:rsid w:val="4D5D241C"/>
    <w:rsid w:val="4D61344C"/>
    <w:rsid w:val="4D636599"/>
    <w:rsid w:val="4D637177"/>
    <w:rsid w:val="4D63C1C1"/>
    <w:rsid w:val="4D64CF25"/>
    <w:rsid w:val="4D6D8F9B"/>
    <w:rsid w:val="4D6DD9AC"/>
    <w:rsid w:val="4D6E146D"/>
    <w:rsid w:val="4D79C7E3"/>
    <w:rsid w:val="4D80FAB5"/>
    <w:rsid w:val="4D810864"/>
    <w:rsid w:val="4D82F232"/>
    <w:rsid w:val="4D874CE9"/>
    <w:rsid w:val="4D89D48F"/>
    <w:rsid w:val="4D8CA9A9"/>
    <w:rsid w:val="4D8E08F3"/>
    <w:rsid w:val="4D903667"/>
    <w:rsid w:val="4D914D1B"/>
    <w:rsid w:val="4D929C30"/>
    <w:rsid w:val="4D92AA4A"/>
    <w:rsid w:val="4D93C6EA"/>
    <w:rsid w:val="4D9654D4"/>
    <w:rsid w:val="4D9789CE"/>
    <w:rsid w:val="4D985AAE"/>
    <w:rsid w:val="4D997C11"/>
    <w:rsid w:val="4D9D1AB7"/>
    <w:rsid w:val="4D9D32DE"/>
    <w:rsid w:val="4D9FE9DE"/>
    <w:rsid w:val="4DA4601E"/>
    <w:rsid w:val="4DA63184"/>
    <w:rsid w:val="4DA7CEE5"/>
    <w:rsid w:val="4DA9E248"/>
    <w:rsid w:val="4DACFBDB"/>
    <w:rsid w:val="4DB1BE71"/>
    <w:rsid w:val="4DB9936D"/>
    <w:rsid w:val="4DBB1DBE"/>
    <w:rsid w:val="4DBBE1C5"/>
    <w:rsid w:val="4DBBE378"/>
    <w:rsid w:val="4DBD2424"/>
    <w:rsid w:val="4DC07493"/>
    <w:rsid w:val="4DC0B38E"/>
    <w:rsid w:val="4DC7C34C"/>
    <w:rsid w:val="4DC96BD9"/>
    <w:rsid w:val="4DCCA350"/>
    <w:rsid w:val="4DCCF763"/>
    <w:rsid w:val="4DCE1F78"/>
    <w:rsid w:val="4DCE60D0"/>
    <w:rsid w:val="4DD316C0"/>
    <w:rsid w:val="4DD41DF8"/>
    <w:rsid w:val="4DD84DB2"/>
    <w:rsid w:val="4DD8A062"/>
    <w:rsid w:val="4DDCF007"/>
    <w:rsid w:val="4DE01FAC"/>
    <w:rsid w:val="4DE0313F"/>
    <w:rsid w:val="4DE04BBE"/>
    <w:rsid w:val="4DE1070C"/>
    <w:rsid w:val="4DE15B7B"/>
    <w:rsid w:val="4DE19393"/>
    <w:rsid w:val="4DE1C5B1"/>
    <w:rsid w:val="4DE8C708"/>
    <w:rsid w:val="4DEB5698"/>
    <w:rsid w:val="4DEB95AB"/>
    <w:rsid w:val="4DF0F34B"/>
    <w:rsid w:val="4DF45D9F"/>
    <w:rsid w:val="4DF6D5C5"/>
    <w:rsid w:val="4DF9FC72"/>
    <w:rsid w:val="4E028024"/>
    <w:rsid w:val="4E07D65B"/>
    <w:rsid w:val="4E08037A"/>
    <w:rsid w:val="4E08A20E"/>
    <w:rsid w:val="4E0EC49B"/>
    <w:rsid w:val="4E11BAAD"/>
    <w:rsid w:val="4E133977"/>
    <w:rsid w:val="4E142073"/>
    <w:rsid w:val="4E17CDBC"/>
    <w:rsid w:val="4E1F2ABA"/>
    <w:rsid w:val="4E285682"/>
    <w:rsid w:val="4E2CA399"/>
    <w:rsid w:val="4E2E114C"/>
    <w:rsid w:val="4E31E544"/>
    <w:rsid w:val="4E322888"/>
    <w:rsid w:val="4E327DF3"/>
    <w:rsid w:val="4E332D74"/>
    <w:rsid w:val="4E342D4D"/>
    <w:rsid w:val="4E344213"/>
    <w:rsid w:val="4E34F826"/>
    <w:rsid w:val="4E3C6F88"/>
    <w:rsid w:val="4E4353C5"/>
    <w:rsid w:val="4E46AE71"/>
    <w:rsid w:val="4E473765"/>
    <w:rsid w:val="4E4BBE50"/>
    <w:rsid w:val="4E4D2307"/>
    <w:rsid w:val="4E4F323F"/>
    <w:rsid w:val="4E507AF0"/>
    <w:rsid w:val="4E50EBCF"/>
    <w:rsid w:val="4E523F23"/>
    <w:rsid w:val="4E53F316"/>
    <w:rsid w:val="4E589510"/>
    <w:rsid w:val="4E5B0B0A"/>
    <w:rsid w:val="4E5B56C6"/>
    <w:rsid w:val="4E5EC74E"/>
    <w:rsid w:val="4E61BC48"/>
    <w:rsid w:val="4E651494"/>
    <w:rsid w:val="4E6B27C4"/>
    <w:rsid w:val="4E6B848B"/>
    <w:rsid w:val="4E6D3061"/>
    <w:rsid w:val="4E6EA47F"/>
    <w:rsid w:val="4E6F4CAB"/>
    <w:rsid w:val="4E715170"/>
    <w:rsid w:val="4E7199B4"/>
    <w:rsid w:val="4E733F0E"/>
    <w:rsid w:val="4E73ED3A"/>
    <w:rsid w:val="4E76A9A5"/>
    <w:rsid w:val="4E7A76E1"/>
    <w:rsid w:val="4E7B2B42"/>
    <w:rsid w:val="4E7B94E9"/>
    <w:rsid w:val="4E7D70E4"/>
    <w:rsid w:val="4E801645"/>
    <w:rsid w:val="4E8083E7"/>
    <w:rsid w:val="4E80F5CE"/>
    <w:rsid w:val="4E82B4A3"/>
    <w:rsid w:val="4E861B7E"/>
    <w:rsid w:val="4E86CB6C"/>
    <w:rsid w:val="4E87DC80"/>
    <w:rsid w:val="4E87FAEA"/>
    <w:rsid w:val="4E895086"/>
    <w:rsid w:val="4E8E1C6E"/>
    <w:rsid w:val="4E8F0266"/>
    <w:rsid w:val="4E917070"/>
    <w:rsid w:val="4E92130B"/>
    <w:rsid w:val="4E929391"/>
    <w:rsid w:val="4E99F843"/>
    <w:rsid w:val="4E9E4BA6"/>
    <w:rsid w:val="4E9F2224"/>
    <w:rsid w:val="4EA0BD4F"/>
    <w:rsid w:val="4EA413F0"/>
    <w:rsid w:val="4EAE9564"/>
    <w:rsid w:val="4EAF428B"/>
    <w:rsid w:val="4EAF93B7"/>
    <w:rsid w:val="4EB8F6B2"/>
    <w:rsid w:val="4EB99789"/>
    <w:rsid w:val="4EBB1A8A"/>
    <w:rsid w:val="4EBB2193"/>
    <w:rsid w:val="4EBF55A8"/>
    <w:rsid w:val="4EC1DDC4"/>
    <w:rsid w:val="4EC625AE"/>
    <w:rsid w:val="4EC79942"/>
    <w:rsid w:val="4EC8B4CF"/>
    <w:rsid w:val="4EC96D34"/>
    <w:rsid w:val="4ECAE4A5"/>
    <w:rsid w:val="4ECCE45E"/>
    <w:rsid w:val="4ED54181"/>
    <w:rsid w:val="4ED93EF2"/>
    <w:rsid w:val="4ED9742C"/>
    <w:rsid w:val="4EDAC60A"/>
    <w:rsid w:val="4EDDDDE9"/>
    <w:rsid w:val="4EE5E4A9"/>
    <w:rsid w:val="4EE73275"/>
    <w:rsid w:val="4EEA23EB"/>
    <w:rsid w:val="4EEA84FA"/>
    <w:rsid w:val="4EEE0482"/>
    <w:rsid w:val="4EF1069C"/>
    <w:rsid w:val="4EF2219C"/>
    <w:rsid w:val="4EFA68C7"/>
    <w:rsid w:val="4EFBA37B"/>
    <w:rsid w:val="4F0170F4"/>
    <w:rsid w:val="4F02FA8F"/>
    <w:rsid w:val="4F068A9C"/>
    <w:rsid w:val="4F06F7C0"/>
    <w:rsid w:val="4F09D522"/>
    <w:rsid w:val="4F09ECAF"/>
    <w:rsid w:val="4F0B877F"/>
    <w:rsid w:val="4F0C0010"/>
    <w:rsid w:val="4F0EE457"/>
    <w:rsid w:val="4F13AA32"/>
    <w:rsid w:val="4F14EC93"/>
    <w:rsid w:val="4F162C0D"/>
    <w:rsid w:val="4F16670B"/>
    <w:rsid w:val="4F16D77B"/>
    <w:rsid w:val="4F1850E9"/>
    <w:rsid w:val="4F1B2F25"/>
    <w:rsid w:val="4F1E6ED4"/>
    <w:rsid w:val="4F21E99B"/>
    <w:rsid w:val="4F222C4D"/>
    <w:rsid w:val="4F227E41"/>
    <w:rsid w:val="4F23F0C7"/>
    <w:rsid w:val="4F28DA40"/>
    <w:rsid w:val="4F2BA038"/>
    <w:rsid w:val="4F2C6241"/>
    <w:rsid w:val="4F2D6B2A"/>
    <w:rsid w:val="4F2DDD96"/>
    <w:rsid w:val="4F353744"/>
    <w:rsid w:val="4F3D5BC3"/>
    <w:rsid w:val="4F3F7BDE"/>
    <w:rsid w:val="4F4127F9"/>
    <w:rsid w:val="4F4254DF"/>
    <w:rsid w:val="4F49567C"/>
    <w:rsid w:val="4F49CC8A"/>
    <w:rsid w:val="4F4C398C"/>
    <w:rsid w:val="4F4CEE29"/>
    <w:rsid w:val="4F4D35EC"/>
    <w:rsid w:val="4F506234"/>
    <w:rsid w:val="4F521A38"/>
    <w:rsid w:val="4F59CF5D"/>
    <w:rsid w:val="4F5A1056"/>
    <w:rsid w:val="4F5CD4BA"/>
    <w:rsid w:val="4F5F0FF7"/>
    <w:rsid w:val="4F60C6F5"/>
    <w:rsid w:val="4F6129BA"/>
    <w:rsid w:val="4F669523"/>
    <w:rsid w:val="4F694A6E"/>
    <w:rsid w:val="4F69965D"/>
    <w:rsid w:val="4F6C9AE6"/>
    <w:rsid w:val="4F78E9B9"/>
    <w:rsid w:val="4F7A8CCC"/>
    <w:rsid w:val="4F7CB71C"/>
    <w:rsid w:val="4F7D13C8"/>
    <w:rsid w:val="4F7DA45B"/>
    <w:rsid w:val="4F81E17A"/>
    <w:rsid w:val="4F83BE4D"/>
    <w:rsid w:val="4F853324"/>
    <w:rsid w:val="4F87521D"/>
    <w:rsid w:val="4F888422"/>
    <w:rsid w:val="4F8E91A9"/>
    <w:rsid w:val="4F8F9A59"/>
    <w:rsid w:val="4F933440"/>
    <w:rsid w:val="4F938C3E"/>
    <w:rsid w:val="4F949869"/>
    <w:rsid w:val="4F954462"/>
    <w:rsid w:val="4F95DD78"/>
    <w:rsid w:val="4F962E39"/>
    <w:rsid w:val="4F966FFD"/>
    <w:rsid w:val="4F96E906"/>
    <w:rsid w:val="4F973E8D"/>
    <w:rsid w:val="4F97EAD1"/>
    <w:rsid w:val="4F99C662"/>
    <w:rsid w:val="4F9D849D"/>
    <w:rsid w:val="4F9DE7E8"/>
    <w:rsid w:val="4F9E3A14"/>
    <w:rsid w:val="4FA0B417"/>
    <w:rsid w:val="4FA2F567"/>
    <w:rsid w:val="4FA5BC1D"/>
    <w:rsid w:val="4FA7A24E"/>
    <w:rsid w:val="4FA95313"/>
    <w:rsid w:val="4FA95C82"/>
    <w:rsid w:val="4FA9AF86"/>
    <w:rsid w:val="4FA9F087"/>
    <w:rsid w:val="4FAFB9A3"/>
    <w:rsid w:val="4FB0F1AC"/>
    <w:rsid w:val="4FB4CBD3"/>
    <w:rsid w:val="4FB68DC4"/>
    <w:rsid w:val="4FB7AE2E"/>
    <w:rsid w:val="4FB86BA1"/>
    <w:rsid w:val="4FB8AF64"/>
    <w:rsid w:val="4FBA0E20"/>
    <w:rsid w:val="4FBB6490"/>
    <w:rsid w:val="4FBE6505"/>
    <w:rsid w:val="4FC0D00B"/>
    <w:rsid w:val="4FC27048"/>
    <w:rsid w:val="4FC2C806"/>
    <w:rsid w:val="4FC413E4"/>
    <w:rsid w:val="4FC466DF"/>
    <w:rsid w:val="4FC67CFE"/>
    <w:rsid w:val="4FC7DDFB"/>
    <w:rsid w:val="4FC860FC"/>
    <w:rsid w:val="4FC8D447"/>
    <w:rsid w:val="4FC9EF83"/>
    <w:rsid w:val="4FCB0C49"/>
    <w:rsid w:val="4FD15E51"/>
    <w:rsid w:val="4FD57E9A"/>
    <w:rsid w:val="4FD6275A"/>
    <w:rsid w:val="4FD629E1"/>
    <w:rsid w:val="4FD9ABA5"/>
    <w:rsid w:val="4FDC47D3"/>
    <w:rsid w:val="4FDD4D22"/>
    <w:rsid w:val="4FDE5177"/>
    <w:rsid w:val="4FE027C6"/>
    <w:rsid w:val="4FE52D16"/>
    <w:rsid w:val="4FE65614"/>
    <w:rsid w:val="4FE833C2"/>
    <w:rsid w:val="4FE86DB9"/>
    <w:rsid w:val="4FE88ACF"/>
    <w:rsid w:val="4FEE05D5"/>
    <w:rsid w:val="4FF8A68A"/>
    <w:rsid w:val="4FF8B5EB"/>
    <w:rsid w:val="4FF901F9"/>
    <w:rsid w:val="5003128E"/>
    <w:rsid w:val="5006687F"/>
    <w:rsid w:val="500675EE"/>
    <w:rsid w:val="50072BC5"/>
    <w:rsid w:val="5008789D"/>
    <w:rsid w:val="500A9205"/>
    <w:rsid w:val="500C75A0"/>
    <w:rsid w:val="500F4586"/>
    <w:rsid w:val="50149515"/>
    <w:rsid w:val="5018D151"/>
    <w:rsid w:val="501AEDA5"/>
    <w:rsid w:val="501D1CE8"/>
    <w:rsid w:val="501F4EEA"/>
    <w:rsid w:val="50207017"/>
    <w:rsid w:val="50215C98"/>
    <w:rsid w:val="502308CD"/>
    <w:rsid w:val="5025736B"/>
    <w:rsid w:val="5025E425"/>
    <w:rsid w:val="50267552"/>
    <w:rsid w:val="50294302"/>
    <w:rsid w:val="5029B26D"/>
    <w:rsid w:val="502BC185"/>
    <w:rsid w:val="502D0D6A"/>
    <w:rsid w:val="502D5682"/>
    <w:rsid w:val="502D77F5"/>
    <w:rsid w:val="502E5177"/>
    <w:rsid w:val="5031104A"/>
    <w:rsid w:val="50331985"/>
    <w:rsid w:val="5034662D"/>
    <w:rsid w:val="503913F7"/>
    <w:rsid w:val="503D295A"/>
    <w:rsid w:val="503D4B82"/>
    <w:rsid w:val="50400607"/>
    <w:rsid w:val="5041A6D5"/>
    <w:rsid w:val="5041B747"/>
    <w:rsid w:val="5042B1FE"/>
    <w:rsid w:val="50448B19"/>
    <w:rsid w:val="5046CFBD"/>
    <w:rsid w:val="5047F3CB"/>
    <w:rsid w:val="5050D47C"/>
    <w:rsid w:val="50524B9F"/>
    <w:rsid w:val="5054BF6D"/>
    <w:rsid w:val="505BA0AD"/>
    <w:rsid w:val="505D7A39"/>
    <w:rsid w:val="505F4A80"/>
    <w:rsid w:val="50607ABD"/>
    <w:rsid w:val="50610477"/>
    <w:rsid w:val="5063FB4B"/>
    <w:rsid w:val="50699D23"/>
    <w:rsid w:val="506C547A"/>
    <w:rsid w:val="506D712C"/>
    <w:rsid w:val="5070F7D7"/>
    <w:rsid w:val="5071D0D2"/>
    <w:rsid w:val="5071D4D2"/>
    <w:rsid w:val="5071E06B"/>
    <w:rsid w:val="507447E3"/>
    <w:rsid w:val="5074534E"/>
    <w:rsid w:val="50754F0C"/>
    <w:rsid w:val="50772EE9"/>
    <w:rsid w:val="50789075"/>
    <w:rsid w:val="50795EA2"/>
    <w:rsid w:val="5079B44B"/>
    <w:rsid w:val="507B9FB9"/>
    <w:rsid w:val="507C10CB"/>
    <w:rsid w:val="507E1C3E"/>
    <w:rsid w:val="50801413"/>
    <w:rsid w:val="5081E9DC"/>
    <w:rsid w:val="5083384B"/>
    <w:rsid w:val="50868864"/>
    <w:rsid w:val="508D73FB"/>
    <w:rsid w:val="50913231"/>
    <w:rsid w:val="509228CE"/>
    <w:rsid w:val="50929119"/>
    <w:rsid w:val="50969F36"/>
    <w:rsid w:val="509742BD"/>
    <w:rsid w:val="509D1584"/>
    <w:rsid w:val="509FD7F2"/>
    <w:rsid w:val="50A040EC"/>
    <w:rsid w:val="50A23E2B"/>
    <w:rsid w:val="50A4FB02"/>
    <w:rsid w:val="50A8F0E5"/>
    <w:rsid w:val="50A9377E"/>
    <w:rsid w:val="50A9CB88"/>
    <w:rsid w:val="50ACF3A5"/>
    <w:rsid w:val="50AD7D19"/>
    <w:rsid w:val="50B105BB"/>
    <w:rsid w:val="50B26659"/>
    <w:rsid w:val="50B326E3"/>
    <w:rsid w:val="50B3A730"/>
    <w:rsid w:val="50B4B85D"/>
    <w:rsid w:val="50B6752C"/>
    <w:rsid w:val="50BB772E"/>
    <w:rsid w:val="50BBD924"/>
    <w:rsid w:val="50BE9FD4"/>
    <w:rsid w:val="50BEA5C8"/>
    <w:rsid w:val="50BF4AF2"/>
    <w:rsid w:val="50C01AAD"/>
    <w:rsid w:val="50C0E993"/>
    <w:rsid w:val="50C64306"/>
    <w:rsid w:val="50C79420"/>
    <w:rsid w:val="50C8AB50"/>
    <w:rsid w:val="50CA34AF"/>
    <w:rsid w:val="50CAB765"/>
    <w:rsid w:val="50CD0BB9"/>
    <w:rsid w:val="50CD44B6"/>
    <w:rsid w:val="50CD684D"/>
    <w:rsid w:val="50CE611F"/>
    <w:rsid w:val="50D08057"/>
    <w:rsid w:val="50D0B743"/>
    <w:rsid w:val="50D12975"/>
    <w:rsid w:val="50D13696"/>
    <w:rsid w:val="50D13AB0"/>
    <w:rsid w:val="50D14F28"/>
    <w:rsid w:val="50D2BD5F"/>
    <w:rsid w:val="50D2D363"/>
    <w:rsid w:val="50D4BD55"/>
    <w:rsid w:val="50D5B0E8"/>
    <w:rsid w:val="50DEBB4F"/>
    <w:rsid w:val="50DFD766"/>
    <w:rsid w:val="50E2E749"/>
    <w:rsid w:val="50E5D168"/>
    <w:rsid w:val="50EC5076"/>
    <w:rsid w:val="50ECDB16"/>
    <w:rsid w:val="50F45159"/>
    <w:rsid w:val="5104666D"/>
    <w:rsid w:val="51055E87"/>
    <w:rsid w:val="51074C18"/>
    <w:rsid w:val="510935F4"/>
    <w:rsid w:val="5109B1AB"/>
    <w:rsid w:val="510A905D"/>
    <w:rsid w:val="510BCCDB"/>
    <w:rsid w:val="510CD5DC"/>
    <w:rsid w:val="510D32AA"/>
    <w:rsid w:val="510D4849"/>
    <w:rsid w:val="510EA0AE"/>
    <w:rsid w:val="511160FA"/>
    <w:rsid w:val="5113485C"/>
    <w:rsid w:val="51144350"/>
    <w:rsid w:val="511662E9"/>
    <w:rsid w:val="5117F66E"/>
    <w:rsid w:val="511A73D8"/>
    <w:rsid w:val="511BD98D"/>
    <w:rsid w:val="5121074A"/>
    <w:rsid w:val="51225F63"/>
    <w:rsid w:val="5124F82E"/>
    <w:rsid w:val="5125F2FC"/>
    <w:rsid w:val="5128E5B2"/>
    <w:rsid w:val="512D2631"/>
    <w:rsid w:val="512F0339"/>
    <w:rsid w:val="5131B744"/>
    <w:rsid w:val="5134D4E7"/>
    <w:rsid w:val="51360968"/>
    <w:rsid w:val="51377587"/>
    <w:rsid w:val="5141F50C"/>
    <w:rsid w:val="51476A12"/>
    <w:rsid w:val="51487105"/>
    <w:rsid w:val="514AACD9"/>
    <w:rsid w:val="514C0506"/>
    <w:rsid w:val="514C5745"/>
    <w:rsid w:val="514E6F12"/>
    <w:rsid w:val="51500F57"/>
    <w:rsid w:val="5150357A"/>
    <w:rsid w:val="51516F4D"/>
    <w:rsid w:val="5151ABD9"/>
    <w:rsid w:val="5153C090"/>
    <w:rsid w:val="5155576B"/>
    <w:rsid w:val="515677B5"/>
    <w:rsid w:val="515C57F1"/>
    <w:rsid w:val="515D01F7"/>
    <w:rsid w:val="515E3D16"/>
    <w:rsid w:val="515FE44A"/>
    <w:rsid w:val="51662E35"/>
    <w:rsid w:val="51665494"/>
    <w:rsid w:val="5166D967"/>
    <w:rsid w:val="5168A578"/>
    <w:rsid w:val="5169BD4E"/>
    <w:rsid w:val="516A66D2"/>
    <w:rsid w:val="516E0671"/>
    <w:rsid w:val="516E35E5"/>
    <w:rsid w:val="51708430"/>
    <w:rsid w:val="51729F70"/>
    <w:rsid w:val="51740201"/>
    <w:rsid w:val="5174C63A"/>
    <w:rsid w:val="5174DBA5"/>
    <w:rsid w:val="51753FAC"/>
    <w:rsid w:val="5177644A"/>
    <w:rsid w:val="5179E7D6"/>
    <w:rsid w:val="517E1728"/>
    <w:rsid w:val="51830AA0"/>
    <w:rsid w:val="518320A1"/>
    <w:rsid w:val="51836F20"/>
    <w:rsid w:val="51844E84"/>
    <w:rsid w:val="518557DE"/>
    <w:rsid w:val="5186D5D0"/>
    <w:rsid w:val="518AC2F6"/>
    <w:rsid w:val="518CFC39"/>
    <w:rsid w:val="518EB785"/>
    <w:rsid w:val="51962260"/>
    <w:rsid w:val="51980574"/>
    <w:rsid w:val="51991AA4"/>
    <w:rsid w:val="519BB476"/>
    <w:rsid w:val="519CF752"/>
    <w:rsid w:val="51A01A5B"/>
    <w:rsid w:val="51A322FD"/>
    <w:rsid w:val="51A64073"/>
    <w:rsid w:val="51A85036"/>
    <w:rsid w:val="51AAE411"/>
    <w:rsid w:val="51ACF199"/>
    <w:rsid w:val="51AE7687"/>
    <w:rsid w:val="51AF81DF"/>
    <w:rsid w:val="51B045E9"/>
    <w:rsid w:val="51B053FA"/>
    <w:rsid w:val="51B0F2FE"/>
    <w:rsid w:val="51B1F566"/>
    <w:rsid w:val="51B53BA0"/>
    <w:rsid w:val="51B7FC2B"/>
    <w:rsid w:val="51B82951"/>
    <w:rsid w:val="51BAB62F"/>
    <w:rsid w:val="51BBA6A6"/>
    <w:rsid w:val="51C0B0C5"/>
    <w:rsid w:val="51C36C1D"/>
    <w:rsid w:val="51CB39F7"/>
    <w:rsid w:val="51CC56F8"/>
    <w:rsid w:val="51D65219"/>
    <w:rsid w:val="51D7D4F1"/>
    <w:rsid w:val="51D8D75C"/>
    <w:rsid w:val="51DB8AB6"/>
    <w:rsid w:val="51DC6980"/>
    <w:rsid w:val="51E065A9"/>
    <w:rsid w:val="51E07F3C"/>
    <w:rsid w:val="51E1EBC0"/>
    <w:rsid w:val="51E44DBE"/>
    <w:rsid w:val="51E52F9A"/>
    <w:rsid w:val="51E73B94"/>
    <w:rsid w:val="51E95331"/>
    <w:rsid w:val="51EA6546"/>
    <w:rsid w:val="51ECE733"/>
    <w:rsid w:val="51EFEFCA"/>
    <w:rsid w:val="51F2F0AB"/>
    <w:rsid w:val="51F4801B"/>
    <w:rsid w:val="51F52EFC"/>
    <w:rsid w:val="51F5E039"/>
    <w:rsid w:val="51F97456"/>
    <w:rsid w:val="51FAA8CF"/>
    <w:rsid w:val="51FBDCC5"/>
    <w:rsid w:val="51FD0940"/>
    <w:rsid w:val="51FE3399"/>
    <w:rsid w:val="51FE856B"/>
    <w:rsid w:val="51FF5C9C"/>
    <w:rsid w:val="520384AB"/>
    <w:rsid w:val="5203C567"/>
    <w:rsid w:val="5204F95E"/>
    <w:rsid w:val="520A54D7"/>
    <w:rsid w:val="520BF2AF"/>
    <w:rsid w:val="520E32EF"/>
    <w:rsid w:val="520E8299"/>
    <w:rsid w:val="520FB11C"/>
    <w:rsid w:val="52109B6A"/>
    <w:rsid w:val="52113CE5"/>
    <w:rsid w:val="52164C05"/>
    <w:rsid w:val="521889B4"/>
    <w:rsid w:val="5218C067"/>
    <w:rsid w:val="52190A56"/>
    <w:rsid w:val="52243E51"/>
    <w:rsid w:val="52269148"/>
    <w:rsid w:val="522789A1"/>
    <w:rsid w:val="522EAE75"/>
    <w:rsid w:val="52353A96"/>
    <w:rsid w:val="523B3A5B"/>
    <w:rsid w:val="523B4A93"/>
    <w:rsid w:val="523D2BC1"/>
    <w:rsid w:val="5241270F"/>
    <w:rsid w:val="524313F0"/>
    <w:rsid w:val="52454DF8"/>
    <w:rsid w:val="52487B61"/>
    <w:rsid w:val="524A3C68"/>
    <w:rsid w:val="524DE6B7"/>
    <w:rsid w:val="524ED38C"/>
    <w:rsid w:val="524F2373"/>
    <w:rsid w:val="52513398"/>
    <w:rsid w:val="5254A87A"/>
    <w:rsid w:val="525E410C"/>
    <w:rsid w:val="52640E3C"/>
    <w:rsid w:val="526752A4"/>
    <w:rsid w:val="526C00F0"/>
    <w:rsid w:val="5274E2EA"/>
    <w:rsid w:val="5275D090"/>
    <w:rsid w:val="5275EA1C"/>
    <w:rsid w:val="5275F980"/>
    <w:rsid w:val="5278E291"/>
    <w:rsid w:val="52790ED4"/>
    <w:rsid w:val="527B6F5B"/>
    <w:rsid w:val="527C2D58"/>
    <w:rsid w:val="527E6075"/>
    <w:rsid w:val="527FB2BA"/>
    <w:rsid w:val="5284FBEA"/>
    <w:rsid w:val="5285E431"/>
    <w:rsid w:val="52865707"/>
    <w:rsid w:val="528B8674"/>
    <w:rsid w:val="528F5E72"/>
    <w:rsid w:val="5299580B"/>
    <w:rsid w:val="529A4840"/>
    <w:rsid w:val="529BF6A9"/>
    <w:rsid w:val="529F7EA3"/>
    <w:rsid w:val="52A014F1"/>
    <w:rsid w:val="52A153D0"/>
    <w:rsid w:val="52A1C976"/>
    <w:rsid w:val="52A1D381"/>
    <w:rsid w:val="52A47B91"/>
    <w:rsid w:val="52A82465"/>
    <w:rsid w:val="52A946A4"/>
    <w:rsid w:val="52A9E6AB"/>
    <w:rsid w:val="52ABD335"/>
    <w:rsid w:val="52AE43BF"/>
    <w:rsid w:val="52B26DD0"/>
    <w:rsid w:val="52B4ED72"/>
    <w:rsid w:val="52B669AD"/>
    <w:rsid w:val="52BA6378"/>
    <w:rsid w:val="52BB112C"/>
    <w:rsid w:val="52BC637E"/>
    <w:rsid w:val="52C044FA"/>
    <w:rsid w:val="52C0CFE4"/>
    <w:rsid w:val="52C3E3AD"/>
    <w:rsid w:val="52C63D8C"/>
    <w:rsid w:val="52C64CF8"/>
    <w:rsid w:val="52C6C401"/>
    <w:rsid w:val="52C9A0DC"/>
    <w:rsid w:val="52D400E6"/>
    <w:rsid w:val="52D5FCD6"/>
    <w:rsid w:val="52D967CD"/>
    <w:rsid w:val="52D9F45A"/>
    <w:rsid w:val="52DD0EA5"/>
    <w:rsid w:val="52DDB21D"/>
    <w:rsid w:val="52DDBF3E"/>
    <w:rsid w:val="52E02750"/>
    <w:rsid w:val="52E1EB26"/>
    <w:rsid w:val="52E219CC"/>
    <w:rsid w:val="52E630BF"/>
    <w:rsid w:val="52E6E082"/>
    <w:rsid w:val="52E790A5"/>
    <w:rsid w:val="52EB9D37"/>
    <w:rsid w:val="52EEE908"/>
    <w:rsid w:val="52F0B89F"/>
    <w:rsid w:val="52F11929"/>
    <w:rsid w:val="52F1EABD"/>
    <w:rsid w:val="52F2E137"/>
    <w:rsid w:val="52F48979"/>
    <w:rsid w:val="52F4E07F"/>
    <w:rsid w:val="52F54474"/>
    <w:rsid w:val="52F6F2B3"/>
    <w:rsid w:val="52F7D5F4"/>
    <w:rsid w:val="53024C9C"/>
    <w:rsid w:val="53036052"/>
    <w:rsid w:val="530A2B08"/>
    <w:rsid w:val="530D788E"/>
    <w:rsid w:val="530E0D3A"/>
    <w:rsid w:val="530FA115"/>
    <w:rsid w:val="53101A26"/>
    <w:rsid w:val="53126D00"/>
    <w:rsid w:val="53140B6E"/>
    <w:rsid w:val="53144676"/>
    <w:rsid w:val="53178739"/>
    <w:rsid w:val="531856CF"/>
    <w:rsid w:val="531AEB63"/>
    <w:rsid w:val="531C50D5"/>
    <w:rsid w:val="531E5F23"/>
    <w:rsid w:val="531F9B8D"/>
    <w:rsid w:val="5322BD05"/>
    <w:rsid w:val="53237729"/>
    <w:rsid w:val="5325D849"/>
    <w:rsid w:val="532764A0"/>
    <w:rsid w:val="5327A9BA"/>
    <w:rsid w:val="532DE755"/>
    <w:rsid w:val="532FC6D4"/>
    <w:rsid w:val="5330949E"/>
    <w:rsid w:val="5332BBB4"/>
    <w:rsid w:val="53448B0F"/>
    <w:rsid w:val="534785DD"/>
    <w:rsid w:val="53485241"/>
    <w:rsid w:val="5348F7FB"/>
    <w:rsid w:val="534BA01A"/>
    <w:rsid w:val="534C75EE"/>
    <w:rsid w:val="534DD3ED"/>
    <w:rsid w:val="534F0EF7"/>
    <w:rsid w:val="5352FDA4"/>
    <w:rsid w:val="535401C9"/>
    <w:rsid w:val="53563071"/>
    <w:rsid w:val="5356C638"/>
    <w:rsid w:val="535B5407"/>
    <w:rsid w:val="535BED34"/>
    <w:rsid w:val="535DE4F7"/>
    <w:rsid w:val="535ECF0B"/>
    <w:rsid w:val="535FCCED"/>
    <w:rsid w:val="53605DF2"/>
    <w:rsid w:val="53615459"/>
    <w:rsid w:val="5364C792"/>
    <w:rsid w:val="53656D59"/>
    <w:rsid w:val="53669CC1"/>
    <w:rsid w:val="5367FF7E"/>
    <w:rsid w:val="5368EADB"/>
    <w:rsid w:val="5369091C"/>
    <w:rsid w:val="536BF8AB"/>
    <w:rsid w:val="53713E48"/>
    <w:rsid w:val="53726E27"/>
    <w:rsid w:val="5377E5E1"/>
    <w:rsid w:val="53794DF1"/>
    <w:rsid w:val="53806395"/>
    <w:rsid w:val="53849119"/>
    <w:rsid w:val="5385E36A"/>
    <w:rsid w:val="538635A7"/>
    <w:rsid w:val="538823E2"/>
    <w:rsid w:val="538955C0"/>
    <w:rsid w:val="538EBE00"/>
    <w:rsid w:val="538F04B8"/>
    <w:rsid w:val="538F8288"/>
    <w:rsid w:val="53905E2B"/>
    <w:rsid w:val="5390FD43"/>
    <w:rsid w:val="53985A24"/>
    <w:rsid w:val="539A42FB"/>
    <w:rsid w:val="539C2EFF"/>
    <w:rsid w:val="539CCBEA"/>
    <w:rsid w:val="53A02F13"/>
    <w:rsid w:val="53A13D35"/>
    <w:rsid w:val="53A4D5E3"/>
    <w:rsid w:val="53A972CC"/>
    <w:rsid w:val="53AB5D4B"/>
    <w:rsid w:val="53AB8F1A"/>
    <w:rsid w:val="53AC06CD"/>
    <w:rsid w:val="53AF3E25"/>
    <w:rsid w:val="53B0B33C"/>
    <w:rsid w:val="53B63755"/>
    <w:rsid w:val="53B6A512"/>
    <w:rsid w:val="53BB6B32"/>
    <w:rsid w:val="53BDCCD0"/>
    <w:rsid w:val="53C2C04D"/>
    <w:rsid w:val="53C4B12C"/>
    <w:rsid w:val="53C89E96"/>
    <w:rsid w:val="53C96F2E"/>
    <w:rsid w:val="53C9B5F6"/>
    <w:rsid w:val="53CA07FD"/>
    <w:rsid w:val="53CA4776"/>
    <w:rsid w:val="53CB2F74"/>
    <w:rsid w:val="53CB4D24"/>
    <w:rsid w:val="53CC2547"/>
    <w:rsid w:val="53CD013A"/>
    <w:rsid w:val="53CE1520"/>
    <w:rsid w:val="53CE7B02"/>
    <w:rsid w:val="53D5FBA1"/>
    <w:rsid w:val="53D687E7"/>
    <w:rsid w:val="53D82EAA"/>
    <w:rsid w:val="53DC9D67"/>
    <w:rsid w:val="53DF57DF"/>
    <w:rsid w:val="53E2F9F2"/>
    <w:rsid w:val="53EBE0F3"/>
    <w:rsid w:val="53ED0C99"/>
    <w:rsid w:val="53EDD1A7"/>
    <w:rsid w:val="53EE1DDC"/>
    <w:rsid w:val="53F8E8DD"/>
    <w:rsid w:val="53FB23CD"/>
    <w:rsid w:val="53FBAA98"/>
    <w:rsid w:val="53FBAEC1"/>
    <w:rsid w:val="54023DF5"/>
    <w:rsid w:val="54026E6B"/>
    <w:rsid w:val="5402E2A6"/>
    <w:rsid w:val="54032B6F"/>
    <w:rsid w:val="5405A14A"/>
    <w:rsid w:val="54066370"/>
    <w:rsid w:val="540AA318"/>
    <w:rsid w:val="540B5B0A"/>
    <w:rsid w:val="540B93BC"/>
    <w:rsid w:val="540C043D"/>
    <w:rsid w:val="54165B3D"/>
    <w:rsid w:val="54171D17"/>
    <w:rsid w:val="54176E2C"/>
    <w:rsid w:val="541965A8"/>
    <w:rsid w:val="541A4CB3"/>
    <w:rsid w:val="541A50B5"/>
    <w:rsid w:val="541E2B84"/>
    <w:rsid w:val="541FB49A"/>
    <w:rsid w:val="541FFD66"/>
    <w:rsid w:val="542238E2"/>
    <w:rsid w:val="5423E77E"/>
    <w:rsid w:val="5423FFA3"/>
    <w:rsid w:val="54247633"/>
    <w:rsid w:val="5424D1CE"/>
    <w:rsid w:val="542CA46B"/>
    <w:rsid w:val="5431FAA1"/>
    <w:rsid w:val="543402F0"/>
    <w:rsid w:val="5436E2D4"/>
    <w:rsid w:val="54373117"/>
    <w:rsid w:val="543E3F45"/>
    <w:rsid w:val="5441307C"/>
    <w:rsid w:val="544645CA"/>
    <w:rsid w:val="5448FB81"/>
    <w:rsid w:val="54497EED"/>
    <w:rsid w:val="544B7C0E"/>
    <w:rsid w:val="544CE7B5"/>
    <w:rsid w:val="544D05AD"/>
    <w:rsid w:val="544DCACE"/>
    <w:rsid w:val="544E85DD"/>
    <w:rsid w:val="545209EF"/>
    <w:rsid w:val="545651A0"/>
    <w:rsid w:val="5457CFA9"/>
    <w:rsid w:val="54588A85"/>
    <w:rsid w:val="5459084C"/>
    <w:rsid w:val="545EE68F"/>
    <w:rsid w:val="545F6185"/>
    <w:rsid w:val="545FC6EB"/>
    <w:rsid w:val="5463674C"/>
    <w:rsid w:val="5468530E"/>
    <w:rsid w:val="546DF229"/>
    <w:rsid w:val="546F41C8"/>
    <w:rsid w:val="5470C876"/>
    <w:rsid w:val="54755482"/>
    <w:rsid w:val="54763B0C"/>
    <w:rsid w:val="5479855D"/>
    <w:rsid w:val="547A64A3"/>
    <w:rsid w:val="547B1126"/>
    <w:rsid w:val="547D61F7"/>
    <w:rsid w:val="547DC970"/>
    <w:rsid w:val="548076CA"/>
    <w:rsid w:val="5484AB36"/>
    <w:rsid w:val="54979939"/>
    <w:rsid w:val="54993E51"/>
    <w:rsid w:val="549BBEA3"/>
    <w:rsid w:val="549BC538"/>
    <w:rsid w:val="549C2FB6"/>
    <w:rsid w:val="549CAEA3"/>
    <w:rsid w:val="549F21EE"/>
    <w:rsid w:val="54A1C5C7"/>
    <w:rsid w:val="54A2454F"/>
    <w:rsid w:val="54A27DA3"/>
    <w:rsid w:val="54A3314A"/>
    <w:rsid w:val="54A783AC"/>
    <w:rsid w:val="54A7D84F"/>
    <w:rsid w:val="54AD4BDA"/>
    <w:rsid w:val="54AE5F25"/>
    <w:rsid w:val="54B503A0"/>
    <w:rsid w:val="54B57E2A"/>
    <w:rsid w:val="54B9184E"/>
    <w:rsid w:val="54B9EC1F"/>
    <w:rsid w:val="54BEE4E1"/>
    <w:rsid w:val="54BEEB8B"/>
    <w:rsid w:val="54C03A80"/>
    <w:rsid w:val="54C211D5"/>
    <w:rsid w:val="54C2273D"/>
    <w:rsid w:val="54C40D59"/>
    <w:rsid w:val="54D3C1C0"/>
    <w:rsid w:val="54D461F8"/>
    <w:rsid w:val="54D613D5"/>
    <w:rsid w:val="54D7A2F3"/>
    <w:rsid w:val="54D7E5C5"/>
    <w:rsid w:val="54D8B9A6"/>
    <w:rsid w:val="54DBA8B7"/>
    <w:rsid w:val="54DECA66"/>
    <w:rsid w:val="54DF1732"/>
    <w:rsid w:val="54E16D7B"/>
    <w:rsid w:val="54E3B143"/>
    <w:rsid w:val="54E44AEB"/>
    <w:rsid w:val="54E6B772"/>
    <w:rsid w:val="54E86CAB"/>
    <w:rsid w:val="54EA0F62"/>
    <w:rsid w:val="54EBA0E7"/>
    <w:rsid w:val="54ED0A09"/>
    <w:rsid w:val="54EEC754"/>
    <w:rsid w:val="54EF2A93"/>
    <w:rsid w:val="54F13E7B"/>
    <w:rsid w:val="54F37740"/>
    <w:rsid w:val="54F52D4D"/>
    <w:rsid w:val="54F93349"/>
    <w:rsid w:val="54F97829"/>
    <w:rsid w:val="54FE9B2E"/>
    <w:rsid w:val="54FF2E7E"/>
    <w:rsid w:val="54FFC511"/>
    <w:rsid w:val="55049CCF"/>
    <w:rsid w:val="55091EDA"/>
    <w:rsid w:val="5510327D"/>
    <w:rsid w:val="55106849"/>
    <w:rsid w:val="5510D883"/>
    <w:rsid w:val="551441FC"/>
    <w:rsid w:val="55152E09"/>
    <w:rsid w:val="55159F28"/>
    <w:rsid w:val="55172335"/>
    <w:rsid w:val="551B3242"/>
    <w:rsid w:val="551E2AC2"/>
    <w:rsid w:val="55281F37"/>
    <w:rsid w:val="5529D3B1"/>
    <w:rsid w:val="552A5381"/>
    <w:rsid w:val="552B28E5"/>
    <w:rsid w:val="552BDC8F"/>
    <w:rsid w:val="552C4FD4"/>
    <w:rsid w:val="552F39E6"/>
    <w:rsid w:val="5532078D"/>
    <w:rsid w:val="5536549D"/>
    <w:rsid w:val="5537AAE3"/>
    <w:rsid w:val="5537EBE4"/>
    <w:rsid w:val="553B89CD"/>
    <w:rsid w:val="553D672E"/>
    <w:rsid w:val="553FDA49"/>
    <w:rsid w:val="55411547"/>
    <w:rsid w:val="5541E03D"/>
    <w:rsid w:val="5543FECC"/>
    <w:rsid w:val="554B360A"/>
    <w:rsid w:val="554BCF83"/>
    <w:rsid w:val="554DE068"/>
    <w:rsid w:val="554ED236"/>
    <w:rsid w:val="554F7ECF"/>
    <w:rsid w:val="555079ED"/>
    <w:rsid w:val="555461DE"/>
    <w:rsid w:val="5558E7CF"/>
    <w:rsid w:val="55598605"/>
    <w:rsid w:val="555BBDE4"/>
    <w:rsid w:val="555EE910"/>
    <w:rsid w:val="55608611"/>
    <w:rsid w:val="55620122"/>
    <w:rsid w:val="5565B7D2"/>
    <w:rsid w:val="5566822A"/>
    <w:rsid w:val="556726CE"/>
    <w:rsid w:val="557080C5"/>
    <w:rsid w:val="55727736"/>
    <w:rsid w:val="5572CA22"/>
    <w:rsid w:val="55753D0B"/>
    <w:rsid w:val="5579ED61"/>
    <w:rsid w:val="557B6428"/>
    <w:rsid w:val="557C5DB9"/>
    <w:rsid w:val="557E37D6"/>
    <w:rsid w:val="5580C8D4"/>
    <w:rsid w:val="558152CB"/>
    <w:rsid w:val="55815A42"/>
    <w:rsid w:val="55835EEF"/>
    <w:rsid w:val="55841CA7"/>
    <w:rsid w:val="558425D5"/>
    <w:rsid w:val="55947DEA"/>
    <w:rsid w:val="55950FA4"/>
    <w:rsid w:val="559B53AB"/>
    <w:rsid w:val="55A03D22"/>
    <w:rsid w:val="55A07003"/>
    <w:rsid w:val="55A46396"/>
    <w:rsid w:val="55AA2922"/>
    <w:rsid w:val="55AA7515"/>
    <w:rsid w:val="55AAAAAE"/>
    <w:rsid w:val="55AC6478"/>
    <w:rsid w:val="55AEFA43"/>
    <w:rsid w:val="55B21B8F"/>
    <w:rsid w:val="55B412A0"/>
    <w:rsid w:val="55B55138"/>
    <w:rsid w:val="55BAF4FF"/>
    <w:rsid w:val="55BB8F41"/>
    <w:rsid w:val="55BEFB05"/>
    <w:rsid w:val="55BF426D"/>
    <w:rsid w:val="55BFFB0D"/>
    <w:rsid w:val="55C00D02"/>
    <w:rsid w:val="55C3DC36"/>
    <w:rsid w:val="55CA0C8D"/>
    <w:rsid w:val="55CA6C9F"/>
    <w:rsid w:val="55CC35D5"/>
    <w:rsid w:val="55CD1543"/>
    <w:rsid w:val="55CD23B9"/>
    <w:rsid w:val="55CE2A02"/>
    <w:rsid w:val="55CE3695"/>
    <w:rsid w:val="55D08C5D"/>
    <w:rsid w:val="55D09013"/>
    <w:rsid w:val="55D29967"/>
    <w:rsid w:val="55D40A4D"/>
    <w:rsid w:val="55D7144B"/>
    <w:rsid w:val="55D964E1"/>
    <w:rsid w:val="55DA00EE"/>
    <w:rsid w:val="55DAA8D6"/>
    <w:rsid w:val="55DB0F1C"/>
    <w:rsid w:val="55DB8F3F"/>
    <w:rsid w:val="55DD71AF"/>
    <w:rsid w:val="55DDE891"/>
    <w:rsid w:val="55E05D91"/>
    <w:rsid w:val="55E24EC5"/>
    <w:rsid w:val="55E4A15A"/>
    <w:rsid w:val="55E72375"/>
    <w:rsid w:val="55E7D18A"/>
    <w:rsid w:val="55E929B7"/>
    <w:rsid w:val="55EAC424"/>
    <w:rsid w:val="55EF0E42"/>
    <w:rsid w:val="55EF6BAA"/>
    <w:rsid w:val="55EF93BD"/>
    <w:rsid w:val="55EFE26D"/>
    <w:rsid w:val="55EFFA17"/>
    <w:rsid w:val="55F0169F"/>
    <w:rsid w:val="55F18E1E"/>
    <w:rsid w:val="55F3328E"/>
    <w:rsid w:val="55F4D5F8"/>
    <w:rsid w:val="55F4EB8F"/>
    <w:rsid w:val="55F564AB"/>
    <w:rsid w:val="55FAA52A"/>
    <w:rsid w:val="55FBAF5D"/>
    <w:rsid w:val="55FC9FA8"/>
    <w:rsid w:val="55FCCBAC"/>
    <w:rsid w:val="55FE450A"/>
    <w:rsid w:val="55FFBE13"/>
    <w:rsid w:val="560078B4"/>
    <w:rsid w:val="56021711"/>
    <w:rsid w:val="5602A793"/>
    <w:rsid w:val="56033F1E"/>
    <w:rsid w:val="5604B422"/>
    <w:rsid w:val="5604E3AC"/>
    <w:rsid w:val="56058D6A"/>
    <w:rsid w:val="560B64CB"/>
    <w:rsid w:val="560E90ED"/>
    <w:rsid w:val="560F460F"/>
    <w:rsid w:val="5610686E"/>
    <w:rsid w:val="561074A3"/>
    <w:rsid w:val="561213B2"/>
    <w:rsid w:val="561518CD"/>
    <w:rsid w:val="56152D55"/>
    <w:rsid w:val="5618E662"/>
    <w:rsid w:val="561B1851"/>
    <w:rsid w:val="561D0D50"/>
    <w:rsid w:val="561D70D3"/>
    <w:rsid w:val="561DA481"/>
    <w:rsid w:val="561F141A"/>
    <w:rsid w:val="561F5C4F"/>
    <w:rsid w:val="5629C86B"/>
    <w:rsid w:val="562AFC2D"/>
    <w:rsid w:val="562B1BAC"/>
    <w:rsid w:val="562C6B6B"/>
    <w:rsid w:val="562FAA54"/>
    <w:rsid w:val="5632F86C"/>
    <w:rsid w:val="5635A4E6"/>
    <w:rsid w:val="56366A3E"/>
    <w:rsid w:val="563B0AA8"/>
    <w:rsid w:val="564087D6"/>
    <w:rsid w:val="56415644"/>
    <w:rsid w:val="5645408E"/>
    <w:rsid w:val="564A86B6"/>
    <w:rsid w:val="564D0D78"/>
    <w:rsid w:val="564DBC07"/>
    <w:rsid w:val="564FBECF"/>
    <w:rsid w:val="56510477"/>
    <w:rsid w:val="5652EE15"/>
    <w:rsid w:val="56536F25"/>
    <w:rsid w:val="565D0E06"/>
    <w:rsid w:val="565E2345"/>
    <w:rsid w:val="5661C1E5"/>
    <w:rsid w:val="566AC810"/>
    <w:rsid w:val="5672167D"/>
    <w:rsid w:val="5673A75B"/>
    <w:rsid w:val="567885C7"/>
    <w:rsid w:val="567A27BC"/>
    <w:rsid w:val="567C1FB4"/>
    <w:rsid w:val="567D6438"/>
    <w:rsid w:val="567FEE0E"/>
    <w:rsid w:val="56845790"/>
    <w:rsid w:val="5686FD5B"/>
    <w:rsid w:val="5688256B"/>
    <w:rsid w:val="568945CC"/>
    <w:rsid w:val="568E7745"/>
    <w:rsid w:val="568F3466"/>
    <w:rsid w:val="568FB8F7"/>
    <w:rsid w:val="5691BD34"/>
    <w:rsid w:val="5695534E"/>
    <w:rsid w:val="56983558"/>
    <w:rsid w:val="56985096"/>
    <w:rsid w:val="569FBA7C"/>
    <w:rsid w:val="56A17F50"/>
    <w:rsid w:val="56A67DEC"/>
    <w:rsid w:val="56A6C0B7"/>
    <w:rsid w:val="56A79410"/>
    <w:rsid w:val="56AA4C26"/>
    <w:rsid w:val="56AAEC7A"/>
    <w:rsid w:val="56AC2021"/>
    <w:rsid w:val="56AC92DE"/>
    <w:rsid w:val="56AD0464"/>
    <w:rsid w:val="56AFE8EC"/>
    <w:rsid w:val="56B080CC"/>
    <w:rsid w:val="56B38116"/>
    <w:rsid w:val="56B58A2D"/>
    <w:rsid w:val="56B6CD8B"/>
    <w:rsid w:val="56BB65C4"/>
    <w:rsid w:val="56C4F654"/>
    <w:rsid w:val="56C6AE74"/>
    <w:rsid w:val="56CC9BE8"/>
    <w:rsid w:val="56CF1108"/>
    <w:rsid w:val="56CF860D"/>
    <w:rsid w:val="56D135A1"/>
    <w:rsid w:val="56D25995"/>
    <w:rsid w:val="56D35B69"/>
    <w:rsid w:val="56D44DC9"/>
    <w:rsid w:val="56D44F66"/>
    <w:rsid w:val="56D9A076"/>
    <w:rsid w:val="56DC5CAB"/>
    <w:rsid w:val="56DC94C8"/>
    <w:rsid w:val="56DDD41C"/>
    <w:rsid w:val="56E2D904"/>
    <w:rsid w:val="56E40514"/>
    <w:rsid w:val="56E4830B"/>
    <w:rsid w:val="56E72FA3"/>
    <w:rsid w:val="56E8A704"/>
    <w:rsid w:val="56EBC85A"/>
    <w:rsid w:val="56EBCEEB"/>
    <w:rsid w:val="56EE2878"/>
    <w:rsid w:val="56EFC7BA"/>
    <w:rsid w:val="56F0EC40"/>
    <w:rsid w:val="56F5416E"/>
    <w:rsid w:val="56F6DCBE"/>
    <w:rsid w:val="56FA6BB5"/>
    <w:rsid w:val="56FB372B"/>
    <w:rsid w:val="56FCE059"/>
    <w:rsid w:val="56FCFA39"/>
    <w:rsid w:val="56FD1C37"/>
    <w:rsid w:val="5702384B"/>
    <w:rsid w:val="57043718"/>
    <w:rsid w:val="5704B43D"/>
    <w:rsid w:val="57051B57"/>
    <w:rsid w:val="57087515"/>
    <w:rsid w:val="570BF9C9"/>
    <w:rsid w:val="570C861F"/>
    <w:rsid w:val="570DADA7"/>
    <w:rsid w:val="57116AD6"/>
    <w:rsid w:val="57120EEB"/>
    <w:rsid w:val="57121980"/>
    <w:rsid w:val="571EC63A"/>
    <w:rsid w:val="572C508E"/>
    <w:rsid w:val="572C78D4"/>
    <w:rsid w:val="5734539D"/>
    <w:rsid w:val="573557A2"/>
    <w:rsid w:val="5735DBC7"/>
    <w:rsid w:val="5744A77D"/>
    <w:rsid w:val="5745D04D"/>
    <w:rsid w:val="5746D144"/>
    <w:rsid w:val="574954DB"/>
    <w:rsid w:val="574AC4B2"/>
    <w:rsid w:val="574F34A5"/>
    <w:rsid w:val="574FEFD4"/>
    <w:rsid w:val="57512F2F"/>
    <w:rsid w:val="5753D504"/>
    <w:rsid w:val="575702FD"/>
    <w:rsid w:val="5759EC82"/>
    <w:rsid w:val="575AD0FF"/>
    <w:rsid w:val="575BBFF0"/>
    <w:rsid w:val="575DA756"/>
    <w:rsid w:val="5760FAA0"/>
    <w:rsid w:val="5761BD40"/>
    <w:rsid w:val="5763FC7D"/>
    <w:rsid w:val="57679797"/>
    <w:rsid w:val="576D391C"/>
    <w:rsid w:val="576F2904"/>
    <w:rsid w:val="576FE2A7"/>
    <w:rsid w:val="57716ADA"/>
    <w:rsid w:val="5771EEB1"/>
    <w:rsid w:val="577670A4"/>
    <w:rsid w:val="57779E09"/>
    <w:rsid w:val="5778FE22"/>
    <w:rsid w:val="57795E53"/>
    <w:rsid w:val="577C5471"/>
    <w:rsid w:val="577F910C"/>
    <w:rsid w:val="577FD661"/>
    <w:rsid w:val="5780FE6D"/>
    <w:rsid w:val="5783BB9D"/>
    <w:rsid w:val="5786E89C"/>
    <w:rsid w:val="578AA711"/>
    <w:rsid w:val="578C68EF"/>
    <w:rsid w:val="579051FF"/>
    <w:rsid w:val="57924620"/>
    <w:rsid w:val="5793567C"/>
    <w:rsid w:val="5794BF68"/>
    <w:rsid w:val="5794C6EF"/>
    <w:rsid w:val="5795EA7B"/>
    <w:rsid w:val="5797B33B"/>
    <w:rsid w:val="5799205E"/>
    <w:rsid w:val="57997E8D"/>
    <w:rsid w:val="579A9554"/>
    <w:rsid w:val="579E063D"/>
    <w:rsid w:val="579FCDA6"/>
    <w:rsid w:val="57A2B438"/>
    <w:rsid w:val="57A322E1"/>
    <w:rsid w:val="57A4461B"/>
    <w:rsid w:val="57A48711"/>
    <w:rsid w:val="57A5D39B"/>
    <w:rsid w:val="57A8AFC5"/>
    <w:rsid w:val="57AD7C4F"/>
    <w:rsid w:val="57B9BBC5"/>
    <w:rsid w:val="57BAFC47"/>
    <w:rsid w:val="57BBF2A8"/>
    <w:rsid w:val="57BCF453"/>
    <w:rsid w:val="57BD93BE"/>
    <w:rsid w:val="57C0190E"/>
    <w:rsid w:val="57C4EE97"/>
    <w:rsid w:val="57C76B20"/>
    <w:rsid w:val="57C8E6AE"/>
    <w:rsid w:val="57C9EECB"/>
    <w:rsid w:val="57CA783E"/>
    <w:rsid w:val="57CB128B"/>
    <w:rsid w:val="57CFC366"/>
    <w:rsid w:val="57D0AEB3"/>
    <w:rsid w:val="57D436C4"/>
    <w:rsid w:val="57D54919"/>
    <w:rsid w:val="57D5BC59"/>
    <w:rsid w:val="57D5C5E3"/>
    <w:rsid w:val="57D6448E"/>
    <w:rsid w:val="57D7C97C"/>
    <w:rsid w:val="57D7ECB1"/>
    <w:rsid w:val="57D8A6B2"/>
    <w:rsid w:val="57DE98DF"/>
    <w:rsid w:val="57E0E4F7"/>
    <w:rsid w:val="57E3BB30"/>
    <w:rsid w:val="57E5C52A"/>
    <w:rsid w:val="57E68636"/>
    <w:rsid w:val="57E95FD0"/>
    <w:rsid w:val="57E99B73"/>
    <w:rsid w:val="57EAF9A7"/>
    <w:rsid w:val="57EC065F"/>
    <w:rsid w:val="57EC32D4"/>
    <w:rsid w:val="57EC6513"/>
    <w:rsid w:val="57ED5A96"/>
    <w:rsid w:val="57F26324"/>
    <w:rsid w:val="57F615EB"/>
    <w:rsid w:val="57F6C95F"/>
    <w:rsid w:val="57FA3039"/>
    <w:rsid w:val="57FAFA9F"/>
    <w:rsid w:val="57FD7F6E"/>
    <w:rsid w:val="57FE8D22"/>
    <w:rsid w:val="58034D84"/>
    <w:rsid w:val="580628CE"/>
    <w:rsid w:val="58085921"/>
    <w:rsid w:val="5808C3B3"/>
    <w:rsid w:val="580B18BA"/>
    <w:rsid w:val="580C256B"/>
    <w:rsid w:val="580C2A26"/>
    <w:rsid w:val="580C9405"/>
    <w:rsid w:val="580CD91D"/>
    <w:rsid w:val="581A7523"/>
    <w:rsid w:val="581A965A"/>
    <w:rsid w:val="581B5891"/>
    <w:rsid w:val="581BE945"/>
    <w:rsid w:val="581D4D2E"/>
    <w:rsid w:val="58236247"/>
    <w:rsid w:val="58239BF5"/>
    <w:rsid w:val="5825C436"/>
    <w:rsid w:val="5827EADF"/>
    <w:rsid w:val="582DC99D"/>
    <w:rsid w:val="5831F107"/>
    <w:rsid w:val="58356600"/>
    <w:rsid w:val="5835E840"/>
    <w:rsid w:val="5836A612"/>
    <w:rsid w:val="5837CCE1"/>
    <w:rsid w:val="58390F2B"/>
    <w:rsid w:val="583C966A"/>
    <w:rsid w:val="5841D0DA"/>
    <w:rsid w:val="584416E0"/>
    <w:rsid w:val="5845EFA9"/>
    <w:rsid w:val="58493DAB"/>
    <w:rsid w:val="5849C641"/>
    <w:rsid w:val="584A9405"/>
    <w:rsid w:val="584B3C7C"/>
    <w:rsid w:val="584BB94D"/>
    <w:rsid w:val="584BDAFE"/>
    <w:rsid w:val="584C8409"/>
    <w:rsid w:val="584DCE4A"/>
    <w:rsid w:val="5850878B"/>
    <w:rsid w:val="5850EAA0"/>
    <w:rsid w:val="5851A6AE"/>
    <w:rsid w:val="5854AEF2"/>
    <w:rsid w:val="5857ED80"/>
    <w:rsid w:val="585E960A"/>
    <w:rsid w:val="5862FE63"/>
    <w:rsid w:val="586D4A3D"/>
    <w:rsid w:val="587037C5"/>
    <w:rsid w:val="5871F3B2"/>
    <w:rsid w:val="587297BD"/>
    <w:rsid w:val="5872ED9A"/>
    <w:rsid w:val="587AD90B"/>
    <w:rsid w:val="587DA8C5"/>
    <w:rsid w:val="587F0CFB"/>
    <w:rsid w:val="588182AA"/>
    <w:rsid w:val="588816DD"/>
    <w:rsid w:val="588AA10E"/>
    <w:rsid w:val="588CCBEE"/>
    <w:rsid w:val="588D91DA"/>
    <w:rsid w:val="588F3BFE"/>
    <w:rsid w:val="5893BEFD"/>
    <w:rsid w:val="5893E62F"/>
    <w:rsid w:val="58956FD1"/>
    <w:rsid w:val="5895FBCC"/>
    <w:rsid w:val="5896AD2C"/>
    <w:rsid w:val="58970603"/>
    <w:rsid w:val="589D5CDB"/>
    <w:rsid w:val="589DECE0"/>
    <w:rsid w:val="589EAC1B"/>
    <w:rsid w:val="589FCB97"/>
    <w:rsid w:val="58A11B36"/>
    <w:rsid w:val="58A4B583"/>
    <w:rsid w:val="58A4F1CD"/>
    <w:rsid w:val="58A52B56"/>
    <w:rsid w:val="58A5F66D"/>
    <w:rsid w:val="58A7DC2E"/>
    <w:rsid w:val="58ACE5AC"/>
    <w:rsid w:val="58ADB915"/>
    <w:rsid w:val="58B1C68C"/>
    <w:rsid w:val="58B31DAF"/>
    <w:rsid w:val="58B8CDD2"/>
    <w:rsid w:val="58BA29D2"/>
    <w:rsid w:val="58BE45B9"/>
    <w:rsid w:val="58BFDD62"/>
    <w:rsid w:val="58C2C796"/>
    <w:rsid w:val="58CCFCC0"/>
    <w:rsid w:val="58CE5DBD"/>
    <w:rsid w:val="58D3A4C8"/>
    <w:rsid w:val="58D667BD"/>
    <w:rsid w:val="58D6E155"/>
    <w:rsid w:val="58DA8C6B"/>
    <w:rsid w:val="58DAFA52"/>
    <w:rsid w:val="58DC1E33"/>
    <w:rsid w:val="58DC5664"/>
    <w:rsid w:val="58DE2783"/>
    <w:rsid w:val="58DFDFBB"/>
    <w:rsid w:val="58E04689"/>
    <w:rsid w:val="58E072E7"/>
    <w:rsid w:val="58E07835"/>
    <w:rsid w:val="58E0CEE3"/>
    <w:rsid w:val="58E145FE"/>
    <w:rsid w:val="58E18BF8"/>
    <w:rsid w:val="58E62288"/>
    <w:rsid w:val="58E79D1F"/>
    <w:rsid w:val="58EA1FCB"/>
    <w:rsid w:val="58F0EDB7"/>
    <w:rsid w:val="58F16C8F"/>
    <w:rsid w:val="58F2072B"/>
    <w:rsid w:val="58F21A79"/>
    <w:rsid w:val="58F2D909"/>
    <w:rsid w:val="58F5BAF6"/>
    <w:rsid w:val="58FA7D7E"/>
    <w:rsid w:val="58FAAC4B"/>
    <w:rsid w:val="58FDD797"/>
    <w:rsid w:val="58FF9753"/>
    <w:rsid w:val="58FFDDBE"/>
    <w:rsid w:val="59024AE5"/>
    <w:rsid w:val="5902D310"/>
    <w:rsid w:val="5907BEE1"/>
    <w:rsid w:val="59094FE6"/>
    <w:rsid w:val="5909D885"/>
    <w:rsid w:val="590EDD31"/>
    <w:rsid w:val="590F6861"/>
    <w:rsid w:val="591110FB"/>
    <w:rsid w:val="5912BA32"/>
    <w:rsid w:val="5913C5E8"/>
    <w:rsid w:val="59149DFE"/>
    <w:rsid w:val="5917CCC1"/>
    <w:rsid w:val="591A4C52"/>
    <w:rsid w:val="591A9DBA"/>
    <w:rsid w:val="591D73AD"/>
    <w:rsid w:val="591E6040"/>
    <w:rsid w:val="591FA048"/>
    <w:rsid w:val="59207C58"/>
    <w:rsid w:val="5921CFAE"/>
    <w:rsid w:val="59221E9A"/>
    <w:rsid w:val="59242878"/>
    <w:rsid w:val="5927560E"/>
    <w:rsid w:val="592A5BBE"/>
    <w:rsid w:val="5931F423"/>
    <w:rsid w:val="59383712"/>
    <w:rsid w:val="5938AE76"/>
    <w:rsid w:val="593C2C81"/>
    <w:rsid w:val="594375AD"/>
    <w:rsid w:val="59448D6A"/>
    <w:rsid w:val="59482FF5"/>
    <w:rsid w:val="59485962"/>
    <w:rsid w:val="594859E8"/>
    <w:rsid w:val="5949AAE9"/>
    <w:rsid w:val="594B2514"/>
    <w:rsid w:val="594D7A33"/>
    <w:rsid w:val="594DC6C8"/>
    <w:rsid w:val="594EE729"/>
    <w:rsid w:val="59514722"/>
    <w:rsid w:val="5955DF67"/>
    <w:rsid w:val="5956675B"/>
    <w:rsid w:val="5957F37F"/>
    <w:rsid w:val="5959431D"/>
    <w:rsid w:val="595982DD"/>
    <w:rsid w:val="595B3B41"/>
    <w:rsid w:val="595D8114"/>
    <w:rsid w:val="595D8181"/>
    <w:rsid w:val="595EF9A3"/>
    <w:rsid w:val="59631159"/>
    <w:rsid w:val="59652679"/>
    <w:rsid w:val="596824B6"/>
    <w:rsid w:val="59697DFB"/>
    <w:rsid w:val="596FED24"/>
    <w:rsid w:val="597025E1"/>
    <w:rsid w:val="59725525"/>
    <w:rsid w:val="59730B4F"/>
    <w:rsid w:val="5979A66E"/>
    <w:rsid w:val="5979AD6F"/>
    <w:rsid w:val="597CC048"/>
    <w:rsid w:val="597CE6E9"/>
    <w:rsid w:val="597D0248"/>
    <w:rsid w:val="597F6870"/>
    <w:rsid w:val="59853F4E"/>
    <w:rsid w:val="5987116B"/>
    <w:rsid w:val="5988D7E2"/>
    <w:rsid w:val="598F88AD"/>
    <w:rsid w:val="598FB7E9"/>
    <w:rsid w:val="59904B71"/>
    <w:rsid w:val="59906967"/>
    <w:rsid w:val="5991E113"/>
    <w:rsid w:val="5992F291"/>
    <w:rsid w:val="5993D7A4"/>
    <w:rsid w:val="59998651"/>
    <w:rsid w:val="599A51FA"/>
    <w:rsid w:val="599B00F9"/>
    <w:rsid w:val="599B56F3"/>
    <w:rsid w:val="599B7964"/>
    <w:rsid w:val="599DCDD5"/>
    <w:rsid w:val="599E6CE5"/>
    <w:rsid w:val="59A42916"/>
    <w:rsid w:val="59A989E3"/>
    <w:rsid w:val="59AD98EC"/>
    <w:rsid w:val="59AEF6BA"/>
    <w:rsid w:val="59AF601C"/>
    <w:rsid w:val="59B1B72E"/>
    <w:rsid w:val="59B28E85"/>
    <w:rsid w:val="59B3F93F"/>
    <w:rsid w:val="59B80C07"/>
    <w:rsid w:val="59B81185"/>
    <w:rsid w:val="59B91EE8"/>
    <w:rsid w:val="59BDCE3D"/>
    <w:rsid w:val="59BF8600"/>
    <w:rsid w:val="59C40383"/>
    <w:rsid w:val="59C50392"/>
    <w:rsid w:val="59C65165"/>
    <w:rsid w:val="59C6C132"/>
    <w:rsid w:val="59D40AC3"/>
    <w:rsid w:val="59D7B3EB"/>
    <w:rsid w:val="59D831FD"/>
    <w:rsid w:val="59D8F130"/>
    <w:rsid w:val="59D91884"/>
    <w:rsid w:val="59D9EEB3"/>
    <w:rsid w:val="59DA396B"/>
    <w:rsid w:val="59DA9425"/>
    <w:rsid w:val="59DBB125"/>
    <w:rsid w:val="59DE40E6"/>
    <w:rsid w:val="59DFDFCE"/>
    <w:rsid w:val="59E1530D"/>
    <w:rsid w:val="59E3E767"/>
    <w:rsid w:val="59E50CB9"/>
    <w:rsid w:val="59E6DA00"/>
    <w:rsid w:val="59E7DE64"/>
    <w:rsid w:val="59EBB65A"/>
    <w:rsid w:val="59EC0F7E"/>
    <w:rsid w:val="59F097AA"/>
    <w:rsid w:val="59F4FD88"/>
    <w:rsid w:val="59F8CFD2"/>
    <w:rsid w:val="59FABE6C"/>
    <w:rsid w:val="59FC343E"/>
    <w:rsid w:val="59FD0DB3"/>
    <w:rsid w:val="5A0252D9"/>
    <w:rsid w:val="5A06BE50"/>
    <w:rsid w:val="5A072046"/>
    <w:rsid w:val="5A0A51E7"/>
    <w:rsid w:val="5A0B4E06"/>
    <w:rsid w:val="5A0E2DA3"/>
    <w:rsid w:val="5A0F4242"/>
    <w:rsid w:val="5A108C69"/>
    <w:rsid w:val="5A11217C"/>
    <w:rsid w:val="5A117217"/>
    <w:rsid w:val="5A164F16"/>
    <w:rsid w:val="5A19A6F9"/>
    <w:rsid w:val="5A1AB14D"/>
    <w:rsid w:val="5A22F373"/>
    <w:rsid w:val="5A23DFFE"/>
    <w:rsid w:val="5A2886AC"/>
    <w:rsid w:val="5A2BA800"/>
    <w:rsid w:val="5A2D67A3"/>
    <w:rsid w:val="5A2D8305"/>
    <w:rsid w:val="5A32D5CE"/>
    <w:rsid w:val="5A38D638"/>
    <w:rsid w:val="5A39414D"/>
    <w:rsid w:val="5A3AF618"/>
    <w:rsid w:val="5A3B0B38"/>
    <w:rsid w:val="5A3C301F"/>
    <w:rsid w:val="5A3C5510"/>
    <w:rsid w:val="5A3CB567"/>
    <w:rsid w:val="5A41665A"/>
    <w:rsid w:val="5A439187"/>
    <w:rsid w:val="5A470E20"/>
    <w:rsid w:val="5A49355D"/>
    <w:rsid w:val="5A4CD7CF"/>
    <w:rsid w:val="5A4D6D80"/>
    <w:rsid w:val="5A51A598"/>
    <w:rsid w:val="5A53F516"/>
    <w:rsid w:val="5A54AE4A"/>
    <w:rsid w:val="5A5609EE"/>
    <w:rsid w:val="5A560A37"/>
    <w:rsid w:val="5A56D228"/>
    <w:rsid w:val="5A5821FE"/>
    <w:rsid w:val="5A59CD2F"/>
    <w:rsid w:val="5A5A3503"/>
    <w:rsid w:val="5A5B2343"/>
    <w:rsid w:val="5A5B3529"/>
    <w:rsid w:val="5A5B9A49"/>
    <w:rsid w:val="5A5D7264"/>
    <w:rsid w:val="5A5EFA0B"/>
    <w:rsid w:val="5A61DDA6"/>
    <w:rsid w:val="5A64C0A0"/>
    <w:rsid w:val="5A689F5A"/>
    <w:rsid w:val="5A6CBEB8"/>
    <w:rsid w:val="5A6D4FF8"/>
    <w:rsid w:val="5A6EBA95"/>
    <w:rsid w:val="5A6FE87C"/>
    <w:rsid w:val="5A71A24B"/>
    <w:rsid w:val="5A757391"/>
    <w:rsid w:val="5A784A0A"/>
    <w:rsid w:val="5A793C1C"/>
    <w:rsid w:val="5A79AD86"/>
    <w:rsid w:val="5A79C636"/>
    <w:rsid w:val="5A7CF2FF"/>
    <w:rsid w:val="5A7E82C2"/>
    <w:rsid w:val="5A7FF3EA"/>
    <w:rsid w:val="5A80FC00"/>
    <w:rsid w:val="5A847C7B"/>
    <w:rsid w:val="5A8A89D1"/>
    <w:rsid w:val="5A8AB9B4"/>
    <w:rsid w:val="5A8B6424"/>
    <w:rsid w:val="5A8F3CFD"/>
    <w:rsid w:val="5A8FB6D0"/>
    <w:rsid w:val="5A91AA0B"/>
    <w:rsid w:val="5A94B7B5"/>
    <w:rsid w:val="5A964B28"/>
    <w:rsid w:val="5A9BAEC6"/>
    <w:rsid w:val="5A9D2078"/>
    <w:rsid w:val="5A9E1D6F"/>
    <w:rsid w:val="5A9EBC1F"/>
    <w:rsid w:val="5AA1D923"/>
    <w:rsid w:val="5AA27BA4"/>
    <w:rsid w:val="5AA5E3E9"/>
    <w:rsid w:val="5AA6E62D"/>
    <w:rsid w:val="5AA7FD44"/>
    <w:rsid w:val="5AA8C7ED"/>
    <w:rsid w:val="5AA99D03"/>
    <w:rsid w:val="5AAA937B"/>
    <w:rsid w:val="5AAEA351"/>
    <w:rsid w:val="5AAF9A80"/>
    <w:rsid w:val="5AB25609"/>
    <w:rsid w:val="5AB512B9"/>
    <w:rsid w:val="5AB95F35"/>
    <w:rsid w:val="5ABD35CA"/>
    <w:rsid w:val="5ABE4769"/>
    <w:rsid w:val="5ABFCB26"/>
    <w:rsid w:val="5AC38FA0"/>
    <w:rsid w:val="5AC53706"/>
    <w:rsid w:val="5AC552CF"/>
    <w:rsid w:val="5AC68A62"/>
    <w:rsid w:val="5AC70E96"/>
    <w:rsid w:val="5AC7CC09"/>
    <w:rsid w:val="5AC9FEDE"/>
    <w:rsid w:val="5ACDB00F"/>
    <w:rsid w:val="5ACE8EA5"/>
    <w:rsid w:val="5ACE9671"/>
    <w:rsid w:val="5AD07DE9"/>
    <w:rsid w:val="5AD4593A"/>
    <w:rsid w:val="5AD54414"/>
    <w:rsid w:val="5AD80903"/>
    <w:rsid w:val="5AD8190F"/>
    <w:rsid w:val="5ADAD976"/>
    <w:rsid w:val="5ADB3919"/>
    <w:rsid w:val="5AE02605"/>
    <w:rsid w:val="5AE23F12"/>
    <w:rsid w:val="5AE34CCA"/>
    <w:rsid w:val="5AE5385B"/>
    <w:rsid w:val="5AE563B6"/>
    <w:rsid w:val="5AE77920"/>
    <w:rsid w:val="5AE7D609"/>
    <w:rsid w:val="5AE8238F"/>
    <w:rsid w:val="5AEBED78"/>
    <w:rsid w:val="5AEF72AC"/>
    <w:rsid w:val="5AEF7ADA"/>
    <w:rsid w:val="5AF07C2E"/>
    <w:rsid w:val="5AF33EE3"/>
    <w:rsid w:val="5AF5BBFC"/>
    <w:rsid w:val="5AF65B23"/>
    <w:rsid w:val="5AF992A3"/>
    <w:rsid w:val="5AFC6D92"/>
    <w:rsid w:val="5AFCE62D"/>
    <w:rsid w:val="5AFE964B"/>
    <w:rsid w:val="5B024F24"/>
    <w:rsid w:val="5B037169"/>
    <w:rsid w:val="5B0380B0"/>
    <w:rsid w:val="5B060878"/>
    <w:rsid w:val="5B06B80F"/>
    <w:rsid w:val="5B08CAD6"/>
    <w:rsid w:val="5B0CED14"/>
    <w:rsid w:val="5B0EFA77"/>
    <w:rsid w:val="5B137B43"/>
    <w:rsid w:val="5B13AE74"/>
    <w:rsid w:val="5B156F54"/>
    <w:rsid w:val="5B16B6A1"/>
    <w:rsid w:val="5B18024C"/>
    <w:rsid w:val="5B188324"/>
    <w:rsid w:val="5B1A941E"/>
    <w:rsid w:val="5B1B1E64"/>
    <w:rsid w:val="5B1DF022"/>
    <w:rsid w:val="5B1EC56E"/>
    <w:rsid w:val="5B1FF5B9"/>
    <w:rsid w:val="5B21B718"/>
    <w:rsid w:val="5B252EAD"/>
    <w:rsid w:val="5B2935E2"/>
    <w:rsid w:val="5B2B84B1"/>
    <w:rsid w:val="5B2F921E"/>
    <w:rsid w:val="5B35E08B"/>
    <w:rsid w:val="5B37A61D"/>
    <w:rsid w:val="5B3DE846"/>
    <w:rsid w:val="5B3F6142"/>
    <w:rsid w:val="5B3F679B"/>
    <w:rsid w:val="5B43A831"/>
    <w:rsid w:val="5B458332"/>
    <w:rsid w:val="5B45FEF3"/>
    <w:rsid w:val="5B467B3D"/>
    <w:rsid w:val="5B480B22"/>
    <w:rsid w:val="5B4BC8AB"/>
    <w:rsid w:val="5B4CA1C9"/>
    <w:rsid w:val="5B4E1CD9"/>
    <w:rsid w:val="5B51E38E"/>
    <w:rsid w:val="5B54E878"/>
    <w:rsid w:val="5B556D38"/>
    <w:rsid w:val="5B56AB51"/>
    <w:rsid w:val="5B56F249"/>
    <w:rsid w:val="5B57A783"/>
    <w:rsid w:val="5B5A303B"/>
    <w:rsid w:val="5B5BE063"/>
    <w:rsid w:val="5B5D509A"/>
    <w:rsid w:val="5B5D65BF"/>
    <w:rsid w:val="5B5FD40B"/>
    <w:rsid w:val="5B6035B5"/>
    <w:rsid w:val="5B6110A8"/>
    <w:rsid w:val="5B654746"/>
    <w:rsid w:val="5B65DD02"/>
    <w:rsid w:val="5B65FF71"/>
    <w:rsid w:val="5B67B9D3"/>
    <w:rsid w:val="5B682084"/>
    <w:rsid w:val="5B72F489"/>
    <w:rsid w:val="5B73A0B3"/>
    <w:rsid w:val="5B73F9D8"/>
    <w:rsid w:val="5B74CE65"/>
    <w:rsid w:val="5B751031"/>
    <w:rsid w:val="5B752933"/>
    <w:rsid w:val="5B75A23A"/>
    <w:rsid w:val="5B770C2B"/>
    <w:rsid w:val="5B771651"/>
    <w:rsid w:val="5B7B54E0"/>
    <w:rsid w:val="5B7FCEAD"/>
    <w:rsid w:val="5B800A33"/>
    <w:rsid w:val="5B809297"/>
    <w:rsid w:val="5B87BEF1"/>
    <w:rsid w:val="5B87DF54"/>
    <w:rsid w:val="5B8A0EB3"/>
    <w:rsid w:val="5B8DE04F"/>
    <w:rsid w:val="5B90D7D5"/>
    <w:rsid w:val="5B914B72"/>
    <w:rsid w:val="5B918EAC"/>
    <w:rsid w:val="5B923AC7"/>
    <w:rsid w:val="5B945902"/>
    <w:rsid w:val="5B9695E7"/>
    <w:rsid w:val="5B96BF30"/>
    <w:rsid w:val="5B9A952E"/>
    <w:rsid w:val="5B9AF1A8"/>
    <w:rsid w:val="5B9FC7BC"/>
    <w:rsid w:val="5BA07F5E"/>
    <w:rsid w:val="5BA1C5DB"/>
    <w:rsid w:val="5BA3284E"/>
    <w:rsid w:val="5BA3B232"/>
    <w:rsid w:val="5BA7C796"/>
    <w:rsid w:val="5BA8D25F"/>
    <w:rsid w:val="5BAC9170"/>
    <w:rsid w:val="5BB05073"/>
    <w:rsid w:val="5BB3F659"/>
    <w:rsid w:val="5BB5D8F2"/>
    <w:rsid w:val="5BB8D015"/>
    <w:rsid w:val="5BBA15EA"/>
    <w:rsid w:val="5BBAEA7C"/>
    <w:rsid w:val="5BC120A1"/>
    <w:rsid w:val="5BC14E44"/>
    <w:rsid w:val="5BC37841"/>
    <w:rsid w:val="5BC6FF11"/>
    <w:rsid w:val="5BCABA92"/>
    <w:rsid w:val="5BCB3237"/>
    <w:rsid w:val="5BCB943A"/>
    <w:rsid w:val="5BCEAF93"/>
    <w:rsid w:val="5BD16D65"/>
    <w:rsid w:val="5BD1ACDD"/>
    <w:rsid w:val="5BD55C0C"/>
    <w:rsid w:val="5BD5D5A3"/>
    <w:rsid w:val="5BD82EF5"/>
    <w:rsid w:val="5BD8630F"/>
    <w:rsid w:val="5BD8A7C9"/>
    <w:rsid w:val="5BDA4FBD"/>
    <w:rsid w:val="5BDAF008"/>
    <w:rsid w:val="5BDD604D"/>
    <w:rsid w:val="5BDF0276"/>
    <w:rsid w:val="5BE08E41"/>
    <w:rsid w:val="5BE8443B"/>
    <w:rsid w:val="5BE86BDA"/>
    <w:rsid w:val="5BEBE0AD"/>
    <w:rsid w:val="5BF0C415"/>
    <w:rsid w:val="5BFA3983"/>
    <w:rsid w:val="5BFB78DF"/>
    <w:rsid w:val="5BFC0DFB"/>
    <w:rsid w:val="5BFC124A"/>
    <w:rsid w:val="5BFC39A6"/>
    <w:rsid w:val="5BFCE5C4"/>
    <w:rsid w:val="5BFE4DA6"/>
    <w:rsid w:val="5BFF54C0"/>
    <w:rsid w:val="5BFF812A"/>
    <w:rsid w:val="5BFFF1F4"/>
    <w:rsid w:val="5C026B8B"/>
    <w:rsid w:val="5C08FC5C"/>
    <w:rsid w:val="5C09B65E"/>
    <w:rsid w:val="5C0A29B3"/>
    <w:rsid w:val="5C0BB615"/>
    <w:rsid w:val="5C0CFCDC"/>
    <w:rsid w:val="5C0DBC04"/>
    <w:rsid w:val="5C0E026A"/>
    <w:rsid w:val="5C10E5BA"/>
    <w:rsid w:val="5C1233C0"/>
    <w:rsid w:val="5C179AFF"/>
    <w:rsid w:val="5C1AEDF5"/>
    <w:rsid w:val="5C1B4DFA"/>
    <w:rsid w:val="5C1EC7FC"/>
    <w:rsid w:val="5C1FCCA4"/>
    <w:rsid w:val="5C1FCF84"/>
    <w:rsid w:val="5C2084ED"/>
    <w:rsid w:val="5C215D84"/>
    <w:rsid w:val="5C2396C2"/>
    <w:rsid w:val="5C2C0F5B"/>
    <w:rsid w:val="5C2FDB54"/>
    <w:rsid w:val="5C30D84D"/>
    <w:rsid w:val="5C31FB91"/>
    <w:rsid w:val="5C36272E"/>
    <w:rsid w:val="5C3674C8"/>
    <w:rsid w:val="5C3A6B31"/>
    <w:rsid w:val="5C3CDCEA"/>
    <w:rsid w:val="5C3E7774"/>
    <w:rsid w:val="5C3F6FA4"/>
    <w:rsid w:val="5C45842F"/>
    <w:rsid w:val="5C47A2D6"/>
    <w:rsid w:val="5C4D37E9"/>
    <w:rsid w:val="5C4D5829"/>
    <w:rsid w:val="5C4DB972"/>
    <w:rsid w:val="5C4DEDC7"/>
    <w:rsid w:val="5C4FE69B"/>
    <w:rsid w:val="5C506159"/>
    <w:rsid w:val="5C50DF1B"/>
    <w:rsid w:val="5C518EBB"/>
    <w:rsid w:val="5C563428"/>
    <w:rsid w:val="5C57476C"/>
    <w:rsid w:val="5C576E4E"/>
    <w:rsid w:val="5C58D70A"/>
    <w:rsid w:val="5C5A3BCD"/>
    <w:rsid w:val="5C5AA67C"/>
    <w:rsid w:val="5C60EAF3"/>
    <w:rsid w:val="5C623234"/>
    <w:rsid w:val="5C62F29F"/>
    <w:rsid w:val="5C63DB76"/>
    <w:rsid w:val="5C650ACB"/>
    <w:rsid w:val="5C66AFF4"/>
    <w:rsid w:val="5C6B0B3F"/>
    <w:rsid w:val="5C6F4383"/>
    <w:rsid w:val="5C71E327"/>
    <w:rsid w:val="5C72F892"/>
    <w:rsid w:val="5C73A762"/>
    <w:rsid w:val="5C755AC2"/>
    <w:rsid w:val="5C76687A"/>
    <w:rsid w:val="5C7A2348"/>
    <w:rsid w:val="5C7C9E97"/>
    <w:rsid w:val="5C7CA6F3"/>
    <w:rsid w:val="5C7F7F7A"/>
    <w:rsid w:val="5C81DF62"/>
    <w:rsid w:val="5C890CFE"/>
    <w:rsid w:val="5C892EC7"/>
    <w:rsid w:val="5C8981ED"/>
    <w:rsid w:val="5C8A25E1"/>
    <w:rsid w:val="5C8DD31F"/>
    <w:rsid w:val="5C8E234E"/>
    <w:rsid w:val="5C93561F"/>
    <w:rsid w:val="5C94029D"/>
    <w:rsid w:val="5C940841"/>
    <w:rsid w:val="5C944AE2"/>
    <w:rsid w:val="5C95C046"/>
    <w:rsid w:val="5C96FDDE"/>
    <w:rsid w:val="5C975086"/>
    <w:rsid w:val="5C9C38B0"/>
    <w:rsid w:val="5C9EB19A"/>
    <w:rsid w:val="5CA0C6BF"/>
    <w:rsid w:val="5CA138C3"/>
    <w:rsid w:val="5CA1BAE4"/>
    <w:rsid w:val="5CA29B2D"/>
    <w:rsid w:val="5CA37F62"/>
    <w:rsid w:val="5CA5D8AD"/>
    <w:rsid w:val="5CA6514D"/>
    <w:rsid w:val="5CA6B251"/>
    <w:rsid w:val="5CA9F993"/>
    <w:rsid w:val="5CAAD6A6"/>
    <w:rsid w:val="5CAC5335"/>
    <w:rsid w:val="5CAC6215"/>
    <w:rsid w:val="5CAD2A72"/>
    <w:rsid w:val="5CAEAA19"/>
    <w:rsid w:val="5CAF2847"/>
    <w:rsid w:val="5CB1D6F7"/>
    <w:rsid w:val="5CB33F74"/>
    <w:rsid w:val="5CB790BA"/>
    <w:rsid w:val="5CB7C979"/>
    <w:rsid w:val="5CB853AD"/>
    <w:rsid w:val="5CBA0613"/>
    <w:rsid w:val="5CBD5F9E"/>
    <w:rsid w:val="5CC13C3E"/>
    <w:rsid w:val="5CC20A3E"/>
    <w:rsid w:val="5CC40249"/>
    <w:rsid w:val="5CC6D3C4"/>
    <w:rsid w:val="5CC78B1B"/>
    <w:rsid w:val="5CC859E7"/>
    <w:rsid w:val="5CCC5B03"/>
    <w:rsid w:val="5CCF1C56"/>
    <w:rsid w:val="5CCF29D5"/>
    <w:rsid w:val="5CD19B02"/>
    <w:rsid w:val="5CD20CE7"/>
    <w:rsid w:val="5CD35F7B"/>
    <w:rsid w:val="5CDAE8CF"/>
    <w:rsid w:val="5CDD4DF6"/>
    <w:rsid w:val="5CDE1D9E"/>
    <w:rsid w:val="5CE2910B"/>
    <w:rsid w:val="5CE35DB9"/>
    <w:rsid w:val="5CEA61B6"/>
    <w:rsid w:val="5CEB1AAF"/>
    <w:rsid w:val="5CEC62EE"/>
    <w:rsid w:val="5CEC90A7"/>
    <w:rsid w:val="5CED3543"/>
    <w:rsid w:val="5CEDC9C4"/>
    <w:rsid w:val="5CEE304A"/>
    <w:rsid w:val="5CF171B8"/>
    <w:rsid w:val="5CF77F6E"/>
    <w:rsid w:val="5CF884AC"/>
    <w:rsid w:val="5CF95535"/>
    <w:rsid w:val="5CF97D19"/>
    <w:rsid w:val="5CFBDD92"/>
    <w:rsid w:val="5D00328B"/>
    <w:rsid w:val="5D035DA0"/>
    <w:rsid w:val="5D0488C8"/>
    <w:rsid w:val="5D08C8F4"/>
    <w:rsid w:val="5D0AA522"/>
    <w:rsid w:val="5D0ABF03"/>
    <w:rsid w:val="5D0BA5C1"/>
    <w:rsid w:val="5D12E608"/>
    <w:rsid w:val="5D1404DD"/>
    <w:rsid w:val="5D1759AC"/>
    <w:rsid w:val="5D176179"/>
    <w:rsid w:val="5D1B1ECD"/>
    <w:rsid w:val="5D1EDC86"/>
    <w:rsid w:val="5D20659E"/>
    <w:rsid w:val="5D213DF4"/>
    <w:rsid w:val="5D22AE33"/>
    <w:rsid w:val="5D269626"/>
    <w:rsid w:val="5D26B11E"/>
    <w:rsid w:val="5D270533"/>
    <w:rsid w:val="5D2D4F1D"/>
    <w:rsid w:val="5D2F632C"/>
    <w:rsid w:val="5D30131A"/>
    <w:rsid w:val="5D30C73F"/>
    <w:rsid w:val="5D3419FB"/>
    <w:rsid w:val="5D374B2B"/>
    <w:rsid w:val="5D38499C"/>
    <w:rsid w:val="5D38ECBF"/>
    <w:rsid w:val="5D3A2E13"/>
    <w:rsid w:val="5D3BCBE8"/>
    <w:rsid w:val="5D3D2701"/>
    <w:rsid w:val="5D3E09A6"/>
    <w:rsid w:val="5D3ED875"/>
    <w:rsid w:val="5D4247EC"/>
    <w:rsid w:val="5D42A948"/>
    <w:rsid w:val="5D45392C"/>
    <w:rsid w:val="5D4696E5"/>
    <w:rsid w:val="5D49C2D5"/>
    <w:rsid w:val="5D4A50EF"/>
    <w:rsid w:val="5D512DC1"/>
    <w:rsid w:val="5D5142EA"/>
    <w:rsid w:val="5D51A32F"/>
    <w:rsid w:val="5D51DA4F"/>
    <w:rsid w:val="5D5399C9"/>
    <w:rsid w:val="5D5AF283"/>
    <w:rsid w:val="5D5B9322"/>
    <w:rsid w:val="5D5E3E14"/>
    <w:rsid w:val="5D5F8FD9"/>
    <w:rsid w:val="5D62E00D"/>
    <w:rsid w:val="5D665168"/>
    <w:rsid w:val="5D679055"/>
    <w:rsid w:val="5D68D4D5"/>
    <w:rsid w:val="5D772042"/>
    <w:rsid w:val="5D785DAE"/>
    <w:rsid w:val="5D795D74"/>
    <w:rsid w:val="5D7AC8D5"/>
    <w:rsid w:val="5D7E9A4B"/>
    <w:rsid w:val="5D800C5A"/>
    <w:rsid w:val="5D8021AA"/>
    <w:rsid w:val="5D838074"/>
    <w:rsid w:val="5D866816"/>
    <w:rsid w:val="5D87A2D4"/>
    <w:rsid w:val="5D89D622"/>
    <w:rsid w:val="5D89ED53"/>
    <w:rsid w:val="5D910E49"/>
    <w:rsid w:val="5D9343FE"/>
    <w:rsid w:val="5D94102F"/>
    <w:rsid w:val="5D94C7AC"/>
    <w:rsid w:val="5D964091"/>
    <w:rsid w:val="5D988205"/>
    <w:rsid w:val="5D9DF18E"/>
    <w:rsid w:val="5DA0D82F"/>
    <w:rsid w:val="5DA17EAA"/>
    <w:rsid w:val="5DABF3F8"/>
    <w:rsid w:val="5DB20C05"/>
    <w:rsid w:val="5DB2D635"/>
    <w:rsid w:val="5DB54DC1"/>
    <w:rsid w:val="5DB5ADCF"/>
    <w:rsid w:val="5DB60651"/>
    <w:rsid w:val="5DB71BDD"/>
    <w:rsid w:val="5DB8770B"/>
    <w:rsid w:val="5DB8EA43"/>
    <w:rsid w:val="5DBB4AD1"/>
    <w:rsid w:val="5DC093FE"/>
    <w:rsid w:val="5DC474B5"/>
    <w:rsid w:val="5DC669A2"/>
    <w:rsid w:val="5DC778C7"/>
    <w:rsid w:val="5DC92669"/>
    <w:rsid w:val="5DC98C68"/>
    <w:rsid w:val="5DCD7E5A"/>
    <w:rsid w:val="5DCE3435"/>
    <w:rsid w:val="5DCF26D4"/>
    <w:rsid w:val="5DD4BD82"/>
    <w:rsid w:val="5DD5A904"/>
    <w:rsid w:val="5DD84C5C"/>
    <w:rsid w:val="5DD93ED2"/>
    <w:rsid w:val="5DDA1C66"/>
    <w:rsid w:val="5DE12D69"/>
    <w:rsid w:val="5DE23641"/>
    <w:rsid w:val="5DE48913"/>
    <w:rsid w:val="5DE4CD7A"/>
    <w:rsid w:val="5DE596E4"/>
    <w:rsid w:val="5DF02CC5"/>
    <w:rsid w:val="5DF1DA8C"/>
    <w:rsid w:val="5DF4CB36"/>
    <w:rsid w:val="5DF63849"/>
    <w:rsid w:val="5DF76D8A"/>
    <w:rsid w:val="5DF79BA4"/>
    <w:rsid w:val="5DFD2889"/>
    <w:rsid w:val="5E012F97"/>
    <w:rsid w:val="5E0501AA"/>
    <w:rsid w:val="5E05A1DE"/>
    <w:rsid w:val="5E0A5EDF"/>
    <w:rsid w:val="5E0BB0C0"/>
    <w:rsid w:val="5E0D688C"/>
    <w:rsid w:val="5E11CCA4"/>
    <w:rsid w:val="5E11D548"/>
    <w:rsid w:val="5E1460C6"/>
    <w:rsid w:val="5E14AC12"/>
    <w:rsid w:val="5E1DB4A7"/>
    <w:rsid w:val="5E209097"/>
    <w:rsid w:val="5E262D7B"/>
    <w:rsid w:val="5E285370"/>
    <w:rsid w:val="5E318013"/>
    <w:rsid w:val="5E31FF07"/>
    <w:rsid w:val="5E33FB47"/>
    <w:rsid w:val="5E4AA65E"/>
    <w:rsid w:val="5E4C0FE7"/>
    <w:rsid w:val="5E4F0EB4"/>
    <w:rsid w:val="5E52088D"/>
    <w:rsid w:val="5E528BCF"/>
    <w:rsid w:val="5E547E42"/>
    <w:rsid w:val="5E5CB68C"/>
    <w:rsid w:val="5E5F8477"/>
    <w:rsid w:val="5E611DBE"/>
    <w:rsid w:val="5E63173A"/>
    <w:rsid w:val="5E64C220"/>
    <w:rsid w:val="5E681B38"/>
    <w:rsid w:val="5E69A436"/>
    <w:rsid w:val="5E6BB908"/>
    <w:rsid w:val="5E6F9E6C"/>
    <w:rsid w:val="5E6FD3EB"/>
    <w:rsid w:val="5E6FE8CA"/>
    <w:rsid w:val="5E705A98"/>
    <w:rsid w:val="5E738054"/>
    <w:rsid w:val="5E743078"/>
    <w:rsid w:val="5E7476BA"/>
    <w:rsid w:val="5E76DC94"/>
    <w:rsid w:val="5E78F4E5"/>
    <w:rsid w:val="5E7A741E"/>
    <w:rsid w:val="5E7C458B"/>
    <w:rsid w:val="5E7D3C4F"/>
    <w:rsid w:val="5E7ED8CB"/>
    <w:rsid w:val="5E7FDCAB"/>
    <w:rsid w:val="5E82F6DC"/>
    <w:rsid w:val="5E84AF2E"/>
    <w:rsid w:val="5E84B76F"/>
    <w:rsid w:val="5E8DAB11"/>
    <w:rsid w:val="5E908476"/>
    <w:rsid w:val="5E91AD0D"/>
    <w:rsid w:val="5E947FDA"/>
    <w:rsid w:val="5E96FECD"/>
    <w:rsid w:val="5E9C394D"/>
    <w:rsid w:val="5EA0B57A"/>
    <w:rsid w:val="5EA14BBC"/>
    <w:rsid w:val="5EA37F2A"/>
    <w:rsid w:val="5EA7D232"/>
    <w:rsid w:val="5EA90CA7"/>
    <w:rsid w:val="5EAB0023"/>
    <w:rsid w:val="5EAC1B66"/>
    <w:rsid w:val="5EACB0F7"/>
    <w:rsid w:val="5EAE7CFC"/>
    <w:rsid w:val="5EAEF928"/>
    <w:rsid w:val="5EB00C32"/>
    <w:rsid w:val="5EB1C679"/>
    <w:rsid w:val="5EB2F590"/>
    <w:rsid w:val="5EB3B247"/>
    <w:rsid w:val="5EB54D7B"/>
    <w:rsid w:val="5EB6AC2F"/>
    <w:rsid w:val="5EB72FFB"/>
    <w:rsid w:val="5EB8DBC5"/>
    <w:rsid w:val="5EBA4FE8"/>
    <w:rsid w:val="5EBAE391"/>
    <w:rsid w:val="5EC0D18A"/>
    <w:rsid w:val="5EC319CA"/>
    <w:rsid w:val="5EC3F4CD"/>
    <w:rsid w:val="5EC569B3"/>
    <w:rsid w:val="5EC63B2E"/>
    <w:rsid w:val="5EC66436"/>
    <w:rsid w:val="5EC84622"/>
    <w:rsid w:val="5EC90798"/>
    <w:rsid w:val="5EC999E1"/>
    <w:rsid w:val="5ECA85E3"/>
    <w:rsid w:val="5ECF6D72"/>
    <w:rsid w:val="5ED18BBF"/>
    <w:rsid w:val="5ED5C06D"/>
    <w:rsid w:val="5EDBFB66"/>
    <w:rsid w:val="5EDE4502"/>
    <w:rsid w:val="5EE1256D"/>
    <w:rsid w:val="5EE33A23"/>
    <w:rsid w:val="5EE5F4DD"/>
    <w:rsid w:val="5EE6793C"/>
    <w:rsid w:val="5EEBEE2C"/>
    <w:rsid w:val="5EEBF0EF"/>
    <w:rsid w:val="5EEC47C9"/>
    <w:rsid w:val="5EED2B52"/>
    <w:rsid w:val="5EED97BD"/>
    <w:rsid w:val="5EEEBC18"/>
    <w:rsid w:val="5EF35A3A"/>
    <w:rsid w:val="5EF46661"/>
    <w:rsid w:val="5EF4A5C2"/>
    <w:rsid w:val="5EF51D52"/>
    <w:rsid w:val="5EF63674"/>
    <w:rsid w:val="5EF9DA06"/>
    <w:rsid w:val="5EFB8070"/>
    <w:rsid w:val="5EFC1167"/>
    <w:rsid w:val="5EFC37F2"/>
    <w:rsid w:val="5EFD0A81"/>
    <w:rsid w:val="5F058BDD"/>
    <w:rsid w:val="5F0642ED"/>
    <w:rsid w:val="5F068988"/>
    <w:rsid w:val="5F092872"/>
    <w:rsid w:val="5F0C2FE9"/>
    <w:rsid w:val="5F0D3D11"/>
    <w:rsid w:val="5F0D61E0"/>
    <w:rsid w:val="5F0EEB09"/>
    <w:rsid w:val="5F0F405C"/>
    <w:rsid w:val="5F118FAF"/>
    <w:rsid w:val="5F12ABBD"/>
    <w:rsid w:val="5F13D054"/>
    <w:rsid w:val="5F15C46B"/>
    <w:rsid w:val="5F1603A7"/>
    <w:rsid w:val="5F187F03"/>
    <w:rsid w:val="5F1AA74E"/>
    <w:rsid w:val="5F1AF99D"/>
    <w:rsid w:val="5F1C951D"/>
    <w:rsid w:val="5F1D64B8"/>
    <w:rsid w:val="5F1EEFE5"/>
    <w:rsid w:val="5F1F3CB8"/>
    <w:rsid w:val="5F203090"/>
    <w:rsid w:val="5F214270"/>
    <w:rsid w:val="5F2276AB"/>
    <w:rsid w:val="5F22FB30"/>
    <w:rsid w:val="5F27380F"/>
    <w:rsid w:val="5F279935"/>
    <w:rsid w:val="5F2C4988"/>
    <w:rsid w:val="5F2D64EB"/>
    <w:rsid w:val="5F2E80E7"/>
    <w:rsid w:val="5F2FE21D"/>
    <w:rsid w:val="5F348D72"/>
    <w:rsid w:val="5F376F50"/>
    <w:rsid w:val="5F38E03B"/>
    <w:rsid w:val="5F3BA89E"/>
    <w:rsid w:val="5F3E9492"/>
    <w:rsid w:val="5F4491B3"/>
    <w:rsid w:val="5F4B4207"/>
    <w:rsid w:val="5F4BD6AF"/>
    <w:rsid w:val="5F4BF8D3"/>
    <w:rsid w:val="5F4C8D22"/>
    <w:rsid w:val="5F4EA154"/>
    <w:rsid w:val="5F5540F1"/>
    <w:rsid w:val="5F590C1E"/>
    <w:rsid w:val="5F59811F"/>
    <w:rsid w:val="5F614E27"/>
    <w:rsid w:val="5F6317EB"/>
    <w:rsid w:val="5F67B1E9"/>
    <w:rsid w:val="5F6D7149"/>
    <w:rsid w:val="5F6FBE43"/>
    <w:rsid w:val="5F74F6E4"/>
    <w:rsid w:val="5F75ECC7"/>
    <w:rsid w:val="5F7C940D"/>
    <w:rsid w:val="5F82A818"/>
    <w:rsid w:val="5F847565"/>
    <w:rsid w:val="5F86E602"/>
    <w:rsid w:val="5F8C8F0E"/>
    <w:rsid w:val="5F8E98E3"/>
    <w:rsid w:val="5F904598"/>
    <w:rsid w:val="5F94E666"/>
    <w:rsid w:val="5F96BA32"/>
    <w:rsid w:val="5F9A0C51"/>
    <w:rsid w:val="5F9AF42D"/>
    <w:rsid w:val="5F9B6737"/>
    <w:rsid w:val="5F9E8641"/>
    <w:rsid w:val="5F9EEBE4"/>
    <w:rsid w:val="5F9FC8B8"/>
    <w:rsid w:val="5FA166A9"/>
    <w:rsid w:val="5FA2DB2A"/>
    <w:rsid w:val="5FA5B0E4"/>
    <w:rsid w:val="5FA5E025"/>
    <w:rsid w:val="5FA7214B"/>
    <w:rsid w:val="5FA83557"/>
    <w:rsid w:val="5FA976F1"/>
    <w:rsid w:val="5FAF38DC"/>
    <w:rsid w:val="5FB09C37"/>
    <w:rsid w:val="5FB7F522"/>
    <w:rsid w:val="5FC06E07"/>
    <w:rsid w:val="5FC0955D"/>
    <w:rsid w:val="5FC166E7"/>
    <w:rsid w:val="5FC3B3D5"/>
    <w:rsid w:val="5FC5478B"/>
    <w:rsid w:val="5FC690E9"/>
    <w:rsid w:val="5FC6F111"/>
    <w:rsid w:val="5FC98D26"/>
    <w:rsid w:val="5FCB1048"/>
    <w:rsid w:val="5FD6D578"/>
    <w:rsid w:val="5FD97869"/>
    <w:rsid w:val="5FE0151A"/>
    <w:rsid w:val="5FE37D05"/>
    <w:rsid w:val="5FE46EB7"/>
    <w:rsid w:val="5FE62B89"/>
    <w:rsid w:val="5FE86575"/>
    <w:rsid w:val="5FEAA51B"/>
    <w:rsid w:val="5FEB02CB"/>
    <w:rsid w:val="5FECD0EA"/>
    <w:rsid w:val="5FED6DA6"/>
    <w:rsid w:val="5FEECF91"/>
    <w:rsid w:val="5FEF105C"/>
    <w:rsid w:val="5FF1BE5B"/>
    <w:rsid w:val="5FF266D0"/>
    <w:rsid w:val="5FF3881E"/>
    <w:rsid w:val="5FF5615A"/>
    <w:rsid w:val="5FF61047"/>
    <w:rsid w:val="5FFAE0BD"/>
    <w:rsid w:val="5FFECD08"/>
    <w:rsid w:val="5FFF6D81"/>
    <w:rsid w:val="5FFF8B4B"/>
    <w:rsid w:val="6006C336"/>
    <w:rsid w:val="6010C008"/>
    <w:rsid w:val="6011710A"/>
    <w:rsid w:val="6012D828"/>
    <w:rsid w:val="60158E49"/>
    <w:rsid w:val="601603A4"/>
    <w:rsid w:val="60171646"/>
    <w:rsid w:val="601D5875"/>
    <w:rsid w:val="601E3886"/>
    <w:rsid w:val="601E5FFB"/>
    <w:rsid w:val="602024F2"/>
    <w:rsid w:val="6025009A"/>
    <w:rsid w:val="60267AAC"/>
    <w:rsid w:val="60278C68"/>
    <w:rsid w:val="6029CC4D"/>
    <w:rsid w:val="6031FA34"/>
    <w:rsid w:val="60330E97"/>
    <w:rsid w:val="6033D111"/>
    <w:rsid w:val="60355498"/>
    <w:rsid w:val="6035D4FC"/>
    <w:rsid w:val="6036C51E"/>
    <w:rsid w:val="6037B64A"/>
    <w:rsid w:val="6039CC77"/>
    <w:rsid w:val="603B0423"/>
    <w:rsid w:val="603D0826"/>
    <w:rsid w:val="603DF4FE"/>
    <w:rsid w:val="603FC368"/>
    <w:rsid w:val="604A16AA"/>
    <w:rsid w:val="604D5F07"/>
    <w:rsid w:val="604DBBF0"/>
    <w:rsid w:val="6050F645"/>
    <w:rsid w:val="60535D44"/>
    <w:rsid w:val="60555C5D"/>
    <w:rsid w:val="6055D380"/>
    <w:rsid w:val="605719D5"/>
    <w:rsid w:val="60573AFC"/>
    <w:rsid w:val="60586B52"/>
    <w:rsid w:val="60594DFF"/>
    <w:rsid w:val="605CB81D"/>
    <w:rsid w:val="60631A52"/>
    <w:rsid w:val="6066EFAB"/>
    <w:rsid w:val="60676F8C"/>
    <w:rsid w:val="6068BE09"/>
    <w:rsid w:val="606CD3CA"/>
    <w:rsid w:val="606EBD3A"/>
    <w:rsid w:val="606EF3ED"/>
    <w:rsid w:val="60700EE5"/>
    <w:rsid w:val="6070B283"/>
    <w:rsid w:val="60719A32"/>
    <w:rsid w:val="60749A0A"/>
    <w:rsid w:val="6074E4BA"/>
    <w:rsid w:val="607A2FF4"/>
    <w:rsid w:val="607A3A50"/>
    <w:rsid w:val="607A4D6D"/>
    <w:rsid w:val="607B70D6"/>
    <w:rsid w:val="6080B097"/>
    <w:rsid w:val="6085BECE"/>
    <w:rsid w:val="60870F38"/>
    <w:rsid w:val="60880C11"/>
    <w:rsid w:val="60900B1C"/>
    <w:rsid w:val="609075CC"/>
    <w:rsid w:val="60951E52"/>
    <w:rsid w:val="6097D67A"/>
    <w:rsid w:val="609A0516"/>
    <w:rsid w:val="609AFBC0"/>
    <w:rsid w:val="60A0680A"/>
    <w:rsid w:val="60A0CC12"/>
    <w:rsid w:val="60A40D29"/>
    <w:rsid w:val="60A45F7F"/>
    <w:rsid w:val="60A7DB76"/>
    <w:rsid w:val="60AA0A76"/>
    <w:rsid w:val="60AA66AC"/>
    <w:rsid w:val="60ADDE41"/>
    <w:rsid w:val="60AF41FB"/>
    <w:rsid w:val="60AFEE31"/>
    <w:rsid w:val="60B577C5"/>
    <w:rsid w:val="60B5C799"/>
    <w:rsid w:val="60B64F3D"/>
    <w:rsid w:val="60BFB245"/>
    <w:rsid w:val="60C0161E"/>
    <w:rsid w:val="60C594DF"/>
    <w:rsid w:val="60C8E59E"/>
    <w:rsid w:val="60C9C84B"/>
    <w:rsid w:val="60CD8B97"/>
    <w:rsid w:val="60CE28CB"/>
    <w:rsid w:val="60D18252"/>
    <w:rsid w:val="60D2E6CD"/>
    <w:rsid w:val="60D489C1"/>
    <w:rsid w:val="60D5686F"/>
    <w:rsid w:val="60D92A97"/>
    <w:rsid w:val="60DBCD67"/>
    <w:rsid w:val="60DD6AE7"/>
    <w:rsid w:val="60DD885C"/>
    <w:rsid w:val="60E5FE21"/>
    <w:rsid w:val="60E7A3A0"/>
    <w:rsid w:val="60E96551"/>
    <w:rsid w:val="60E9BC1A"/>
    <w:rsid w:val="60EB5EC4"/>
    <w:rsid w:val="60F3AC0A"/>
    <w:rsid w:val="60F72327"/>
    <w:rsid w:val="60F79D9B"/>
    <w:rsid w:val="60F8ED55"/>
    <w:rsid w:val="60FB00F8"/>
    <w:rsid w:val="60FF0DAD"/>
    <w:rsid w:val="6100D755"/>
    <w:rsid w:val="61058255"/>
    <w:rsid w:val="6105E70D"/>
    <w:rsid w:val="6108F2CF"/>
    <w:rsid w:val="6109CAD2"/>
    <w:rsid w:val="610B7574"/>
    <w:rsid w:val="610DA5DE"/>
    <w:rsid w:val="610EDFD2"/>
    <w:rsid w:val="610FE087"/>
    <w:rsid w:val="6110B2D8"/>
    <w:rsid w:val="6110C3BE"/>
    <w:rsid w:val="61137E94"/>
    <w:rsid w:val="611E1BBB"/>
    <w:rsid w:val="6123F69F"/>
    <w:rsid w:val="6125D41B"/>
    <w:rsid w:val="6127199D"/>
    <w:rsid w:val="61276AF8"/>
    <w:rsid w:val="61276C07"/>
    <w:rsid w:val="6128989F"/>
    <w:rsid w:val="6128C012"/>
    <w:rsid w:val="612A07BE"/>
    <w:rsid w:val="612AA570"/>
    <w:rsid w:val="612DEBA5"/>
    <w:rsid w:val="612E481F"/>
    <w:rsid w:val="612F37DE"/>
    <w:rsid w:val="612FEB81"/>
    <w:rsid w:val="6133645A"/>
    <w:rsid w:val="61385544"/>
    <w:rsid w:val="613B6E54"/>
    <w:rsid w:val="613C468D"/>
    <w:rsid w:val="613C6DC9"/>
    <w:rsid w:val="6141A980"/>
    <w:rsid w:val="61462709"/>
    <w:rsid w:val="614685D2"/>
    <w:rsid w:val="614725E1"/>
    <w:rsid w:val="614DBDE8"/>
    <w:rsid w:val="6151687D"/>
    <w:rsid w:val="6153A1CA"/>
    <w:rsid w:val="61558483"/>
    <w:rsid w:val="615E37C8"/>
    <w:rsid w:val="615E53BC"/>
    <w:rsid w:val="615E8055"/>
    <w:rsid w:val="6161CF75"/>
    <w:rsid w:val="6164B9B4"/>
    <w:rsid w:val="6168CEB0"/>
    <w:rsid w:val="616ADCC0"/>
    <w:rsid w:val="616C3C4C"/>
    <w:rsid w:val="616C9546"/>
    <w:rsid w:val="6172952B"/>
    <w:rsid w:val="61733CC1"/>
    <w:rsid w:val="61751718"/>
    <w:rsid w:val="61756D7E"/>
    <w:rsid w:val="61757BB1"/>
    <w:rsid w:val="61787A15"/>
    <w:rsid w:val="617CCE43"/>
    <w:rsid w:val="617D1B4D"/>
    <w:rsid w:val="617F2FA1"/>
    <w:rsid w:val="6180BC2B"/>
    <w:rsid w:val="61815FA0"/>
    <w:rsid w:val="61878545"/>
    <w:rsid w:val="61881F05"/>
    <w:rsid w:val="618F54E7"/>
    <w:rsid w:val="618F906A"/>
    <w:rsid w:val="6193ACEE"/>
    <w:rsid w:val="61955015"/>
    <w:rsid w:val="619682A3"/>
    <w:rsid w:val="6199FFC8"/>
    <w:rsid w:val="619D82E3"/>
    <w:rsid w:val="61A3F104"/>
    <w:rsid w:val="61A41C36"/>
    <w:rsid w:val="61A58955"/>
    <w:rsid w:val="61A6F14B"/>
    <w:rsid w:val="61AFC330"/>
    <w:rsid w:val="61B00972"/>
    <w:rsid w:val="61B2E817"/>
    <w:rsid w:val="61B611B1"/>
    <w:rsid w:val="61B8F031"/>
    <w:rsid w:val="61B9314D"/>
    <w:rsid w:val="61BBBD36"/>
    <w:rsid w:val="61BC96DD"/>
    <w:rsid w:val="61C18736"/>
    <w:rsid w:val="61C2632A"/>
    <w:rsid w:val="61C40918"/>
    <w:rsid w:val="61C524DB"/>
    <w:rsid w:val="61C557CF"/>
    <w:rsid w:val="61C6DD73"/>
    <w:rsid w:val="61C7EE3C"/>
    <w:rsid w:val="61C9D82D"/>
    <w:rsid w:val="61CCD2B7"/>
    <w:rsid w:val="61CF190D"/>
    <w:rsid w:val="61CFDB9D"/>
    <w:rsid w:val="61CFFE6F"/>
    <w:rsid w:val="61D023C1"/>
    <w:rsid w:val="61D1959A"/>
    <w:rsid w:val="61D58428"/>
    <w:rsid w:val="61D5DBD1"/>
    <w:rsid w:val="61D797D2"/>
    <w:rsid w:val="61D8B5F3"/>
    <w:rsid w:val="61DCBB13"/>
    <w:rsid w:val="61E6DD1F"/>
    <w:rsid w:val="61E7B5A0"/>
    <w:rsid w:val="61E99107"/>
    <w:rsid w:val="61EB9F81"/>
    <w:rsid w:val="61EFBE5A"/>
    <w:rsid w:val="61F5CE10"/>
    <w:rsid w:val="61F84B45"/>
    <w:rsid w:val="61FC2D99"/>
    <w:rsid w:val="620023EB"/>
    <w:rsid w:val="6201A5A2"/>
    <w:rsid w:val="62037315"/>
    <w:rsid w:val="62058F81"/>
    <w:rsid w:val="62068AAC"/>
    <w:rsid w:val="620D8A36"/>
    <w:rsid w:val="620E3890"/>
    <w:rsid w:val="620EC1B1"/>
    <w:rsid w:val="621086C5"/>
    <w:rsid w:val="621377EF"/>
    <w:rsid w:val="621563CC"/>
    <w:rsid w:val="621573EB"/>
    <w:rsid w:val="621632EB"/>
    <w:rsid w:val="6217E48A"/>
    <w:rsid w:val="621AF2FD"/>
    <w:rsid w:val="621C1BB2"/>
    <w:rsid w:val="621D1536"/>
    <w:rsid w:val="621D5C20"/>
    <w:rsid w:val="621EE892"/>
    <w:rsid w:val="621F8150"/>
    <w:rsid w:val="62217985"/>
    <w:rsid w:val="622788DF"/>
    <w:rsid w:val="62285FDF"/>
    <w:rsid w:val="6229D350"/>
    <w:rsid w:val="622B106C"/>
    <w:rsid w:val="622FA4CD"/>
    <w:rsid w:val="6231FFC4"/>
    <w:rsid w:val="62345248"/>
    <w:rsid w:val="623B89BE"/>
    <w:rsid w:val="623E01AE"/>
    <w:rsid w:val="623F5119"/>
    <w:rsid w:val="623F6638"/>
    <w:rsid w:val="6240EA4F"/>
    <w:rsid w:val="62414693"/>
    <w:rsid w:val="6244A744"/>
    <w:rsid w:val="62455B10"/>
    <w:rsid w:val="62463A81"/>
    <w:rsid w:val="624B2D2C"/>
    <w:rsid w:val="624D949C"/>
    <w:rsid w:val="625446F0"/>
    <w:rsid w:val="62551327"/>
    <w:rsid w:val="62566B8B"/>
    <w:rsid w:val="62596DBC"/>
    <w:rsid w:val="625A2B2B"/>
    <w:rsid w:val="625C0E3D"/>
    <w:rsid w:val="625D6054"/>
    <w:rsid w:val="62616029"/>
    <w:rsid w:val="626898A7"/>
    <w:rsid w:val="626BA125"/>
    <w:rsid w:val="626C4BFE"/>
    <w:rsid w:val="626E3914"/>
    <w:rsid w:val="626EA15F"/>
    <w:rsid w:val="62708972"/>
    <w:rsid w:val="6272AA8F"/>
    <w:rsid w:val="6277A606"/>
    <w:rsid w:val="6278A5C1"/>
    <w:rsid w:val="627927CF"/>
    <w:rsid w:val="627A0CF9"/>
    <w:rsid w:val="627A41CC"/>
    <w:rsid w:val="627E4DD3"/>
    <w:rsid w:val="627F4A83"/>
    <w:rsid w:val="62837A09"/>
    <w:rsid w:val="6285DF9A"/>
    <w:rsid w:val="6286B3F5"/>
    <w:rsid w:val="62890F08"/>
    <w:rsid w:val="6289F780"/>
    <w:rsid w:val="628A4334"/>
    <w:rsid w:val="628CEBF4"/>
    <w:rsid w:val="628D8DC9"/>
    <w:rsid w:val="62958BC9"/>
    <w:rsid w:val="6295B241"/>
    <w:rsid w:val="62986208"/>
    <w:rsid w:val="629A4AAE"/>
    <w:rsid w:val="629D3DA5"/>
    <w:rsid w:val="62A01879"/>
    <w:rsid w:val="62A0557F"/>
    <w:rsid w:val="62A2701D"/>
    <w:rsid w:val="62A2B8CD"/>
    <w:rsid w:val="62A78468"/>
    <w:rsid w:val="62AAAC13"/>
    <w:rsid w:val="62AB543F"/>
    <w:rsid w:val="62AD8D89"/>
    <w:rsid w:val="62ADBEED"/>
    <w:rsid w:val="62B15AB1"/>
    <w:rsid w:val="62B1D064"/>
    <w:rsid w:val="62B604EE"/>
    <w:rsid w:val="62B65D6A"/>
    <w:rsid w:val="62B7ED84"/>
    <w:rsid w:val="62B9CE5F"/>
    <w:rsid w:val="62C32861"/>
    <w:rsid w:val="62C67EB5"/>
    <w:rsid w:val="62C81B1F"/>
    <w:rsid w:val="62CC0C2A"/>
    <w:rsid w:val="62CD19E2"/>
    <w:rsid w:val="62CD3BF9"/>
    <w:rsid w:val="62CFCF47"/>
    <w:rsid w:val="62CFFBA5"/>
    <w:rsid w:val="62D141FE"/>
    <w:rsid w:val="62D56F79"/>
    <w:rsid w:val="62DB23A6"/>
    <w:rsid w:val="62DB5AD4"/>
    <w:rsid w:val="62DB9909"/>
    <w:rsid w:val="62DDA6C2"/>
    <w:rsid w:val="62E038CF"/>
    <w:rsid w:val="62E04AF6"/>
    <w:rsid w:val="62E0FEDE"/>
    <w:rsid w:val="62E217D8"/>
    <w:rsid w:val="62E3F219"/>
    <w:rsid w:val="62ECAF3C"/>
    <w:rsid w:val="62ED1ABE"/>
    <w:rsid w:val="62ED5767"/>
    <w:rsid w:val="62EF0299"/>
    <w:rsid w:val="62EF41AC"/>
    <w:rsid w:val="62F1E99C"/>
    <w:rsid w:val="62F27434"/>
    <w:rsid w:val="62F90FE3"/>
    <w:rsid w:val="62FAE260"/>
    <w:rsid w:val="62FB1A1B"/>
    <w:rsid w:val="62FB3ABE"/>
    <w:rsid w:val="62FE42E9"/>
    <w:rsid w:val="62FE633F"/>
    <w:rsid w:val="63037F6F"/>
    <w:rsid w:val="630584D8"/>
    <w:rsid w:val="630D7DC3"/>
    <w:rsid w:val="63145B99"/>
    <w:rsid w:val="6315828E"/>
    <w:rsid w:val="63159FCB"/>
    <w:rsid w:val="6318222C"/>
    <w:rsid w:val="631BDF4F"/>
    <w:rsid w:val="631E6EDC"/>
    <w:rsid w:val="631F7AEC"/>
    <w:rsid w:val="631FC88D"/>
    <w:rsid w:val="6324D5B3"/>
    <w:rsid w:val="6325C21F"/>
    <w:rsid w:val="63262AA3"/>
    <w:rsid w:val="6326A32A"/>
    <w:rsid w:val="6326CD98"/>
    <w:rsid w:val="63272473"/>
    <w:rsid w:val="63273B33"/>
    <w:rsid w:val="63276BCE"/>
    <w:rsid w:val="632B2548"/>
    <w:rsid w:val="632C148D"/>
    <w:rsid w:val="632D8830"/>
    <w:rsid w:val="632F6237"/>
    <w:rsid w:val="6330643F"/>
    <w:rsid w:val="63377381"/>
    <w:rsid w:val="63398849"/>
    <w:rsid w:val="633E2BCC"/>
    <w:rsid w:val="633F0C13"/>
    <w:rsid w:val="633F55D5"/>
    <w:rsid w:val="633F7B2D"/>
    <w:rsid w:val="6341E6D2"/>
    <w:rsid w:val="63420392"/>
    <w:rsid w:val="63442553"/>
    <w:rsid w:val="63469AE0"/>
    <w:rsid w:val="63481766"/>
    <w:rsid w:val="634A3030"/>
    <w:rsid w:val="634C5C9F"/>
    <w:rsid w:val="634D1B4D"/>
    <w:rsid w:val="634DAC59"/>
    <w:rsid w:val="6351621A"/>
    <w:rsid w:val="635A6CA9"/>
    <w:rsid w:val="635C7BBF"/>
    <w:rsid w:val="635EFA65"/>
    <w:rsid w:val="6360115D"/>
    <w:rsid w:val="63612830"/>
    <w:rsid w:val="6364CB50"/>
    <w:rsid w:val="6365C35A"/>
    <w:rsid w:val="636707EE"/>
    <w:rsid w:val="6368DE1A"/>
    <w:rsid w:val="636C7B89"/>
    <w:rsid w:val="63700183"/>
    <w:rsid w:val="6371F18E"/>
    <w:rsid w:val="637366DF"/>
    <w:rsid w:val="63738755"/>
    <w:rsid w:val="63786412"/>
    <w:rsid w:val="6378839E"/>
    <w:rsid w:val="6378E138"/>
    <w:rsid w:val="637AA7BB"/>
    <w:rsid w:val="637B75DB"/>
    <w:rsid w:val="637BD55D"/>
    <w:rsid w:val="637CD68B"/>
    <w:rsid w:val="637F62A1"/>
    <w:rsid w:val="637FF417"/>
    <w:rsid w:val="6381833F"/>
    <w:rsid w:val="6382998E"/>
    <w:rsid w:val="63864E6F"/>
    <w:rsid w:val="6387B4FC"/>
    <w:rsid w:val="6389AE45"/>
    <w:rsid w:val="638A5B56"/>
    <w:rsid w:val="638AD35F"/>
    <w:rsid w:val="638B6F01"/>
    <w:rsid w:val="638EE80F"/>
    <w:rsid w:val="63902AF5"/>
    <w:rsid w:val="639815BF"/>
    <w:rsid w:val="639EA89A"/>
    <w:rsid w:val="63A166FB"/>
    <w:rsid w:val="63A6C3C4"/>
    <w:rsid w:val="63A7DEE8"/>
    <w:rsid w:val="63AAFCD9"/>
    <w:rsid w:val="63AF30AE"/>
    <w:rsid w:val="63B2FDB8"/>
    <w:rsid w:val="63B34402"/>
    <w:rsid w:val="63B3FD48"/>
    <w:rsid w:val="63B7D6B9"/>
    <w:rsid w:val="63B8F3C7"/>
    <w:rsid w:val="63C39C32"/>
    <w:rsid w:val="63C3AD24"/>
    <w:rsid w:val="63C9913C"/>
    <w:rsid w:val="63CC3218"/>
    <w:rsid w:val="63D4C8AE"/>
    <w:rsid w:val="63D62871"/>
    <w:rsid w:val="63D714AF"/>
    <w:rsid w:val="63D87736"/>
    <w:rsid w:val="63D88A83"/>
    <w:rsid w:val="63DC4C27"/>
    <w:rsid w:val="63DD0FE8"/>
    <w:rsid w:val="63DE1474"/>
    <w:rsid w:val="63DE77AE"/>
    <w:rsid w:val="63DEA214"/>
    <w:rsid w:val="63E72D91"/>
    <w:rsid w:val="63E8E4AF"/>
    <w:rsid w:val="63EC6111"/>
    <w:rsid w:val="63EDDE1D"/>
    <w:rsid w:val="63F4F6A1"/>
    <w:rsid w:val="63F617B4"/>
    <w:rsid w:val="63F7021C"/>
    <w:rsid w:val="63FAFCBB"/>
    <w:rsid w:val="63FE06EF"/>
    <w:rsid w:val="64021140"/>
    <w:rsid w:val="64024A0A"/>
    <w:rsid w:val="640275BB"/>
    <w:rsid w:val="6403EED9"/>
    <w:rsid w:val="64096BDC"/>
    <w:rsid w:val="640A24D5"/>
    <w:rsid w:val="640D19DF"/>
    <w:rsid w:val="640F5ADD"/>
    <w:rsid w:val="640FA7B9"/>
    <w:rsid w:val="6412E60D"/>
    <w:rsid w:val="64137CCE"/>
    <w:rsid w:val="6417AB70"/>
    <w:rsid w:val="6417EAAA"/>
    <w:rsid w:val="641A17FF"/>
    <w:rsid w:val="641CE8DB"/>
    <w:rsid w:val="641F4E3D"/>
    <w:rsid w:val="64202419"/>
    <w:rsid w:val="642051C0"/>
    <w:rsid w:val="6420BD2E"/>
    <w:rsid w:val="6421663B"/>
    <w:rsid w:val="64234713"/>
    <w:rsid w:val="6425E455"/>
    <w:rsid w:val="6427DB11"/>
    <w:rsid w:val="642E5565"/>
    <w:rsid w:val="6430E542"/>
    <w:rsid w:val="6437F6BA"/>
    <w:rsid w:val="643ADB86"/>
    <w:rsid w:val="6446DCA9"/>
    <w:rsid w:val="64470F4D"/>
    <w:rsid w:val="6447E7D6"/>
    <w:rsid w:val="64496EB5"/>
    <w:rsid w:val="644A0823"/>
    <w:rsid w:val="644AF7B4"/>
    <w:rsid w:val="644DE27F"/>
    <w:rsid w:val="6454054B"/>
    <w:rsid w:val="6455B8B8"/>
    <w:rsid w:val="6456CCDD"/>
    <w:rsid w:val="6457430D"/>
    <w:rsid w:val="645A7127"/>
    <w:rsid w:val="645AB5A4"/>
    <w:rsid w:val="645C2E24"/>
    <w:rsid w:val="645DBAFC"/>
    <w:rsid w:val="646026D8"/>
    <w:rsid w:val="646207C7"/>
    <w:rsid w:val="64637F5C"/>
    <w:rsid w:val="6466918B"/>
    <w:rsid w:val="6466F5D0"/>
    <w:rsid w:val="64670B94"/>
    <w:rsid w:val="646865D8"/>
    <w:rsid w:val="646B2755"/>
    <w:rsid w:val="646EACEF"/>
    <w:rsid w:val="64702351"/>
    <w:rsid w:val="6472CF86"/>
    <w:rsid w:val="6474904B"/>
    <w:rsid w:val="6474BDAA"/>
    <w:rsid w:val="64759AA3"/>
    <w:rsid w:val="647B4870"/>
    <w:rsid w:val="647DBEEC"/>
    <w:rsid w:val="6480DE03"/>
    <w:rsid w:val="64830193"/>
    <w:rsid w:val="6489E75B"/>
    <w:rsid w:val="648AD12A"/>
    <w:rsid w:val="648C63D7"/>
    <w:rsid w:val="648E7BFE"/>
    <w:rsid w:val="648F5852"/>
    <w:rsid w:val="6491D07C"/>
    <w:rsid w:val="6492E988"/>
    <w:rsid w:val="6497562F"/>
    <w:rsid w:val="6497C9DE"/>
    <w:rsid w:val="649C8458"/>
    <w:rsid w:val="649D4E3D"/>
    <w:rsid w:val="649DC282"/>
    <w:rsid w:val="64A29905"/>
    <w:rsid w:val="64A30F65"/>
    <w:rsid w:val="64A7CCFA"/>
    <w:rsid w:val="64A7E2F8"/>
    <w:rsid w:val="64AD05A2"/>
    <w:rsid w:val="64B364AC"/>
    <w:rsid w:val="64B40CB3"/>
    <w:rsid w:val="64BBFEEE"/>
    <w:rsid w:val="64BD6CF6"/>
    <w:rsid w:val="64BD83B5"/>
    <w:rsid w:val="64C356A9"/>
    <w:rsid w:val="64C776C6"/>
    <w:rsid w:val="64C87553"/>
    <w:rsid w:val="64CE9D68"/>
    <w:rsid w:val="64CF6A4C"/>
    <w:rsid w:val="64CFDC37"/>
    <w:rsid w:val="64D3B6D1"/>
    <w:rsid w:val="64D57A1C"/>
    <w:rsid w:val="64D6D88B"/>
    <w:rsid w:val="64D866DE"/>
    <w:rsid w:val="64D9858D"/>
    <w:rsid w:val="64D9AB06"/>
    <w:rsid w:val="64DEEE3C"/>
    <w:rsid w:val="64E09207"/>
    <w:rsid w:val="64E19062"/>
    <w:rsid w:val="64E3727D"/>
    <w:rsid w:val="64E48313"/>
    <w:rsid w:val="64E72ACA"/>
    <w:rsid w:val="64ECBC55"/>
    <w:rsid w:val="64ECFC7A"/>
    <w:rsid w:val="64EF9398"/>
    <w:rsid w:val="64F04DC0"/>
    <w:rsid w:val="64F18374"/>
    <w:rsid w:val="64F2C1B4"/>
    <w:rsid w:val="64F34778"/>
    <w:rsid w:val="64F68D9C"/>
    <w:rsid w:val="64F69AA3"/>
    <w:rsid w:val="64F71F7F"/>
    <w:rsid w:val="64FE57E7"/>
    <w:rsid w:val="64FE6E36"/>
    <w:rsid w:val="64FF1B85"/>
    <w:rsid w:val="64FF70AC"/>
    <w:rsid w:val="65013B23"/>
    <w:rsid w:val="6509494C"/>
    <w:rsid w:val="650A84DF"/>
    <w:rsid w:val="650E36F7"/>
    <w:rsid w:val="651007F7"/>
    <w:rsid w:val="6511A7D2"/>
    <w:rsid w:val="6511D72A"/>
    <w:rsid w:val="65124E22"/>
    <w:rsid w:val="65162E6D"/>
    <w:rsid w:val="651A3CC9"/>
    <w:rsid w:val="651C4CBA"/>
    <w:rsid w:val="651E0ECE"/>
    <w:rsid w:val="652078F0"/>
    <w:rsid w:val="6520F232"/>
    <w:rsid w:val="65222E0C"/>
    <w:rsid w:val="652488AA"/>
    <w:rsid w:val="6525B196"/>
    <w:rsid w:val="65277AE4"/>
    <w:rsid w:val="652796CB"/>
    <w:rsid w:val="6528A375"/>
    <w:rsid w:val="652CE6D4"/>
    <w:rsid w:val="652DE3D7"/>
    <w:rsid w:val="65308DB6"/>
    <w:rsid w:val="65309456"/>
    <w:rsid w:val="65322421"/>
    <w:rsid w:val="653241E0"/>
    <w:rsid w:val="6533D31F"/>
    <w:rsid w:val="65353FDB"/>
    <w:rsid w:val="65368775"/>
    <w:rsid w:val="6539774C"/>
    <w:rsid w:val="653C28A3"/>
    <w:rsid w:val="653C4495"/>
    <w:rsid w:val="654049AC"/>
    <w:rsid w:val="65412094"/>
    <w:rsid w:val="65412C8D"/>
    <w:rsid w:val="65455B77"/>
    <w:rsid w:val="65469F35"/>
    <w:rsid w:val="65525119"/>
    <w:rsid w:val="6552A8BC"/>
    <w:rsid w:val="6553ED4B"/>
    <w:rsid w:val="6555E881"/>
    <w:rsid w:val="6558440B"/>
    <w:rsid w:val="65591A47"/>
    <w:rsid w:val="655A56A5"/>
    <w:rsid w:val="655AA2A7"/>
    <w:rsid w:val="655B2F3E"/>
    <w:rsid w:val="655EFACE"/>
    <w:rsid w:val="65622F05"/>
    <w:rsid w:val="65654CFA"/>
    <w:rsid w:val="6567BC5D"/>
    <w:rsid w:val="6567BDC9"/>
    <w:rsid w:val="6568510F"/>
    <w:rsid w:val="656B430F"/>
    <w:rsid w:val="656BB128"/>
    <w:rsid w:val="656DAEB0"/>
    <w:rsid w:val="6571FCCD"/>
    <w:rsid w:val="65734278"/>
    <w:rsid w:val="6573EF70"/>
    <w:rsid w:val="6575006C"/>
    <w:rsid w:val="6575322F"/>
    <w:rsid w:val="65774E8E"/>
    <w:rsid w:val="6577928E"/>
    <w:rsid w:val="6578B33E"/>
    <w:rsid w:val="6579BA0A"/>
    <w:rsid w:val="657B3322"/>
    <w:rsid w:val="657D176C"/>
    <w:rsid w:val="657D1E95"/>
    <w:rsid w:val="657DB403"/>
    <w:rsid w:val="657E0C28"/>
    <w:rsid w:val="657EBACF"/>
    <w:rsid w:val="65824954"/>
    <w:rsid w:val="65828626"/>
    <w:rsid w:val="658351AD"/>
    <w:rsid w:val="65847176"/>
    <w:rsid w:val="65847CAF"/>
    <w:rsid w:val="658606D4"/>
    <w:rsid w:val="65860DE1"/>
    <w:rsid w:val="658708AA"/>
    <w:rsid w:val="6589B063"/>
    <w:rsid w:val="658A614C"/>
    <w:rsid w:val="658CBE83"/>
    <w:rsid w:val="658CDF3B"/>
    <w:rsid w:val="658DFE53"/>
    <w:rsid w:val="658FBDE3"/>
    <w:rsid w:val="6591F016"/>
    <w:rsid w:val="65929C1F"/>
    <w:rsid w:val="65937902"/>
    <w:rsid w:val="6599AB3B"/>
    <w:rsid w:val="659A049A"/>
    <w:rsid w:val="659BAC83"/>
    <w:rsid w:val="659BDB97"/>
    <w:rsid w:val="659E358D"/>
    <w:rsid w:val="659EA92D"/>
    <w:rsid w:val="659F545C"/>
    <w:rsid w:val="65A3E846"/>
    <w:rsid w:val="65A5A177"/>
    <w:rsid w:val="65A60D36"/>
    <w:rsid w:val="65A76A88"/>
    <w:rsid w:val="65A7F371"/>
    <w:rsid w:val="65ABC937"/>
    <w:rsid w:val="65ABDBDA"/>
    <w:rsid w:val="65AEE1F7"/>
    <w:rsid w:val="65AF5C5A"/>
    <w:rsid w:val="65AFA107"/>
    <w:rsid w:val="65B28EDF"/>
    <w:rsid w:val="65B6BED8"/>
    <w:rsid w:val="65B7CD6E"/>
    <w:rsid w:val="65BE9957"/>
    <w:rsid w:val="65BEBFDF"/>
    <w:rsid w:val="65C13D1C"/>
    <w:rsid w:val="65C154D7"/>
    <w:rsid w:val="65C2BE39"/>
    <w:rsid w:val="65C44EBA"/>
    <w:rsid w:val="65C632EB"/>
    <w:rsid w:val="65C65D7F"/>
    <w:rsid w:val="65C7ED40"/>
    <w:rsid w:val="65CA9C0C"/>
    <w:rsid w:val="65CEF948"/>
    <w:rsid w:val="65D053E6"/>
    <w:rsid w:val="65D0C6CB"/>
    <w:rsid w:val="65D13063"/>
    <w:rsid w:val="65D47908"/>
    <w:rsid w:val="65D57813"/>
    <w:rsid w:val="65DC5EAE"/>
    <w:rsid w:val="65DDE362"/>
    <w:rsid w:val="65DE01EB"/>
    <w:rsid w:val="65DEE16E"/>
    <w:rsid w:val="65E1D2ED"/>
    <w:rsid w:val="65E36EFF"/>
    <w:rsid w:val="65E513D2"/>
    <w:rsid w:val="65E52E4B"/>
    <w:rsid w:val="65E5A276"/>
    <w:rsid w:val="65E5CB6C"/>
    <w:rsid w:val="65E9D21A"/>
    <w:rsid w:val="65E9DC01"/>
    <w:rsid w:val="65EBB510"/>
    <w:rsid w:val="65ED3317"/>
    <w:rsid w:val="65F1176A"/>
    <w:rsid w:val="65F13CAC"/>
    <w:rsid w:val="65F17756"/>
    <w:rsid w:val="65F1823C"/>
    <w:rsid w:val="65F4AC15"/>
    <w:rsid w:val="65F4EFE1"/>
    <w:rsid w:val="65FE2FEE"/>
    <w:rsid w:val="65FEC76C"/>
    <w:rsid w:val="65FF03CF"/>
    <w:rsid w:val="65FF5C04"/>
    <w:rsid w:val="6605C488"/>
    <w:rsid w:val="660E5580"/>
    <w:rsid w:val="660EB187"/>
    <w:rsid w:val="66117CAE"/>
    <w:rsid w:val="66135D3D"/>
    <w:rsid w:val="66136426"/>
    <w:rsid w:val="6613A726"/>
    <w:rsid w:val="6615F6E7"/>
    <w:rsid w:val="661822D2"/>
    <w:rsid w:val="661BDB34"/>
    <w:rsid w:val="66202A86"/>
    <w:rsid w:val="6623720B"/>
    <w:rsid w:val="66292900"/>
    <w:rsid w:val="66298C7F"/>
    <w:rsid w:val="662E0204"/>
    <w:rsid w:val="66398E82"/>
    <w:rsid w:val="663A230A"/>
    <w:rsid w:val="663B4E8A"/>
    <w:rsid w:val="663D6C78"/>
    <w:rsid w:val="663FA69D"/>
    <w:rsid w:val="66416E12"/>
    <w:rsid w:val="664198CC"/>
    <w:rsid w:val="66424BA3"/>
    <w:rsid w:val="664573B5"/>
    <w:rsid w:val="664A5BCC"/>
    <w:rsid w:val="664B3F34"/>
    <w:rsid w:val="664FDC11"/>
    <w:rsid w:val="6654E686"/>
    <w:rsid w:val="6654E97C"/>
    <w:rsid w:val="665577D9"/>
    <w:rsid w:val="66574882"/>
    <w:rsid w:val="66577940"/>
    <w:rsid w:val="66582684"/>
    <w:rsid w:val="6658C3A4"/>
    <w:rsid w:val="6658F50B"/>
    <w:rsid w:val="6659B32D"/>
    <w:rsid w:val="665B09C3"/>
    <w:rsid w:val="665DBE18"/>
    <w:rsid w:val="665E85E7"/>
    <w:rsid w:val="66623D38"/>
    <w:rsid w:val="66693C92"/>
    <w:rsid w:val="666A3856"/>
    <w:rsid w:val="666ABEBF"/>
    <w:rsid w:val="666E5AA3"/>
    <w:rsid w:val="66707133"/>
    <w:rsid w:val="6672462A"/>
    <w:rsid w:val="6672F889"/>
    <w:rsid w:val="66743817"/>
    <w:rsid w:val="66749977"/>
    <w:rsid w:val="6676C56C"/>
    <w:rsid w:val="6679CBEF"/>
    <w:rsid w:val="667C9CE6"/>
    <w:rsid w:val="6680B6DA"/>
    <w:rsid w:val="66825EE1"/>
    <w:rsid w:val="6684E000"/>
    <w:rsid w:val="6686206D"/>
    <w:rsid w:val="6688181D"/>
    <w:rsid w:val="66891412"/>
    <w:rsid w:val="668B34E1"/>
    <w:rsid w:val="6693AA20"/>
    <w:rsid w:val="66958EC9"/>
    <w:rsid w:val="6697A029"/>
    <w:rsid w:val="669D8E6F"/>
    <w:rsid w:val="66A248DE"/>
    <w:rsid w:val="66A2B512"/>
    <w:rsid w:val="66A477BE"/>
    <w:rsid w:val="66A567D0"/>
    <w:rsid w:val="66A5A039"/>
    <w:rsid w:val="66A852F5"/>
    <w:rsid w:val="66A9B2C4"/>
    <w:rsid w:val="66AA8006"/>
    <w:rsid w:val="66AAC00E"/>
    <w:rsid w:val="66AB5E28"/>
    <w:rsid w:val="66AB91C8"/>
    <w:rsid w:val="66ABE7CD"/>
    <w:rsid w:val="66ACD6C4"/>
    <w:rsid w:val="66AFBB0F"/>
    <w:rsid w:val="66B0E09D"/>
    <w:rsid w:val="66B11802"/>
    <w:rsid w:val="66B2039B"/>
    <w:rsid w:val="66B22898"/>
    <w:rsid w:val="66B32AD5"/>
    <w:rsid w:val="66B3A943"/>
    <w:rsid w:val="66B5D031"/>
    <w:rsid w:val="66B98A09"/>
    <w:rsid w:val="66BE5907"/>
    <w:rsid w:val="66C1C26E"/>
    <w:rsid w:val="66C4C23B"/>
    <w:rsid w:val="66CA5A8E"/>
    <w:rsid w:val="66CEC102"/>
    <w:rsid w:val="66CED21C"/>
    <w:rsid w:val="66D2999D"/>
    <w:rsid w:val="66D50A11"/>
    <w:rsid w:val="66D730CF"/>
    <w:rsid w:val="66D7352B"/>
    <w:rsid w:val="66D945E1"/>
    <w:rsid w:val="66D97A5C"/>
    <w:rsid w:val="66DA28DA"/>
    <w:rsid w:val="66DA2F72"/>
    <w:rsid w:val="66DAD2D9"/>
    <w:rsid w:val="66DD0A77"/>
    <w:rsid w:val="66DE230B"/>
    <w:rsid w:val="66DFBDEE"/>
    <w:rsid w:val="66E19C39"/>
    <w:rsid w:val="66E1FB75"/>
    <w:rsid w:val="66E29ADE"/>
    <w:rsid w:val="66E2FBE2"/>
    <w:rsid w:val="66E32D38"/>
    <w:rsid w:val="66E3DBA6"/>
    <w:rsid w:val="66E5D3F2"/>
    <w:rsid w:val="66E79C49"/>
    <w:rsid w:val="66F0A624"/>
    <w:rsid w:val="66F0EB2C"/>
    <w:rsid w:val="66F48698"/>
    <w:rsid w:val="66F78B5D"/>
    <w:rsid w:val="66F7E564"/>
    <w:rsid w:val="66F91AD1"/>
    <w:rsid w:val="66FAE2DE"/>
    <w:rsid w:val="66FE893E"/>
    <w:rsid w:val="66FEDECC"/>
    <w:rsid w:val="66FF7A25"/>
    <w:rsid w:val="66FF87C2"/>
    <w:rsid w:val="6700DD79"/>
    <w:rsid w:val="67010E02"/>
    <w:rsid w:val="6702AF0D"/>
    <w:rsid w:val="67043850"/>
    <w:rsid w:val="67063003"/>
    <w:rsid w:val="67070F7F"/>
    <w:rsid w:val="670979F9"/>
    <w:rsid w:val="670A5FC2"/>
    <w:rsid w:val="6711F12A"/>
    <w:rsid w:val="671462B3"/>
    <w:rsid w:val="6715EA70"/>
    <w:rsid w:val="6717B3E6"/>
    <w:rsid w:val="67188CAF"/>
    <w:rsid w:val="671A93AB"/>
    <w:rsid w:val="6723D2D6"/>
    <w:rsid w:val="6724A6D7"/>
    <w:rsid w:val="6727DFC2"/>
    <w:rsid w:val="67283AFD"/>
    <w:rsid w:val="67283CEE"/>
    <w:rsid w:val="67296EFA"/>
    <w:rsid w:val="673197E5"/>
    <w:rsid w:val="6738152E"/>
    <w:rsid w:val="673CF4FA"/>
    <w:rsid w:val="673D9717"/>
    <w:rsid w:val="6740D8ED"/>
    <w:rsid w:val="6741A7B9"/>
    <w:rsid w:val="6743E370"/>
    <w:rsid w:val="674463A3"/>
    <w:rsid w:val="6744A24A"/>
    <w:rsid w:val="6744DA72"/>
    <w:rsid w:val="6745DB30"/>
    <w:rsid w:val="6748D7CE"/>
    <w:rsid w:val="67506B4D"/>
    <w:rsid w:val="675296F9"/>
    <w:rsid w:val="67539153"/>
    <w:rsid w:val="6757FEF5"/>
    <w:rsid w:val="675C45B6"/>
    <w:rsid w:val="675DF3EB"/>
    <w:rsid w:val="675E39CC"/>
    <w:rsid w:val="67658A19"/>
    <w:rsid w:val="67661C33"/>
    <w:rsid w:val="67680AFC"/>
    <w:rsid w:val="676B06A0"/>
    <w:rsid w:val="676BB2E4"/>
    <w:rsid w:val="67714371"/>
    <w:rsid w:val="6774B200"/>
    <w:rsid w:val="677566AC"/>
    <w:rsid w:val="6775DF9F"/>
    <w:rsid w:val="677807D1"/>
    <w:rsid w:val="677A9989"/>
    <w:rsid w:val="677B8ED1"/>
    <w:rsid w:val="677BADEE"/>
    <w:rsid w:val="677DB322"/>
    <w:rsid w:val="6781AEBF"/>
    <w:rsid w:val="6781F14A"/>
    <w:rsid w:val="67842E4E"/>
    <w:rsid w:val="678563D2"/>
    <w:rsid w:val="678CE231"/>
    <w:rsid w:val="678EEDA0"/>
    <w:rsid w:val="6790723C"/>
    <w:rsid w:val="67928083"/>
    <w:rsid w:val="67931C35"/>
    <w:rsid w:val="6795E5B5"/>
    <w:rsid w:val="6798D61E"/>
    <w:rsid w:val="679A75D9"/>
    <w:rsid w:val="67A15381"/>
    <w:rsid w:val="67A24670"/>
    <w:rsid w:val="67A7B12B"/>
    <w:rsid w:val="67A7FB42"/>
    <w:rsid w:val="67A8A328"/>
    <w:rsid w:val="67AB0D32"/>
    <w:rsid w:val="67AE0833"/>
    <w:rsid w:val="67AE3CC7"/>
    <w:rsid w:val="67AE9AED"/>
    <w:rsid w:val="67AEE24B"/>
    <w:rsid w:val="67AFDB84"/>
    <w:rsid w:val="67AFF70A"/>
    <w:rsid w:val="67B0FA0B"/>
    <w:rsid w:val="67B3891C"/>
    <w:rsid w:val="67B3A8EA"/>
    <w:rsid w:val="67B5372A"/>
    <w:rsid w:val="67B5C138"/>
    <w:rsid w:val="67B776D9"/>
    <w:rsid w:val="67B8C093"/>
    <w:rsid w:val="67B97FCB"/>
    <w:rsid w:val="67BBAFB4"/>
    <w:rsid w:val="67BD0B38"/>
    <w:rsid w:val="67C076D2"/>
    <w:rsid w:val="67C2783B"/>
    <w:rsid w:val="67C2CD0A"/>
    <w:rsid w:val="67C574DB"/>
    <w:rsid w:val="67CC938D"/>
    <w:rsid w:val="67CF678C"/>
    <w:rsid w:val="67D17B0D"/>
    <w:rsid w:val="67D3645C"/>
    <w:rsid w:val="67D41A7A"/>
    <w:rsid w:val="67D48D67"/>
    <w:rsid w:val="67DA62DD"/>
    <w:rsid w:val="67DA981D"/>
    <w:rsid w:val="67DAB85A"/>
    <w:rsid w:val="67DC87D0"/>
    <w:rsid w:val="67E0C4DD"/>
    <w:rsid w:val="67E1931F"/>
    <w:rsid w:val="67EAB682"/>
    <w:rsid w:val="67ED10C0"/>
    <w:rsid w:val="67F31927"/>
    <w:rsid w:val="67F5B451"/>
    <w:rsid w:val="67F968B8"/>
    <w:rsid w:val="67FB8DC7"/>
    <w:rsid w:val="67FE6DBF"/>
    <w:rsid w:val="67FFE79B"/>
    <w:rsid w:val="6800A74B"/>
    <w:rsid w:val="680583F5"/>
    <w:rsid w:val="6805FD28"/>
    <w:rsid w:val="68060598"/>
    <w:rsid w:val="680658CE"/>
    <w:rsid w:val="6807F07C"/>
    <w:rsid w:val="680B6749"/>
    <w:rsid w:val="68108D16"/>
    <w:rsid w:val="68112463"/>
    <w:rsid w:val="6816CE16"/>
    <w:rsid w:val="681F5FFF"/>
    <w:rsid w:val="681FEB7C"/>
    <w:rsid w:val="68207E2A"/>
    <w:rsid w:val="682093F4"/>
    <w:rsid w:val="682478E1"/>
    <w:rsid w:val="6826A9D9"/>
    <w:rsid w:val="68279BB1"/>
    <w:rsid w:val="682D1DD9"/>
    <w:rsid w:val="682D209C"/>
    <w:rsid w:val="682E583C"/>
    <w:rsid w:val="682E9CD9"/>
    <w:rsid w:val="68317684"/>
    <w:rsid w:val="6831F6E2"/>
    <w:rsid w:val="6832A1FA"/>
    <w:rsid w:val="6832CBD4"/>
    <w:rsid w:val="68354351"/>
    <w:rsid w:val="6835A4B6"/>
    <w:rsid w:val="6836401A"/>
    <w:rsid w:val="6837DF84"/>
    <w:rsid w:val="683D0A5C"/>
    <w:rsid w:val="683F14BC"/>
    <w:rsid w:val="68401FC4"/>
    <w:rsid w:val="68412B6A"/>
    <w:rsid w:val="684159E6"/>
    <w:rsid w:val="684451FC"/>
    <w:rsid w:val="6845CBA8"/>
    <w:rsid w:val="6847F095"/>
    <w:rsid w:val="6848F9CC"/>
    <w:rsid w:val="684A6407"/>
    <w:rsid w:val="684CC330"/>
    <w:rsid w:val="684EF5CF"/>
    <w:rsid w:val="6850D78F"/>
    <w:rsid w:val="68574955"/>
    <w:rsid w:val="685808AB"/>
    <w:rsid w:val="685E802A"/>
    <w:rsid w:val="68620A64"/>
    <w:rsid w:val="6862A2E8"/>
    <w:rsid w:val="68666BEB"/>
    <w:rsid w:val="6868A1AF"/>
    <w:rsid w:val="68695B83"/>
    <w:rsid w:val="686AA51A"/>
    <w:rsid w:val="686B498F"/>
    <w:rsid w:val="6873E7D1"/>
    <w:rsid w:val="6877544A"/>
    <w:rsid w:val="68783CAA"/>
    <w:rsid w:val="687B55C7"/>
    <w:rsid w:val="687BE1D8"/>
    <w:rsid w:val="687CE9E6"/>
    <w:rsid w:val="687E0F2E"/>
    <w:rsid w:val="687F00A6"/>
    <w:rsid w:val="68806089"/>
    <w:rsid w:val="688181E2"/>
    <w:rsid w:val="6883190B"/>
    <w:rsid w:val="6886D51C"/>
    <w:rsid w:val="6889BD9B"/>
    <w:rsid w:val="68920676"/>
    <w:rsid w:val="68963577"/>
    <w:rsid w:val="68981E90"/>
    <w:rsid w:val="689A2E78"/>
    <w:rsid w:val="689B3730"/>
    <w:rsid w:val="68A352D7"/>
    <w:rsid w:val="68A55955"/>
    <w:rsid w:val="68A634C9"/>
    <w:rsid w:val="68A6DC3A"/>
    <w:rsid w:val="68A7C4DD"/>
    <w:rsid w:val="68AA383A"/>
    <w:rsid w:val="68AA9980"/>
    <w:rsid w:val="68B1CE2F"/>
    <w:rsid w:val="68B2ADBF"/>
    <w:rsid w:val="68B2F2D0"/>
    <w:rsid w:val="68B693F5"/>
    <w:rsid w:val="68B93845"/>
    <w:rsid w:val="68BA764C"/>
    <w:rsid w:val="68BBB666"/>
    <w:rsid w:val="68BD2360"/>
    <w:rsid w:val="68BEC64B"/>
    <w:rsid w:val="68C57C85"/>
    <w:rsid w:val="68C5967F"/>
    <w:rsid w:val="68C7FBFA"/>
    <w:rsid w:val="68C85323"/>
    <w:rsid w:val="68C9AE87"/>
    <w:rsid w:val="68CAF2E9"/>
    <w:rsid w:val="68D1DFB1"/>
    <w:rsid w:val="68D30CD5"/>
    <w:rsid w:val="68D62690"/>
    <w:rsid w:val="68D9D79A"/>
    <w:rsid w:val="68DBE9E6"/>
    <w:rsid w:val="68DCAB89"/>
    <w:rsid w:val="68E862B1"/>
    <w:rsid w:val="68E8B075"/>
    <w:rsid w:val="68E96342"/>
    <w:rsid w:val="68EA93C6"/>
    <w:rsid w:val="68EB36E2"/>
    <w:rsid w:val="68EEA2D0"/>
    <w:rsid w:val="68F22139"/>
    <w:rsid w:val="68F2505D"/>
    <w:rsid w:val="68F37DE0"/>
    <w:rsid w:val="68F598B2"/>
    <w:rsid w:val="68F8CDEC"/>
    <w:rsid w:val="68FBC059"/>
    <w:rsid w:val="68FC953A"/>
    <w:rsid w:val="68FD1357"/>
    <w:rsid w:val="68FD6B91"/>
    <w:rsid w:val="68FF77EC"/>
    <w:rsid w:val="68FFBEFB"/>
    <w:rsid w:val="690043A4"/>
    <w:rsid w:val="6900DDEE"/>
    <w:rsid w:val="6904722F"/>
    <w:rsid w:val="690509CB"/>
    <w:rsid w:val="69051D2C"/>
    <w:rsid w:val="69066E36"/>
    <w:rsid w:val="69073586"/>
    <w:rsid w:val="690C9336"/>
    <w:rsid w:val="690CB386"/>
    <w:rsid w:val="690E06CA"/>
    <w:rsid w:val="690FD4E7"/>
    <w:rsid w:val="6912E7CA"/>
    <w:rsid w:val="69134CA2"/>
    <w:rsid w:val="69143D64"/>
    <w:rsid w:val="69170C16"/>
    <w:rsid w:val="691CA085"/>
    <w:rsid w:val="691E9DDB"/>
    <w:rsid w:val="691F418B"/>
    <w:rsid w:val="691F753C"/>
    <w:rsid w:val="691F91FC"/>
    <w:rsid w:val="692152CE"/>
    <w:rsid w:val="6922B0EC"/>
    <w:rsid w:val="692778BF"/>
    <w:rsid w:val="6928FBE9"/>
    <w:rsid w:val="692BAE51"/>
    <w:rsid w:val="69308572"/>
    <w:rsid w:val="69322A93"/>
    <w:rsid w:val="69329181"/>
    <w:rsid w:val="6935ABD0"/>
    <w:rsid w:val="693CD1D6"/>
    <w:rsid w:val="6944A017"/>
    <w:rsid w:val="6944A803"/>
    <w:rsid w:val="69458EE4"/>
    <w:rsid w:val="694883C4"/>
    <w:rsid w:val="6948FD5E"/>
    <w:rsid w:val="6949289F"/>
    <w:rsid w:val="694A504A"/>
    <w:rsid w:val="69506470"/>
    <w:rsid w:val="6951049F"/>
    <w:rsid w:val="6951340A"/>
    <w:rsid w:val="69533B6C"/>
    <w:rsid w:val="69557C58"/>
    <w:rsid w:val="695786B7"/>
    <w:rsid w:val="69585000"/>
    <w:rsid w:val="695E740C"/>
    <w:rsid w:val="696593ED"/>
    <w:rsid w:val="6965A74D"/>
    <w:rsid w:val="6966BDAD"/>
    <w:rsid w:val="69673980"/>
    <w:rsid w:val="6968E726"/>
    <w:rsid w:val="6969E657"/>
    <w:rsid w:val="696BF30F"/>
    <w:rsid w:val="69727F2F"/>
    <w:rsid w:val="6973491E"/>
    <w:rsid w:val="6978FC1E"/>
    <w:rsid w:val="69790041"/>
    <w:rsid w:val="69796A3A"/>
    <w:rsid w:val="697972B4"/>
    <w:rsid w:val="69799F2A"/>
    <w:rsid w:val="6979AB24"/>
    <w:rsid w:val="697A8037"/>
    <w:rsid w:val="697B9693"/>
    <w:rsid w:val="697E454A"/>
    <w:rsid w:val="69857C42"/>
    <w:rsid w:val="69875FD9"/>
    <w:rsid w:val="698E383D"/>
    <w:rsid w:val="698F4C53"/>
    <w:rsid w:val="699226E2"/>
    <w:rsid w:val="6995DCA7"/>
    <w:rsid w:val="6996092D"/>
    <w:rsid w:val="69989200"/>
    <w:rsid w:val="6998A47D"/>
    <w:rsid w:val="6998C6DD"/>
    <w:rsid w:val="699A2CE0"/>
    <w:rsid w:val="699CBE5B"/>
    <w:rsid w:val="699D2E84"/>
    <w:rsid w:val="699D6B70"/>
    <w:rsid w:val="69A0FC42"/>
    <w:rsid w:val="69A25221"/>
    <w:rsid w:val="69A2B45E"/>
    <w:rsid w:val="69A4CD32"/>
    <w:rsid w:val="69ACB9BD"/>
    <w:rsid w:val="69ADA2FE"/>
    <w:rsid w:val="69B16FE2"/>
    <w:rsid w:val="69B2EEAF"/>
    <w:rsid w:val="69B316A0"/>
    <w:rsid w:val="69B40F99"/>
    <w:rsid w:val="69B656A3"/>
    <w:rsid w:val="69BB9496"/>
    <w:rsid w:val="69BBAF2E"/>
    <w:rsid w:val="69BD3995"/>
    <w:rsid w:val="69BE01EB"/>
    <w:rsid w:val="69BFB708"/>
    <w:rsid w:val="69C0302B"/>
    <w:rsid w:val="69C0C1B3"/>
    <w:rsid w:val="69C0EE16"/>
    <w:rsid w:val="69C38174"/>
    <w:rsid w:val="69C44D62"/>
    <w:rsid w:val="69C565B9"/>
    <w:rsid w:val="69C74765"/>
    <w:rsid w:val="69C901F9"/>
    <w:rsid w:val="69CA1C78"/>
    <w:rsid w:val="69D08960"/>
    <w:rsid w:val="69D257A5"/>
    <w:rsid w:val="69D276D1"/>
    <w:rsid w:val="69D580CB"/>
    <w:rsid w:val="69D5A06B"/>
    <w:rsid w:val="69D8256D"/>
    <w:rsid w:val="69D93DE4"/>
    <w:rsid w:val="69D9D5C6"/>
    <w:rsid w:val="69DD093D"/>
    <w:rsid w:val="69DD18F2"/>
    <w:rsid w:val="69E08A07"/>
    <w:rsid w:val="69E0D583"/>
    <w:rsid w:val="69E510FE"/>
    <w:rsid w:val="69E511C7"/>
    <w:rsid w:val="69E73C1A"/>
    <w:rsid w:val="69E8ECFD"/>
    <w:rsid w:val="69E9240B"/>
    <w:rsid w:val="69EA1E30"/>
    <w:rsid w:val="69EBB60E"/>
    <w:rsid w:val="69F32F83"/>
    <w:rsid w:val="69F36A47"/>
    <w:rsid w:val="69F45FF4"/>
    <w:rsid w:val="69F4A2E4"/>
    <w:rsid w:val="69F72B79"/>
    <w:rsid w:val="69F765B9"/>
    <w:rsid w:val="69FBE52B"/>
    <w:rsid w:val="69FDCAA4"/>
    <w:rsid w:val="6A00293C"/>
    <w:rsid w:val="6A03E316"/>
    <w:rsid w:val="6A041C99"/>
    <w:rsid w:val="6A04CB52"/>
    <w:rsid w:val="6A05062A"/>
    <w:rsid w:val="6A059FAD"/>
    <w:rsid w:val="6A0826EF"/>
    <w:rsid w:val="6A0BE5B0"/>
    <w:rsid w:val="6A105BB3"/>
    <w:rsid w:val="6A10C670"/>
    <w:rsid w:val="6A11E0A2"/>
    <w:rsid w:val="6A14C203"/>
    <w:rsid w:val="6A18F6E9"/>
    <w:rsid w:val="6A1B2B08"/>
    <w:rsid w:val="6A1BD54D"/>
    <w:rsid w:val="6A1DAA3D"/>
    <w:rsid w:val="6A2029A8"/>
    <w:rsid w:val="6A208D1E"/>
    <w:rsid w:val="6A28617E"/>
    <w:rsid w:val="6A286D3D"/>
    <w:rsid w:val="6A2A371A"/>
    <w:rsid w:val="6A2A76C1"/>
    <w:rsid w:val="6A2DC80D"/>
    <w:rsid w:val="6A2EE840"/>
    <w:rsid w:val="6A30E931"/>
    <w:rsid w:val="6A32BBBD"/>
    <w:rsid w:val="6A408C0E"/>
    <w:rsid w:val="6A421829"/>
    <w:rsid w:val="6A495A12"/>
    <w:rsid w:val="6A4CA7BA"/>
    <w:rsid w:val="6A4DCF94"/>
    <w:rsid w:val="6A4F2F4E"/>
    <w:rsid w:val="6A4F3191"/>
    <w:rsid w:val="6A4F92C8"/>
    <w:rsid w:val="6A51AEC6"/>
    <w:rsid w:val="6A59101F"/>
    <w:rsid w:val="6A597505"/>
    <w:rsid w:val="6A5DE376"/>
    <w:rsid w:val="6A611013"/>
    <w:rsid w:val="6A612D49"/>
    <w:rsid w:val="6A626552"/>
    <w:rsid w:val="6A6457B5"/>
    <w:rsid w:val="6A64FF4C"/>
    <w:rsid w:val="6A68140C"/>
    <w:rsid w:val="6A68CA52"/>
    <w:rsid w:val="6A6B9CFE"/>
    <w:rsid w:val="6A6BCA69"/>
    <w:rsid w:val="6A6DB693"/>
    <w:rsid w:val="6A6E8787"/>
    <w:rsid w:val="6A712C8B"/>
    <w:rsid w:val="6A73A355"/>
    <w:rsid w:val="6A7A0947"/>
    <w:rsid w:val="6A7C2376"/>
    <w:rsid w:val="6A7DC54B"/>
    <w:rsid w:val="6A7DE4B9"/>
    <w:rsid w:val="6A7E9011"/>
    <w:rsid w:val="6A7FED40"/>
    <w:rsid w:val="6A83F321"/>
    <w:rsid w:val="6A848048"/>
    <w:rsid w:val="6A8B159D"/>
    <w:rsid w:val="6A8D566E"/>
    <w:rsid w:val="6A8EAD56"/>
    <w:rsid w:val="6A8F387C"/>
    <w:rsid w:val="6A8F5B67"/>
    <w:rsid w:val="6A906CC7"/>
    <w:rsid w:val="6A938E0A"/>
    <w:rsid w:val="6A948B84"/>
    <w:rsid w:val="6A97C357"/>
    <w:rsid w:val="6A97E310"/>
    <w:rsid w:val="6A99F5F0"/>
    <w:rsid w:val="6A9F4DE6"/>
    <w:rsid w:val="6A9FBC74"/>
    <w:rsid w:val="6AA0DD27"/>
    <w:rsid w:val="6AA6E39F"/>
    <w:rsid w:val="6AA6EC8B"/>
    <w:rsid w:val="6AA78AEF"/>
    <w:rsid w:val="6AABF936"/>
    <w:rsid w:val="6AB9B03A"/>
    <w:rsid w:val="6ABA546E"/>
    <w:rsid w:val="6ABAAC6B"/>
    <w:rsid w:val="6ABDF623"/>
    <w:rsid w:val="6ABE5505"/>
    <w:rsid w:val="6AC04B4E"/>
    <w:rsid w:val="6AC22C46"/>
    <w:rsid w:val="6AC32A4E"/>
    <w:rsid w:val="6AC414DB"/>
    <w:rsid w:val="6AC4C776"/>
    <w:rsid w:val="6AC6864F"/>
    <w:rsid w:val="6ACA181F"/>
    <w:rsid w:val="6ACAC8A7"/>
    <w:rsid w:val="6ACBC3BE"/>
    <w:rsid w:val="6ACF5A7A"/>
    <w:rsid w:val="6AD02970"/>
    <w:rsid w:val="6AD05B56"/>
    <w:rsid w:val="6AD10A24"/>
    <w:rsid w:val="6ADC3403"/>
    <w:rsid w:val="6AE6B7B7"/>
    <w:rsid w:val="6AEAFE65"/>
    <w:rsid w:val="6AEB901C"/>
    <w:rsid w:val="6AEF9C10"/>
    <w:rsid w:val="6AF09DFE"/>
    <w:rsid w:val="6AF1AAAD"/>
    <w:rsid w:val="6AF2C06F"/>
    <w:rsid w:val="6AF47708"/>
    <w:rsid w:val="6AF858B6"/>
    <w:rsid w:val="6AF9A4D5"/>
    <w:rsid w:val="6AFD9B86"/>
    <w:rsid w:val="6AFE4458"/>
    <w:rsid w:val="6AFE5B01"/>
    <w:rsid w:val="6AFF8D31"/>
    <w:rsid w:val="6B016772"/>
    <w:rsid w:val="6B03C76A"/>
    <w:rsid w:val="6B03FE7A"/>
    <w:rsid w:val="6B042348"/>
    <w:rsid w:val="6B077F93"/>
    <w:rsid w:val="6B0AE01D"/>
    <w:rsid w:val="6B0CE0BB"/>
    <w:rsid w:val="6B10E36E"/>
    <w:rsid w:val="6B121F7A"/>
    <w:rsid w:val="6B12384C"/>
    <w:rsid w:val="6B12B075"/>
    <w:rsid w:val="6B1438A4"/>
    <w:rsid w:val="6B14D16B"/>
    <w:rsid w:val="6B16838A"/>
    <w:rsid w:val="6B186373"/>
    <w:rsid w:val="6B1871E7"/>
    <w:rsid w:val="6B1985ED"/>
    <w:rsid w:val="6B1B5E23"/>
    <w:rsid w:val="6B1D07E8"/>
    <w:rsid w:val="6B1ECFA7"/>
    <w:rsid w:val="6B1F34B3"/>
    <w:rsid w:val="6B21355C"/>
    <w:rsid w:val="6B213733"/>
    <w:rsid w:val="6B2244D2"/>
    <w:rsid w:val="6B22EE6C"/>
    <w:rsid w:val="6B25B871"/>
    <w:rsid w:val="6B25CFA5"/>
    <w:rsid w:val="6B273401"/>
    <w:rsid w:val="6B2A3416"/>
    <w:rsid w:val="6B2A637F"/>
    <w:rsid w:val="6B2D9EEC"/>
    <w:rsid w:val="6B2E7AE6"/>
    <w:rsid w:val="6B31D029"/>
    <w:rsid w:val="6B32B2DF"/>
    <w:rsid w:val="6B33BA6C"/>
    <w:rsid w:val="6B37A05A"/>
    <w:rsid w:val="6B37FEF0"/>
    <w:rsid w:val="6B390FE1"/>
    <w:rsid w:val="6B3A86FD"/>
    <w:rsid w:val="6B3B9E5A"/>
    <w:rsid w:val="6B3C83F7"/>
    <w:rsid w:val="6B3CF020"/>
    <w:rsid w:val="6B3CF2E0"/>
    <w:rsid w:val="6B3CF973"/>
    <w:rsid w:val="6B3D8711"/>
    <w:rsid w:val="6B3EBF5E"/>
    <w:rsid w:val="6B404021"/>
    <w:rsid w:val="6B40A359"/>
    <w:rsid w:val="6B415A87"/>
    <w:rsid w:val="6B41DD08"/>
    <w:rsid w:val="6B464690"/>
    <w:rsid w:val="6B4E18C1"/>
    <w:rsid w:val="6B4E8FEE"/>
    <w:rsid w:val="6B508B8D"/>
    <w:rsid w:val="6B527D4D"/>
    <w:rsid w:val="6B535081"/>
    <w:rsid w:val="6B55B067"/>
    <w:rsid w:val="6B5612B7"/>
    <w:rsid w:val="6B57D2A7"/>
    <w:rsid w:val="6B58826D"/>
    <w:rsid w:val="6B5A9530"/>
    <w:rsid w:val="6B5CA99A"/>
    <w:rsid w:val="6B5D63E9"/>
    <w:rsid w:val="6B681AAD"/>
    <w:rsid w:val="6B685DA9"/>
    <w:rsid w:val="6B687D2A"/>
    <w:rsid w:val="6B6E1574"/>
    <w:rsid w:val="6B6E34C5"/>
    <w:rsid w:val="6B6E6458"/>
    <w:rsid w:val="6B6F0949"/>
    <w:rsid w:val="6B779E61"/>
    <w:rsid w:val="6B7800A0"/>
    <w:rsid w:val="6B789902"/>
    <w:rsid w:val="6B7E0C29"/>
    <w:rsid w:val="6B7F555F"/>
    <w:rsid w:val="6B8323C5"/>
    <w:rsid w:val="6B834607"/>
    <w:rsid w:val="6B8549C0"/>
    <w:rsid w:val="6B856FF1"/>
    <w:rsid w:val="6B8E3164"/>
    <w:rsid w:val="6B8E9652"/>
    <w:rsid w:val="6B912B03"/>
    <w:rsid w:val="6B9842D6"/>
    <w:rsid w:val="6B9950D4"/>
    <w:rsid w:val="6B99B663"/>
    <w:rsid w:val="6B99C525"/>
    <w:rsid w:val="6B9A1F3C"/>
    <w:rsid w:val="6B9F7417"/>
    <w:rsid w:val="6BA24F7E"/>
    <w:rsid w:val="6BA39723"/>
    <w:rsid w:val="6BA43EEB"/>
    <w:rsid w:val="6BA63282"/>
    <w:rsid w:val="6BA6489D"/>
    <w:rsid w:val="6BA7479C"/>
    <w:rsid w:val="6BAD04E2"/>
    <w:rsid w:val="6BAE3226"/>
    <w:rsid w:val="6BB42C53"/>
    <w:rsid w:val="6BB58990"/>
    <w:rsid w:val="6BB66890"/>
    <w:rsid w:val="6BC03A33"/>
    <w:rsid w:val="6BC0437E"/>
    <w:rsid w:val="6BC1D777"/>
    <w:rsid w:val="6BC86759"/>
    <w:rsid w:val="6BC9BFF1"/>
    <w:rsid w:val="6BD1758B"/>
    <w:rsid w:val="6BD1D31E"/>
    <w:rsid w:val="6BD255B3"/>
    <w:rsid w:val="6BD6542D"/>
    <w:rsid w:val="6BD6B1E6"/>
    <w:rsid w:val="6BDC5D40"/>
    <w:rsid w:val="6BDD7842"/>
    <w:rsid w:val="6BE5EAD8"/>
    <w:rsid w:val="6BE9F0CF"/>
    <w:rsid w:val="6BEA5E9D"/>
    <w:rsid w:val="6BEC2AFD"/>
    <w:rsid w:val="6BF663E8"/>
    <w:rsid w:val="6BF673EE"/>
    <w:rsid w:val="6BFB4814"/>
    <w:rsid w:val="6BFC5C2B"/>
    <w:rsid w:val="6BFD2798"/>
    <w:rsid w:val="6BFF489D"/>
    <w:rsid w:val="6C0377A4"/>
    <w:rsid w:val="6C0534ED"/>
    <w:rsid w:val="6C0944BB"/>
    <w:rsid w:val="6C156CB2"/>
    <w:rsid w:val="6C1CB6D4"/>
    <w:rsid w:val="6C1EF16A"/>
    <w:rsid w:val="6C21E9E2"/>
    <w:rsid w:val="6C237690"/>
    <w:rsid w:val="6C247FA9"/>
    <w:rsid w:val="6C281C10"/>
    <w:rsid w:val="6C286157"/>
    <w:rsid w:val="6C303C2A"/>
    <w:rsid w:val="6C31EF33"/>
    <w:rsid w:val="6C329855"/>
    <w:rsid w:val="6C344E77"/>
    <w:rsid w:val="6C36101F"/>
    <w:rsid w:val="6C369748"/>
    <w:rsid w:val="6C387ADC"/>
    <w:rsid w:val="6C39C3D9"/>
    <w:rsid w:val="6C3A39A1"/>
    <w:rsid w:val="6C3A6D1F"/>
    <w:rsid w:val="6C3B1F4D"/>
    <w:rsid w:val="6C3DE3E0"/>
    <w:rsid w:val="6C3FD25F"/>
    <w:rsid w:val="6C4301A4"/>
    <w:rsid w:val="6C438A3F"/>
    <w:rsid w:val="6C438F36"/>
    <w:rsid w:val="6C483B57"/>
    <w:rsid w:val="6C4DEA6C"/>
    <w:rsid w:val="6C4E92C0"/>
    <w:rsid w:val="6C537E05"/>
    <w:rsid w:val="6C53A708"/>
    <w:rsid w:val="6C56789D"/>
    <w:rsid w:val="6C584B34"/>
    <w:rsid w:val="6C5B1E0B"/>
    <w:rsid w:val="6C5EF1F4"/>
    <w:rsid w:val="6C62103C"/>
    <w:rsid w:val="6C628165"/>
    <w:rsid w:val="6C628572"/>
    <w:rsid w:val="6C630553"/>
    <w:rsid w:val="6C66C167"/>
    <w:rsid w:val="6C69DD94"/>
    <w:rsid w:val="6C6A5171"/>
    <w:rsid w:val="6C6ACD3F"/>
    <w:rsid w:val="6C6BBBC0"/>
    <w:rsid w:val="6C70C24A"/>
    <w:rsid w:val="6C71CBB6"/>
    <w:rsid w:val="6C726510"/>
    <w:rsid w:val="6C748067"/>
    <w:rsid w:val="6C74D279"/>
    <w:rsid w:val="6C756051"/>
    <w:rsid w:val="6C804B14"/>
    <w:rsid w:val="6C815076"/>
    <w:rsid w:val="6C908AAA"/>
    <w:rsid w:val="6C9158A2"/>
    <w:rsid w:val="6C91BC57"/>
    <w:rsid w:val="6C92192D"/>
    <w:rsid w:val="6C94C7F4"/>
    <w:rsid w:val="6C956485"/>
    <w:rsid w:val="6C9BD577"/>
    <w:rsid w:val="6C9C0D84"/>
    <w:rsid w:val="6C9FFDFC"/>
    <w:rsid w:val="6CA29398"/>
    <w:rsid w:val="6CA40144"/>
    <w:rsid w:val="6CA46CBF"/>
    <w:rsid w:val="6CA6638A"/>
    <w:rsid w:val="6CA691A9"/>
    <w:rsid w:val="6CA8C693"/>
    <w:rsid w:val="6CB06C35"/>
    <w:rsid w:val="6CB1E77E"/>
    <w:rsid w:val="6CB369A0"/>
    <w:rsid w:val="6CB42054"/>
    <w:rsid w:val="6CB4B878"/>
    <w:rsid w:val="6CB8C7E8"/>
    <w:rsid w:val="6CBBDEF7"/>
    <w:rsid w:val="6CBFA18F"/>
    <w:rsid w:val="6CC4F86B"/>
    <w:rsid w:val="6CC9789C"/>
    <w:rsid w:val="6CCD48EA"/>
    <w:rsid w:val="6CCE02AE"/>
    <w:rsid w:val="6CD1D3E8"/>
    <w:rsid w:val="6CD225D9"/>
    <w:rsid w:val="6CD28F42"/>
    <w:rsid w:val="6CD3D6DC"/>
    <w:rsid w:val="6CD9CAD9"/>
    <w:rsid w:val="6CD9D543"/>
    <w:rsid w:val="6CDA0A68"/>
    <w:rsid w:val="6CDCB6DE"/>
    <w:rsid w:val="6CE0140E"/>
    <w:rsid w:val="6CE059A7"/>
    <w:rsid w:val="6CE22D8D"/>
    <w:rsid w:val="6CE9BECC"/>
    <w:rsid w:val="6CEB402C"/>
    <w:rsid w:val="6CEC944C"/>
    <w:rsid w:val="6CED0361"/>
    <w:rsid w:val="6CEDE2DE"/>
    <w:rsid w:val="6CF16170"/>
    <w:rsid w:val="6CF3937A"/>
    <w:rsid w:val="6CF4EBAD"/>
    <w:rsid w:val="6CF50158"/>
    <w:rsid w:val="6CF5694A"/>
    <w:rsid w:val="6CF6D4AA"/>
    <w:rsid w:val="6CF746C5"/>
    <w:rsid w:val="6CFE2ADC"/>
    <w:rsid w:val="6CFE7A77"/>
    <w:rsid w:val="6CFF430E"/>
    <w:rsid w:val="6D00ACEA"/>
    <w:rsid w:val="6D01501F"/>
    <w:rsid w:val="6D022FC9"/>
    <w:rsid w:val="6D02D426"/>
    <w:rsid w:val="6D03DA10"/>
    <w:rsid w:val="6D052A60"/>
    <w:rsid w:val="6D09DF53"/>
    <w:rsid w:val="6D09F595"/>
    <w:rsid w:val="6D0AA20E"/>
    <w:rsid w:val="6D0B466A"/>
    <w:rsid w:val="6D0C8855"/>
    <w:rsid w:val="6D0E8333"/>
    <w:rsid w:val="6D134828"/>
    <w:rsid w:val="6D14FC81"/>
    <w:rsid w:val="6D1ADD11"/>
    <w:rsid w:val="6D1DE56D"/>
    <w:rsid w:val="6D1F3456"/>
    <w:rsid w:val="6D264B30"/>
    <w:rsid w:val="6D2CEEED"/>
    <w:rsid w:val="6D308913"/>
    <w:rsid w:val="6D319B07"/>
    <w:rsid w:val="6D341AD8"/>
    <w:rsid w:val="6D3447BB"/>
    <w:rsid w:val="6D3B7312"/>
    <w:rsid w:val="6D41FB19"/>
    <w:rsid w:val="6D425658"/>
    <w:rsid w:val="6D449BE4"/>
    <w:rsid w:val="6D48769E"/>
    <w:rsid w:val="6D4D1C08"/>
    <w:rsid w:val="6D4E24EF"/>
    <w:rsid w:val="6D5195EC"/>
    <w:rsid w:val="6D52E3D6"/>
    <w:rsid w:val="6D5487DB"/>
    <w:rsid w:val="6D5863D4"/>
    <w:rsid w:val="6D599E02"/>
    <w:rsid w:val="6D5C92ED"/>
    <w:rsid w:val="6D610018"/>
    <w:rsid w:val="6D62C7FC"/>
    <w:rsid w:val="6D656865"/>
    <w:rsid w:val="6D676D5B"/>
    <w:rsid w:val="6D693B47"/>
    <w:rsid w:val="6D694FF1"/>
    <w:rsid w:val="6D6A9DE9"/>
    <w:rsid w:val="6D6DB467"/>
    <w:rsid w:val="6D715158"/>
    <w:rsid w:val="6D7530E4"/>
    <w:rsid w:val="6D761A60"/>
    <w:rsid w:val="6D7762B1"/>
    <w:rsid w:val="6D79310B"/>
    <w:rsid w:val="6D7D4952"/>
    <w:rsid w:val="6D87B5BA"/>
    <w:rsid w:val="6D8B969F"/>
    <w:rsid w:val="6D8D464A"/>
    <w:rsid w:val="6D90AF01"/>
    <w:rsid w:val="6D9168A0"/>
    <w:rsid w:val="6D917359"/>
    <w:rsid w:val="6D9A7031"/>
    <w:rsid w:val="6D9B14D6"/>
    <w:rsid w:val="6D9CBE9A"/>
    <w:rsid w:val="6DA10CDA"/>
    <w:rsid w:val="6DA279F8"/>
    <w:rsid w:val="6DA2C89D"/>
    <w:rsid w:val="6DA3385A"/>
    <w:rsid w:val="6DA95D44"/>
    <w:rsid w:val="6DAAFDA7"/>
    <w:rsid w:val="6DAEC895"/>
    <w:rsid w:val="6DB205C4"/>
    <w:rsid w:val="6DB640FF"/>
    <w:rsid w:val="6DB75815"/>
    <w:rsid w:val="6DB85BA5"/>
    <w:rsid w:val="6DBEC1B8"/>
    <w:rsid w:val="6DC09287"/>
    <w:rsid w:val="6DC0C24B"/>
    <w:rsid w:val="6DC3C8A1"/>
    <w:rsid w:val="6DC46552"/>
    <w:rsid w:val="6DC6025D"/>
    <w:rsid w:val="6DCAF966"/>
    <w:rsid w:val="6DCDD097"/>
    <w:rsid w:val="6DD00B26"/>
    <w:rsid w:val="6DD0692C"/>
    <w:rsid w:val="6DD17557"/>
    <w:rsid w:val="6DD413B0"/>
    <w:rsid w:val="6DD5721C"/>
    <w:rsid w:val="6DD75FA6"/>
    <w:rsid w:val="6DD87E6F"/>
    <w:rsid w:val="6DD9C1BD"/>
    <w:rsid w:val="6DDAE5BF"/>
    <w:rsid w:val="6DE6CE22"/>
    <w:rsid w:val="6DE8FD08"/>
    <w:rsid w:val="6DEAB267"/>
    <w:rsid w:val="6DEAE79A"/>
    <w:rsid w:val="6DEE74F5"/>
    <w:rsid w:val="6DEFBF30"/>
    <w:rsid w:val="6DF86811"/>
    <w:rsid w:val="6DFB47CC"/>
    <w:rsid w:val="6DFD35AB"/>
    <w:rsid w:val="6E037C0E"/>
    <w:rsid w:val="6E09D1ED"/>
    <w:rsid w:val="6E0A8851"/>
    <w:rsid w:val="6E0F7644"/>
    <w:rsid w:val="6E109D19"/>
    <w:rsid w:val="6E137043"/>
    <w:rsid w:val="6E13C905"/>
    <w:rsid w:val="6E146BD3"/>
    <w:rsid w:val="6E18DE50"/>
    <w:rsid w:val="6E1E87E0"/>
    <w:rsid w:val="6E1EC054"/>
    <w:rsid w:val="6E24F042"/>
    <w:rsid w:val="6E2F7624"/>
    <w:rsid w:val="6E318227"/>
    <w:rsid w:val="6E31E158"/>
    <w:rsid w:val="6E32ED35"/>
    <w:rsid w:val="6E370175"/>
    <w:rsid w:val="6E37780F"/>
    <w:rsid w:val="6E37CA51"/>
    <w:rsid w:val="6E39303C"/>
    <w:rsid w:val="6E39F451"/>
    <w:rsid w:val="6E3B83E4"/>
    <w:rsid w:val="6E40591E"/>
    <w:rsid w:val="6E41B31B"/>
    <w:rsid w:val="6E42615E"/>
    <w:rsid w:val="6E426BA5"/>
    <w:rsid w:val="6E49ED6A"/>
    <w:rsid w:val="6E526BBF"/>
    <w:rsid w:val="6E5301E5"/>
    <w:rsid w:val="6E539E1C"/>
    <w:rsid w:val="6E54409D"/>
    <w:rsid w:val="6E5481F8"/>
    <w:rsid w:val="6E54AE71"/>
    <w:rsid w:val="6E558B55"/>
    <w:rsid w:val="6E575BCE"/>
    <w:rsid w:val="6E5FD540"/>
    <w:rsid w:val="6E6022CF"/>
    <w:rsid w:val="6E6078D4"/>
    <w:rsid w:val="6E65C0D7"/>
    <w:rsid w:val="6E68C85E"/>
    <w:rsid w:val="6E68E923"/>
    <w:rsid w:val="6E6D1737"/>
    <w:rsid w:val="6E70AD42"/>
    <w:rsid w:val="6E73DD9F"/>
    <w:rsid w:val="6E751472"/>
    <w:rsid w:val="6E751C65"/>
    <w:rsid w:val="6E7599EB"/>
    <w:rsid w:val="6E75D96F"/>
    <w:rsid w:val="6E765E38"/>
    <w:rsid w:val="6E7CE861"/>
    <w:rsid w:val="6E7CF940"/>
    <w:rsid w:val="6E7DBFBA"/>
    <w:rsid w:val="6E815A36"/>
    <w:rsid w:val="6E8216A9"/>
    <w:rsid w:val="6E835CFD"/>
    <w:rsid w:val="6E8CDCA2"/>
    <w:rsid w:val="6E8E1A0C"/>
    <w:rsid w:val="6E901615"/>
    <w:rsid w:val="6E90E354"/>
    <w:rsid w:val="6E937CF3"/>
    <w:rsid w:val="6E9763EC"/>
    <w:rsid w:val="6E98C313"/>
    <w:rsid w:val="6EA13FC8"/>
    <w:rsid w:val="6EA5A7AF"/>
    <w:rsid w:val="6EAACF62"/>
    <w:rsid w:val="6EAC8E05"/>
    <w:rsid w:val="6EACB137"/>
    <w:rsid w:val="6EACED95"/>
    <w:rsid w:val="6EAF4BE3"/>
    <w:rsid w:val="6EB09EA3"/>
    <w:rsid w:val="6EB0FD9F"/>
    <w:rsid w:val="6EB11862"/>
    <w:rsid w:val="6EB29789"/>
    <w:rsid w:val="6EB2E547"/>
    <w:rsid w:val="6EB4136D"/>
    <w:rsid w:val="6EB7D473"/>
    <w:rsid w:val="6EB7FF55"/>
    <w:rsid w:val="6EBA43BD"/>
    <w:rsid w:val="6EBD10B3"/>
    <w:rsid w:val="6EC0C995"/>
    <w:rsid w:val="6EC1DDB1"/>
    <w:rsid w:val="6EC7E151"/>
    <w:rsid w:val="6ECA97C7"/>
    <w:rsid w:val="6ECCAD45"/>
    <w:rsid w:val="6ECD1AAE"/>
    <w:rsid w:val="6ECEF75A"/>
    <w:rsid w:val="6ECF9633"/>
    <w:rsid w:val="6ED364CC"/>
    <w:rsid w:val="6ED43DEA"/>
    <w:rsid w:val="6ED5E46D"/>
    <w:rsid w:val="6ED996C3"/>
    <w:rsid w:val="6EDA4026"/>
    <w:rsid w:val="6EDAF71C"/>
    <w:rsid w:val="6EDBF5CB"/>
    <w:rsid w:val="6EDC4F06"/>
    <w:rsid w:val="6EDCAD27"/>
    <w:rsid w:val="6EDD5137"/>
    <w:rsid w:val="6EDD6A72"/>
    <w:rsid w:val="6EDFD364"/>
    <w:rsid w:val="6EE171EC"/>
    <w:rsid w:val="6EE1B6F5"/>
    <w:rsid w:val="6EEB87C9"/>
    <w:rsid w:val="6EEE0DAE"/>
    <w:rsid w:val="6EEE9497"/>
    <w:rsid w:val="6EF2A78C"/>
    <w:rsid w:val="6EF535CE"/>
    <w:rsid w:val="6EF6429E"/>
    <w:rsid w:val="6EF92E36"/>
    <w:rsid w:val="6EF9C5EC"/>
    <w:rsid w:val="6EFBFA70"/>
    <w:rsid w:val="6EFF2896"/>
    <w:rsid w:val="6F002D8E"/>
    <w:rsid w:val="6F02E706"/>
    <w:rsid w:val="6F042710"/>
    <w:rsid w:val="6F044238"/>
    <w:rsid w:val="6F081D5B"/>
    <w:rsid w:val="6F0BAA67"/>
    <w:rsid w:val="6F0DDB0F"/>
    <w:rsid w:val="6F0FA3EA"/>
    <w:rsid w:val="6F1062DF"/>
    <w:rsid w:val="6F1B6FD7"/>
    <w:rsid w:val="6F1BD54A"/>
    <w:rsid w:val="6F1FCEE6"/>
    <w:rsid w:val="6F23A2BD"/>
    <w:rsid w:val="6F253128"/>
    <w:rsid w:val="6F2608B3"/>
    <w:rsid w:val="6F282082"/>
    <w:rsid w:val="6F29E014"/>
    <w:rsid w:val="6F2A906D"/>
    <w:rsid w:val="6F33E506"/>
    <w:rsid w:val="6F350781"/>
    <w:rsid w:val="6F36998B"/>
    <w:rsid w:val="6F36B7E5"/>
    <w:rsid w:val="6F37CD1B"/>
    <w:rsid w:val="6F39E23D"/>
    <w:rsid w:val="6F412EC4"/>
    <w:rsid w:val="6F422638"/>
    <w:rsid w:val="6F4542A9"/>
    <w:rsid w:val="6F45757F"/>
    <w:rsid w:val="6F458D91"/>
    <w:rsid w:val="6F47BB16"/>
    <w:rsid w:val="6F483FEC"/>
    <w:rsid w:val="6F4994D8"/>
    <w:rsid w:val="6F4A4686"/>
    <w:rsid w:val="6F4EF122"/>
    <w:rsid w:val="6F51B4ED"/>
    <w:rsid w:val="6F54CD55"/>
    <w:rsid w:val="6F5D9B5B"/>
    <w:rsid w:val="6F662367"/>
    <w:rsid w:val="6F688080"/>
    <w:rsid w:val="6F69EAB0"/>
    <w:rsid w:val="6F6A55E6"/>
    <w:rsid w:val="6F6B8126"/>
    <w:rsid w:val="6F6D15C3"/>
    <w:rsid w:val="6F6E2DD7"/>
    <w:rsid w:val="6F72C168"/>
    <w:rsid w:val="6F75036C"/>
    <w:rsid w:val="6F767D89"/>
    <w:rsid w:val="6F777985"/>
    <w:rsid w:val="6F789E8B"/>
    <w:rsid w:val="6F7A1FC6"/>
    <w:rsid w:val="6F7BEFF2"/>
    <w:rsid w:val="6F821B66"/>
    <w:rsid w:val="6F83FD03"/>
    <w:rsid w:val="6F86AF08"/>
    <w:rsid w:val="6F8732C5"/>
    <w:rsid w:val="6F87CBA2"/>
    <w:rsid w:val="6F8BD71B"/>
    <w:rsid w:val="6F8F7CC6"/>
    <w:rsid w:val="6F90AC32"/>
    <w:rsid w:val="6F9157BC"/>
    <w:rsid w:val="6F917782"/>
    <w:rsid w:val="6F91DC42"/>
    <w:rsid w:val="6F91F193"/>
    <w:rsid w:val="6F924DED"/>
    <w:rsid w:val="6F990CB9"/>
    <w:rsid w:val="6F9AF8A9"/>
    <w:rsid w:val="6F9DA310"/>
    <w:rsid w:val="6F9E260A"/>
    <w:rsid w:val="6F9E6DA9"/>
    <w:rsid w:val="6F9F0C66"/>
    <w:rsid w:val="6F9FE6AC"/>
    <w:rsid w:val="6FA22BEF"/>
    <w:rsid w:val="6FA41B70"/>
    <w:rsid w:val="6FA722CB"/>
    <w:rsid w:val="6FA75606"/>
    <w:rsid w:val="6FA9C742"/>
    <w:rsid w:val="6FAA7EE1"/>
    <w:rsid w:val="6FACA5D9"/>
    <w:rsid w:val="6FACCFBD"/>
    <w:rsid w:val="6FADD809"/>
    <w:rsid w:val="6FAE6FEA"/>
    <w:rsid w:val="6FB0513F"/>
    <w:rsid w:val="6FB098FC"/>
    <w:rsid w:val="6FBAD17D"/>
    <w:rsid w:val="6FBE0A45"/>
    <w:rsid w:val="6FC243C7"/>
    <w:rsid w:val="6FC345AC"/>
    <w:rsid w:val="6FC7E580"/>
    <w:rsid w:val="6FCEFBFA"/>
    <w:rsid w:val="6FD1EBCB"/>
    <w:rsid w:val="6FD266F8"/>
    <w:rsid w:val="6FD638A2"/>
    <w:rsid w:val="6FE4899B"/>
    <w:rsid w:val="6FE76342"/>
    <w:rsid w:val="6FE89169"/>
    <w:rsid w:val="6FEBF27D"/>
    <w:rsid w:val="6FF0CED6"/>
    <w:rsid w:val="6FF42B30"/>
    <w:rsid w:val="6FF54DA7"/>
    <w:rsid w:val="6FF58D97"/>
    <w:rsid w:val="6FF976C4"/>
    <w:rsid w:val="6FFBC2F5"/>
    <w:rsid w:val="6FFC6BE8"/>
    <w:rsid w:val="6FFD107D"/>
    <w:rsid w:val="6FFD112B"/>
    <w:rsid w:val="70009532"/>
    <w:rsid w:val="70024AC8"/>
    <w:rsid w:val="7004192D"/>
    <w:rsid w:val="70087B70"/>
    <w:rsid w:val="70107164"/>
    <w:rsid w:val="70124172"/>
    <w:rsid w:val="70171385"/>
    <w:rsid w:val="70192CDD"/>
    <w:rsid w:val="70192F13"/>
    <w:rsid w:val="701AA8B0"/>
    <w:rsid w:val="701CA38E"/>
    <w:rsid w:val="701D4DCD"/>
    <w:rsid w:val="701F0BEE"/>
    <w:rsid w:val="7020AE1A"/>
    <w:rsid w:val="7021486E"/>
    <w:rsid w:val="70256B40"/>
    <w:rsid w:val="7026A0FA"/>
    <w:rsid w:val="7029A704"/>
    <w:rsid w:val="7029E6DD"/>
    <w:rsid w:val="702DDC55"/>
    <w:rsid w:val="702EA888"/>
    <w:rsid w:val="7036CDE4"/>
    <w:rsid w:val="703825A7"/>
    <w:rsid w:val="703B2C24"/>
    <w:rsid w:val="703B40F9"/>
    <w:rsid w:val="703F11E0"/>
    <w:rsid w:val="703FD253"/>
    <w:rsid w:val="70408DEF"/>
    <w:rsid w:val="70414D68"/>
    <w:rsid w:val="704378DE"/>
    <w:rsid w:val="704404FE"/>
    <w:rsid w:val="704CC977"/>
    <w:rsid w:val="704D44CC"/>
    <w:rsid w:val="7050B660"/>
    <w:rsid w:val="7052F8B5"/>
    <w:rsid w:val="7054455E"/>
    <w:rsid w:val="705481DE"/>
    <w:rsid w:val="7054CD61"/>
    <w:rsid w:val="70573ABC"/>
    <w:rsid w:val="70575D17"/>
    <w:rsid w:val="705DEAC7"/>
    <w:rsid w:val="706250D3"/>
    <w:rsid w:val="70626823"/>
    <w:rsid w:val="70626CD3"/>
    <w:rsid w:val="70668285"/>
    <w:rsid w:val="7066DD38"/>
    <w:rsid w:val="70678B29"/>
    <w:rsid w:val="706D8609"/>
    <w:rsid w:val="706FD3B9"/>
    <w:rsid w:val="70764627"/>
    <w:rsid w:val="707774AC"/>
    <w:rsid w:val="7077E3CE"/>
    <w:rsid w:val="707A5412"/>
    <w:rsid w:val="707A8C05"/>
    <w:rsid w:val="707C0C05"/>
    <w:rsid w:val="707C8FED"/>
    <w:rsid w:val="707D61EA"/>
    <w:rsid w:val="707D9E8A"/>
    <w:rsid w:val="707F05AE"/>
    <w:rsid w:val="707FFC8C"/>
    <w:rsid w:val="7080E668"/>
    <w:rsid w:val="7080E8B0"/>
    <w:rsid w:val="70863154"/>
    <w:rsid w:val="708A2D21"/>
    <w:rsid w:val="708AD082"/>
    <w:rsid w:val="708E678E"/>
    <w:rsid w:val="70948AEB"/>
    <w:rsid w:val="7095C272"/>
    <w:rsid w:val="7098A0DA"/>
    <w:rsid w:val="7099109F"/>
    <w:rsid w:val="709CA913"/>
    <w:rsid w:val="709CDF3A"/>
    <w:rsid w:val="709F50F9"/>
    <w:rsid w:val="70A15995"/>
    <w:rsid w:val="70A76757"/>
    <w:rsid w:val="70A95694"/>
    <w:rsid w:val="70AAC08A"/>
    <w:rsid w:val="70AE6272"/>
    <w:rsid w:val="70AF4D8B"/>
    <w:rsid w:val="70B03724"/>
    <w:rsid w:val="70B09498"/>
    <w:rsid w:val="70BC9BF5"/>
    <w:rsid w:val="70BCEC24"/>
    <w:rsid w:val="70BD2BDF"/>
    <w:rsid w:val="70BDAFBB"/>
    <w:rsid w:val="70BF3183"/>
    <w:rsid w:val="70C11AE4"/>
    <w:rsid w:val="70C585C8"/>
    <w:rsid w:val="70CB09DC"/>
    <w:rsid w:val="70CB9924"/>
    <w:rsid w:val="70CEC687"/>
    <w:rsid w:val="70D0E1AE"/>
    <w:rsid w:val="70D18CD4"/>
    <w:rsid w:val="70D7187D"/>
    <w:rsid w:val="70DB71B1"/>
    <w:rsid w:val="70DCD252"/>
    <w:rsid w:val="70DEB503"/>
    <w:rsid w:val="70E4ECA7"/>
    <w:rsid w:val="70E63706"/>
    <w:rsid w:val="70E812EF"/>
    <w:rsid w:val="70E93682"/>
    <w:rsid w:val="70EE3F2A"/>
    <w:rsid w:val="70F021DA"/>
    <w:rsid w:val="70F7B4FB"/>
    <w:rsid w:val="70FAB794"/>
    <w:rsid w:val="70FACAFC"/>
    <w:rsid w:val="70FB7657"/>
    <w:rsid w:val="70FD8109"/>
    <w:rsid w:val="70FFAC1E"/>
    <w:rsid w:val="71014FF1"/>
    <w:rsid w:val="710231D5"/>
    <w:rsid w:val="71028217"/>
    <w:rsid w:val="71047D9A"/>
    <w:rsid w:val="710645AA"/>
    <w:rsid w:val="71065656"/>
    <w:rsid w:val="710D24F6"/>
    <w:rsid w:val="710DB291"/>
    <w:rsid w:val="710E47E7"/>
    <w:rsid w:val="710FE33F"/>
    <w:rsid w:val="7111555D"/>
    <w:rsid w:val="7112DB4C"/>
    <w:rsid w:val="7113D152"/>
    <w:rsid w:val="711427A9"/>
    <w:rsid w:val="711560AC"/>
    <w:rsid w:val="71171E3F"/>
    <w:rsid w:val="7118C970"/>
    <w:rsid w:val="7119B480"/>
    <w:rsid w:val="711B8EE6"/>
    <w:rsid w:val="711C5C23"/>
    <w:rsid w:val="711C637A"/>
    <w:rsid w:val="711CD1E3"/>
    <w:rsid w:val="711EEEB7"/>
    <w:rsid w:val="712678F7"/>
    <w:rsid w:val="71288D9C"/>
    <w:rsid w:val="71321E74"/>
    <w:rsid w:val="7137DCA9"/>
    <w:rsid w:val="713A5EB8"/>
    <w:rsid w:val="713DB2F7"/>
    <w:rsid w:val="71402F10"/>
    <w:rsid w:val="7140CD73"/>
    <w:rsid w:val="7143AFBB"/>
    <w:rsid w:val="7143D08A"/>
    <w:rsid w:val="714453CE"/>
    <w:rsid w:val="71456446"/>
    <w:rsid w:val="714F58E0"/>
    <w:rsid w:val="71566E1B"/>
    <w:rsid w:val="7159BA85"/>
    <w:rsid w:val="7159C97A"/>
    <w:rsid w:val="715C0DCC"/>
    <w:rsid w:val="715C4321"/>
    <w:rsid w:val="715DD4B6"/>
    <w:rsid w:val="7161AC43"/>
    <w:rsid w:val="7164AA28"/>
    <w:rsid w:val="7164BEF7"/>
    <w:rsid w:val="716915AB"/>
    <w:rsid w:val="7169518D"/>
    <w:rsid w:val="71695803"/>
    <w:rsid w:val="7174FC42"/>
    <w:rsid w:val="717594A8"/>
    <w:rsid w:val="717976F3"/>
    <w:rsid w:val="717C1041"/>
    <w:rsid w:val="717DF070"/>
    <w:rsid w:val="71807E82"/>
    <w:rsid w:val="71863634"/>
    <w:rsid w:val="7186AEC9"/>
    <w:rsid w:val="7188107A"/>
    <w:rsid w:val="71897E6D"/>
    <w:rsid w:val="718E99B7"/>
    <w:rsid w:val="71915C39"/>
    <w:rsid w:val="7194A39C"/>
    <w:rsid w:val="71966672"/>
    <w:rsid w:val="7196F0A5"/>
    <w:rsid w:val="7198E799"/>
    <w:rsid w:val="71997941"/>
    <w:rsid w:val="719A75B0"/>
    <w:rsid w:val="719BA156"/>
    <w:rsid w:val="719F62F6"/>
    <w:rsid w:val="71A0A072"/>
    <w:rsid w:val="71A385C2"/>
    <w:rsid w:val="71A6AA55"/>
    <w:rsid w:val="71AB37FC"/>
    <w:rsid w:val="71B24E69"/>
    <w:rsid w:val="71B5125C"/>
    <w:rsid w:val="71B6AD64"/>
    <w:rsid w:val="71B6DB0B"/>
    <w:rsid w:val="71BEAA8B"/>
    <w:rsid w:val="71BF0A80"/>
    <w:rsid w:val="71C05CC9"/>
    <w:rsid w:val="71C06DB6"/>
    <w:rsid w:val="71C09C54"/>
    <w:rsid w:val="71C0A4C4"/>
    <w:rsid w:val="71C95F34"/>
    <w:rsid w:val="71C9B5A7"/>
    <w:rsid w:val="71CE92AD"/>
    <w:rsid w:val="71CEF0E4"/>
    <w:rsid w:val="71CF4FE1"/>
    <w:rsid w:val="71D17FDC"/>
    <w:rsid w:val="71D4CCEF"/>
    <w:rsid w:val="71D7FCFD"/>
    <w:rsid w:val="71D98D46"/>
    <w:rsid w:val="71DAA869"/>
    <w:rsid w:val="71DDF318"/>
    <w:rsid w:val="71DE2CB6"/>
    <w:rsid w:val="71E34F4F"/>
    <w:rsid w:val="71E594E5"/>
    <w:rsid w:val="71E91060"/>
    <w:rsid w:val="71EAC8A9"/>
    <w:rsid w:val="71ED838A"/>
    <w:rsid w:val="71F48360"/>
    <w:rsid w:val="71F7286A"/>
    <w:rsid w:val="71F9211D"/>
    <w:rsid w:val="71F98F5C"/>
    <w:rsid w:val="71F9A07F"/>
    <w:rsid w:val="71FA0F47"/>
    <w:rsid w:val="71FB802E"/>
    <w:rsid w:val="71FCFAC5"/>
    <w:rsid w:val="7202FB40"/>
    <w:rsid w:val="720482E2"/>
    <w:rsid w:val="7205BA7B"/>
    <w:rsid w:val="7205DE70"/>
    <w:rsid w:val="72086FD5"/>
    <w:rsid w:val="72094DFC"/>
    <w:rsid w:val="720A7A89"/>
    <w:rsid w:val="720C9E43"/>
    <w:rsid w:val="720E4739"/>
    <w:rsid w:val="721591A3"/>
    <w:rsid w:val="7216B53B"/>
    <w:rsid w:val="7218E26F"/>
    <w:rsid w:val="72194FF3"/>
    <w:rsid w:val="721B432C"/>
    <w:rsid w:val="721D940A"/>
    <w:rsid w:val="72204C77"/>
    <w:rsid w:val="72212EA0"/>
    <w:rsid w:val="7221A1E1"/>
    <w:rsid w:val="72226ED4"/>
    <w:rsid w:val="722360B7"/>
    <w:rsid w:val="722490CB"/>
    <w:rsid w:val="7225C09D"/>
    <w:rsid w:val="72269346"/>
    <w:rsid w:val="7226C684"/>
    <w:rsid w:val="722941F4"/>
    <w:rsid w:val="72297002"/>
    <w:rsid w:val="722A33D3"/>
    <w:rsid w:val="722B4912"/>
    <w:rsid w:val="722C9094"/>
    <w:rsid w:val="722CD116"/>
    <w:rsid w:val="7231D109"/>
    <w:rsid w:val="7236AD7F"/>
    <w:rsid w:val="7236C2AE"/>
    <w:rsid w:val="723893F2"/>
    <w:rsid w:val="7238E28A"/>
    <w:rsid w:val="72395ACC"/>
    <w:rsid w:val="723C6680"/>
    <w:rsid w:val="723CD4A0"/>
    <w:rsid w:val="723F1841"/>
    <w:rsid w:val="7242EEB4"/>
    <w:rsid w:val="7243081B"/>
    <w:rsid w:val="7243C36B"/>
    <w:rsid w:val="72459533"/>
    <w:rsid w:val="72461CA8"/>
    <w:rsid w:val="72559C19"/>
    <w:rsid w:val="72578231"/>
    <w:rsid w:val="7257FD2B"/>
    <w:rsid w:val="725808E5"/>
    <w:rsid w:val="72582D12"/>
    <w:rsid w:val="725854BE"/>
    <w:rsid w:val="725E585C"/>
    <w:rsid w:val="726A5277"/>
    <w:rsid w:val="726BA7F7"/>
    <w:rsid w:val="7271B14F"/>
    <w:rsid w:val="7272A816"/>
    <w:rsid w:val="7277AAE1"/>
    <w:rsid w:val="727CECB1"/>
    <w:rsid w:val="727EBF27"/>
    <w:rsid w:val="7280E639"/>
    <w:rsid w:val="72819559"/>
    <w:rsid w:val="7284212F"/>
    <w:rsid w:val="7287A621"/>
    <w:rsid w:val="728818E4"/>
    <w:rsid w:val="728C60BE"/>
    <w:rsid w:val="728F8ED3"/>
    <w:rsid w:val="7290A6E2"/>
    <w:rsid w:val="7291B6B2"/>
    <w:rsid w:val="7293C946"/>
    <w:rsid w:val="729B71C9"/>
    <w:rsid w:val="729C1CBD"/>
    <w:rsid w:val="729C9CE8"/>
    <w:rsid w:val="729E07E2"/>
    <w:rsid w:val="729EBE25"/>
    <w:rsid w:val="72A1E8AC"/>
    <w:rsid w:val="72A2A08A"/>
    <w:rsid w:val="72AE3CE9"/>
    <w:rsid w:val="72B1EC6A"/>
    <w:rsid w:val="72B94AA1"/>
    <w:rsid w:val="72BA0491"/>
    <w:rsid w:val="72BA0CA9"/>
    <w:rsid w:val="72BA9211"/>
    <w:rsid w:val="72BB0F29"/>
    <w:rsid w:val="72BB6952"/>
    <w:rsid w:val="72BBE049"/>
    <w:rsid w:val="72BC12FC"/>
    <w:rsid w:val="72BEE260"/>
    <w:rsid w:val="72C3489A"/>
    <w:rsid w:val="72C53103"/>
    <w:rsid w:val="72C6900C"/>
    <w:rsid w:val="72C711AD"/>
    <w:rsid w:val="72C8488D"/>
    <w:rsid w:val="72C8AD98"/>
    <w:rsid w:val="72CB6D3F"/>
    <w:rsid w:val="72CCC4F4"/>
    <w:rsid w:val="72CE4F82"/>
    <w:rsid w:val="72CF6063"/>
    <w:rsid w:val="72D110AC"/>
    <w:rsid w:val="72D33C70"/>
    <w:rsid w:val="72D8D568"/>
    <w:rsid w:val="72EB9021"/>
    <w:rsid w:val="72ECBD73"/>
    <w:rsid w:val="72ECE716"/>
    <w:rsid w:val="72F02579"/>
    <w:rsid w:val="72F2C173"/>
    <w:rsid w:val="72F58AE6"/>
    <w:rsid w:val="72F64C93"/>
    <w:rsid w:val="72F80639"/>
    <w:rsid w:val="72F9EE24"/>
    <w:rsid w:val="72FC4D5B"/>
    <w:rsid w:val="73010BB2"/>
    <w:rsid w:val="73013C11"/>
    <w:rsid w:val="7301C6B9"/>
    <w:rsid w:val="7301EE95"/>
    <w:rsid w:val="730D2CBA"/>
    <w:rsid w:val="730E5BAF"/>
    <w:rsid w:val="730F4E22"/>
    <w:rsid w:val="7311A017"/>
    <w:rsid w:val="7314B788"/>
    <w:rsid w:val="731A9935"/>
    <w:rsid w:val="731AE3D1"/>
    <w:rsid w:val="731C026B"/>
    <w:rsid w:val="731E9956"/>
    <w:rsid w:val="7320747A"/>
    <w:rsid w:val="732519B3"/>
    <w:rsid w:val="73274936"/>
    <w:rsid w:val="7327BA97"/>
    <w:rsid w:val="73298241"/>
    <w:rsid w:val="7329C247"/>
    <w:rsid w:val="732AAD8C"/>
    <w:rsid w:val="732ADF1F"/>
    <w:rsid w:val="732D3ACE"/>
    <w:rsid w:val="732ECA7E"/>
    <w:rsid w:val="732FB2B5"/>
    <w:rsid w:val="7332256C"/>
    <w:rsid w:val="73345720"/>
    <w:rsid w:val="733AF64E"/>
    <w:rsid w:val="733D8936"/>
    <w:rsid w:val="734093BE"/>
    <w:rsid w:val="7340DB74"/>
    <w:rsid w:val="734265F3"/>
    <w:rsid w:val="734392E5"/>
    <w:rsid w:val="73455C58"/>
    <w:rsid w:val="734786E3"/>
    <w:rsid w:val="734C54E7"/>
    <w:rsid w:val="734C7D81"/>
    <w:rsid w:val="734D860F"/>
    <w:rsid w:val="7350D418"/>
    <w:rsid w:val="73538734"/>
    <w:rsid w:val="73541637"/>
    <w:rsid w:val="735609B7"/>
    <w:rsid w:val="73578771"/>
    <w:rsid w:val="7359F62D"/>
    <w:rsid w:val="735A2C8A"/>
    <w:rsid w:val="735D7069"/>
    <w:rsid w:val="7361FCE8"/>
    <w:rsid w:val="7362061F"/>
    <w:rsid w:val="7362A510"/>
    <w:rsid w:val="7365639E"/>
    <w:rsid w:val="73664040"/>
    <w:rsid w:val="73698A00"/>
    <w:rsid w:val="736C3B96"/>
    <w:rsid w:val="7377E3D0"/>
    <w:rsid w:val="737959D4"/>
    <w:rsid w:val="73795B9B"/>
    <w:rsid w:val="737B8818"/>
    <w:rsid w:val="737E28DA"/>
    <w:rsid w:val="7382AC7E"/>
    <w:rsid w:val="73881A07"/>
    <w:rsid w:val="738A2553"/>
    <w:rsid w:val="738AA825"/>
    <w:rsid w:val="738B569C"/>
    <w:rsid w:val="738D9E77"/>
    <w:rsid w:val="7392DA15"/>
    <w:rsid w:val="73965E3A"/>
    <w:rsid w:val="739802E0"/>
    <w:rsid w:val="73989406"/>
    <w:rsid w:val="739ACE89"/>
    <w:rsid w:val="739CC6C7"/>
    <w:rsid w:val="739E318C"/>
    <w:rsid w:val="739F006F"/>
    <w:rsid w:val="73A27AF0"/>
    <w:rsid w:val="73A30E6E"/>
    <w:rsid w:val="73A44036"/>
    <w:rsid w:val="73AFDBF0"/>
    <w:rsid w:val="73B1351E"/>
    <w:rsid w:val="73B2C1D5"/>
    <w:rsid w:val="73B3809D"/>
    <w:rsid w:val="73B728BB"/>
    <w:rsid w:val="73B750C9"/>
    <w:rsid w:val="73B8B2A5"/>
    <w:rsid w:val="73BB3119"/>
    <w:rsid w:val="73BEB504"/>
    <w:rsid w:val="73C01FEA"/>
    <w:rsid w:val="73C205A9"/>
    <w:rsid w:val="73C226B8"/>
    <w:rsid w:val="73C4B66A"/>
    <w:rsid w:val="73CCEA14"/>
    <w:rsid w:val="73D0FF80"/>
    <w:rsid w:val="73D1555E"/>
    <w:rsid w:val="73D39541"/>
    <w:rsid w:val="73D811A1"/>
    <w:rsid w:val="73D9099C"/>
    <w:rsid w:val="73DC1EFF"/>
    <w:rsid w:val="73E055FB"/>
    <w:rsid w:val="73E16524"/>
    <w:rsid w:val="73E29D2F"/>
    <w:rsid w:val="73E8683D"/>
    <w:rsid w:val="73E97C6A"/>
    <w:rsid w:val="73ED6855"/>
    <w:rsid w:val="73EF793E"/>
    <w:rsid w:val="73F183DA"/>
    <w:rsid w:val="73F3B3A3"/>
    <w:rsid w:val="73F78764"/>
    <w:rsid w:val="73F8C28C"/>
    <w:rsid w:val="73F91174"/>
    <w:rsid w:val="73FBBB17"/>
    <w:rsid w:val="73FE0C1A"/>
    <w:rsid w:val="73FE516C"/>
    <w:rsid w:val="73FF0907"/>
    <w:rsid w:val="7400231B"/>
    <w:rsid w:val="7401D2F9"/>
    <w:rsid w:val="74025D21"/>
    <w:rsid w:val="74027360"/>
    <w:rsid w:val="740292F6"/>
    <w:rsid w:val="74066749"/>
    <w:rsid w:val="7407BC57"/>
    <w:rsid w:val="7408AA45"/>
    <w:rsid w:val="740952D3"/>
    <w:rsid w:val="740BE890"/>
    <w:rsid w:val="740DBA1C"/>
    <w:rsid w:val="7411FA28"/>
    <w:rsid w:val="741579CE"/>
    <w:rsid w:val="74181EAB"/>
    <w:rsid w:val="741A5715"/>
    <w:rsid w:val="741BE8D0"/>
    <w:rsid w:val="741D0107"/>
    <w:rsid w:val="741DDDB5"/>
    <w:rsid w:val="74207862"/>
    <w:rsid w:val="7424BC22"/>
    <w:rsid w:val="7424C123"/>
    <w:rsid w:val="742682F1"/>
    <w:rsid w:val="742772E8"/>
    <w:rsid w:val="74283F8D"/>
    <w:rsid w:val="742CF067"/>
    <w:rsid w:val="742F9ACC"/>
    <w:rsid w:val="74311F1A"/>
    <w:rsid w:val="743146B7"/>
    <w:rsid w:val="7431ACCF"/>
    <w:rsid w:val="7432C052"/>
    <w:rsid w:val="7435DF0F"/>
    <w:rsid w:val="7437E710"/>
    <w:rsid w:val="743AF025"/>
    <w:rsid w:val="743CB4FA"/>
    <w:rsid w:val="743F65D4"/>
    <w:rsid w:val="743FB4C9"/>
    <w:rsid w:val="744181BA"/>
    <w:rsid w:val="7442106E"/>
    <w:rsid w:val="7442539B"/>
    <w:rsid w:val="7445FE48"/>
    <w:rsid w:val="74489E52"/>
    <w:rsid w:val="744B3EE8"/>
    <w:rsid w:val="744BC9C4"/>
    <w:rsid w:val="744F8D06"/>
    <w:rsid w:val="745394E4"/>
    <w:rsid w:val="74554E05"/>
    <w:rsid w:val="745959ED"/>
    <w:rsid w:val="745A8FA4"/>
    <w:rsid w:val="745AB33E"/>
    <w:rsid w:val="745CB282"/>
    <w:rsid w:val="7461C01B"/>
    <w:rsid w:val="746701A6"/>
    <w:rsid w:val="74698364"/>
    <w:rsid w:val="74699C5B"/>
    <w:rsid w:val="746A976C"/>
    <w:rsid w:val="7470C6D0"/>
    <w:rsid w:val="7475EF9F"/>
    <w:rsid w:val="74761C23"/>
    <w:rsid w:val="7476B44C"/>
    <w:rsid w:val="747A5361"/>
    <w:rsid w:val="747BA9D3"/>
    <w:rsid w:val="747D93E0"/>
    <w:rsid w:val="7483B024"/>
    <w:rsid w:val="7484DF52"/>
    <w:rsid w:val="7486A7EE"/>
    <w:rsid w:val="748ED005"/>
    <w:rsid w:val="748FD7C6"/>
    <w:rsid w:val="74903DE2"/>
    <w:rsid w:val="7490D28A"/>
    <w:rsid w:val="749138BB"/>
    <w:rsid w:val="7493EB04"/>
    <w:rsid w:val="74954D95"/>
    <w:rsid w:val="74970136"/>
    <w:rsid w:val="74979C6F"/>
    <w:rsid w:val="749802C9"/>
    <w:rsid w:val="749AA1E4"/>
    <w:rsid w:val="749B85E9"/>
    <w:rsid w:val="749C938B"/>
    <w:rsid w:val="74A190A7"/>
    <w:rsid w:val="74A1EB90"/>
    <w:rsid w:val="74A2823D"/>
    <w:rsid w:val="74A9E3ED"/>
    <w:rsid w:val="74ACF099"/>
    <w:rsid w:val="74AEBFFA"/>
    <w:rsid w:val="74B242C7"/>
    <w:rsid w:val="74B5FC1B"/>
    <w:rsid w:val="74B6EB4C"/>
    <w:rsid w:val="74B75C98"/>
    <w:rsid w:val="74B7A63D"/>
    <w:rsid w:val="74B888DC"/>
    <w:rsid w:val="74B98C5C"/>
    <w:rsid w:val="74BB0B21"/>
    <w:rsid w:val="74BC03B4"/>
    <w:rsid w:val="74BCA729"/>
    <w:rsid w:val="74C06775"/>
    <w:rsid w:val="74C13036"/>
    <w:rsid w:val="74C20995"/>
    <w:rsid w:val="74C24E1F"/>
    <w:rsid w:val="74C4ECFC"/>
    <w:rsid w:val="74C6DE48"/>
    <w:rsid w:val="74CAAC42"/>
    <w:rsid w:val="74CC3870"/>
    <w:rsid w:val="74CF1819"/>
    <w:rsid w:val="74D2AFAF"/>
    <w:rsid w:val="74D4FE6A"/>
    <w:rsid w:val="74D630F2"/>
    <w:rsid w:val="74D8BC10"/>
    <w:rsid w:val="74DE5634"/>
    <w:rsid w:val="74E154B8"/>
    <w:rsid w:val="74E27AF5"/>
    <w:rsid w:val="74E3DF0D"/>
    <w:rsid w:val="74EDE4E2"/>
    <w:rsid w:val="74EFAFBD"/>
    <w:rsid w:val="74F437DC"/>
    <w:rsid w:val="74F46F48"/>
    <w:rsid w:val="74F71D45"/>
    <w:rsid w:val="75000A8C"/>
    <w:rsid w:val="75009835"/>
    <w:rsid w:val="750415DF"/>
    <w:rsid w:val="750B97D3"/>
    <w:rsid w:val="750DAD4D"/>
    <w:rsid w:val="7513146B"/>
    <w:rsid w:val="75148E45"/>
    <w:rsid w:val="7517E2E2"/>
    <w:rsid w:val="7518280E"/>
    <w:rsid w:val="75182E9E"/>
    <w:rsid w:val="751C3D05"/>
    <w:rsid w:val="75210323"/>
    <w:rsid w:val="752498EB"/>
    <w:rsid w:val="75261DB6"/>
    <w:rsid w:val="752633B1"/>
    <w:rsid w:val="752CCCFE"/>
    <w:rsid w:val="752E92DB"/>
    <w:rsid w:val="7534DAA2"/>
    <w:rsid w:val="7534EA09"/>
    <w:rsid w:val="753F448F"/>
    <w:rsid w:val="75426897"/>
    <w:rsid w:val="75439115"/>
    <w:rsid w:val="75440541"/>
    <w:rsid w:val="7545EDA1"/>
    <w:rsid w:val="7546893A"/>
    <w:rsid w:val="754E6BF4"/>
    <w:rsid w:val="754F66F2"/>
    <w:rsid w:val="7552485E"/>
    <w:rsid w:val="7556BF8D"/>
    <w:rsid w:val="7560EAC2"/>
    <w:rsid w:val="75629B90"/>
    <w:rsid w:val="756350A4"/>
    <w:rsid w:val="7563731A"/>
    <w:rsid w:val="7563A128"/>
    <w:rsid w:val="7563B19E"/>
    <w:rsid w:val="756626F3"/>
    <w:rsid w:val="7566CF93"/>
    <w:rsid w:val="75679022"/>
    <w:rsid w:val="756961C7"/>
    <w:rsid w:val="7569FB51"/>
    <w:rsid w:val="756D980D"/>
    <w:rsid w:val="756EF692"/>
    <w:rsid w:val="756F2213"/>
    <w:rsid w:val="756F5803"/>
    <w:rsid w:val="756FAE0F"/>
    <w:rsid w:val="75703EC7"/>
    <w:rsid w:val="75708DD2"/>
    <w:rsid w:val="757145C7"/>
    <w:rsid w:val="7571C0D2"/>
    <w:rsid w:val="7574473D"/>
    <w:rsid w:val="757472BD"/>
    <w:rsid w:val="75753D85"/>
    <w:rsid w:val="7579BEA0"/>
    <w:rsid w:val="757B4EC4"/>
    <w:rsid w:val="757BA2C0"/>
    <w:rsid w:val="757DB3F1"/>
    <w:rsid w:val="757E22AE"/>
    <w:rsid w:val="757F0E80"/>
    <w:rsid w:val="7581142B"/>
    <w:rsid w:val="75817232"/>
    <w:rsid w:val="75845EA9"/>
    <w:rsid w:val="758938C4"/>
    <w:rsid w:val="758C0931"/>
    <w:rsid w:val="75900B7B"/>
    <w:rsid w:val="75907B7F"/>
    <w:rsid w:val="7590A236"/>
    <w:rsid w:val="759167C8"/>
    <w:rsid w:val="7591B1B1"/>
    <w:rsid w:val="7591EE11"/>
    <w:rsid w:val="7591FBD6"/>
    <w:rsid w:val="7595355B"/>
    <w:rsid w:val="7597FE13"/>
    <w:rsid w:val="75989F5F"/>
    <w:rsid w:val="759E182A"/>
    <w:rsid w:val="75A0C81E"/>
    <w:rsid w:val="75A33F4E"/>
    <w:rsid w:val="75A3A1D2"/>
    <w:rsid w:val="75A632ED"/>
    <w:rsid w:val="75A75CAC"/>
    <w:rsid w:val="75A92E7D"/>
    <w:rsid w:val="75AA8EA8"/>
    <w:rsid w:val="75ABE9F6"/>
    <w:rsid w:val="75B12D53"/>
    <w:rsid w:val="75B34759"/>
    <w:rsid w:val="75BA092F"/>
    <w:rsid w:val="75BC8C79"/>
    <w:rsid w:val="75BCE1FB"/>
    <w:rsid w:val="75BE342C"/>
    <w:rsid w:val="75C7C8CE"/>
    <w:rsid w:val="75D0D08B"/>
    <w:rsid w:val="75D3FD43"/>
    <w:rsid w:val="75D976AD"/>
    <w:rsid w:val="75DA44AC"/>
    <w:rsid w:val="75DA9A0D"/>
    <w:rsid w:val="75DD4F55"/>
    <w:rsid w:val="75E21A5D"/>
    <w:rsid w:val="75E7F33C"/>
    <w:rsid w:val="75EB1E20"/>
    <w:rsid w:val="75EB9156"/>
    <w:rsid w:val="75EEDFEC"/>
    <w:rsid w:val="75F05C3B"/>
    <w:rsid w:val="75F0E6CD"/>
    <w:rsid w:val="75F2A5DC"/>
    <w:rsid w:val="75F5C503"/>
    <w:rsid w:val="75FB24E0"/>
    <w:rsid w:val="75FC89A5"/>
    <w:rsid w:val="75FD0532"/>
    <w:rsid w:val="7600F198"/>
    <w:rsid w:val="760424EA"/>
    <w:rsid w:val="76057B60"/>
    <w:rsid w:val="76060CE5"/>
    <w:rsid w:val="7606B857"/>
    <w:rsid w:val="7607E3A7"/>
    <w:rsid w:val="760864E6"/>
    <w:rsid w:val="760B40B5"/>
    <w:rsid w:val="760E0BAF"/>
    <w:rsid w:val="76115A48"/>
    <w:rsid w:val="76136C53"/>
    <w:rsid w:val="76142AB4"/>
    <w:rsid w:val="7617179C"/>
    <w:rsid w:val="761761C0"/>
    <w:rsid w:val="7617ED7E"/>
    <w:rsid w:val="761AC1FD"/>
    <w:rsid w:val="761B1B95"/>
    <w:rsid w:val="761BE46A"/>
    <w:rsid w:val="7623D618"/>
    <w:rsid w:val="762673D9"/>
    <w:rsid w:val="762745E6"/>
    <w:rsid w:val="76288FB9"/>
    <w:rsid w:val="7629C431"/>
    <w:rsid w:val="762A5F16"/>
    <w:rsid w:val="762EF298"/>
    <w:rsid w:val="7633C833"/>
    <w:rsid w:val="7638CEBC"/>
    <w:rsid w:val="763FA7A8"/>
    <w:rsid w:val="764193CD"/>
    <w:rsid w:val="7647BA60"/>
    <w:rsid w:val="7649BD69"/>
    <w:rsid w:val="764B42A3"/>
    <w:rsid w:val="764B67A6"/>
    <w:rsid w:val="764CD86A"/>
    <w:rsid w:val="7653FE44"/>
    <w:rsid w:val="7654854A"/>
    <w:rsid w:val="7656929C"/>
    <w:rsid w:val="765715F7"/>
    <w:rsid w:val="76585357"/>
    <w:rsid w:val="7658679C"/>
    <w:rsid w:val="7659F037"/>
    <w:rsid w:val="765A5F4F"/>
    <w:rsid w:val="765D6240"/>
    <w:rsid w:val="765FC8CA"/>
    <w:rsid w:val="765FE93F"/>
    <w:rsid w:val="76642AAF"/>
    <w:rsid w:val="766581C1"/>
    <w:rsid w:val="767182D6"/>
    <w:rsid w:val="767A31F7"/>
    <w:rsid w:val="767BB597"/>
    <w:rsid w:val="767D0433"/>
    <w:rsid w:val="767DB3DB"/>
    <w:rsid w:val="7680CF24"/>
    <w:rsid w:val="7680D0F5"/>
    <w:rsid w:val="76858FF4"/>
    <w:rsid w:val="76888B56"/>
    <w:rsid w:val="768A0DE9"/>
    <w:rsid w:val="768AB331"/>
    <w:rsid w:val="768BFE7F"/>
    <w:rsid w:val="768D553B"/>
    <w:rsid w:val="7691E8EC"/>
    <w:rsid w:val="7692C8DA"/>
    <w:rsid w:val="76956842"/>
    <w:rsid w:val="769BF1C2"/>
    <w:rsid w:val="769D409D"/>
    <w:rsid w:val="769E0710"/>
    <w:rsid w:val="769E7848"/>
    <w:rsid w:val="76A02804"/>
    <w:rsid w:val="76A1B320"/>
    <w:rsid w:val="76A5A49A"/>
    <w:rsid w:val="76A5A84C"/>
    <w:rsid w:val="76A811F3"/>
    <w:rsid w:val="76A82FAC"/>
    <w:rsid w:val="76AA8B37"/>
    <w:rsid w:val="76AB1149"/>
    <w:rsid w:val="76AF50DB"/>
    <w:rsid w:val="76B1F0B4"/>
    <w:rsid w:val="76B7729B"/>
    <w:rsid w:val="76B90AC3"/>
    <w:rsid w:val="76BA0663"/>
    <w:rsid w:val="76C21E57"/>
    <w:rsid w:val="76C245CF"/>
    <w:rsid w:val="76C36D99"/>
    <w:rsid w:val="76C7F2EF"/>
    <w:rsid w:val="76C865DF"/>
    <w:rsid w:val="76CE8169"/>
    <w:rsid w:val="76D446E9"/>
    <w:rsid w:val="76D46736"/>
    <w:rsid w:val="76D478E8"/>
    <w:rsid w:val="76D93A9E"/>
    <w:rsid w:val="76DAF73B"/>
    <w:rsid w:val="76DB2345"/>
    <w:rsid w:val="76DCD905"/>
    <w:rsid w:val="76DEF111"/>
    <w:rsid w:val="76DFC3C8"/>
    <w:rsid w:val="76E0B5EC"/>
    <w:rsid w:val="76E20825"/>
    <w:rsid w:val="76E4151C"/>
    <w:rsid w:val="76EBCD9D"/>
    <w:rsid w:val="76EF4690"/>
    <w:rsid w:val="76F0DB28"/>
    <w:rsid w:val="76F0E982"/>
    <w:rsid w:val="76F101F6"/>
    <w:rsid w:val="76F1091A"/>
    <w:rsid w:val="76F1A3C0"/>
    <w:rsid w:val="76F9A894"/>
    <w:rsid w:val="76FDB2DD"/>
    <w:rsid w:val="76FFA4F9"/>
    <w:rsid w:val="76FFF419"/>
    <w:rsid w:val="7701049B"/>
    <w:rsid w:val="77010EE9"/>
    <w:rsid w:val="7701B74E"/>
    <w:rsid w:val="77046AF7"/>
    <w:rsid w:val="7704BC10"/>
    <w:rsid w:val="770580DF"/>
    <w:rsid w:val="7707CB46"/>
    <w:rsid w:val="7707E1A1"/>
    <w:rsid w:val="77086D1E"/>
    <w:rsid w:val="7708BE36"/>
    <w:rsid w:val="7709C6E8"/>
    <w:rsid w:val="770AE097"/>
    <w:rsid w:val="770B5CCE"/>
    <w:rsid w:val="770B9879"/>
    <w:rsid w:val="770CF4B4"/>
    <w:rsid w:val="77107A96"/>
    <w:rsid w:val="7712A99D"/>
    <w:rsid w:val="771365AC"/>
    <w:rsid w:val="77140042"/>
    <w:rsid w:val="771618AA"/>
    <w:rsid w:val="771D91C4"/>
    <w:rsid w:val="77212D71"/>
    <w:rsid w:val="77216013"/>
    <w:rsid w:val="77231980"/>
    <w:rsid w:val="7723BDA9"/>
    <w:rsid w:val="77264EEA"/>
    <w:rsid w:val="77270782"/>
    <w:rsid w:val="772891EB"/>
    <w:rsid w:val="772B1D05"/>
    <w:rsid w:val="772B96A7"/>
    <w:rsid w:val="772CAA7D"/>
    <w:rsid w:val="772D0B3C"/>
    <w:rsid w:val="77346C3B"/>
    <w:rsid w:val="77366046"/>
    <w:rsid w:val="77376C22"/>
    <w:rsid w:val="773B1738"/>
    <w:rsid w:val="773DBC1C"/>
    <w:rsid w:val="7745DCB7"/>
    <w:rsid w:val="7749413B"/>
    <w:rsid w:val="774B7F26"/>
    <w:rsid w:val="774E9BE2"/>
    <w:rsid w:val="774F45DA"/>
    <w:rsid w:val="774FD6A4"/>
    <w:rsid w:val="7751E174"/>
    <w:rsid w:val="7757B6A2"/>
    <w:rsid w:val="77584F62"/>
    <w:rsid w:val="775D00CB"/>
    <w:rsid w:val="77603ADB"/>
    <w:rsid w:val="7764556E"/>
    <w:rsid w:val="7766C1DC"/>
    <w:rsid w:val="7766CC2B"/>
    <w:rsid w:val="77679914"/>
    <w:rsid w:val="7767E88E"/>
    <w:rsid w:val="776DF529"/>
    <w:rsid w:val="776EDB74"/>
    <w:rsid w:val="777143BF"/>
    <w:rsid w:val="7771C587"/>
    <w:rsid w:val="77727CA1"/>
    <w:rsid w:val="777669A5"/>
    <w:rsid w:val="7777A3C5"/>
    <w:rsid w:val="777A2329"/>
    <w:rsid w:val="777A57DA"/>
    <w:rsid w:val="777D197B"/>
    <w:rsid w:val="7780BE1C"/>
    <w:rsid w:val="77816C8E"/>
    <w:rsid w:val="778240AA"/>
    <w:rsid w:val="77851843"/>
    <w:rsid w:val="778890F4"/>
    <w:rsid w:val="77889138"/>
    <w:rsid w:val="778C4180"/>
    <w:rsid w:val="778DFFCF"/>
    <w:rsid w:val="7793FA5E"/>
    <w:rsid w:val="779609D6"/>
    <w:rsid w:val="77968A80"/>
    <w:rsid w:val="7796BF3E"/>
    <w:rsid w:val="7796FF12"/>
    <w:rsid w:val="77978D58"/>
    <w:rsid w:val="7798698D"/>
    <w:rsid w:val="779EDFD6"/>
    <w:rsid w:val="779EF68C"/>
    <w:rsid w:val="77A06742"/>
    <w:rsid w:val="77A19269"/>
    <w:rsid w:val="77A6C7D2"/>
    <w:rsid w:val="77A8C39C"/>
    <w:rsid w:val="77A8D748"/>
    <w:rsid w:val="77A91FFD"/>
    <w:rsid w:val="77ADEA24"/>
    <w:rsid w:val="77AF38B4"/>
    <w:rsid w:val="77B71657"/>
    <w:rsid w:val="77B7A0F2"/>
    <w:rsid w:val="77BB561A"/>
    <w:rsid w:val="77BE4974"/>
    <w:rsid w:val="77BEF522"/>
    <w:rsid w:val="77C0BD5E"/>
    <w:rsid w:val="77C30B29"/>
    <w:rsid w:val="77C4AA85"/>
    <w:rsid w:val="77C71DD5"/>
    <w:rsid w:val="77C9DEE6"/>
    <w:rsid w:val="77CA326A"/>
    <w:rsid w:val="77CB747B"/>
    <w:rsid w:val="77CB7688"/>
    <w:rsid w:val="77CD3F45"/>
    <w:rsid w:val="77CDF8C6"/>
    <w:rsid w:val="77CF2F6A"/>
    <w:rsid w:val="77D15705"/>
    <w:rsid w:val="77D80DC7"/>
    <w:rsid w:val="77D96EA1"/>
    <w:rsid w:val="77D9BF31"/>
    <w:rsid w:val="77DC3FEE"/>
    <w:rsid w:val="77DF9C15"/>
    <w:rsid w:val="77E025A8"/>
    <w:rsid w:val="77E38C58"/>
    <w:rsid w:val="77E5A908"/>
    <w:rsid w:val="77EB32C2"/>
    <w:rsid w:val="77F0EC58"/>
    <w:rsid w:val="77F5A413"/>
    <w:rsid w:val="77F71E3F"/>
    <w:rsid w:val="77F73BB3"/>
    <w:rsid w:val="77F77D05"/>
    <w:rsid w:val="77FADA05"/>
    <w:rsid w:val="77FB87DE"/>
    <w:rsid w:val="77FBC093"/>
    <w:rsid w:val="77FFF959"/>
    <w:rsid w:val="78013032"/>
    <w:rsid w:val="7801C7C3"/>
    <w:rsid w:val="78078307"/>
    <w:rsid w:val="7807FD90"/>
    <w:rsid w:val="780C29EC"/>
    <w:rsid w:val="780C3106"/>
    <w:rsid w:val="780CC1F6"/>
    <w:rsid w:val="780D1899"/>
    <w:rsid w:val="780E17AF"/>
    <w:rsid w:val="780E53A7"/>
    <w:rsid w:val="781081AC"/>
    <w:rsid w:val="7813B95C"/>
    <w:rsid w:val="7813DE4F"/>
    <w:rsid w:val="78141FB2"/>
    <w:rsid w:val="7814395B"/>
    <w:rsid w:val="7815E414"/>
    <w:rsid w:val="78185F37"/>
    <w:rsid w:val="781AA94F"/>
    <w:rsid w:val="781AF5B1"/>
    <w:rsid w:val="78231E99"/>
    <w:rsid w:val="7827946B"/>
    <w:rsid w:val="782BBA9A"/>
    <w:rsid w:val="782C9EE2"/>
    <w:rsid w:val="782DB591"/>
    <w:rsid w:val="7831A385"/>
    <w:rsid w:val="78383401"/>
    <w:rsid w:val="78389245"/>
    <w:rsid w:val="783B8C13"/>
    <w:rsid w:val="783BB437"/>
    <w:rsid w:val="783C29CC"/>
    <w:rsid w:val="783F1C7A"/>
    <w:rsid w:val="7841A7F3"/>
    <w:rsid w:val="784A5BDF"/>
    <w:rsid w:val="784A5EE3"/>
    <w:rsid w:val="784A9AD1"/>
    <w:rsid w:val="784E60C8"/>
    <w:rsid w:val="784E65C5"/>
    <w:rsid w:val="784EC04D"/>
    <w:rsid w:val="784F23D8"/>
    <w:rsid w:val="78507EFB"/>
    <w:rsid w:val="7850C12A"/>
    <w:rsid w:val="7850D34E"/>
    <w:rsid w:val="7851103A"/>
    <w:rsid w:val="78530B86"/>
    <w:rsid w:val="7853EECF"/>
    <w:rsid w:val="78592148"/>
    <w:rsid w:val="785D145B"/>
    <w:rsid w:val="785F0BCC"/>
    <w:rsid w:val="785FF147"/>
    <w:rsid w:val="78666559"/>
    <w:rsid w:val="7866B440"/>
    <w:rsid w:val="786BE9BB"/>
    <w:rsid w:val="786C57A2"/>
    <w:rsid w:val="7870949F"/>
    <w:rsid w:val="7873F405"/>
    <w:rsid w:val="7876223F"/>
    <w:rsid w:val="7876307B"/>
    <w:rsid w:val="7876ABF5"/>
    <w:rsid w:val="78772E96"/>
    <w:rsid w:val="78782647"/>
    <w:rsid w:val="787B4226"/>
    <w:rsid w:val="787D598E"/>
    <w:rsid w:val="787EA0AD"/>
    <w:rsid w:val="78814993"/>
    <w:rsid w:val="78836FD9"/>
    <w:rsid w:val="78839AD7"/>
    <w:rsid w:val="788C98F6"/>
    <w:rsid w:val="788CBABF"/>
    <w:rsid w:val="788DBA18"/>
    <w:rsid w:val="788E68EC"/>
    <w:rsid w:val="788EBC61"/>
    <w:rsid w:val="78903D31"/>
    <w:rsid w:val="7891ABFB"/>
    <w:rsid w:val="7891F1B2"/>
    <w:rsid w:val="7893CF92"/>
    <w:rsid w:val="7895D55D"/>
    <w:rsid w:val="7899AB99"/>
    <w:rsid w:val="789C2D9C"/>
    <w:rsid w:val="78A07C69"/>
    <w:rsid w:val="78A7336D"/>
    <w:rsid w:val="78A81CDF"/>
    <w:rsid w:val="78A87BAC"/>
    <w:rsid w:val="78AD2952"/>
    <w:rsid w:val="78AD30AD"/>
    <w:rsid w:val="78B11215"/>
    <w:rsid w:val="78B12265"/>
    <w:rsid w:val="78B1E2D8"/>
    <w:rsid w:val="78B506A5"/>
    <w:rsid w:val="78B5750C"/>
    <w:rsid w:val="78B794D4"/>
    <w:rsid w:val="78B8E788"/>
    <w:rsid w:val="78B97F5A"/>
    <w:rsid w:val="78BE422A"/>
    <w:rsid w:val="78BEAD16"/>
    <w:rsid w:val="78C2BC04"/>
    <w:rsid w:val="78C327B0"/>
    <w:rsid w:val="78C41312"/>
    <w:rsid w:val="78C9992A"/>
    <w:rsid w:val="78CC5A8C"/>
    <w:rsid w:val="78CC96E3"/>
    <w:rsid w:val="78CEA0A5"/>
    <w:rsid w:val="78CEB692"/>
    <w:rsid w:val="78D06BA0"/>
    <w:rsid w:val="78D4A1FF"/>
    <w:rsid w:val="78D605A4"/>
    <w:rsid w:val="78DEB4E6"/>
    <w:rsid w:val="78DF78DC"/>
    <w:rsid w:val="78DF9C0C"/>
    <w:rsid w:val="78E14532"/>
    <w:rsid w:val="78E185C4"/>
    <w:rsid w:val="78E81EE9"/>
    <w:rsid w:val="78E9E28F"/>
    <w:rsid w:val="78EBB096"/>
    <w:rsid w:val="78EBD07D"/>
    <w:rsid w:val="78EC5FBB"/>
    <w:rsid w:val="78EFC74C"/>
    <w:rsid w:val="78F77699"/>
    <w:rsid w:val="78F790B7"/>
    <w:rsid w:val="78F7E757"/>
    <w:rsid w:val="78FC64B6"/>
    <w:rsid w:val="790356D1"/>
    <w:rsid w:val="7903C43C"/>
    <w:rsid w:val="7903F0E8"/>
    <w:rsid w:val="790688BB"/>
    <w:rsid w:val="79087F53"/>
    <w:rsid w:val="79093D2F"/>
    <w:rsid w:val="7909A77A"/>
    <w:rsid w:val="7909A9B7"/>
    <w:rsid w:val="790CC97A"/>
    <w:rsid w:val="790FB055"/>
    <w:rsid w:val="79143B8D"/>
    <w:rsid w:val="7914F80E"/>
    <w:rsid w:val="79158A99"/>
    <w:rsid w:val="79176479"/>
    <w:rsid w:val="7918F4A7"/>
    <w:rsid w:val="791B9E95"/>
    <w:rsid w:val="791D4566"/>
    <w:rsid w:val="791E5778"/>
    <w:rsid w:val="7920A2C2"/>
    <w:rsid w:val="79228BBB"/>
    <w:rsid w:val="79235F2F"/>
    <w:rsid w:val="79240039"/>
    <w:rsid w:val="7925B90A"/>
    <w:rsid w:val="79260572"/>
    <w:rsid w:val="79272241"/>
    <w:rsid w:val="7927D9FC"/>
    <w:rsid w:val="7928937A"/>
    <w:rsid w:val="792B8FBA"/>
    <w:rsid w:val="792C5266"/>
    <w:rsid w:val="792D15CD"/>
    <w:rsid w:val="7936816C"/>
    <w:rsid w:val="793D7D36"/>
    <w:rsid w:val="794317E2"/>
    <w:rsid w:val="79447590"/>
    <w:rsid w:val="79457FBD"/>
    <w:rsid w:val="79462ED8"/>
    <w:rsid w:val="79492B4D"/>
    <w:rsid w:val="794D71F1"/>
    <w:rsid w:val="794F67B9"/>
    <w:rsid w:val="7950C2F3"/>
    <w:rsid w:val="7951A2EC"/>
    <w:rsid w:val="7952A1CB"/>
    <w:rsid w:val="79542ACA"/>
    <w:rsid w:val="7957500F"/>
    <w:rsid w:val="79589BE1"/>
    <w:rsid w:val="795AC60D"/>
    <w:rsid w:val="795D4D79"/>
    <w:rsid w:val="795EC829"/>
    <w:rsid w:val="795FA669"/>
    <w:rsid w:val="796477DF"/>
    <w:rsid w:val="7969764D"/>
    <w:rsid w:val="796A3D34"/>
    <w:rsid w:val="79705207"/>
    <w:rsid w:val="79730BD1"/>
    <w:rsid w:val="7974BDEC"/>
    <w:rsid w:val="79750BDC"/>
    <w:rsid w:val="7975FEB0"/>
    <w:rsid w:val="797730BC"/>
    <w:rsid w:val="7977FABF"/>
    <w:rsid w:val="797D08FE"/>
    <w:rsid w:val="79817969"/>
    <w:rsid w:val="7982C6E7"/>
    <w:rsid w:val="79860EDD"/>
    <w:rsid w:val="79861DE0"/>
    <w:rsid w:val="798872A8"/>
    <w:rsid w:val="79889DE2"/>
    <w:rsid w:val="798FF596"/>
    <w:rsid w:val="79919FAA"/>
    <w:rsid w:val="7995BD2B"/>
    <w:rsid w:val="799A6D7C"/>
    <w:rsid w:val="799FE31A"/>
    <w:rsid w:val="79A090A4"/>
    <w:rsid w:val="79A3C55D"/>
    <w:rsid w:val="79A57E22"/>
    <w:rsid w:val="79A8735D"/>
    <w:rsid w:val="79AF6D09"/>
    <w:rsid w:val="79B458C8"/>
    <w:rsid w:val="79B728B1"/>
    <w:rsid w:val="79B8C78E"/>
    <w:rsid w:val="79C45698"/>
    <w:rsid w:val="79C64137"/>
    <w:rsid w:val="79C71506"/>
    <w:rsid w:val="79C78B19"/>
    <w:rsid w:val="79C9C38F"/>
    <w:rsid w:val="79CB1B5E"/>
    <w:rsid w:val="79CC19BD"/>
    <w:rsid w:val="79CF5582"/>
    <w:rsid w:val="79D073CA"/>
    <w:rsid w:val="79D2528B"/>
    <w:rsid w:val="79D44E43"/>
    <w:rsid w:val="79D45416"/>
    <w:rsid w:val="79D54EE5"/>
    <w:rsid w:val="79DE0876"/>
    <w:rsid w:val="79DF0A3D"/>
    <w:rsid w:val="79E0E33C"/>
    <w:rsid w:val="79E7E0CE"/>
    <w:rsid w:val="79E83352"/>
    <w:rsid w:val="79E9C56B"/>
    <w:rsid w:val="79EAE1A5"/>
    <w:rsid w:val="79EC449C"/>
    <w:rsid w:val="79ED117C"/>
    <w:rsid w:val="79F121C5"/>
    <w:rsid w:val="79F1C6E1"/>
    <w:rsid w:val="79F3495D"/>
    <w:rsid w:val="79F4245D"/>
    <w:rsid w:val="79F75B8B"/>
    <w:rsid w:val="79FA9BF1"/>
    <w:rsid w:val="79FE5DE5"/>
    <w:rsid w:val="7A00E83A"/>
    <w:rsid w:val="7A02ACDC"/>
    <w:rsid w:val="7A03BC2C"/>
    <w:rsid w:val="7A05275F"/>
    <w:rsid w:val="7A07284A"/>
    <w:rsid w:val="7A076A36"/>
    <w:rsid w:val="7A0A0838"/>
    <w:rsid w:val="7A0CBAA9"/>
    <w:rsid w:val="7A0D46DC"/>
    <w:rsid w:val="7A0E3EEA"/>
    <w:rsid w:val="7A109D1D"/>
    <w:rsid w:val="7A11CBFE"/>
    <w:rsid w:val="7A137FA7"/>
    <w:rsid w:val="7A18198F"/>
    <w:rsid w:val="7A182331"/>
    <w:rsid w:val="7A191528"/>
    <w:rsid w:val="7A1AE9A6"/>
    <w:rsid w:val="7A1B1B35"/>
    <w:rsid w:val="7A1CC72F"/>
    <w:rsid w:val="7A1E4435"/>
    <w:rsid w:val="7A20081F"/>
    <w:rsid w:val="7A2153AF"/>
    <w:rsid w:val="7A241FED"/>
    <w:rsid w:val="7A24AC23"/>
    <w:rsid w:val="7A2577BF"/>
    <w:rsid w:val="7A2869F2"/>
    <w:rsid w:val="7A28F8C2"/>
    <w:rsid w:val="7A2BE99C"/>
    <w:rsid w:val="7A2BEF7C"/>
    <w:rsid w:val="7A2E3B9B"/>
    <w:rsid w:val="7A2EBD61"/>
    <w:rsid w:val="7A2FC7B4"/>
    <w:rsid w:val="7A2FEEAC"/>
    <w:rsid w:val="7A305087"/>
    <w:rsid w:val="7A334B28"/>
    <w:rsid w:val="7A33B978"/>
    <w:rsid w:val="7A34A4E4"/>
    <w:rsid w:val="7A34F4C5"/>
    <w:rsid w:val="7A382F2D"/>
    <w:rsid w:val="7A388ECC"/>
    <w:rsid w:val="7A39787B"/>
    <w:rsid w:val="7A39D3C0"/>
    <w:rsid w:val="7A3DE459"/>
    <w:rsid w:val="7A3F308C"/>
    <w:rsid w:val="7A3F4BD7"/>
    <w:rsid w:val="7A400257"/>
    <w:rsid w:val="7A4217BC"/>
    <w:rsid w:val="7A43FA96"/>
    <w:rsid w:val="7A44D827"/>
    <w:rsid w:val="7A4671F6"/>
    <w:rsid w:val="7A46E8FC"/>
    <w:rsid w:val="7A48767B"/>
    <w:rsid w:val="7A48C808"/>
    <w:rsid w:val="7A548199"/>
    <w:rsid w:val="7A5748CA"/>
    <w:rsid w:val="7A5864CC"/>
    <w:rsid w:val="7A587E82"/>
    <w:rsid w:val="7A590B68"/>
    <w:rsid w:val="7A5ABFAA"/>
    <w:rsid w:val="7A5B4DEF"/>
    <w:rsid w:val="7A5C31CE"/>
    <w:rsid w:val="7A5C4DD9"/>
    <w:rsid w:val="7A5D091C"/>
    <w:rsid w:val="7A5E1A72"/>
    <w:rsid w:val="7A5E2798"/>
    <w:rsid w:val="7A60B967"/>
    <w:rsid w:val="7A61A321"/>
    <w:rsid w:val="7A6A06C3"/>
    <w:rsid w:val="7A6D4B04"/>
    <w:rsid w:val="7A6DEEFD"/>
    <w:rsid w:val="7A7898C5"/>
    <w:rsid w:val="7A79FF16"/>
    <w:rsid w:val="7A7B3558"/>
    <w:rsid w:val="7A7BA40C"/>
    <w:rsid w:val="7A7D6F07"/>
    <w:rsid w:val="7A7DEFF5"/>
    <w:rsid w:val="7A7FC08B"/>
    <w:rsid w:val="7A815549"/>
    <w:rsid w:val="7A820AD9"/>
    <w:rsid w:val="7A82DBEE"/>
    <w:rsid w:val="7A855796"/>
    <w:rsid w:val="7A86C413"/>
    <w:rsid w:val="7A8784D6"/>
    <w:rsid w:val="7A87B0F4"/>
    <w:rsid w:val="7A8897DE"/>
    <w:rsid w:val="7A8EE183"/>
    <w:rsid w:val="7A8F83C3"/>
    <w:rsid w:val="7A90DFF6"/>
    <w:rsid w:val="7A917441"/>
    <w:rsid w:val="7A91DE82"/>
    <w:rsid w:val="7A9678B9"/>
    <w:rsid w:val="7A98B9BC"/>
    <w:rsid w:val="7A9B914F"/>
    <w:rsid w:val="7A9BAA82"/>
    <w:rsid w:val="7A9C3CE9"/>
    <w:rsid w:val="7AA5DEA0"/>
    <w:rsid w:val="7AA7ED60"/>
    <w:rsid w:val="7AA89833"/>
    <w:rsid w:val="7AADBDB0"/>
    <w:rsid w:val="7AAE711E"/>
    <w:rsid w:val="7AB5F24C"/>
    <w:rsid w:val="7AB77C5E"/>
    <w:rsid w:val="7ABBAB1B"/>
    <w:rsid w:val="7ABD5DC9"/>
    <w:rsid w:val="7ABF5A58"/>
    <w:rsid w:val="7ABF68D8"/>
    <w:rsid w:val="7AC1F3B2"/>
    <w:rsid w:val="7AC20F76"/>
    <w:rsid w:val="7AC2CE2C"/>
    <w:rsid w:val="7AC3F2E0"/>
    <w:rsid w:val="7AC8A4BB"/>
    <w:rsid w:val="7ACA91D7"/>
    <w:rsid w:val="7ACB0671"/>
    <w:rsid w:val="7ACCB532"/>
    <w:rsid w:val="7ACD980A"/>
    <w:rsid w:val="7AD20B1A"/>
    <w:rsid w:val="7AD35AF0"/>
    <w:rsid w:val="7AD4D32E"/>
    <w:rsid w:val="7AD6CB48"/>
    <w:rsid w:val="7AD8384F"/>
    <w:rsid w:val="7ADBD3D6"/>
    <w:rsid w:val="7ADCAD80"/>
    <w:rsid w:val="7ADDBD02"/>
    <w:rsid w:val="7AE2C6C5"/>
    <w:rsid w:val="7AE5A6C2"/>
    <w:rsid w:val="7AE8914D"/>
    <w:rsid w:val="7AEA0C28"/>
    <w:rsid w:val="7AEC2315"/>
    <w:rsid w:val="7AEC9ABB"/>
    <w:rsid w:val="7AEFC43D"/>
    <w:rsid w:val="7AF04926"/>
    <w:rsid w:val="7AF170D6"/>
    <w:rsid w:val="7AF1804A"/>
    <w:rsid w:val="7AF31BB3"/>
    <w:rsid w:val="7AF372C3"/>
    <w:rsid w:val="7AF3F865"/>
    <w:rsid w:val="7AF62CE1"/>
    <w:rsid w:val="7AFC4DF1"/>
    <w:rsid w:val="7AFED074"/>
    <w:rsid w:val="7AFF0FFF"/>
    <w:rsid w:val="7AFF4DFC"/>
    <w:rsid w:val="7B023282"/>
    <w:rsid w:val="7B0257DF"/>
    <w:rsid w:val="7B0435C4"/>
    <w:rsid w:val="7B04B0F1"/>
    <w:rsid w:val="7B05AA3F"/>
    <w:rsid w:val="7B09F02A"/>
    <w:rsid w:val="7B0BE8F7"/>
    <w:rsid w:val="7B0BF88C"/>
    <w:rsid w:val="7B0F40A8"/>
    <w:rsid w:val="7B125757"/>
    <w:rsid w:val="7B14B3CC"/>
    <w:rsid w:val="7B17B57E"/>
    <w:rsid w:val="7B180791"/>
    <w:rsid w:val="7B193AFA"/>
    <w:rsid w:val="7B1B2D3B"/>
    <w:rsid w:val="7B1CCEEB"/>
    <w:rsid w:val="7B1D31B3"/>
    <w:rsid w:val="7B1E6726"/>
    <w:rsid w:val="7B204650"/>
    <w:rsid w:val="7B23D7D6"/>
    <w:rsid w:val="7B257FA3"/>
    <w:rsid w:val="7B264D2E"/>
    <w:rsid w:val="7B2704E5"/>
    <w:rsid w:val="7B272CF8"/>
    <w:rsid w:val="7B27F81F"/>
    <w:rsid w:val="7B2869A3"/>
    <w:rsid w:val="7B2981E6"/>
    <w:rsid w:val="7B2C1E25"/>
    <w:rsid w:val="7B2C3B4E"/>
    <w:rsid w:val="7B2DD27B"/>
    <w:rsid w:val="7B2DDA47"/>
    <w:rsid w:val="7B312AFD"/>
    <w:rsid w:val="7B3678D7"/>
    <w:rsid w:val="7B3733AC"/>
    <w:rsid w:val="7B3B3669"/>
    <w:rsid w:val="7B3CF3D2"/>
    <w:rsid w:val="7B41911F"/>
    <w:rsid w:val="7B424F80"/>
    <w:rsid w:val="7B431927"/>
    <w:rsid w:val="7B43B918"/>
    <w:rsid w:val="7B45779E"/>
    <w:rsid w:val="7B47D5D5"/>
    <w:rsid w:val="7B484E56"/>
    <w:rsid w:val="7B4A00C7"/>
    <w:rsid w:val="7B4B330B"/>
    <w:rsid w:val="7B4D41C4"/>
    <w:rsid w:val="7B50FC67"/>
    <w:rsid w:val="7B51507C"/>
    <w:rsid w:val="7B51E223"/>
    <w:rsid w:val="7B54E631"/>
    <w:rsid w:val="7B56715B"/>
    <w:rsid w:val="7B5C5F04"/>
    <w:rsid w:val="7B5E5375"/>
    <w:rsid w:val="7B5F4AB9"/>
    <w:rsid w:val="7B5F9B5A"/>
    <w:rsid w:val="7B603571"/>
    <w:rsid w:val="7B64EF5F"/>
    <w:rsid w:val="7B66568C"/>
    <w:rsid w:val="7B6E376E"/>
    <w:rsid w:val="7B70A363"/>
    <w:rsid w:val="7B70FBA4"/>
    <w:rsid w:val="7B720D51"/>
    <w:rsid w:val="7B73AF0C"/>
    <w:rsid w:val="7B73D4E7"/>
    <w:rsid w:val="7B7455EB"/>
    <w:rsid w:val="7B7707EF"/>
    <w:rsid w:val="7B79C82B"/>
    <w:rsid w:val="7B7A04AA"/>
    <w:rsid w:val="7B7CA4C7"/>
    <w:rsid w:val="7B7DCDB9"/>
    <w:rsid w:val="7B7E30B0"/>
    <w:rsid w:val="7B7E3FA4"/>
    <w:rsid w:val="7B825F21"/>
    <w:rsid w:val="7B829CF9"/>
    <w:rsid w:val="7B83E4DC"/>
    <w:rsid w:val="7B86BA27"/>
    <w:rsid w:val="7B893998"/>
    <w:rsid w:val="7B897604"/>
    <w:rsid w:val="7B8C8E0D"/>
    <w:rsid w:val="7B8C908A"/>
    <w:rsid w:val="7B8D1A35"/>
    <w:rsid w:val="7B8F5B03"/>
    <w:rsid w:val="7B8F829B"/>
    <w:rsid w:val="7B8FFDAD"/>
    <w:rsid w:val="7B923870"/>
    <w:rsid w:val="7B932233"/>
    <w:rsid w:val="7B953694"/>
    <w:rsid w:val="7B95A7D3"/>
    <w:rsid w:val="7B9629BE"/>
    <w:rsid w:val="7B99D899"/>
    <w:rsid w:val="7B9A97A9"/>
    <w:rsid w:val="7B9AB8EC"/>
    <w:rsid w:val="7B9B84A9"/>
    <w:rsid w:val="7B9BC646"/>
    <w:rsid w:val="7B9BF57B"/>
    <w:rsid w:val="7B9F188C"/>
    <w:rsid w:val="7BA11DE6"/>
    <w:rsid w:val="7BA1AF19"/>
    <w:rsid w:val="7BA421CA"/>
    <w:rsid w:val="7BA5AB74"/>
    <w:rsid w:val="7BA5CFB1"/>
    <w:rsid w:val="7BAA142B"/>
    <w:rsid w:val="7BAAE6D6"/>
    <w:rsid w:val="7BB42686"/>
    <w:rsid w:val="7BB8CE79"/>
    <w:rsid w:val="7BBBD57E"/>
    <w:rsid w:val="7BBD37E2"/>
    <w:rsid w:val="7BBD71A5"/>
    <w:rsid w:val="7BC1DFAF"/>
    <w:rsid w:val="7BC27A3F"/>
    <w:rsid w:val="7BC32B9D"/>
    <w:rsid w:val="7BC4D503"/>
    <w:rsid w:val="7BC5CA3B"/>
    <w:rsid w:val="7BC65E03"/>
    <w:rsid w:val="7BC6A5C3"/>
    <w:rsid w:val="7BC7D376"/>
    <w:rsid w:val="7BC9840A"/>
    <w:rsid w:val="7BCA287A"/>
    <w:rsid w:val="7BCC1303"/>
    <w:rsid w:val="7BCCE292"/>
    <w:rsid w:val="7BD006CF"/>
    <w:rsid w:val="7BD06A8A"/>
    <w:rsid w:val="7BD1EB99"/>
    <w:rsid w:val="7BD36872"/>
    <w:rsid w:val="7BD6858B"/>
    <w:rsid w:val="7BD7F0D5"/>
    <w:rsid w:val="7BDA1DCA"/>
    <w:rsid w:val="7BDADEE7"/>
    <w:rsid w:val="7BDF7FA7"/>
    <w:rsid w:val="7BE27567"/>
    <w:rsid w:val="7BE2BF6C"/>
    <w:rsid w:val="7BE316F7"/>
    <w:rsid w:val="7BE4265E"/>
    <w:rsid w:val="7BE5976E"/>
    <w:rsid w:val="7BE7D1F9"/>
    <w:rsid w:val="7BEA1B88"/>
    <w:rsid w:val="7BEEB574"/>
    <w:rsid w:val="7BF12FF5"/>
    <w:rsid w:val="7BF13DE8"/>
    <w:rsid w:val="7BF2D30D"/>
    <w:rsid w:val="7BF4EAAF"/>
    <w:rsid w:val="7BF56067"/>
    <w:rsid w:val="7BF5FF72"/>
    <w:rsid w:val="7BF71778"/>
    <w:rsid w:val="7BF8B137"/>
    <w:rsid w:val="7C07044E"/>
    <w:rsid w:val="7C08A72E"/>
    <w:rsid w:val="7C09CD54"/>
    <w:rsid w:val="7C0B40DC"/>
    <w:rsid w:val="7C0C2C75"/>
    <w:rsid w:val="7C0C3A9E"/>
    <w:rsid w:val="7C0FF043"/>
    <w:rsid w:val="7C1234B1"/>
    <w:rsid w:val="7C12805A"/>
    <w:rsid w:val="7C134491"/>
    <w:rsid w:val="7C14E809"/>
    <w:rsid w:val="7C159654"/>
    <w:rsid w:val="7C176653"/>
    <w:rsid w:val="7C1BEFA8"/>
    <w:rsid w:val="7C1D2E0D"/>
    <w:rsid w:val="7C1E8D8D"/>
    <w:rsid w:val="7C1EC54B"/>
    <w:rsid w:val="7C2032D4"/>
    <w:rsid w:val="7C20CD95"/>
    <w:rsid w:val="7C2306CA"/>
    <w:rsid w:val="7C230A8E"/>
    <w:rsid w:val="7C270F5A"/>
    <w:rsid w:val="7C27A5B3"/>
    <w:rsid w:val="7C2A9359"/>
    <w:rsid w:val="7C2AB2FD"/>
    <w:rsid w:val="7C2B8D07"/>
    <w:rsid w:val="7C31C5D2"/>
    <w:rsid w:val="7C3342B3"/>
    <w:rsid w:val="7C351394"/>
    <w:rsid w:val="7C3632FA"/>
    <w:rsid w:val="7C37CD73"/>
    <w:rsid w:val="7C3847DC"/>
    <w:rsid w:val="7C394F90"/>
    <w:rsid w:val="7C399C28"/>
    <w:rsid w:val="7C3DE6CE"/>
    <w:rsid w:val="7C3E38C0"/>
    <w:rsid w:val="7C3E3B78"/>
    <w:rsid w:val="7C3FA31E"/>
    <w:rsid w:val="7C450A3B"/>
    <w:rsid w:val="7C49EFE2"/>
    <w:rsid w:val="7C4DBDC5"/>
    <w:rsid w:val="7C50BF2F"/>
    <w:rsid w:val="7C532BE8"/>
    <w:rsid w:val="7C53BAED"/>
    <w:rsid w:val="7C55753A"/>
    <w:rsid w:val="7C567E75"/>
    <w:rsid w:val="7C56DD26"/>
    <w:rsid w:val="7C577C05"/>
    <w:rsid w:val="7C5A07BF"/>
    <w:rsid w:val="7C5D5681"/>
    <w:rsid w:val="7C5F1C02"/>
    <w:rsid w:val="7C5F5603"/>
    <w:rsid w:val="7C60F328"/>
    <w:rsid w:val="7C630D1C"/>
    <w:rsid w:val="7C654C6F"/>
    <w:rsid w:val="7C681E14"/>
    <w:rsid w:val="7C6CC3DB"/>
    <w:rsid w:val="7C6EC908"/>
    <w:rsid w:val="7C75BD04"/>
    <w:rsid w:val="7C77EC69"/>
    <w:rsid w:val="7C77F95E"/>
    <w:rsid w:val="7C7B724E"/>
    <w:rsid w:val="7C7E9DE7"/>
    <w:rsid w:val="7C800236"/>
    <w:rsid w:val="7C813F38"/>
    <w:rsid w:val="7C86382F"/>
    <w:rsid w:val="7C88196F"/>
    <w:rsid w:val="7C8856A9"/>
    <w:rsid w:val="7C899B3B"/>
    <w:rsid w:val="7C8E7B86"/>
    <w:rsid w:val="7C90823C"/>
    <w:rsid w:val="7C93960F"/>
    <w:rsid w:val="7C95035E"/>
    <w:rsid w:val="7C981205"/>
    <w:rsid w:val="7C9EF311"/>
    <w:rsid w:val="7CA17E11"/>
    <w:rsid w:val="7CA3C3E7"/>
    <w:rsid w:val="7CA50E70"/>
    <w:rsid w:val="7CA818BE"/>
    <w:rsid w:val="7CA97D1D"/>
    <w:rsid w:val="7CAAE495"/>
    <w:rsid w:val="7CABCBF3"/>
    <w:rsid w:val="7CAD6FCD"/>
    <w:rsid w:val="7CAF03E2"/>
    <w:rsid w:val="7CB49877"/>
    <w:rsid w:val="7CB8FBFC"/>
    <w:rsid w:val="7CB97B51"/>
    <w:rsid w:val="7CB9DD78"/>
    <w:rsid w:val="7CBB9007"/>
    <w:rsid w:val="7CBDA1D9"/>
    <w:rsid w:val="7CC1E88D"/>
    <w:rsid w:val="7CC6147A"/>
    <w:rsid w:val="7CCC0353"/>
    <w:rsid w:val="7CCF09D6"/>
    <w:rsid w:val="7CD34E48"/>
    <w:rsid w:val="7CD3F4BC"/>
    <w:rsid w:val="7CD61A1E"/>
    <w:rsid w:val="7CDA0507"/>
    <w:rsid w:val="7CDB5D61"/>
    <w:rsid w:val="7CDB68FD"/>
    <w:rsid w:val="7CDC84AC"/>
    <w:rsid w:val="7CDDF925"/>
    <w:rsid w:val="7CE3565A"/>
    <w:rsid w:val="7CE83CF6"/>
    <w:rsid w:val="7CEA5D60"/>
    <w:rsid w:val="7CEC2AFE"/>
    <w:rsid w:val="7CF1A7C5"/>
    <w:rsid w:val="7CFB17D7"/>
    <w:rsid w:val="7CFEDE82"/>
    <w:rsid w:val="7D010B62"/>
    <w:rsid w:val="7D06FAC0"/>
    <w:rsid w:val="7D0AC1C5"/>
    <w:rsid w:val="7D0CC76D"/>
    <w:rsid w:val="7D0FD0A0"/>
    <w:rsid w:val="7D119A98"/>
    <w:rsid w:val="7D120FA2"/>
    <w:rsid w:val="7D1280E5"/>
    <w:rsid w:val="7D13ABE7"/>
    <w:rsid w:val="7D180D4B"/>
    <w:rsid w:val="7D181EE5"/>
    <w:rsid w:val="7D19118C"/>
    <w:rsid w:val="7D1AE3AA"/>
    <w:rsid w:val="7D1AF503"/>
    <w:rsid w:val="7D1C1810"/>
    <w:rsid w:val="7D1C997E"/>
    <w:rsid w:val="7D1D5BB3"/>
    <w:rsid w:val="7D1FAFA2"/>
    <w:rsid w:val="7D200465"/>
    <w:rsid w:val="7D26C6F1"/>
    <w:rsid w:val="7D28CFD3"/>
    <w:rsid w:val="7D2EE6D0"/>
    <w:rsid w:val="7D301512"/>
    <w:rsid w:val="7D30892B"/>
    <w:rsid w:val="7D3586F1"/>
    <w:rsid w:val="7D37E743"/>
    <w:rsid w:val="7D37E9F3"/>
    <w:rsid w:val="7D39E6E7"/>
    <w:rsid w:val="7D3DF368"/>
    <w:rsid w:val="7D3E3B12"/>
    <w:rsid w:val="7D4330EF"/>
    <w:rsid w:val="7D46D553"/>
    <w:rsid w:val="7D4F043E"/>
    <w:rsid w:val="7D515637"/>
    <w:rsid w:val="7D53C029"/>
    <w:rsid w:val="7D5579D4"/>
    <w:rsid w:val="7D5B0309"/>
    <w:rsid w:val="7D5FFAEC"/>
    <w:rsid w:val="7D61DE39"/>
    <w:rsid w:val="7D64B20E"/>
    <w:rsid w:val="7D666C57"/>
    <w:rsid w:val="7D67A2B2"/>
    <w:rsid w:val="7D67D78E"/>
    <w:rsid w:val="7D67E364"/>
    <w:rsid w:val="7D69151F"/>
    <w:rsid w:val="7D6B1EE0"/>
    <w:rsid w:val="7D6D316C"/>
    <w:rsid w:val="7D6D8A0B"/>
    <w:rsid w:val="7D6F3BDF"/>
    <w:rsid w:val="7D6F9884"/>
    <w:rsid w:val="7D6F9C50"/>
    <w:rsid w:val="7D753457"/>
    <w:rsid w:val="7D795F56"/>
    <w:rsid w:val="7D7A9206"/>
    <w:rsid w:val="7D7C447F"/>
    <w:rsid w:val="7D836C70"/>
    <w:rsid w:val="7D84FA8A"/>
    <w:rsid w:val="7D8616CF"/>
    <w:rsid w:val="7D8BB5D7"/>
    <w:rsid w:val="7D8E35CA"/>
    <w:rsid w:val="7D9264A2"/>
    <w:rsid w:val="7D96DC68"/>
    <w:rsid w:val="7D981283"/>
    <w:rsid w:val="7D98EEE0"/>
    <w:rsid w:val="7D9CACAE"/>
    <w:rsid w:val="7D9D0D41"/>
    <w:rsid w:val="7D9D32BE"/>
    <w:rsid w:val="7DA0A173"/>
    <w:rsid w:val="7DA2B591"/>
    <w:rsid w:val="7DA4B0F9"/>
    <w:rsid w:val="7DA5EB1A"/>
    <w:rsid w:val="7DA73C5B"/>
    <w:rsid w:val="7DA86E90"/>
    <w:rsid w:val="7DA8F750"/>
    <w:rsid w:val="7DAB3B03"/>
    <w:rsid w:val="7DAEA7C3"/>
    <w:rsid w:val="7DB06430"/>
    <w:rsid w:val="7DB193AC"/>
    <w:rsid w:val="7DB47F6D"/>
    <w:rsid w:val="7DBEE201"/>
    <w:rsid w:val="7DC365FC"/>
    <w:rsid w:val="7DC5A436"/>
    <w:rsid w:val="7DC616DF"/>
    <w:rsid w:val="7DC9573F"/>
    <w:rsid w:val="7DCA7E63"/>
    <w:rsid w:val="7DCEB81A"/>
    <w:rsid w:val="7DD122D6"/>
    <w:rsid w:val="7DD141EF"/>
    <w:rsid w:val="7DD24BB8"/>
    <w:rsid w:val="7DD2A8FA"/>
    <w:rsid w:val="7DD2C873"/>
    <w:rsid w:val="7DD3CE3C"/>
    <w:rsid w:val="7DD58E7D"/>
    <w:rsid w:val="7DDB50E9"/>
    <w:rsid w:val="7DDB78FD"/>
    <w:rsid w:val="7DDC75B9"/>
    <w:rsid w:val="7DDCAD41"/>
    <w:rsid w:val="7DDD08CD"/>
    <w:rsid w:val="7DDF9A06"/>
    <w:rsid w:val="7DDFF8F6"/>
    <w:rsid w:val="7DE5E477"/>
    <w:rsid w:val="7DE74252"/>
    <w:rsid w:val="7DE86DAA"/>
    <w:rsid w:val="7DE89465"/>
    <w:rsid w:val="7DE9163D"/>
    <w:rsid w:val="7DF1E14D"/>
    <w:rsid w:val="7DF88B64"/>
    <w:rsid w:val="7DF8CD3F"/>
    <w:rsid w:val="7DFBC77A"/>
    <w:rsid w:val="7DFE3A17"/>
    <w:rsid w:val="7E025BEB"/>
    <w:rsid w:val="7E0270BE"/>
    <w:rsid w:val="7E03F243"/>
    <w:rsid w:val="7E068239"/>
    <w:rsid w:val="7E08B8ED"/>
    <w:rsid w:val="7E103DCF"/>
    <w:rsid w:val="7E11B1F6"/>
    <w:rsid w:val="7E11BE71"/>
    <w:rsid w:val="7E14C0F3"/>
    <w:rsid w:val="7E15A2A5"/>
    <w:rsid w:val="7E168D48"/>
    <w:rsid w:val="7E17215E"/>
    <w:rsid w:val="7E191788"/>
    <w:rsid w:val="7E192738"/>
    <w:rsid w:val="7E195506"/>
    <w:rsid w:val="7E1A827A"/>
    <w:rsid w:val="7E1D2D93"/>
    <w:rsid w:val="7E21B4B5"/>
    <w:rsid w:val="7E232F61"/>
    <w:rsid w:val="7E2A3BED"/>
    <w:rsid w:val="7E2A5B77"/>
    <w:rsid w:val="7E2B34FE"/>
    <w:rsid w:val="7E2E8C59"/>
    <w:rsid w:val="7E2F35EF"/>
    <w:rsid w:val="7E2FE224"/>
    <w:rsid w:val="7E33F543"/>
    <w:rsid w:val="7E3915E3"/>
    <w:rsid w:val="7E399476"/>
    <w:rsid w:val="7E3BFD1F"/>
    <w:rsid w:val="7E3D886C"/>
    <w:rsid w:val="7E3E1022"/>
    <w:rsid w:val="7E44C5E9"/>
    <w:rsid w:val="7E44F3C4"/>
    <w:rsid w:val="7E4515EE"/>
    <w:rsid w:val="7E457B39"/>
    <w:rsid w:val="7E45E450"/>
    <w:rsid w:val="7E482813"/>
    <w:rsid w:val="7E48348D"/>
    <w:rsid w:val="7E49E577"/>
    <w:rsid w:val="7E4AE29D"/>
    <w:rsid w:val="7E4CA1A7"/>
    <w:rsid w:val="7E4CF2B3"/>
    <w:rsid w:val="7E4DAA2F"/>
    <w:rsid w:val="7E4F4745"/>
    <w:rsid w:val="7E519ABE"/>
    <w:rsid w:val="7E52B0A8"/>
    <w:rsid w:val="7E5586EF"/>
    <w:rsid w:val="7E583886"/>
    <w:rsid w:val="7E5A0CEC"/>
    <w:rsid w:val="7E5B40B5"/>
    <w:rsid w:val="7E5B60E6"/>
    <w:rsid w:val="7E5EDD44"/>
    <w:rsid w:val="7E6265AF"/>
    <w:rsid w:val="7E63CDED"/>
    <w:rsid w:val="7E65965B"/>
    <w:rsid w:val="7E659C86"/>
    <w:rsid w:val="7E663260"/>
    <w:rsid w:val="7E678E48"/>
    <w:rsid w:val="7E6B2640"/>
    <w:rsid w:val="7E6F57E1"/>
    <w:rsid w:val="7E70BF02"/>
    <w:rsid w:val="7E712D01"/>
    <w:rsid w:val="7E778D62"/>
    <w:rsid w:val="7E7A853D"/>
    <w:rsid w:val="7E7B1B4A"/>
    <w:rsid w:val="7E7C0A77"/>
    <w:rsid w:val="7E7FD5C8"/>
    <w:rsid w:val="7E818698"/>
    <w:rsid w:val="7E81AB22"/>
    <w:rsid w:val="7E81B7BD"/>
    <w:rsid w:val="7E84EA3D"/>
    <w:rsid w:val="7E86A980"/>
    <w:rsid w:val="7E86C703"/>
    <w:rsid w:val="7E8AB0ED"/>
    <w:rsid w:val="7E8AE140"/>
    <w:rsid w:val="7E8AEDA0"/>
    <w:rsid w:val="7E8B9956"/>
    <w:rsid w:val="7E8BD6B0"/>
    <w:rsid w:val="7E8F0A36"/>
    <w:rsid w:val="7E93293A"/>
    <w:rsid w:val="7E94C7C7"/>
    <w:rsid w:val="7E94F499"/>
    <w:rsid w:val="7E9640E8"/>
    <w:rsid w:val="7E97EB6C"/>
    <w:rsid w:val="7E9D08C2"/>
    <w:rsid w:val="7E9F093C"/>
    <w:rsid w:val="7EA2EE92"/>
    <w:rsid w:val="7EA51D07"/>
    <w:rsid w:val="7EAAE5B0"/>
    <w:rsid w:val="7EAD0237"/>
    <w:rsid w:val="7EAD3CFC"/>
    <w:rsid w:val="7EAF072E"/>
    <w:rsid w:val="7EB52590"/>
    <w:rsid w:val="7EB5B802"/>
    <w:rsid w:val="7EB6BD9A"/>
    <w:rsid w:val="7EB7F36A"/>
    <w:rsid w:val="7EB8C1D3"/>
    <w:rsid w:val="7EBB2238"/>
    <w:rsid w:val="7EBB9A08"/>
    <w:rsid w:val="7EBCFD87"/>
    <w:rsid w:val="7EBDC175"/>
    <w:rsid w:val="7EC1ECAC"/>
    <w:rsid w:val="7EC514FE"/>
    <w:rsid w:val="7EC65776"/>
    <w:rsid w:val="7EC765E8"/>
    <w:rsid w:val="7EC76FCD"/>
    <w:rsid w:val="7EC8A3BB"/>
    <w:rsid w:val="7EC97A70"/>
    <w:rsid w:val="7ECF23AB"/>
    <w:rsid w:val="7ED1A578"/>
    <w:rsid w:val="7ED373F4"/>
    <w:rsid w:val="7EDBD0F3"/>
    <w:rsid w:val="7EDC394D"/>
    <w:rsid w:val="7EDC6EFC"/>
    <w:rsid w:val="7EDE862B"/>
    <w:rsid w:val="7EE143F3"/>
    <w:rsid w:val="7EE2B663"/>
    <w:rsid w:val="7EECA0E2"/>
    <w:rsid w:val="7EED1AB1"/>
    <w:rsid w:val="7EED9805"/>
    <w:rsid w:val="7EEE0ED0"/>
    <w:rsid w:val="7EF00595"/>
    <w:rsid w:val="7EF4EDD9"/>
    <w:rsid w:val="7EF5D774"/>
    <w:rsid w:val="7EF86EFA"/>
    <w:rsid w:val="7EF91B4B"/>
    <w:rsid w:val="7EFA6B5C"/>
    <w:rsid w:val="7EFC75A1"/>
    <w:rsid w:val="7EFF5680"/>
    <w:rsid w:val="7F000793"/>
    <w:rsid w:val="7F003D5B"/>
    <w:rsid w:val="7F03B50B"/>
    <w:rsid w:val="7F05DCCE"/>
    <w:rsid w:val="7F081F30"/>
    <w:rsid w:val="7F082CEE"/>
    <w:rsid w:val="7F086CA3"/>
    <w:rsid w:val="7F0A299D"/>
    <w:rsid w:val="7F0ABADC"/>
    <w:rsid w:val="7F1225DE"/>
    <w:rsid w:val="7F13EC2C"/>
    <w:rsid w:val="7F146392"/>
    <w:rsid w:val="7F14EEB5"/>
    <w:rsid w:val="7F152C61"/>
    <w:rsid w:val="7F18924E"/>
    <w:rsid w:val="7F18D3A1"/>
    <w:rsid w:val="7F1A47AE"/>
    <w:rsid w:val="7F1EF40A"/>
    <w:rsid w:val="7F1F9F64"/>
    <w:rsid w:val="7F2047CE"/>
    <w:rsid w:val="7F20A3A7"/>
    <w:rsid w:val="7F255D10"/>
    <w:rsid w:val="7F2776C1"/>
    <w:rsid w:val="7F278420"/>
    <w:rsid w:val="7F2C26C2"/>
    <w:rsid w:val="7F2FAD0F"/>
    <w:rsid w:val="7F31E8F9"/>
    <w:rsid w:val="7F31ED86"/>
    <w:rsid w:val="7F322A65"/>
    <w:rsid w:val="7F33F4FF"/>
    <w:rsid w:val="7F35B0BC"/>
    <w:rsid w:val="7F35DFC1"/>
    <w:rsid w:val="7F385694"/>
    <w:rsid w:val="7F3882A4"/>
    <w:rsid w:val="7F39F1FE"/>
    <w:rsid w:val="7F3BC45A"/>
    <w:rsid w:val="7F3D4A4F"/>
    <w:rsid w:val="7F3EBE20"/>
    <w:rsid w:val="7F403B12"/>
    <w:rsid w:val="7F4188F7"/>
    <w:rsid w:val="7F4582F9"/>
    <w:rsid w:val="7F46CC1F"/>
    <w:rsid w:val="7F47075A"/>
    <w:rsid w:val="7F47E9DB"/>
    <w:rsid w:val="7F4E2EC7"/>
    <w:rsid w:val="7F4E9618"/>
    <w:rsid w:val="7F50C869"/>
    <w:rsid w:val="7F53B5BB"/>
    <w:rsid w:val="7F53C74A"/>
    <w:rsid w:val="7F546B4F"/>
    <w:rsid w:val="7F54C53E"/>
    <w:rsid w:val="7F58A8A4"/>
    <w:rsid w:val="7F5C778B"/>
    <w:rsid w:val="7F618BA5"/>
    <w:rsid w:val="7F65AD90"/>
    <w:rsid w:val="7F6D14FE"/>
    <w:rsid w:val="7F6D511F"/>
    <w:rsid w:val="7F6EE82D"/>
    <w:rsid w:val="7F741AF3"/>
    <w:rsid w:val="7F75A5DF"/>
    <w:rsid w:val="7F78835F"/>
    <w:rsid w:val="7F7AC837"/>
    <w:rsid w:val="7F7C9B55"/>
    <w:rsid w:val="7F7CA10E"/>
    <w:rsid w:val="7F7DEC89"/>
    <w:rsid w:val="7F7E1695"/>
    <w:rsid w:val="7F82C578"/>
    <w:rsid w:val="7F832272"/>
    <w:rsid w:val="7F8620B8"/>
    <w:rsid w:val="7F889604"/>
    <w:rsid w:val="7F88BADD"/>
    <w:rsid w:val="7F8A13A2"/>
    <w:rsid w:val="7F8A9461"/>
    <w:rsid w:val="7F944DD8"/>
    <w:rsid w:val="7F9708BE"/>
    <w:rsid w:val="7F975FFE"/>
    <w:rsid w:val="7F979C7E"/>
    <w:rsid w:val="7F97D336"/>
    <w:rsid w:val="7F98F70F"/>
    <w:rsid w:val="7F9AF7A8"/>
    <w:rsid w:val="7F9D76CD"/>
    <w:rsid w:val="7F9DF012"/>
    <w:rsid w:val="7F9F263A"/>
    <w:rsid w:val="7FA3566B"/>
    <w:rsid w:val="7FA41170"/>
    <w:rsid w:val="7FA43BB4"/>
    <w:rsid w:val="7FA4C6CD"/>
    <w:rsid w:val="7FA715C7"/>
    <w:rsid w:val="7FA73AFE"/>
    <w:rsid w:val="7FA99756"/>
    <w:rsid w:val="7FAB24F2"/>
    <w:rsid w:val="7FAFFBAE"/>
    <w:rsid w:val="7FB601D6"/>
    <w:rsid w:val="7FB684B1"/>
    <w:rsid w:val="7FB753AE"/>
    <w:rsid w:val="7FB838E1"/>
    <w:rsid w:val="7FB90889"/>
    <w:rsid w:val="7FB981A4"/>
    <w:rsid w:val="7FBB0384"/>
    <w:rsid w:val="7FBEAD6E"/>
    <w:rsid w:val="7FC50FDC"/>
    <w:rsid w:val="7FC66953"/>
    <w:rsid w:val="7FC9E146"/>
    <w:rsid w:val="7FC9E7AB"/>
    <w:rsid w:val="7FCAB637"/>
    <w:rsid w:val="7FCB9FFC"/>
    <w:rsid w:val="7FCBF31F"/>
    <w:rsid w:val="7FCCE79B"/>
    <w:rsid w:val="7FD075BA"/>
    <w:rsid w:val="7FD18250"/>
    <w:rsid w:val="7FD7BF60"/>
    <w:rsid w:val="7FDA71C5"/>
    <w:rsid w:val="7FDF74CF"/>
    <w:rsid w:val="7FE3BA21"/>
    <w:rsid w:val="7FE3E0CC"/>
    <w:rsid w:val="7FE5C070"/>
    <w:rsid w:val="7FE9F411"/>
    <w:rsid w:val="7FEC4233"/>
    <w:rsid w:val="7FF71A3D"/>
    <w:rsid w:val="7FF7ABAE"/>
    <w:rsid w:val="7FFB1AE1"/>
    <w:rsid w:val="7FFB286B"/>
    <w:rsid w:val="7FFBF76E"/>
    <w:rsid w:val="7FFD9378"/>
    <w:rsid w:val="7FFE3111"/>
    <w:rsid w:val="7FFE770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3CA09D"/>
  <w15:docId w15:val="{25853CFD-D109-4AEB-9656-990F142CF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color w:val="231C24" w:themeColor="text1"/>
        <w:lang w:val="en-AU" w:eastAsia="en-AU" w:bidi="ar-SA"/>
      </w:rPr>
    </w:rPrDefault>
    <w:pPrDefault>
      <w:pPr>
        <w:spacing w:before="120" w:after="160"/>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lsdException w:name="toc 4" w:semiHidden="1" w:uiPriority="39" w:unhideWhenUsed="1"/>
    <w:lsdException w:name="toc 5" w:semiHidden="1" w:uiPriority="39" w:unhideWhenUsed="1"/>
    <w:lsdException w:name="toc 6" w:semiHidden="1" w:unhideWhenUsed="1"/>
    <w:lsdException w:name="toc 7" w:semiHidden="1" w:uiPriority="39" w:unhideWhenUsed="1"/>
    <w:lsdException w:name="toc 8" w:semiHidden="1" w:uiPriority="39" w:unhideWhenUsed="1"/>
    <w:lsdException w:name="toc 9" w:semiHidden="1" w:uiPriority="39"/>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11" w:qFormat="1"/>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7F7F"/>
    <w:pPr>
      <w:spacing w:after="120"/>
    </w:pPr>
    <w:rPr>
      <w:rFonts w:ascii="Calibri" w:eastAsia="Calibri" w:hAnsi="Calibri" w:cs="Calibri"/>
      <w:color w:val="auto"/>
      <w:sz w:val="22"/>
      <w:szCs w:val="22"/>
    </w:rPr>
  </w:style>
  <w:style w:type="paragraph" w:styleId="Heading1">
    <w:name w:val="heading 1"/>
    <w:basedOn w:val="Normal"/>
    <w:next w:val="BodyText"/>
    <w:link w:val="Heading1Char"/>
    <w:uiPriority w:val="9"/>
    <w:qFormat/>
    <w:rsid w:val="00C92449"/>
    <w:pPr>
      <w:keepNext/>
      <w:keepLines/>
      <w:pageBreakBefore/>
      <w:spacing w:before="0"/>
      <w:outlineLvl w:val="0"/>
    </w:pPr>
    <w:rPr>
      <w:rFonts w:eastAsiaTheme="majorEastAsia" w:cstheme="majorBidi"/>
      <w:b/>
      <w:bCs/>
      <w:color w:val="000000"/>
      <w:spacing w:val="-2"/>
      <w:sz w:val="40"/>
      <w:szCs w:val="28"/>
      <w14:textFill>
        <w14:solidFill>
          <w14:srgbClr w14:val="000000">
            <w14:lumMod w14:val="75000"/>
          </w14:srgbClr>
        </w14:solidFill>
      </w14:textFill>
    </w:rPr>
  </w:style>
  <w:style w:type="paragraph" w:styleId="Heading2">
    <w:name w:val="heading 2"/>
    <w:aliases w:val="Heading 2 enabler"/>
    <w:basedOn w:val="Normal"/>
    <w:next w:val="BodyText"/>
    <w:link w:val="Heading2Char"/>
    <w:uiPriority w:val="9"/>
    <w:qFormat/>
    <w:rsid w:val="00F96BC6"/>
    <w:pPr>
      <w:keepNext/>
      <w:keepLines/>
      <w:spacing w:before="200"/>
      <w:outlineLvl w:val="1"/>
    </w:pPr>
    <w:rPr>
      <w:rFonts w:eastAsiaTheme="majorEastAsia" w:cstheme="majorBidi"/>
      <w:b/>
      <w:bCs/>
      <w:noProof/>
      <w:color w:val="DC80B0"/>
      <w:sz w:val="36"/>
    </w:rPr>
  </w:style>
  <w:style w:type="paragraph" w:styleId="Heading3">
    <w:name w:val="heading 3"/>
    <w:aliases w:val="Heading 3 enabler"/>
    <w:basedOn w:val="Normal"/>
    <w:next w:val="BodyText"/>
    <w:link w:val="Heading3Char"/>
    <w:uiPriority w:val="9"/>
    <w:qFormat/>
    <w:rsid w:val="00E1682B"/>
    <w:pPr>
      <w:keepNext/>
      <w:keepLines/>
      <w:spacing w:before="200"/>
      <w:outlineLvl w:val="2"/>
    </w:pPr>
    <w:rPr>
      <w:rFonts w:eastAsiaTheme="majorEastAsia"/>
      <w:b/>
      <w:bCs/>
      <w:color w:val="DC80B0"/>
      <w:sz w:val="28"/>
      <w:szCs w:val="28"/>
    </w:rPr>
  </w:style>
  <w:style w:type="paragraph" w:styleId="Heading4">
    <w:name w:val="heading 4"/>
    <w:basedOn w:val="Normal"/>
    <w:next w:val="BodyText"/>
    <w:link w:val="Heading4Char"/>
    <w:uiPriority w:val="9"/>
    <w:qFormat/>
    <w:rsid w:val="00E1682B"/>
    <w:pPr>
      <w:keepNext/>
      <w:keepLines/>
      <w:spacing w:before="200"/>
      <w:outlineLvl w:val="3"/>
    </w:pPr>
    <w:rPr>
      <w:rFonts w:eastAsiaTheme="majorEastAsia"/>
      <w:b/>
      <w:bCs/>
      <w:iCs/>
      <w:sz w:val="24"/>
      <w:szCs w:val="24"/>
    </w:rPr>
  </w:style>
  <w:style w:type="paragraph" w:styleId="Heading5">
    <w:name w:val="heading 5"/>
    <w:basedOn w:val="Normal"/>
    <w:next w:val="BodyText"/>
    <w:link w:val="Heading5Char"/>
    <w:uiPriority w:val="9"/>
    <w:qFormat/>
    <w:rsid w:val="00D565A3"/>
    <w:pPr>
      <w:keepNext/>
      <w:keepLines/>
      <w:tabs>
        <w:tab w:val="left" w:pos="794"/>
      </w:tabs>
      <w:spacing w:before="200"/>
      <w:outlineLvl w:val="4"/>
    </w:pPr>
    <w:rPr>
      <w:rFonts w:asciiTheme="majorHAnsi" w:eastAsiaTheme="majorEastAsia" w:hAnsiTheme="majorHAnsi" w:cstheme="majorBidi"/>
      <w:b/>
      <w:sz w:val="24"/>
    </w:rPr>
  </w:style>
  <w:style w:type="paragraph" w:styleId="Heading6">
    <w:name w:val="heading 6"/>
    <w:basedOn w:val="Normal"/>
    <w:next w:val="Normal"/>
    <w:link w:val="Heading6Char"/>
    <w:semiHidden/>
    <w:qFormat/>
    <w:rsid w:val="00DB4DFF"/>
    <w:pPr>
      <w:keepNext/>
      <w:keepLines/>
      <w:spacing w:before="250" w:after="40"/>
      <w:outlineLvl w:val="5"/>
    </w:pPr>
    <w:rPr>
      <w:rFonts w:asciiTheme="majorHAnsi" w:eastAsiaTheme="majorEastAsia" w:hAnsiTheme="majorHAnsi" w:cstheme="majorBidi"/>
      <w:i/>
      <w:iCs/>
      <w:spacing w:val="4"/>
      <w:lang w:eastAsia="en-US"/>
    </w:rPr>
  </w:style>
  <w:style w:type="paragraph" w:styleId="Heading7">
    <w:name w:val="heading 7"/>
    <w:basedOn w:val="Normal"/>
    <w:next w:val="BodyText"/>
    <w:link w:val="Heading7Char"/>
    <w:semiHidden/>
    <w:unhideWhenUsed/>
    <w:qFormat/>
    <w:rsid w:val="00E05291"/>
    <w:pPr>
      <w:keepNext/>
      <w:keepLines/>
      <w:pageBreakBefore/>
      <w:spacing w:before="260" w:afterLines="100"/>
      <w:outlineLvl w:val="6"/>
    </w:pPr>
    <w:rPr>
      <w:rFonts w:ascii="Calibri Light" w:eastAsiaTheme="majorEastAsia" w:hAnsi="Calibri Light" w:cstheme="majorBidi"/>
      <w:i/>
      <w:iCs/>
    </w:rPr>
  </w:style>
  <w:style w:type="paragraph" w:styleId="Heading8">
    <w:name w:val="heading 8"/>
    <w:basedOn w:val="Normal"/>
    <w:next w:val="BodyText"/>
    <w:link w:val="Heading8Char"/>
    <w:semiHidden/>
    <w:rsid w:val="0058629F"/>
    <w:pPr>
      <w:keepNext/>
      <w:keepLines/>
      <w:pageBreakBefore/>
      <w:numPr>
        <w:numId w:val="18"/>
      </w:numPr>
      <w:tabs>
        <w:tab w:val="right" w:pos="9639"/>
      </w:tabs>
      <w:spacing w:after="320"/>
      <w:outlineLvl w:val="7"/>
    </w:pPr>
    <w:rPr>
      <w:rFonts w:asciiTheme="majorHAnsi" w:eastAsiaTheme="majorEastAsia" w:hAnsiTheme="majorHAnsi" w:cs="Arial"/>
      <w:caps/>
      <w:color w:val="EFEBDA" w:themeColor="text2"/>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910A0"/>
  </w:style>
  <w:style w:type="character" w:customStyle="1" w:styleId="BodyTextChar">
    <w:name w:val="Body Text Char"/>
    <w:basedOn w:val="DefaultParagraphFont"/>
    <w:link w:val="BodyText"/>
    <w:rsid w:val="001910A0"/>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756397"/>
    <w:pPr>
      <w:tabs>
        <w:tab w:val="left" w:pos="550"/>
      </w:tabs>
      <w:spacing w:before="0" w:after="0" w:line="260" w:lineRule="atLeast"/>
    </w:pPr>
    <w:rPr>
      <w:sz w:val="20"/>
      <w:szCs w:val="28"/>
    </w:rPr>
  </w:style>
  <w:style w:type="character" w:customStyle="1" w:styleId="FooterChar">
    <w:name w:val="Footer Char"/>
    <w:basedOn w:val="DefaultParagraphFont"/>
    <w:link w:val="Footer"/>
    <w:uiPriority w:val="99"/>
    <w:rsid w:val="00756397"/>
    <w:rPr>
      <w:rFonts w:ascii="Calibri" w:eastAsia="Calibri" w:hAnsi="Calibri" w:cs="Calibri"/>
      <w:color w:val="auto"/>
      <w:szCs w:val="28"/>
    </w:rPr>
  </w:style>
  <w:style w:type="numbering" w:customStyle="1" w:styleId="HangingList">
    <w:name w:val="HangingList"/>
    <w:uiPriority w:val="99"/>
    <w:rsid w:val="0058629F"/>
    <w:pPr>
      <w:numPr>
        <w:numId w:val="17"/>
      </w:numPr>
    </w:pPr>
  </w:style>
  <w:style w:type="paragraph" w:styleId="Header">
    <w:name w:val="header"/>
    <w:basedOn w:val="Normal"/>
    <w:link w:val="HeaderChar"/>
    <w:uiPriority w:val="99"/>
    <w:rsid w:val="006162F5"/>
    <w:pPr>
      <w:tabs>
        <w:tab w:val="left" w:pos="1860"/>
        <w:tab w:val="left" w:pos="2730"/>
      </w:tabs>
      <w:spacing w:before="0" w:after="720"/>
    </w:pPr>
    <w:rPr>
      <w:b/>
      <w:sz w:val="16"/>
    </w:rPr>
  </w:style>
  <w:style w:type="character" w:customStyle="1" w:styleId="HeaderChar">
    <w:name w:val="Header Char"/>
    <w:basedOn w:val="DefaultParagraphFont"/>
    <w:link w:val="Header"/>
    <w:uiPriority w:val="99"/>
    <w:rsid w:val="006162F5"/>
    <w:rPr>
      <w:b/>
      <w:kern w:val="24"/>
      <w:sz w:val="16"/>
    </w:rPr>
  </w:style>
  <w:style w:type="character" w:customStyle="1" w:styleId="Heading1Char">
    <w:name w:val="Heading 1 Char"/>
    <w:basedOn w:val="DefaultParagraphFont"/>
    <w:link w:val="Heading1"/>
    <w:uiPriority w:val="9"/>
    <w:rsid w:val="00C92449"/>
    <w:rPr>
      <w:rFonts w:ascii="Calibri" w:eastAsiaTheme="majorEastAsia" w:hAnsi="Calibri" w:cstheme="majorBidi"/>
      <w:b/>
      <w:bCs/>
      <w:color w:val="000000"/>
      <w:spacing w:val="-2"/>
      <w:sz w:val="40"/>
      <w:szCs w:val="28"/>
      <w14:textFill>
        <w14:solidFill>
          <w14:srgbClr w14:val="000000">
            <w14:lumMod w14:val="75000"/>
          </w14:srgbClr>
        </w14:solidFill>
      </w14:textFill>
    </w:rPr>
  </w:style>
  <w:style w:type="character" w:customStyle="1" w:styleId="Heading2Char">
    <w:name w:val="Heading 2 Char"/>
    <w:aliases w:val="Heading 2 enabler Char"/>
    <w:basedOn w:val="DefaultParagraphFont"/>
    <w:link w:val="Heading2"/>
    <w:uiPriority w:val="9"/>
    <w:rsid w:val="00F96BC6"/>
    <w:rPr>
      <w:rFonts w:ascii="Calibri" w:eastAsiaTheme="majorEastAsia" w:hAnsi="Calibri" w:cstheme="majorBidi"/>
      <w:b/>
      <w:bCs/>
      <w:noProof/>
      <w:color w:val="DC80B0"/>
      <w:sz w:val="36"/>
      <w:szCs w:val="22"/>
    </w:rPr>
  </w:style>
  <w:style w:type="character" w:customStyle="1" w:styleId="Heading3Char">
    <w:name w:val="Heading 3 Char"/>
    <w:aliases w:val="Heading 3 enabler Char"/>
    <w:basedOn w:val="DefaultParagraphFont"/>
    <w:link w:val="Heading3"/>
    <w:uiPriority w:val="9"/>
    <w:rsid w:val="00E1682B"/>
    <w:rPr>
      <w:rFonts w:ascii="Calibri" w:eastAsiaTheme="majorEastAsia" w:hAnsi="Calibri" w:cs="Calibri"/>
      <w:b/>
      <w:bCs/>
      <w:color w:val="DC80B0"/>
      <w:sz w:val="28"/>
      <w:szCs w:val="28"/>
    </w:rPr>
  </w:style>
  <w:style w:type="character" w:customStyle="1" w:styleId="Heading4Char">
    <w:name w:val="Heading 4 Char"/>
    <w:basedOn w:val="DefaultParagraphFont"/>
    <w:link w:val="Heading4"/>
    <w:uiPriority w:val="9"/>
    <w:rsid w:val="00E1682B"/>
    <w:rPr>
      <w:rFonts w:ascii="Calibri" w:eastAsiaTheme="majorEastAsia" w:hAnsi="Calibri" w:cs="Calibri"/>
      <w:b/>
      <w:bCs/>
      <w:iCs/>
      <w:color w:val="auto"/>
      <w:sz w:val="24"/>
      <w:szCs w:val="24"/>
    </w:rPr>
  </w:style>
  <w:style w:type="character" w:customStyle="1" w:styleId="Heading7Char">
    <w:name w:val="Heading 7 Char"/>
    <w:basedOn w:val="DefaultParagraphFont"/>
    <w:link w:val="Heading7"/>
    <w:semiHidden/>
    <w:rsid w:val="00E05291"/>
    <w:rPr>
      <w:rFonts w:ascii="Calibri Light" w:eastAsiaTheme="majorEastAsia" w:hAnsi="Calibri Light" w:cstheme="majorBidi"/>
      <w:i/>
      <w:iCs/>
      <w:sz w:val="24"/>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color w:val="EFEBDA" w:themeColor="text2"/>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19"/>
      </w:numPr>
    </w:pPr>
  </w:style>
  <w:style w:type="character" w:styleId="Hyperlink">
    <w:name w:val="Hyperlink"/>
    <w:basedOn w:val="DefaultParagraphFont"/>
    <w:uiPriority w:val="99"/>
    <w:unhideWhenUsed/>
    <w:rsid w:val="004910D4"/>
    <w:rPr>
      <w:color w:val="231C24"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EA4F58"/>
    <w:pPr>
      <w:numPr>
        <w:numId w:val="45"/>
      </w:numPr>
      <w:spacing w:before="60" w:after="60"/>
    </w:pPr>
  </w:style>
  <w:style w:type="paragraph" w:styleId="ListBullet2">
    <w:name w:val="List Bullet 2"/>
    <w:basedOn w:val="ListBullet"/>
    <w:qFormat/>
    <w:rsid w:val="001F26B1"/>
    <w:pPr>
      <w:numPr>
        <w:numId w:val="55"/>
      </w:numPr>
      <w:ind w:left="714" w:hanging="357"/>
    </w:pPr>
  </w:style>
  <w:style w:type="paragraph" w:styleId="ListBullet3">
    <w:name w:val="List Bullet 3"/>
    <w:basedOn w:val="ListBullet2"/>
    <w:qFormat/>
    <w:rsid w:val="0058629F"/>
  </w:style>
  <w:style w:type="paragraph" w:styleId="ListContinue">
    <w:name w:val="List Continue"/>
    <w:basedOn w:val="ListContinue2"/>
    <w:qFormat/>
    <w:rsid w:val="009B7EA7"/>
    <w:pPr>
      <w:ind w:left="482"/>
    </w:pPr>
  </w:style>
  <w:style w:type="paragraph" w:styleId="ListNumber">
    <w:name w:val="List Number"/>
    <w:basedOn w:val="BodyText"/>
    <w:qFormat/>
    <w:rsid w:val="00EA4F58"/>
    <w:pPr>
      <w:numPr>
        <w:numId w:val="23"/>
      </w:numPr>
      <w:spacing w:before="60" w:after="60"/>
    </w:pPr>
  </w:style>
  <w:style w:type="paragraph" w:styleId="ListNumber2">
    <w:name w:val="List Number 2"/>
    <w:basedOn w:val="ListNumber"/>
    <w:qFormat/>
    <w:rsid w:val="0058629F"/>
    <w:pPr>
      <w:numPr>
        <w:ilvl w:val="1"/>
      </w:numPr>
    </w:pPr>
  </w:style>
  <w:style w:type="paragraph" w:styleId="ListNumber3">
    <w:name w:val="List Number 3"/>
    <w:basedOn w:val="ListNumber2"/>
    <w:qFormat/>
    <w:rsid w:val="0058629F"/>
    <w:pPr>
      <w:numPr>
        <w:ilvl w:val="2"/>
      </w:numPr>
    </w:pPr>
  </w:style>
  <w:style w:type="numbering" w:customStyle="1" w:styleId="MyListNumbering">
    <w:name w:val="MyListNumbering"/>
    <w:uiPriority w:val="99"/>
    <w:rsid w:val="0058629F"/>
    <w:pPr>
      <w:numPr>
        <w:numId w:val="21"/>
      </w:numPr>
    </w:pPr>
  </w:style>
  <w:style w:type="character" w:styleId="PlaceholderText">
    <w:name w:val="Placeholder Text"/>
    <w:basedOn w:val="DefaultParagraphFont"/>
    <w:uiPriority w:val="99"/>
    <w:rsid w:val="0058629F"/>
    <w:rPr>
      <w:color w:val="808080"/>
    </w:rPr>
  </w:style>
  <w:style w:type="paragraph" w:styleId="Title">
    <w:name w:val="Title"/>
    <w:basedOn w:val="Normal"/>
    <w:next w:val="Normal"/>
    <w:link w:val="TitleChar"/>
    <w:uiPriority w:val="10"/>
    <w:qFormat/>
    <w:rsid w:val="00634A83"/>
    <w:pPr>
      <w:spacing w:before="0" w:after="0" w:line="550" w:lineRule="exact"/>
    </w:pPr>
    <w:rPr>
      <w:b/>
      <w:sz w:val="56"/>
      <w:szCs w:val="56"/>
    </w:rPr>
  </w:style>
  <w:style w:type="character" w:customStyle="1" w:styleId="TitleChar">
    <w:name w:val="Title Char"/>
    <w:basedOn w:val="DefaultParagraphFont"/>
    <w:link w:val="Title"/>
    <w:uiPriority w:val="10"/>
    <w:rsid w:val="00634A83"/>
    <w:rPr>
      <w:rFonts w:ascii="Calibri" w:hAnsi="Calibri" w:cs="Calibri"/>
      <w:b/>
      <w:sz w:val="56"/>
      <w:szCs w:val="56"/>
    </w:rPr>
  </w:style>
  <w:style w:type="paragraph" w:styleId="Subtitle">
    <w:name w:val="Subtitle"/>
    <w:basedOn w:val="Normal"/>
    <w:next w:val="Normal"/>
    <w:link w:val="SubtitleChar"/>
    <w:uiPriority w:val="11"/>
    <w:qFormat/>
    <w:rsid w:val="004A3878"/>
    <w:pPr>
      <w:numPr>
        <w:ilvl w:val="1"/>
      </w:numPr>
      <w:spacing w:before="0" w:after="0" w:line="233" w:lineRule="auto"/>
    </w:pPr>
    <w:rPr>
      <w:rFonts w:eastAsiaTheme="majorEastAsia" w:cstheme="majorBidi"/>
      <w:b/>
      <w:iCs/>
      <w:sz w:val="19"/>
    </w:rPr>
  </w:style>
  <w:style w:type="paragraph" w:styleId="TOC5">
    <w:name w:val="toc 5"/>
    <w:basedOn w:val="Normal"/>
    <w:next w:val="Normal"/>
    <w:autoRedefine/>
    <w:uiPriority w:val="39"/>
    <w:semiHidden/>
    <w:rsid w:val="0058629F"/>
    <w:pPr>
      <w:spacing w:after="100"/>
      <w:ind w:left="720"/>
    </w:pPr>
  </w:style>
  <w:style w:type="paragraph" w:styleId="TOC6">
    <w:name w:val="toc 6"/>
    <w:basedOn w:val="Normal"/>
    <w:next w:val="Normal"/>
    <w:autoRedefine/>
    <w:semiHidden/>
    <w:rsid w:val="0058629F"/>
    <w:pPr>
      <w:spacing w:after="100"/>
      <w:ind w:left="900"/>
    </w:pPr>
  </w:style>
  <w:style w:type="paragraph" w:styleId="TOC7">
    <w:name w:val="toc 7"/>
    <w:basedOn w:val="Normal"/>
    <w:next w:val="Normal"/>
    <w:autoRedefine/>
    <w:uiPriority w:val="39"/>
    <w:semiHidden/>
    <w:rsid w:val="0058629F"/>
    <w:pPr>
      <w:spacing w:after="100"/>
      <w:ind w:left="1080"/>
    </w:pPr>
  </w:style>
  <w:style w:type="paragraph" w:styleId="TOC8">
    <w:name w:val="toc 8"/>
    <w:basedOn w:val="Normal"/>
    <w:next w:val="Normal"/>
    <w:autoRedefine/>
    <w:uiPriority w:val="39"/>
    <w:semiHidden/>
    <w:rsid w:val="0058629F"/>
    <w:pPr>
      <w:spacing w:after="100"/>
      <w:ind w:left="1260"/>
    </w:pPr>
  </w:style>
  <w:style w:type="character" w:customStyle="1" w:styleId="SubtitleChar">
    <w:name w:val="Subtitle Char"/>
    <w:basedOn w:val="DefaultParagraphFont"/>
    <w:link w:val="Subtitle"/>
    <w:uiPriority w:val="11"/>
    <w:rsid w:val="004A3878"/>
    <w:rPr>
      <w:rFonts w:eastAsiaTheme="majorEastAsia" w:cstheme="majorBidi"/>
      <w:b/>
      <w:iCs/>
      <w:kern w:val="24"/>
      <w:sz w:val="19"/>
    </w:rPr>
  </w:style>
  <w:style w:type="paragraph" w:styleId="ListContinue2">
    <w:name w:val="List Continue 2"/>
    <w:basedOn w:val="ListContinue3"/>
    <w:qFormat/>
    <w:rsid w:val="009B7EA7"/>
    <w:pPr>
      <w:ind w:left="964"/>
    </w:pPr>
  </w:style>
  <w:style w:type="paragraph" w:styleId="ListContinue3">
    <w:name w:val="List Continue 3"/>
    <w:basedOn w:val="Normal"/>
    <w:qFormat/>
    <w:rsid w:val="009B7EA7"/>
    <w:pPr>
      <w:spacing w:before="90" w:after="90"/>
      <w:ind w:left="1446"/>
    </w:pPr>
  </w:style>
  <w:style w:type="paragraph" w:styleId="NoSpacing">
    <w:name w:val="No Spacing"/>
    <w:basedOn w:val="Normal"/>
    <w:uiPriority w:val="1"/>
    <w:qFormat/>
    <w:rsid w:val="00FB7293"/>
    <w:pPr>
      <w:spacing w:before="0" w:after="0"/>
    </w:pPr>
  </w:style>
  <w:style w:type="paragraph" w:customStyle="1" w:styleId="TableofFiguresHeading">
    <w:name w:val="Table of Figures Heading"/>
    <w:basedOn w:val="Normal"/>
    <w:uiPriority w:val="99"/>
    <w:semiHidden/>
    <w:rsid w:val="0058629F"/>
    <w:pPr>
      <w:spacing w:before="240"/>
    </w:pPr>
    <w:rPr>
      <w:b/>
      <w:bCs/>
      <w:noProof/>
    </w:rPr>
  </w:style>
  <w:style w:type="character" w:customStyle="1" w:styleId="Heading5Char">
    <w:name w:val="Heading 5 Char"/>
    <w:basedOn w:val="DefaultParagraphFont"/>
    <w:link w:val="Heading5"/>
    <w:uiPriority w:val="9"/>
    <w:rsid w:val="00D565A3"/>
    <w:rPr>
      <w:rFonts w:asciiTheme="majorHAnsi" w:eastAsiaTheme="majorEastAsia" w:hAnsiTheme="majorHAnsi" w:cstheme="majorBidi"/>
      <w:b/>
      <w:sz w:val="24"/>
    </w:rPr>
  </w:style>
  <w:style w:type="character" w:customStyle="1" w:styleId="Heading6Char">
    <w:name w:val="Heading 6 Char"/>
    <w:basedOn w:val="DefaultParagraphFont"/>
    <w:link w:val="Heading6"/>
    <w:semiHidden/>
    <w:rsid w:val="00DB4DFF"/>
    <w:rPr>
      <w:rFonts w:asciiTheme="majorHAnsi" w:eastAsiaTheme="majorEastAsia" w:hAnsiTheme="majorHAnsi" w:cstheme="majorBidi"/>
      <w:i/>
      <w:iCs/>
      <w:spacing w:val="4"/>
      <w:sz w:val="24"/>
      <w:lang w:eastAsia="en-US"/>
    </w:rPr>
  </w:style>
  <w:style w:type="paragraph" w:styleId="Revision">
    <w:name w:val="Revision"/>
    <w:hidden/>
    <w:uiPriority w:val="99"/>
    <w:semiHidden/>
    <w:rsid w:val="009E7348"/>
    <w:rPr>
      <w:rFonts w:ascii="Calibri" w:eastAsia="Calibri" w:hAnsi="Calibri"/>
      <w:lang w:eastAsia="en-US"/>
    </w:rPr>
  </w:style>
  <w:style w:type="table" w:styleId="PlainTable2">
    <w:name w:val="Plain Table 2"/>
    <w:basedOn w:val="TableNormal"/>
    <w:uiPriority w:val="42"/>
    <w:rsid w:val="0058629F"/>
    <w:pPr>
      <w:spacing w:line="240" w:lineRule="exact"/>
    </w:pPr>
    <w:rPr>
      <w:sz w:val="18"/>
    </w:rPr>
    <w:tblPr>
      <w:tblStyleRowBandSize w:val="1"/>
      <w:tblStyleColBandSize w:val="1"/>
      <w:tblBorders>
        <w:top w:val="single" w:sz="4" w:space="0" w:color="99819D" w:themeColor="text1" w:themeTint="80"/>
        <w:bottom w:val="single" w:sz="4" w:space="0" w:color="99819D" w:themeColor="text1" w:themeTint="80"/>
      </w:tblBorders>
      <w:tblCellMar>
        <w:top w:w="227" w:type="dxa"/>
        <w:bottom w:w="227" w:type="dxa"/>
      </w:tblCellMar>
    </w:tblPr>
    <w:tblStylePr w:type="firstRow">
      <w:rPr>
        <w:b/>
        <w:bCs/>
      </w:rPr>
      <w:tblPr/>
      <w:tcPr>
        <w:tcBorders>
          <w:bottom w:val="single" w:sz="4" w:space="0" w:color="99819D" w:themeColor="text1" w:themeTint="80"/>
        </w:tcBorders>
      </w:tcPr>
    </w:tblStylePr>
    <w:tblStylePr w:type="lastRow">
      <w:rPr>
        <w:b/>
        <w:bCs/>
      </w:rPr>
      <w:tblPr/>
      <w:tcPr>
        <w:tcBorders>
          <w:top w:val="single" w:sz="4" w:space="0" w:color="99819D" w:themeColor="text1" w:themeTint="80"/>
        </w:tcBorders>
      </w:tcPr>
    </w:tblStylePr>
    <w:tblStylePr w:type="firstCol">
      <w:rPr>
        <w:b/>
        <w:bCs/>
      </w:rPr>
    </w:tblStylePr>
    <w:tblStylePr w:type="lastCol">
      <w:rPr>
        <w:b/>
        <w:bCs/>
      </w:rPr>
    </w:tblStylePr>
    <w:tblStylePr w:type="band1Vert">
      <w:tblPr/>
      <w:tcPr>
        <w:tcBorders>
          <w:left w:val="single" w:sz="4" w:space="0" w:color="99819D" w:themeColor="text1" w:themeTint="80"/>
          <w:right w:val="single" w:sz="4" w:space="0" w:color="99819D" w:themeColor="text1" w:themeTint="80"/>
        </w:tcBorders>
      </w:tcPr>
    </w:tblStylePr>
    <w:tblStylePr w:type="band2Vert">
      <w:tblPr/>
      <w:tcPr>
        <w:tcBorders>
          <w:left w:val="single" w:sz="4" w:space="0" w:color="99819D" w:themeColor="text1" w:themeTint="80"/>
          <w:right w:val="single" w:sz="4" w:space="0" w:color="99819D" w:themeColor="text1" w:themeTint="80"/>
        </w:tcBorders>
      </w:tcPr>
    </w:tblStylePr>
    <w:tblStylePr w:type="band1Horz">
      <w:tblPr/>
      <w:tcPr>
        <w:tcBorders>
          <w:top w:val="single" w:sz="4" w:space="0" w:color="99819D" w:themeColor="text1" w:themeTint="80"/>
          <w:bottom w:val="single" w:sz="4" w:space="0" w:color="99819D"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next w:val="Normal"/>
    <w:uiPriority w:val="39"/>
    <w:unhideWhenUsed/>
    <w:qFormat/>
    <w:rsid w:val="003A747A"/>
    <w:pPr>
      <w:pageBreakBefore/>
      <w:spacing w:before="0" w:after="820"/>
      <w:outlineLvl w:val="0"/>
    </w:pPr>
    <w:rPr>
      <w:rFonts w:asciiTheme="majorHAnsi" w:hAnsiTheme="majorHAnsi"/>
      <w:b/>
      <w:bCs/>
      <w:sz w:val="52"/>
    </w:rPr>
  </w:style>
  <w:style w:type="paragraph" w:styleId="TOC1">
    <w:name w:val="toc 1"/>
    <w:basedOn w:val="Normal"/>
    <w:link w:val="TOC1Char"/>
    <w:autoRedefine/>
    <w:uiPriority w:val="39"/>
    <w:rsid w:val="00C053DE"/>
    <w:pPr>
      <w:pBdr>
        <w:top w:val="single" w:sz="4" w:space="4" w:color="auto"/>
        <w:between w:val="single" w:sz="4" w:space="4" w:color="231C24" w:themeColor="text1"/>
      </w:pBdr>
      <w:tabs>
        <w:tab w:val="right" w:pos="9044"/>
      </w:tabs>
      <w:spacing w:after="60" w:line="360" w:lineRule="atLeast"/>
    </w:pPr>
    <w:rPr>
      <w:b/>
      <w:noProof/>
      <w:sz w:val="24"/>
      <w:szCs w:val="24"/>
    </w:rPr>
  </w:style>
  <w:style w:type="paragraph" w:styleId="TOC2">
    <w:name w:val="toc 2"/>
    <w:basedOn w:val="Normal"/>
    <w:next w:val="Normal"/>
    <w:autoRedefine/>
    <w:uiPriority w:val="39"/>
    <w:rsid w:val="00863C0A"/>
    <w:pPr>
      <w:tabs>
        <w:tab w:val="right" w:pos="9044"/>
      </w:tabs>
      <w:spacing w:before="0" w:after="0" w:line="276" w:lineRule="auto"/>
      <w:ind w:left="624" w:right="567" w:hanging="624"/>
    </w:pPr>
    <w:rPr>
      <w:rFonts w:eastAsiaTheme="minorEastAsia" w:cstheme="minorBidi"/>
      <w:noProof/>
    </w:rPr>
  </w:style>
  <w:style w:type="table" w:customStyle="1" w:styleId="TablePlaceholder">
    <w:name w:val="Table Placeholder"/>
    <w:basedOn w:val="TableNormal"/>
    <w:uiPriority w:val="99"/>
    <w:rsid w:val="0058629F"/>
    <w:tblPr>
      <w:tblCellMar>
        <w:left w:w="0" w:type="dxa"/>
        <w:right w:w="0" w:type="dxa"/>
      </w:tblCellMar>
    </w:tblPr>
  </w:style>
  <w:style w:type="paragraph" w:styleId="Caption">
    <w:name w:val="caption"/>
    <w:basedOn w:val="Normal"/>
    <w:next w:val="Normal"/>
    <w:uiPriority w:val="35"/>
    <w:qFormat/>
    <w:rsid w:val="00745B34"/>
    <w:pPr>
      <w:keepNext/>
      <w:tabs>
        <w:tab w:val="left" w:pos="1134"/>
      </w:tabs>
      <w:spacing w:before="240" w:line="240" w:lineRule="atLeast"/>
    </w:pPr>
    <w:rPr>
      <w:b/>
      <w:iCs/>
      <w:sz w:val="20"/>
      <w:szCs w:val="20"/>
    </w:rPr>
  </w:style>
  <w:style w:type="paragraph" w:styleId="FootnoteText">
    <w:name w:val="footnote text"/>
    <w:basedOn w:val="Normal"/>
    <w:link w:val="FootnoteTextChar"/>
    <w:uiPriority w:val="99"/>
    <w:rsid w:val="007A42F5"/>
    <w:pPr>
      <w:spacing w:before="0" w:after="0"/>
    </w:p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6CCD8" w:themeFill="text1" w:themeFillTint="33"/>
    </w:tcPr>
    <w:tblStylePr w:type="firstRow">
      <w:rPr>
        <w:b/>
        <w:bCs/>
      </w:rPr>
      <w:tblPr/>
      <w:tcPr>
        <w:shd w:val="clear" w:color="auto" w:fill="AE9AB0" w:themeFill="text1" w:themeFillTint="66"/>
      </w:tcPr>
    </w:tblStylePr>
    <w:tblStylePr w:type="lastRow">
      <w:rPr>
        <w:b/>
        <w:bCs/>
        <w:color w:val="231C24" w:themeColor="text1"/>
      </w:rPr>
      <w:tblPr/>
      <w:tcPr>
        <w:shd w:val="clear" w:color="auto" w:fill="AE9AB0" w:themeFill="text1" w:themeFillTint="66"/>
      </w:tcPr>
    </w:tblStylePr>
    <w:tblStylePr w:type="firstCol">
      <w:rPr>
        <w:color w:val="FFFFFF" w:themeColor="background1"/>
      </w:rPr>
      <w:tblPr/>
      <w:tcPr>
        <w:shd w:val="clear" w:color="auto" w:fill="19151A" w:themeFill="text1" w:themeFillShade="BF"/>
      </w:tcPr>
    </w:tblStylePr>
    <w:tblStylePr w:type="lastCol">
      <w:rPr>
        <w:color w:val="FFFFFF" w:themeColor="background1"/>
      </w:rPr>
      <w:tblPr/>
      <w:tcPr>
        <w:shd w:val="clear" w:color="auto" w:fill="19151A" w:themeFill="text1" w:themeFillShade="BF"/>
      </w:tcPr>
    </w:tblStylePr>
    <w:tblStylePr w:type="band1Vert">
      <w:tblPr/>
      <w:tcPr>
        <w:shd w:val="clear" w:color="auto" w:fill="9A819D" w:themeFill="text1" w:themeFillTint="7F"/>
      </w:tcPr>
    </w:tblStylePr>
    <w:tblStylePr w:type="band1Horz">
      <w:tblPr/>
      <w:tcPr>
        <w:shd w:val="clear" w:color="auto" w:fill="9A819D"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CDEAE3" w:themeFill="accent1" w:themeFillTint="33"/>
    </w:tcPr>
    <w:tblStylePr w:type="firstRow">
      <w:rPr>
        <w:b/>
        <w:bCs/>
      </w:rPr>
      <w:tblPr/>
      <w:tcPr>
        <w:shd w:val="clear" w:color="auto" w:fill="9CD6C8" w:themeFill="accent1" w:themeFillTint="66"/>
      </w:tcPr>
    </w:tblStylePr>
    <w:tblStylePr w:type="lastRow">
      <w:rPr>
        <w:b/>
        <w:bCs/>
        <w:color w:val="231C24" w:themeColor="text1"/>
      </w:rPr>
      <w:tblPr/>
      <w:tcPr>
        <w:shd w:val="clear" w:color="auto" w:fill="9CD6C8" w:themeFill="accent1" w:themeFillTint="66"/>
      </w:tcPr>
    </w:tblStylePr>
    <w:tblStylePr w:type="firstCol">
      <w:rPr>
        <w:color w:val="FFFFFF" w:themeColor="background1"/>
      </w:rPr>
      <w:tblPr/>
      <w:tcPr>
        <w:shd w:val="clear" w:color="auto" w:fill="24564A" w:themeFill="accent1" w:themeFillShade="BF"/>
      </w:tcPr>
    </w:tblStylePr>
    <w:tblStylePr w:type="lastCol">
      <w:rPr>
        <w:color w:val="FFFFFF" w:themeColor="background1"/>
      </w:rPr>
      <w:tblPr/>
      <w:tcPr>
        <w:shd w:val="clear" w:color="auto" w:fill="24564A" w:themeFill="accent1" w:themeFillShade="BF"/>
      </w:tcPr>
    </w:tblStylePr>
    <w:tblStylePr w:type="band1Vert">
      <w:tblPr/>
      <w:tcPr>
        <w:shd w:val="clear" w:color="auto" w:fill="84CCBB" w:themeFill="accent1" w:themeFillTint="7F"/>
      </w:tcPr>
    </w:tblStylePr>
    <w:tblStylePr w:type="band1Horz">
      <w:tblPr/>
      <w:tcPr>
        <w:shd w:val="clear" w:color="auto" w:fill="84CCBB"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CAF6DC" w:themeFill="accent2" w:themeFillTint="33"/>
    </w:tcPr>
    <w:tblStylePr w:type="firstRow">
      <w:rPr>
        <w:b/>
        <w:bCs/>
      </w:rPr>
      <w:tblPr/>
      <w:tcPr>
        <w:shd w:val="clear" w:color="auto" w:fill="96EDB9" w:themeFill="accent2" w:themeFillTint="66"/>
      </w:tcPr>
    </w:tblStylePr>
    <w:tblStylePr w:type="lastRow">
      <w:rPr>
        <w:b/>
        <w:bCs/>
        <w:color w:val="231C24" w:themeColor="text1"/>
      </w:rPr>
      <w:tblPr/>
      <w:tcPr>
        <w:shd w:val="clear" w:color="auto" w:fill="96EDB9" w:themeFill="accent2" w:themeFillTint="66"/>
      </w:tcPr>
    </w:tblStylePr>
    <w:tblStylePr w:type="firstCol">
      <w:rPr>
        <w:color w:val="FFFFFF" w:themeColor="background1"/>
      </w:rPr>
      <w:tblPr/>
      <w:tcPr>
        <w:shd w:val="clear" w:color="auto" w:fill="168242" w:themeFill="accent2" w:themeFillShade="BF"/>
      </w:tcPr>
    </w:tblStylePr>
    <w:tblStylePr w:type="lastCol">
      <w:rPr>
        <w:color w:val="FFFFFF" w:themeColor="background1"/>
      </w:rPr>
      <w:tblPr/>
      <w:tcPr>
        <w:shd w:val="clear" w:color="auto" w:fill="168242" w:themeFill="accent2" w:themeFillShade="BF"/>
      </w:tcPr>
    </w:tblStylePr>
    <w:tblStylePr w:type="band1Vert">
      <w:tblPr/>
      <w:tcPr>
        <w:shd w:val="clear" w:color="auto" w:fill="7DE8A8" w:themeFill="accent2" w:themeFillTint="7F"/>
      </w:tcPr>
    </w:tblStylePr>
    <w:tblStylePr w:type="band1Horz">
      <w:tblPr/>
      <w:tcPr>
        <w:shd w:val="clear" w:color="auto" w:fill="7DE8A8"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E8ECF6" w:themeFill="accent3" w:themeFillTint="33"/>
    </w:tcPr>
    <w:tblStylePr w:type="firstRow">
      <w:rPr>
        <w:b/>
        <w:bCs/>
      </w:rPr>
      <w:tblPr/>
      <w:tcPr>
        <w:shd w:val="clear" w:color="auto" w:fill="D1D9ED" w:themeFill="accent3" w:themeFillTint="66"/>
      </w:tcPr>
    </w:tblStylePr>
    <w:tblStylePr w:type="lastRow">
      <w:rPr>
        <w:b/>
        <w:bCs/>
        <w:color w:val="231C24" w:themeColor="text1"/>
      </w:rPr>
      <w:tblPr/>
      <w:tcPr>
        <w:shd w:val="clear" w:color="auto" w:fill="D1D9ED" w:themeFill="accent3" w:themeFillTint="66"/>
      </w:tcPr>
    </w:tblStylePr>
    <w:tblStylePr w:type="firstCol">
      <w:rPr>
        <w:color w:val="FFFFFF" w:themeColor="background1"/>
      </w:rPr>
      <w:tblPr/>
      <w:tcPr>
        <w:shd w:val="clear" w:color="auto" w:fill="4C6DBB" w:themeFill="accent3" w:themeFillShade="BF"/>
      </w:tcPr>
    </w:tblStylePr>
    <w:tblStylePr w:type="lastCol">
      <w:rPr>
        <w:color w:val="FFFFFF" w:themeColor="background1"/>
      </w:rPr>
      <w:tblPr/>
      <w:tcPr>
        <w:shd w:val="clear" w:color="auto" w:fill="4C6DBB" w:themeFill="accent3" w:themeFillShade="BF"/>
      </w:tcPr>
    </w:tblStylePr>
    <w:tblStylePr w:type="band1Vert">
      <w:tblPr/>
      <w:tcPr>
        <w:shd w:val="clear" w:color="auto" w:fill="C6D0E9" w:themeFill="accent3" w:themeFillTint="7F"/>
      </w:tcPr>
    </w:tblStylePr>
    <w:tblStylePr w:type="band1Horz">
      <w:tblPr/>
      <w:tcPr>
        <w:shd w:val="clear" w:color="auto" w:fill="C6D0E9"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F7E5EE" w:themeFill="accent4" w:themeFillTint="33"/>
    </w:tcPr>
    <w:tblStylePr w:type="firstRow">
      <w:rPr>
        <w:b/>
        <w:bCs/>
      </w:rPr>
      <w:tblPr/>
      <w:tcPr>
        <w:shd w:val="clear" w:color="auto" w:fill="EFCCDE" w:themeFill="accent4" w:themeFillTint="66"/>
      </w:tcPr>
    </w:tblStylePr>
    <w:tblStylePr w:type="lastRow">
      <w:rPr>
        <w:b/>
        <w:bCs/>
        <w:color w:val="231C24" w:themeColor="text1"/>
      </w:rPr>
      <w:tblPr/>
      <w:tcPr>
        <w:shd w:val="clear" w:color="auto" w:fill="EFCCDE" w:themeFill="accent4" w:themeFillTint="66"/>
      </w:tcPr>
    </w:tblStylePr>
    <w:tblStylePr w:type="firstCol">
      <w:rPr>
        <w:color w:val="FFFFFF" w:themeColor="background1"/>
      </w:rPr>
      <w:tblPr/>
      <w:tcPr>
        <w:shd w:val="clear" w:color="auto" w:fill="C53D81" w:themeFill="accent4" w:themeFillShade="BF"/>
      </w:tcPr>
    </w:tblStylePr>
    <w:tblStylePr w:type="lastCol">
      <w:rPr>
        <w:color w:val="FFFFFF" w:themeColor="background1"/>
      </w:rPr>
      <w:tblPr/>
      <w:tcPr>
        <w:shd w:val="clear" w:color="auto" w:fill="C53D81" w:themeFill="accent4" w:themeFillShade="BF"/>
      </w:tcPr>
    </w:tblStylePr>
    <w:tblStylePr w:type="band1Vert">
      <w:tblPr/>
      <w:tcPr>
        <w:shd w:val="clear" w:color="auto" w:fill="ECBFD5" w:themeFill="accent4" w:themeFillTint="7F"/>
      </w:tcPr>
    </w:tblStylePr>
    <w:tblStylePr w:type="band1Horz">
      <w:tblPr/>
      <w:tcPr>
        <w:shd w:val="clear" w:color="auto" w:fill="ECBFD5"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FEEDD4" w:themeFill="accent5" w:themeFillTint="33"/>
    </w:tcPr>
    <w:tblStylePr w:type="firstRow">
      <w:rPr>
        <w:b/>
        <w:bCs/>
      </w:rPr>
      <w:tblPr/>
      <w:tcPr>
        <w:shd w:val="clear" w:color="auto" w:fill="FDDBA9" w:themeFill="accent5" w:themeFillTint="66"/>
      </w:tcPr>
    </w:tblStylePr>
    <w:tblStylePr w:type="lastRow">
      <w:rPr>
        <w:b/>
        <w:bCs/>
        <w:color w:val="231C24" w:themeColor="text1"/>
      </w:rPr>
      <w:tblPr/>
      <w:tcPr>
        <w:shd w:val="clear" w:color="auto" w:fill="FDDBA9" w:themeFill="accent5" w:themeFillTint="66"/>
      </w:tcPr>
    </w:tblStylePr>
    <w:tblStylePr w:type="firstCol">
      <w:rPr>
        <w:color w:val="FFFFFF" w:themeColor="background1"/>
      </w:rPr>
      <w:tblPr/>
      <w:tcPr>
        <w:shd w:val="clear" w:color="auto" w:fill="D48005" w:themeFill="accent5" w:themeFillShade="BF"/>
      </w:tcPr>
    </w:tblStylePr>
    <w:tblStylePr w:type="lastCol">
      <w:rPr>
        <w:color w:val="FFFFFF" w:themeColor="background1"/>
      </w:rPr>
      <w:tblPr/>
      <w:tcPr>
        <w:shd w:val="clear" w:color="auto" w:fill="D48005" w:themeFill="accent5" w:themeFillShade="BF"/>
      </w:tcPr>
    </w:tblStylePr>
    <w:tblStylePr w:type="band1Vert">
      <w:tblPr/>
      <w:tcPr>
        <w:shd w:val="clear" w:color="auto" w:fill="FCD294" w:themeFill="accent5" w:themeFillTint="7F"/>
      </w:tcPr>
    </w:tblStylePr>
    <w:tblStylePr w:type="band1Horz">
      <w:tblPr/>
      <w:tcPr>
        <w:shd w:val="clear" w:color="auto" w:fill="FCD294"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CE0D6" w:themeFill="accent6" w:themeFillTint="33"/>
    </w:tcPr>
    <w:tblStylePr w:type="firstRow">
      <w:rPr>
        <w:b/>
        <w:bCs/>
      </w:rPr>
      <w:tblPr/>
      <w:tcPr>
        <w:shd w:val="clear" w:color="auto" w:fill="F9C2AD" w:themeFill="accent6" w:themeFillTint="66"/>
      </w:tcPr>
    </w:tblStylePr>
    <w:tblStylePr w:type="lastRow">
      <w:rPr>
        <w:b/>
        <w:bCs/>
        <w:color w:val="231C24" w:themeColor="text1"/>
      </w:rPr>
      <w:tblPr/>
      <w:tcPr>
        <w:shd w:val="clear" w:color="auto" w:fill="F9C2AD" w:themeFill="accent6" w:themeFillTint="66"/>
      </w:tcPr>
    </w:tblStylePr>
    <w:tblStylePr w:type="firstCol">
      <w:rPr>
        <w:color w:val="FFFFFF" w:themeColor="background1"/>
      </w:rPr>
      <w:tblPr/>
      <w:tcPr>
        <w:shd w:val="clear" w:color="auto" w:fill="CE430D" w:themeFill="accent6" w:themeFillShade="BF"/>
      </w:tcPr>
    </w:tblStylePr>
    <w:tblStylePr w:type="lastCol">
      <w:rPr>
        <w:color w:val="FFFFFF" w:themeColor="background1"/>
      </w:rPr>
      <w:tblPr/>
      <w:tcPr>
        <w:shd w:val="clear" w:color="auto" w:fill="CE430D" w:themeFill="accent6" w:themeFillShade="BF"/>
      </w:tcPr>
    </w:tblStylePr>
    <w:tblStylePr w:type="band1Vert">
      <w:tblPr/>
      <w:tcPr>
        <w:shd w:val="clear" w:color="auto" w:fill="F8B499" w:themeFill="accent6" w:themeFillTint="7F"/>
      </w:tcPr>
    </w:tblStylePr>
    <w:tblStylePr w:type="band1Horz">
      <w:tblPr/>
      <w:tcPr>
        <w:shd w:val="clear" w:color="auto" w:fill="F8B499"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BE6EB" w:themeFill="text1" w:themeFillTint="19"/>
    </w:tcPr>
    <w:tblStylePr w:type="firstRow">
      <w:rPr>
        <w:b/>
        <w:bCs/>
        <w:color w:val="FFFFFF" w:themeColor="background1"/>
      </w:rPr>
      <w:tblPr/>
      <w:tcPr>
        <w:tcBorders>
          <w:bottom w:val="single" w:sz="12" w:space="0" w:color="FFFFFF" w:themeColor="background1"/>
        </w:tcBorders>
        <w:shd w:val="clear" w:color="auto" w:fill="188B46" w:themeFill="accent2" w:themeFillShade="CC"/>
      </w:tcPr>
    </w:tblStylePr>
    <w:tblStylePr w:type="lastRow">
      <w:rPr>
        <w:b/>
        <w:bCs/>
        <w:color w:val="188B46" w:themeColor="accent2" w:themeShade="CC"/>
      </w:rPr>
      <w:tblPr/>
      <w:tcPr>
        <w:tcBorders>
          <w:top w:val="single" w:sz="12" w:space="0" w:color="231C2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DC0CE" w:themeFill="text1" w:themeFillTint="3F"/>
      </w:tcPr>
    </w:tblStylePr>
    <w:tblStylePr w:type="band1Horz">
      <w:tblPr/>
      <w:tcPr>
        <w:shd w:val="clear" w:color="auto" w:fill="D6CCD8"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E6F5F1" w:themeFill="accent1" w:themeFillTint="19"/>
    </w:tcPr>
    <w:tblStylePr w:type="firstRow">
      <w:rPr>
        <w:b/>
        <w:bCs/>
        <w:color w:val="FFFFFF" w:themeColor="background1"/>
      </w:rPr>
      <w:tblPr/>
      <w:tcPr>
        <w:tcBorders>
          <w:bottom w:val="single" w:sz="12" w:space="0" w:color="FFFFFF" w:themeColor="background1"/>
        </w:tcBorders>
        <w:shd w:val="clear" w:color="auto" w:fill="188B46" w:themeFill="accent2" w:themeFillShade="CC"/>
      </w:tcPr>
    </w:tblStylePr>
    <w:tblStylePr w:type="lastRow">
      <w:rPr>
        <w:b/>
        <w:bCs/>
        <w:color w:val="188B46" w:themeColor="accent2" w:themeShade="CC"/>
      </w:rPr>
      <w:tblPr/>
      <w:tcPr>
        <w:tcBorders>
          <w:top w:val="single" w:sz="12" w:space="0" w:color="231C2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E5DD" w:themeFill="accent1" w:themeFillTint="3F"/>
      </w:tcPr>
    </w:tblStylePr>
    <w:tblStylePr w:type="band1Horz">
      <w:tblPr/>
      <w:tcPr>
        <w:shd w:val="clear" w:color="auto" w:fill="CDEAE3"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E5FAED" w:themeFill="accent2" w:themeFillTint="19"/>
    </w:tcPr>
    <w:tblStylePr w:type="firstRow">
      <w:rPr>
        <w:b/>
        <w:bCs/>
        <w:color w:val="FFFFFF" w:themeColor="background1"/>
      </w:rPr>
      <w:tblPr/>
      <w:tcPr>
        <w:tcBorders>
          <w:bottom w:val="single" w:sz="12" w:space="0" w:color="FFFFFF" w:themeColor="background1"/>
        </w:tcBorders>
        <w:shd w:val="clear" w:color="auto" w:fill="188B46" w:themeFill="accent2" w:themeFillShade="CC"/>
      </w:tcPr>
    </w:tblStylePr>
    <w:tblStylePr w:type="lastRow">
      <w:rPr>
        <w:b/>
        <w:bCs/>
        <w:color w:val="188B46" w:themeColor="accent2" w:themeShade="CC"/>
      </w:rPr>
      <w:tblPr/>
      <w:tcPr>
        <w:tcBorders>
          <w:top w:val="single" w:sz="12" w:space="0" w:color="231C2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EF4D4" w:themeFill="accent2" w:themeFillTint="3F"/>
      </w:tcPr>
    </w:tblStylePr>
    <w:tblStylePr w:type="band1Horz">
      <w:tblPr/>
      <w:tcPr>
        <w:shd w:val="clear" w:color="auto" w:fill="CAF6DC"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F3F5FA" w:themeFill="accent3" w:themeFillTint="19"/>
    </w:tcPr>
    <w:tblStylePr w:type="firstRow">
      <w:rPr>
        <w:b/>
        <w:bCs/>
        <w:color w:val="FFFFFF" w:themeColor="background1"/>
      </w:rPr>
      <w:tblPr/>
      <w:tcPr>
        <w:tcBorders>
          <w:bottom w:val="single" w:sz="12" w:space="0" w:color="FFFFFF" w:themeColor="background1"/>
        </w:tcBorders>
        <w:shd w:val="clear" w:color="auto" w:fill="C94A8A" w:themeFill="accent4" w:themeFillShade="CC"/>
      </w:tcPr>
    </w:tblStylePr>
    <w:tblStylePr w:type="lastRow">
      <w:rPr>
        <w:b/>
        <w:bCs/>
        <w:color w:val="C94A8A" w:themeColor="accent4" w:themeShade="CC"/>
      </w:rPr>
      <w:tblPr/>
      <w:tcPr>
        <w:tcBorders>
          <w:top w:val="single" w:sz="12" w:space="0" w:color="231C2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E7F4" w:themeFill="accent3" w:themeFillTint="3F"/>
      </w:tcPr>
    </w:tblStylePr>
    <w:tblStylePr w:type="band1Horz">
      <w:tblPr/>
      <w:tcPr>
        <w:shd w:val="clear" w:color="auto" w:fill="E8ECF6"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FBF2F6" w:themeFill="accent4" w:themeFillTint="19"/>
    </w:tcPr>
    <w:tblStylePr w:type="firstRow">
      <w:rPr>
        <w:b/>
        <w:bCs/>
        <w:color w:val="FFFFFF" w:themeColor="background1"/>
      </w:rPr>
      <w:tblPr/>
      <w:tcPr>
        <w:tcBorders>
          <w:bottom w:val="single" w:sz="12" w:space="0" w:color="FFFFFF" w:themeColor="background1"/>
        </w:tcBorders>
        <w:shd w:val="clear" w:color="auto" w:fill="5977C0" w:themeFill="accent3" w:themeFillShade="CC"/>
      </w:tcPr>
    </w:tblStylePr>
    <w:tblStylePr w:type="lastRow">
      <w:rPr>
        <w:b/>
        <w:bCs/>
        <w:color w:val="5977C0" w:themeColor="accent3" w:themeShade="CC"/>
      </w:rPr>
      <w:tblPr/>
      <w:tcPr>
        <w:tcBorders>
          <w:top w:val="single" w:sz="12" w:space="0" w:color="231C2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DFEA" w:themeFill="accent4" w:themeFillTint="3F"/>
      </w:tcPr>
    </w:tblStylePr>
    <w:tblStylePr w:type="band1Horz">
      <w:tblPr/>
      <w:tcPr>
        <w:shd w:val="clear" w:color="auto" w:fill="F7E5EE"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EF6E9" w:themeFill="accent5" w:themeFillTint="19"/>
    </w:tcPr>
    <w:tblStylePr w:type="firstRow">
      <w:rPr>
        <w:b/>
        <w:bCs/>
        <w:color w:val="FFFFFF" w:themeColor="background1"/>
      </w:rPr>
      <w:tblPr/>
      <w:tcPr>
        <w:tcBorders>
          <w:bottom w:val="single" w:sz="12" w:space="0" w:color="FFFFFF" w:themeColor="background1"/>
        </w:tcBorders>
        <w:shd w:val="clear" w:color="auto" w:fill="DC470E" w:themeFill="accent6" w:themeFillShade="CC"/>
      </w:tcPr>
    </w:tblStylePr>
    <w:tblStylePr w:type="lastRow">
      <w:rPr>
        <w:b/>
        <w:bCs/>
        <w:color w:val="DC470E" w:themeColor="accent6" w:themeShade="CC"/>
      </w:rPr>
      <w:tblPr/>
      <w:tcPr>
        <w:tcBorders>
          <w:top w:val="single" w:sz="12" w:space="0" w:color="231C2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8C9" w:themeFill="accent5" w:themeFillTint="3F"/>
      </w:tcPr>
    </w:tblStylePr>
    <w:tblStylePr w:type="band1Horz">
      <w:tblPr/>
      <w:tcPr>
        <w:shd w:val="clear" w:color="auto" w:fill="FEEDD4"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DF0EA" w:themeFill="accent6" w:themeFillTint="19"/>
    </w:tcPr>
    <w:tblStylePr w:type="firstRow">
      <w:rPr>
        <w:b/>
        <w:bCs/>
        <w:color w:val="FFFFFF" w:themeColor="background1"/>
      </w:rPr>
      <w:tblPr/>
      <w:tcPr>
        <w:tcBorders>
          <w:bottom w:val="single" w:sz="12" w:space="0" w:color="FFFFFF" w:themeColor="background1"/>
        </w:tcBorders>
        <w:shd w:val="clear" w:color="auto" w:fill="E38905" w:themeFill="accent5" w:themeFillShade="CC"/>
      </w:tcPr>
    </w:tblStylePr>
    <w:tblStylePr w:type="lastRow">
      <w:rPr>
        <w:b/>
        <w:bCs/>
        <w:color w:val="E38905" w:themeColor="accent5" w:themeShade="CC"/>
      </w:rPr>
      <w:tblPr/>
      <w:tcPr>
        <w:tcBorders>
          <w:top w:val="single" w:sz="12" w:space="0" w:color="231C24"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9CC" w:themeFill="accent6" w:themeFillTint="3F"/>
      </w:tcPr>
    </w:tblStylePr>
    <w:tblStylePr w:type="band1Horz">
      <w:tblPr/>
      <w:tcPr>
        <w:shd w:val="clear" w:color="auto" w:fill="FCE0D6"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1EAF59" w:themeColor="accent2"/>
        <w:left w:val="single" w:sz="4" w:space="0" w:color="231C24" w:themeColor="text1"/>
        <w:bottom w:val="single" w:sz="4" w:space="0" w:color="231C24" w:themeColor="text1"/>
        <w:right w:val="single" w:sz="4" w:space="0" w:color="231C24" w:themeColor="text1"/>
        <w:insideH w:val="single" w:sz="4" w:space="0" w:color="FFFFFF" w:themeColor="background1"/>
        <w:insideV w:val="single" w:sz="4" w:space="0" w:color="FFFFFF" w:themeColor="background1"/>
      </w:tblBorders>
    </w:tblPr>
    <w:tcPr>
      <w:shd w:val="clear" w:color="auto" w:fill="EBE6EB" w:themeFill="text1" w:themeFillTint="19"/>
    </w:tcPr>
    <w:tblStylePr w:type="firstRow">
      <w:rPr>
        <w:b/>
        <w:bCs/>
      </w:rPr>
      <w:tblPr/>
      <w:tcPr>
        <w:tcBorders>
          <w:top w:val="nil"/>
          <w:left w:val="nil"/>
          <w:bottom w:val="single" w:sz="24" w:space="0" w:color="1EAF5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015" w:themeFill="text1" w:themeFillShade="99"/>
      </w:tcPr>
    </w:tblStylePr>
    <w:tblStylePr w:type="firstCol">
      <w:rPr>
        <w:color w:val="FFFFFF" w:themeColor="background1"/>
      </w:rPr>
      <w:tblPr/>
      <w:tcPr>
        <w:tcBorders>
          <w:top w:val="nil"/>
          <w:left w:val="nil"/>
          <w:bottom w:val="nil"/>
          <w:right w:val="nil"/>
          <w:insideH w:val="single" w:sz="4" w:space="0" w:color="141015" w:themeColor="text1" w:themeShade="99"/>
          <w:insideV w:val="nil"/>
        </w:tcBorders>
        <w:shd w:val="clear" w:color="auto" w:fill="141015"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9151A" w:themeFill="text1" w:themeFillShade="BF"/>
      </w:tcPr>
    </w:tblStylePr>
    <w:tblStylePr w:type="band1Vert">
      <w:tblPr/>
      <w:tcPr>
        <w:shd w:val="clear" w:color="auto" w:fill="AE9AB0" w:themeFill="text1" w:themeFillTint="66"/>
      </w:tcPr>
    </w:tblStylePr>
    <w:tblStylePr w:type="band1Horz">
      <w:tblPr/>
      <w:tcPr>
        <w:shd w:val="clear" w:color="auto" w:fill="9A819D" w:themeFill="text1" w:themeFillTint="7F"/>
      </w:tcPr>
    </w:tblStylePr>
    <w:tblStylePr w:type="neCell">
      <w:rPr>
        <w:color w:val="231C24" w:themeColor="text1"/>
      </w:rPr>
    </w:tblStylePr>
    <w:tblStylePr w:type="nwCell">
      <w:rPr>
        <w:color w:val="231C24"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1EAF59" w:themeColor="accent2"/>
        <w:left w:val="single" w:sz="4" w:space="0" w:color="307363" w:themeColor="accent1"/>
        <w:bottom w:val="single" w:sz="4" w:space="0" w:color="307363" w:themeColor="accent1"/>
        <w:right w:val="single" w:sz="4" w:space="0" w:color="307363" w:themeColor="accent1"/>
        <w:insideH w:val="single" w:sz="4" w:space="0" w:color="FFFFFF" w:themeColor="background1"/>
        <w:insideV w:val="single" w:sz="4" w:space="0" w:color="FFFFFF" w:themeColor="background1"/>
      </w:tblBorders>
    </w:tblPr>
    <w:tcPr>
      <w:shd w:val="clear" w:color="auto" w:fill="E6F5F1" w:themeFill="accent1" w:themeFillTint="19"/>
    </w:tcPr>
    <w:tblStylePr w:type="firstRow">
      <w:rPr>
        <w:b/>
        <w:bCs/>
      </w:rPr>
      <w:tblPr/>
      <w:tcPr>
        <w:tcBorders>
          <w:top w:val="nil"/>
          <w:left w:val="nil"/>
          <w:bottom w:val="single" w:sz="24" w:space="0" w:color="1EAF5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443B" w:themeFill="accent1" w:themeFillShade="99"/>
      </w:tcPr>
    </w:tblStylePr>
    <w:tblStylePr w:type="firstCol">
      <w:rPr>
        <w:color w:val="FFFFFF" w:themeColor="background1"/>
      </w:rPr>
      <w:tblPr/>
      <w:tcPr>
        <w:tcBorders>
          <w:top w:val="nil"/>
          <w:left w:val="nil"/>
          <w:bottom w:val="nil"/>
          <w:right w:val="nil"/>
          <w:insideH w:val="single" w:sz="4" w:space="0" w:color="1C443B" w:themeColor="accent1" w:themeShade="99"/>
          <w:insideV w:val="nil"/>
        </w:tcBorders>
        <w:shd w:val="clear" w:color="auto" w:fill="1C443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C443B" w:themeFill="accent1" w:themeFillShade="99"/>
      </w:tcPr>
    </w:tblStylePr>
    <w:tblStylePr w:type="band1Vert">
      <w:tblPr/>
      <w:tcPr>
        <w:shd w:val="clear" w:color="auto" w:fill="9CD6C8" w:themeFill="accent1" w:themeFillTint="66"/>
      </w:tcPr>
    </w:tblStylePr>
    <w:tblStylePr w:type="band1Horz">
      <w:tblPr/>
      <w:tcPr>
        <w:shd w:val="clear" w:color="auto" w:fill="84CCBB" w:themeFill="accent1" w:themeFillTint="7F"/>
      </w:tcPr>
    </w:tblStylePr>
    <w:tblStylePr w:type="neCell">
      <w:rPr>
        <w:color w:val="231C24" w:themeColor="text1"/>
      </w:rPr>
    </w:tblStylePr>
    <w:tblStylePr w:type="nwCell">
      <w:rPr>
        <w:color w:val="231C24"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1EAF59" w:themeColor="accent2"/>
        <w:left w:val="single" w:sz="4" w:space="0" w:color="1EAF59" w:themeColor="accent2"/>
        <w:bottom w:val="single" w:sz="4" w:space="0" w:color="1EAF59" w:themeColor="accent2"/>
        <w:right w:val="single" w:sz="4" w:space="0" w:color="1EAF59" w:themeColor="accent2"/>
        <w:insideH w:val="single" w:sz="4" w:space="0" w:color="FFFFFF" w:themeColor="background1"/>
        <w:insideV w:val="single" w:sz="4" w:space="0" w:color="FFFFFF" w:themeColor="background1"/>
      </w:tblBorders>
    </w:tblPr>
    <w:tcPr>
      <w:shd w:val="clear" w:color="auto" w:fill="E5FAED" w:themeFill="accent2" w:themeFillTint="19"/>
    </w:tcPr>
    <w:tblStylePr w:type="firstRow">
      <w:rPr>
        <w:b/>
        <w:bCs/>
      </w:rPr>
      <w:tblPr/>
      <w:tcPr>
        <w:tcBorders>
          <w:top w:val="nil"/>
          <w:left w:val="nil"/>
          <w:bottom w:val="single" w:sz="24" w:space="0" w:color="1EAF5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6835" w:themeFill="accent2" w:themeFillShade="99"/>
      </w:tcPr>
    </w:tblStylePr>
    <w:tblStylePr w:type="firstCol">
      <w:rPr>
        <w:color w:val="FFFFFF" w:themeColor="background1"/>
      </w:rPr>
      <w:tblPr/>
      <w:tcPr>
        <w:tcBorders>
          <w:top w:val="nil"/>
          <w:left w:val="nil"/>
          <w:bottom w:val="nil"/>
          <w:right w:val="nil"/>
          <w:insideH w:val="single" w:sz="4" w:space="0" w:color="126835" w:themeColor="accent2" w:themeShade="99"/>
          <w:insideV w:val="nil"/>
        </w:tcBorders>
        <w:shd w:val="clear" w:color="auto" w:fill="12683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26835" w:themeFill="accent2" w:themeFillShade="99"/>
      </w:tcPr>
    </w:tblStylePr>
    <w:tblStylePr w:type="band1Vert">
      <w:tblPr/>
      <w:tcPr>
        <w:shd w:val="clear" w:color="auto" w:fill="96EDB9" w:themeFill="accent2" w:themeFillTint="66"/>
      </w:tcPr>
    </w:tblStylePr>
    <w:tblStylePr w:type="band1Horz">
      <w:tblPr/>
      <w:tcPr>
        <w:shd w:val="clear" w:color="auto" w:fill="7DE8A8" w:themeFill="accent2" w:themeFillTint="7F"/>
      </w:tcPr>
    </w:tblStylePr>
    <w:tblStylePr w:type="neCell">
      <w:rPr>
        <w:color w:val="231C24" w:themeColor="text1"/>
      </w:rPr>
    </w:tblStylePr>
    <w:tblStylePr w:type="nwCell">
      <w:rPr>
        <w:color w:val="231C24"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D980AD" w:themeColor="accent4"/>
        <w:left w:val="single" w:sz="4" w:space="0" w:color="8DA2D4" w:themeColor="accent3"/>
        <w:bottom w:val="single" w:sz="4" w:space="0" w:color="8DA2D4" w:themeColor="accent3"/>
        <w:right w:val="single" w:sz="4" w:space="0" w:color="8DA2D4" w:themeColor="accent3"/>
        <w:insideH w:val="single" w:sz="4" w:space="0" w:color="FFFFFF" w:themeColor="background1"/>
        <w:insideV w:val="single" w:sz="4" w:space="0" w:color="FFFFFF" w:themeColor="background1"/>
      </w:tblBorders>
    </w:tblPr>
    <w:tcPr>
      <w:shd w:val="clear" w:color="auto" w:fill="F3F5FA" w:themeFill="accent3" w:themeFillTint="19"/>
    </w:tcPr>
    <w:tblStylePr w:type="firstRow">
      <w:rPr>
        <w:b/>
        <w:bCs/>
      </w:rPr>
      <w:tblPr/>
      <w:tcPr>
        <w:tcBorders>
          <w:top w:val="nil"/>
          <w:left w:val="nil"/>
          <w:bottom w:val="single" w:sz="24" w:space="0" w:color="D980A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5699" w:themeFill="accent3" w:themeFillShade="99"/>
      </w:tcPr>
    </w:tblStylePr>
    <w:tblStylePr w:type="firstCol">
      <w:rPr>
        <w:color w:val="FFFFFF" w:themeColor="background1"/>
      </w:rPr>
      <w:tblPr/>
      <w:tcPr>
        <w:tcBorders>
          <w:top w:val="nil"/>
          <w:left w:val="nil"/>
          <w:bottom w:val="nil"/>
          <w:right w:val="nil"/>
          <w:insideH w:val="single" w:sz="4" w:space="0" w:color="3A5699" w:themeColor="accent3" w:themeShade="99"/>
          <w:insideV w:val="nil"/>
        </w:tcBorders>
        <w:shd w:val="clear" w:color="auto" w:fill="3A569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A5699" w:themeFill="accent3" w:themeFillShade="99"/>
      </w:tcPr>
    </w:tblStylePr>
    <w:tblStylePr w:type="band1Vert">
      <w:tblPr/>
      <w:tcPr>
        <w:shd w:val="clear" w:color="auto" w:fill="D1D9ED" w:themeFill="accent3" w:themeFillTint="66"/>
      </w:tcPr>
    </w:tblStylePr>
    <w:tblStylePr w:type="band1Horz">
      <w:tblPr/>
      <w:tcPr>
        <w:shd w:val="clear" w:color="auto" w:fill="C6D0E9"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8DA2D4" w:themeColor="accent3"/>
        <w:left w:val="single" w:sz="4" w:space="0" w:color="D980AD" w:themeColor="accent4"/>
        <w:bottom w:val="single" w:sz="4" w:space="0" w:color="D980AD" w:themeColor="accent4"/>
        <w:right w:val="single" w:sz="4" w:space="0" w:color="D980AD" w:themeColor="accent4"/>
        <w:insideH w:val="single" w:sz="4" w:space="0" w:color="FFFFFF" w:themeColor="background1"/>
        <w:insideV w:val="single" w:sz="4" w:space="0" w:color="FFFFFF" w:themeColor="background1"/>
      </w:tblBorders>
    </w:tblPr>
    <w:tcPr>
      <w:shd w:val="clear" w:color="auto" w:fill="FBF2F6" w:themeFill="accent4" w:themeFillTint="19"/>
    </w:tcPr>
    <w:tblStylePr w:type="firstRow">
      <w:rPr>
        <w:b/>
        <w:bCs/>
      </w:rPr>
      <w:tblPr/>
      <w:tcPr>
        <w:tcBorders>
          <w:top w:val="nil"/>
          <w:left w:val="nil"/>
          <w:bottom w:val="single" w:sz="24" w:space="0" w:color="8DA2D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2F67" w:themeFill="accent4" w:themeFillShade="99"/>
      </w:tcPr>
    </w:tblStylePr>
    <w:tblStylePr w:type="firstCol">
      <w:rPr>
        <w:color w:val="FFFFFF" w:themeColor="background1"/>
      </w:rPr>
      <w:tblPr/>
      <w:tcPr>
        <w:tcBorders>
          <w:top w:val="nil"/>
          <w:left w:val="nil"/>
          <w:bottom w:val="nil"/>
          <w:right w:val="nil"/>
          <w:insideH w:val="single" w:sz="4" w:space="0" w:color="9F2F67" w:themeColor="accent4" w:themeShade="99"/>
          <w:insideV w:val="nil"/>
        </w:tcBorders>
        <w:shd w:val="clear" w:color="auto" w:fill="9F2F6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F2F67" w:themeFill="accent4" w:themeFillShade="99"/>
      </w:tcPr>
    </w:tblStylePr>
    <w:tblStylePr w:type="band1Vert">
      <w:tblPr/>
      <w:tcPr>
        <w:shd w:val="clear" w:color="auto" w:fill="EFCCDE" w:themeFill="accent4" w:themeFillTint="66"/>
      </w:tcPr>
    </w:tblStylePr>
    <w:tblStylePr w:type="band1Horz">
      <w:tblPr/>
      <w:tcPr>
        <w:shd w:val="clear" w:color="auto" w:fill="ECBFD5" w:themeFill="accent4" w:themeFillTint="7F"/>
      </w:tcPr>
    </w:tblStylePr>
    <w:tblStylePr w:type="neCell">
      <w:rPr>
        <w:color w:val="231C24" w:themeColor="text1"/>
      </w:rPr>
    </w:tblStylePr>
    <w:tblStylePr w:type="nwCell">
      <w:rPr>
        <w:color w:val="231C24"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F26934" w:themeColor="accent6"/>
        <w:left w:val="single" w:sz="4" w:space="0" w:color="FAA629" w:themeColor="accent5"/>
        <w:bottom w:val="single" w:sz="4" w:space="0" w:color="FAA629" w:themeColor="accent5"/>
        <w:right w:val="single" w:sz="4" w:space="0" w:color="FAA629" w:themeColor="accent5"/>
        <w:insideH w:val="single" w:sz="4" w:space="0" w:color="FFFFFF" w:themeColor="background1"/>
        <w:insideV w:val="single" w:sz="4" w:space="0" w:color="FFFFFF" w:themeColor="background1"/>
      </w:tblBorders>
    </w:tblPr>
    <w:tcPr>
      <w:shd w:val="clear" w:color="auto" w:fill="FEF6E9" w:themeFill="accent5" w:themeFillTint="19"/>
    </w:tcPr>
    <w:tblStylePr w:type="firstRow">
      <w:rPr>
        <w:b/>
        <w:bCs/>
      </w:rPr>
      <w:tblPr/>
      <w:tcPr>
        <w:tcBorders>
          <w:top w:val="nil"/>
          <w:left w:val="nil"/>
          <w:bottom w:val="single" w:sz="24" w:space="0" w:color="F26934"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A6704" w:themeFill="accent5" w:themeFillShade="99"/>
      </w:tcPr>
    </w:tblStylePr>
    <w:tblStylePr w:type="firstCol">
      <w:rPr>
        <w:color w:val="FFFFFF" w:themeColor="background1"/>
      </w:rPr>
      <w:tblPr/>
      <w:tcPr>
        <w:tcBorders>
          <w:top w:val="nil"/>
          <w:left w:val="nil"/>
          <w:bottom w:val="nil"/>
          <w:right w:val="nil"/>
          <w:insideH w:val="single" w:sz="4" w:space="0" w:color="AA6704" w:themeColor="accent5" w:themeShade="99"/>
          <w:insideV w:val="nil"/>
        </w:tcBorders>
        <w:shd w:val="clear" w:color="auto" w:fill="AA670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A6704" w:themeFill="accent5" w:themeFillShade="99"/>
      </w:tcPr>
    </w:tblStylePr>
    <w:tblStylePr w:type="band1Vert">
      <w:tblPr/>
      <w:tcPr>
        <w:shd w:val="clear" w:color="auto" w:fill="FDDBA9" w:themeFill="accent5" w:themeFillTint="66"/>
      </w:tcPr>
    </w:tblStylePr>
    <w:tblStylePr w:type="band1Horz">
      <w:tblPr/>
      <w:tcPr>
        <w:shd w:val="clear" w:color="auto" w:fill="FCD294" w:themeFill="accent5" w:themeFillTint="7F"/>
      </w:tcPr>
    </w:tblStylePr>
    <w:tblStylePr w:type="neCell">
      <w:rPr>
        <w:color w:val="231C24" w:themeColor="text1"/>
      </w:rPr>
    </w:tblStylePr>
    <w:tblStylePr w:type="nwCell">
      <w:rPr>
        <w:color w:val="231C24"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FAA629" w:themeColor="accent5"/>
        <w:left w:val="single" w:sz="4" w:space="0" w:color="F26934" w:themeColor="accent6"/>
        <w:bottom w:val="single" w:sz="4" w:space="0" w:color="F26934" w:themeColor="accent6"/>
        <w:right w:val="single" w:sz="4" w:space="0" w:color="F26934" w:themeColor="accent6"/>
        <w:insideH w:val="single" w:sz="4" w:space="0" w:color="FFFFFF" w:themeColor="background1"/>
        <w:insideV w:val="single" w:sz="4" w:space="0" w:color="FFFFFF" w:themeColor="background1"/>
      </w:tblBorders>
    </w:tblPr>
    <w:tcPr>
      <w:shd w:val="clear" w:color="auto" w:fill="FDF0EA" w:themeFill="accent6" w:themeFillTint="19"/>
    </w:tcPr>
    <w:tblStylePr w:type="firstRow">
      <w:rPr>
        <w:b/>
        <w:bCs/>
      </w:rPr>
      <w:tblPr/>
      <w:tcPr>
        <w:tcBorders>
          <w:top w:val="nil"/>
          <w:left w:val="nil"/>
          <w:bottom w:val="single" w:sz="24" w:space="0" w:color="FAA62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5350A" w:themeFill="accent6" w:themeFillShade="99"/>
      </w:tcPr>
    </w:tblStylePr>
    <w:tblStylePr w:type="firstCol">
      <w:rPr>
        <w:color w:val="FFFFFF" w:themeColor="background1"/>
      </w:rPr>
      <w:tblPr/>
      <w:tcPr>
        <w:tcBorders>
          <w:top w:val="nil"/>
          <w:left w:val="nil"/>
          <w:bottom w:val="nil"/>
          <w:right w:val="nil"/>
          <w:insideH w:val="single" w:sz="4" w:space="0" w:color="A5350A" w:themeColor="accent6" w:themeShade="99"/>
          <w:insideV w:val="nil"/>
        </w:tcBorders>
        <w:shd w:val="clear" w:color="auto" w:fill="A535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5350A" w:themeFill="accent6" w:themeFillShade="99"/>
      </w:tcPr>
    </w:tblStylePr>
    <w:tblStylePr w:type="band1Vert">
      <w:tblPr/>
      <w:tcPr>
        <w:shd w:val="clear" w:color="auto" w:fill="F9C2AD" w:themeFill="accent6" w:themeFillTint="66"/>
      </w:tcPr>
    </w:tblStylePr>
    <w:tblStylePr w:type="band1Horz">
      <w:tblPr/>
      <w:tcPr>
        <w:shd w:val="clear" w:color="auto" w:fill="F8B499" w:themeFill="accent6" w:themeFillTint="7F"/>
      </w:tcPr>
    </w:tblStylePr>
    <w:tblStylePr w:type="neCell">
      <w:rPr>
        <w:color w:val="231C24" w:themeColor="text1"/>
      </w:rPr>
    </w:tblStylePr>
    <w:tblStylePr w:type="nwCell">
      <w:rPr>
        <w:color w:val="231C24"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1C24"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C24" w:themeFill="text1"/>
      </w:tcPr>
    </w:tblStylePr>
    <w:tblStylePr w:type="lastRow">
      <w:tblPr/>
      <w:tcPr>
        <w:tcBorders>
          <w:top w:val="single" w:sz="18" w:space="0" w:color="FFFFFF" w:themeColor="background1"/>
          <w:left w:val="nil"/>
          <w:bottom w:val="nil"/>
          <w:right w:val="nil"/>
          <w:insideH w:val="nil"/>
          <w:insideV w:val="nil"/>
        </w:tcBorders>
        <w:shd w:val="clear" w:color="auto" w:fill="110E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9151A"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9151A" w:themeFill="text1" w:themeFillShade="BF"/>
      </w:tcPr>
    </w:tblStylePr>
    <w:tblStylePr w:type="band1Vert">
      <w:tblPr/>
      <w:tcPr>
        <w:tcBorders>
          <w:top w:val="nil"/>
          <w:left w:val="nil"/>
          <w:bottom w:val="nil"/>
          <w:right w:val="nil"/>
          <w:insideH w:val="nil"/>
          <w:insideV w:val="nil"/>
        </w:tcBorders>
        <w:shd w:val="clear" w:color="auto" w:fill="19151A" w:themeFill="text1" w:themeFillShade="BF"/>
      </w:tcPr>
    </w:tblStylePr>
    <w:tblStylePr w:type="band1Horz">
      <w:tblPr/>
      <w:tcPr>
        <w:tcBorders>
          <w:top w:val="nil"/>
          <w:left w:val="nil"/>
          <w:bottom w:val="nil"/>
          <w:right w:val="nil"/>
          <w:insideH w:val="nil"/>
          <w:insideV w:val="nil"/>
        </w:tcBorders>
        <w:shd w:val="clear" w:color="auto" w:fill="19151A"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30736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C24" w:themeFill="text1"/>
      </w:tcPr>
    </w:tblStylePr>
    <w:tblStylePr w:type="lastRow">
      <w:tblPr/>
      <w:tcPr>
        <w:tcBorders>
          <w:top w:val="single" w:sz="18" w:space="0" w:color="FFFFFF" w:themeColor="background1"/>
          <w:left w:val="nil"/>
          <w:bottom w:val="nil"/>
          <w:right w:val="nil"/>
          <w:insideH w:val="nil"/>
          <w:insideV w:val="nil"/>
        </w:tcBorders>
        <w:shd w:val="clear" w:color="auto" w:fill="18393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4564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4564A" w:themeFill="accent1" w:themeFillShade="BF"/>
      </w:tcPr>
    </w:tblStylePr>
    <w:tblStylePr w:type="band1Vert">
      <w:tblPr/>
      <w:tcPr>
        <w:tcBorders>
          <w:top w:val="nil"/>
          <w:left w:val="nil"/>
          <w:bottom w:val="nil"/>
          <w:right w:val="nil"/>
          <w:insideH w:val="nil"/>
          <w:insideV w:val="nil"/>
        </w:tcBorders>
        <w:shd w:val="clear" w:color="auto" w:fill="24564A" w:themeFill="accent1" w:themeFillShade="BF"/>
      </w:tcPr>
    </w:tblStylePr>
    <w:tblStylePr w:type="band1Horz">
      <w:tblPr/>
      <w:tcPr>
        <w:tcBorders>
          <w:top w:val="nil"/>
          <w:left w:val="nil"/>
          <w:bottom w:val="nil"/>
          <w:right w:val="nil"/>
          <w:insideH w:val="nil"/>
          <w:insideV w:val="nil"/>
        </w:tcBorders>
        <w:shd w:val="clear" w:color="auto" w:fill="24564A"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1EAF5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C24" w:themeFill="text1"/>
      </w:tcPr>
    </w:tblStylePr>
    <w:tblStylePr w:type="lastRow">
      <w:tblPr/>
      <w:tcPr>
        <w:tcBorders>
          <w:top w:val="single" w:sz="18" w:space="0" w:color="FFFFFF" w:themeColor="background1"/>
          <w:left w:val="nil"/>
          <w:bottom w:val="nil"/>
          <w:right w:val="nil"/>
          <w:insideH w:val="nil"/>
          <w:insideV w:val="nil"/>
        </w:tcBorders>
        <w:shd w:val="clear" w:color="auto" w:fill="0F572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6824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68242" w:themeFill="accent2" w:themeFillShade="BF"/>
      </w:tcPr>
    </w:tblStylePr>
    <w:tblStylePr w:type="band1Vert">
      <w:tblPr/>
      <w:tcPr>
        <w:tcBorders>
          <w:top w:val="nil"/>
          <w:left w:val="nil"/>
          <w:bottom w:val="nil"/>
          <w:right w:val="nil"/>
          <w:insideH w:val="nil"/>
          <w:insideV w:val="nil"/>
        </w:tcBorders>
        <w:shd w:val="clear" w:color="auto" w:fill="168242" w:themeFill="accent2" w:themeFillShade="BF"/>
      </w:tcPr>
    </w:tblStylePr>
    <w:tblStylePr w:type="band1Horz">
      <w:tblPr/>
      <w:tcPr>
        <w:tcBorders>
          <w:top w:val="nil"/>
          <w:left w:val="nil"/>
          <w:bottom w:val="nil"/>
          <w:right w:val="nil"/>
          <w:insideH w:val="nil"/>
          <w:insideV w:val="nil"/>
        </w:tcBorders>
        <w:shd w:val="clear" w:color="auto" w:fill="168242"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8DA2D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C24" w:themeFill="text1"/>
      </w:tcPr>
    </w:tblStylePr>
    <w:tblStylePr w:type="lastRow">
      <w:tblPr/>
      <w:tcPr>
        <w:tcBorders>
          <w:top w:val="single" w:sz="18" w:space="0" w:color="FFFFFF" w:themeColor="background1"/>
          <w:left w:val="nil"/>
          <w:bottom w:val="nil"/>
          <w:right w:val="nil"/>
          <w:insideH w:val="nil"/>
          <w:insideV w:val="nil"/>
        </w:tcBorders>
        <w:shd w:val="clear" w:color="auto" w:fill="30477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C6DB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C6DBB" w:themeFill="accent3" w:themeFillShade="BF"/>
      </w:tcPr>
    </w:tblStylePr>
    <w:tblStylePr w:type="band1Vert">
      <w:tblPr/>
      <w:tcPr>
        <w:tcBorders>
          <w:top w:val="nil"/>
          <w:left w:val="nil"/>
          <w:bottom w:val="nil"/>
          <w:right w:val="nil"/>
          <w:insideH w:val="nil"/>
          <w:insideV w:val="nil"/>
        </w:tcBorders>
        <w:shd w:val="clear" w:color="auto" w:fill="4C6DBB" w:themeFill="accent3" w:themeFillShade="BF"/>
      </w:tcPr>
    </w:tblStylePr>
    <w:tblStylePr w:type="band1Horz">
      <w:tblPr/>
      <w:tcPr>
        <w:tcBorders>
          <w:top w:val="nil"/>
          <w:left w:val="nil"/>
          <w:bottom w:val="nil"/>
          <w:right w:val="nil"/>
          <w:insideH w:val="nil"/>
          <w:insideV w:val="nil"/>
        </w:tcBorders>
        <w:shd w:val="clear" w:color="auto" w:fill="4C6DBB"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D980A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C24" w:themeFill="text1"/>
      </w:tcPr>
    </w:tblStylePr>
    <w:tblStylePr w:type="lastRow">
      <w:tblPr/>
      <w:tcPr>
        <w:tcBorders>
          <w:top w:val="single" w:sz="18" w:space="0" w:color="FFFFFF" w:themeColor="background1"/>
          <w:left w:val="nil"/>
          <w:bottom w:val="nil"/>
          <w:right w:val="nil"/>
          <w:insideH w:val="nil"/>
          <w:insideV w:val="nil"/>
        </w:tcBorders>
        <w:shd w:val="clear" w:color="auto" w:fill="84275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C53D8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C53D81" w:themeFill="accent4" w:themeFillShade="BF"/>
      </w:tcPr>
    </w:tblStylePr>
    <w:tblStylePr w:type="band1Vert">
      <w:tblPr/>
      <w:tcPr>
        <w:tcBorders>
          <w:top w:val="nil"/>
          <w:left w:val="nil"/>
          <w:bottom w:val="nil"/>
          <w:right w:val="nil"/>
          <w:insideH w:val="nil"/>
          <w:insideV w:val="nil"/>
        </w:tcBorders>
        <w:shd w:val="clear" w:color="auto" w:fill="C53D81" w:themeFill="accent4" w:themeFillShade="BF"/>
      </w:tcPr>
    </w:tblStylePr>
    <w:tblStylePr w:type="band1Horz">
      <w:tblPr/>
      <w:tcPr>
        <w:tcBorders>
          <w:top w:val="nil"/>
          <w:left w:val="nil"/>
          <w:bottom w:val="nil"/>
          <w:right w:val="nil"/>
          <w:insideH w:val="nil"/>
          <w:insideV w:val="nil"/>
        </w:tcBorders>
        <w:shd w:val="clear" w:color="auto" w:fill="C53D81"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FAA62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C24" w:themeFill="text1"/>
      </w:tcPr>
    </w:tblStylePr>
    <w:tblStylePr w:type="lastRow">
      <w:tblPr/>
      <w:tcPr>
        <w:tcBorders>
          <w:top w:val="single" w:sz="18" w:space="0" w:color="FFFFFF" w:themeColor="background1"/>
          <w:left w:val="nil"/>
          <w:bottom w:val="nil"/>
          <w:right w:val="nil"/>
          <w:insideH w:val="nil"/>
          <w:insideV w:val="nil"/>
        </w:tcBorders>
        <w:shd w:val="clear" w:color="auto" w:fill="8D550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4800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48005" w:themeFill="accent5" w:themeFillShade="BF"/>
      </w:tcPr>
    </w:tblStylePr>
    <w:tblStylePr w:type="band1Vert">
      <w:tblPr/>
      <w:tcPr>
        <w:tcBorders>
          <w:top w:val="nil"/>
          <w:left w:val="nil"/>
          <w:bottom w:val="nil"/>
          <w:right w:val="nil"/>
          <w:insideH w:val="nil"/>
          <w:insideV w:val="nil"/>
        </w:tcBorders>
        <w:shd w:val="clear" w:color="auto" w:fill="D48005" w:themeFill="accent5" w:themeFillShade="BF"/>
      </w:tcPr>
    </w:tblStylePr>
    <w:tblStylePr w:type="band1Horz">
      <w:tblPr/>
      <w:tcPr>
        <w:tcBorders>
          <w:top w:val="nil"/>
          <w:left w:val="nil"/>
          <w:bottom w:val="nil"/>
          <w:right w:val="nil"/>
          <w:insideH w:val="nil"/>
          <w:insideV w:val="nil"/>
        </w:tcBorders>
        <w:shd w:val="clear" w:color="auto" w:fill="D48005"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F26934"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C24" w:themeFill="text1"/>
      </w:tcPr>
    </w:tblStylePr>
    <w:tblStylePr w:type="lastRow">
      <w:tblPr/>
      <w:tcPr>
        <w:tcBorders>
          <w:top w:val="single" w:sz="18" w:space="0" w:color="FFFFFF" w:themeColor="background1"/>
          <w:left w:val="nil"/>
          <w:bottom w:val="nil"/>
          <w:right w:val="nil"/>
          <w:insideH w:val="nil"/>
          <w:insideV w:val="nil"/>
        </w:tcBorders>
        <w:shd w:val="clear" w:color="auto" w:fill="892C09"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E430D"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E430D" w:themeFill="accent6" w:themeFillShade="BF"/>
      </w:tcPr>
    </w:tblStylePr>
    <w:tblStylePr w:type="band1Vert">
      <w:tblPr/>
      <w:tcPr>
        <w:tcBorders>
          <w:top w:val="nil"/>
          <w:left w:val="nil"/>
          <w:bottom w:val="nil"/>
          <w:right w:val="nil"/>
          <w:insideH w:val="nil"/>
          <w:insideV w:val="nil"/>
        </w:tcBorders>
        <w:shd w:val="clear" w:color="auto" w:fill="CE430D" w:themeFill="accent6" w:themeFillShade="BF"/>
      </w:tcPr>
    </w:tblStylePr>
    <w:tblStylePr w:type="band1Horz">
      <w:tblPr/>
      <w:tcPr>
        <w:tcBorders>
          <w:top w:val="nil"/>
          <w:left w:val="nil"/>
          <w:bottom w:val="nil"/>
          <w:right w:val="nil"/>
          <w:insideH w:val="nil"/>
          <w:insideV w:val="nil"/>
        </w:tcBorders>
        <w:shd w:val="clear" w:color="auto" w:fill="CE430D"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E9AB0" w:themeColor="text1" w:themeTint="66"/>
        <w:left w:val="single" w:sz="4" w:space="0" w:color="AE9AB0" w:themeColor="text1" w:themeTint="66"/>
        <w:bottom w:val="single" w:sz="4" w:space="0" w:color="AE9AB0" w:themeColor="text1" w:themeTint="66"/>
        <w:right w:val="single" w:sz="4" w:space="0" w:color="AE9AB0" w:themeColor="text1" w:themeTint="66"/>
        <w:insideH w:val="single" w:sz="4" w:space="0" w:color="AE9AB0" w:themeColor="text1" w:themeTint="66"/>
        <w:insideV w:val="single" w:sz="4" w:space="0" w:color="AE9AB0" w:themeColor="text1" w:themeTint="66"/>
      </w:tblBorders>
    </w:tblPr>
    <w:tblStylePr w:type="firstRow">
      <w:rPr>
        <w:b/>
        <w:bCs/>
      </w:rPr>
      <w:tblPr/>
      <w:tcPr>
        <w:tcBorders>
          <w:bottom w:val="single" w:sz="12" w:space="0" w:color="846A88" w:themeColor="text1" w:themeTint="99"/>
        </w:tcBorders>
      </w:tcPr>
    </w:tblStylePr>
    <w:tblStylePr w:type="lastRow">
      <w:rPr>
        <w:b/>
        <w:bCs/>
      </w:rPr>
      <w:tblPr/>
      <w:tcPr>
        <w:tcBorders>
          <w:top w:val="double" w:sz="2" w:space="0" w:color="846A88"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9CD6C8" w:themeColor="accent1" w:themeTint="66"/>
        <w:left w:val="single" w:sz="4" w:space="0" w:color="9CD6C8" w:themeColor="accent1" w:themeTint="66"/>
        <w:bottom w:val="single" w:sz="4" w:space="0" w:color="9CD6C8" w:themeColor="accent1" w:themeTint="66"/>
        <w:right w:val="single" w:sz="4" w:space="0" w:color="9CD6C8" w:themeColor="accent1" w:themeTint="66"/>
        <w:insideH w:val="single" w:sz="4" w:space="0" w:color="9CD6C8" w:themeColor="accent1" w:themeTint="66"/>
        <w:insideV w:val="single" w:sz="4" w:space="0" w:color="9CD6C8" w:themeColor="accent1" w:themeTint="66"/>
      </w:tblBorders>
    </w:tblPr>
    <w:tblStylePr w:type="firstRow">
      <w:rPr>
        <w:b/>
        <w:bCs/>
      </w:rPr>
      <w:tblPr/>
      <w:tcPr>
        <w:tcBorders>
          <w:bottom w:val="single" w:sz="12" w:space="0" w:color="6CC1AD" w:themeColor="accent1" w:themeTint="99"/>
        </w:tcBorders>
      </w:tcPr>
    </w:tblStylePr>
    <w:tblStylePr w:type="lastRow">
      <w:rPr>
        <w:b/>
        <w:bCs/>
      </w:rPr>
      <w:tblPr/>
      <w:tcPr>
        <w:tcBorders>
          <w:top w:val="double" w:sz="2" w:space="0" w:color="6CC1AD"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96EDB9" w:themeColor="accent2" w:themeTint="66"/>
        <w:left w:val="single" w:sz="4" w:space="0" w:color="96EDB9" w:themeColor="accent2" w:themeTint="66"/>
        <w:bottom w:val="single" w:sz="4" w:space="0" w:color="96EDB9" w:themeColor="accent2" w:themeTint="66"/>
        <w:right w:val="single" w:sz="4" w:space="0" w:color="96EDB9" w:themeColor="accent2" w:themeTint="66"/>
        <w:insideH w:val="single" w:sz="4" w:space="0" w:color="96EDB9" w:themeColor="accent2" w:themeTint="66"/>
        <w:insideV w:val="single" w:sz="4" w:space="0" w:color="96EDB9" w:themeColor="accent2" w:themeTint="66"/>
      </w:tblBorders>
    </w:tblPr>
    <w:tblStylePr w:type="firstRow">
      <w:rPr>
        <w:b/>
        <w:bCs/>
      </w:rPr>
      <w:tblPr/>
      <w:tcPr>
        <w:tcBorders>
          <w:bottom w:val="single" w:sz="12" w:space="0" w:color="62E497" w:themeColor="accent2" w:themeTint="99"/>
        </w:tcBorders>
      </w:tcPr>
    </w:tblStylePr>
    <w:tblStylePr w:type="lastRow">
      <w:rPr>
        <w:b/>
        <w:bCs/>
      </w:rPr>
      <w:tblPr/>
      <w:tcPr>
        <w:tcBorders>
          <w:top w:val="double" w:sz="2" w:space="0" w:color="62E497"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D1D9ED" w:themeColor="accent3" w:themeTint="66"/>
        <w:left w:val="single" w:sz="4" w:space="0" w:color="D1D9ED" w:themeColor="accent3" w:themeTint="66"/>
        <w:bottom w:val="single" w:sz="4" w:space="0" w:color="D1D9ED" w:themeColor="accent3" w:themeTint="66"/>
        <w:right w:val="single" w:sz="4" w:space="0" w:color="D1D9ED" w:themeColor="accent3" w:themeTint="66"/>
        <w:insideH w:val="single" w:sz="4" w:space="0" w:color="D1D9ED" w:themeColor="accent3" w:themeTint="66"/>
        <w:insideV w:val="single" w:sz="4" w:space="0" w:color="D1D9ED" w:themeColor="accent3" w:themeTint="66"/>
      </w:tblBorders>
    </w:tblPr>
    <w:tblStylePr w:type="firstRow">
      <w:rPr>
        <w:b/>
        <w:bCs/>
      </w:rPr>
      <w:tblPr/>
      <w:tcPr>
        <w:tcBorders>
          <w:bottom w:val="single" w:sz="12" w:space="0" w:color="BAC7E5" w:themeColor="accent3" w:themeTint="99"/>
        </w:tcBorders>
      </w:tcPr>
    </w:tblStylePr>
    <w:tblStylePr w:type="lastRow">
      <w:rPr>
        <w:b/>
        <w:bCs/>
      </w:rPr>
      <w:tblPr/>
      <w:tcPr>
        <w:tcBorders>
          <w:top w:val="double" w:sz="2" w:space="0" w:color="BAC7E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EFCCDE" w:themeColor="accent4" w:themeTint="66"/>
        <w:left w:val="single" w:sz="4" w:space="0" w:color="EFCCDE" w:themeColor="accent4" w:themeTint="66"/>
        <w:bottom w:val="single" w:sz="4" w:space="0" w:color="EFCCDE" w:themeColor="accent4" w:themeTint="66"/>
        <w:right w:val="single" w:sz="4" w:space="0" w:color="EFCCDE" w:themeColor="accent4" w:themeTint="66"/>
        <w:insideH w:val="single" w:sz="4" w:space="0" w:color="EFCCDE" w:themeColor="accent4" w:themeTint="66"/>
        <w:insideV w:val="single" w:sz="4" w:space="0" w:color="EFCCDE" w:themeColor="accent4" w:themeTint="66"/>
      </w:tblBorders>
    </w:tblPr>
    <w:tblStylePr w:type="firstRow">
      <w:rPr>
        <w:b/>
        <w:bCs/>
      </w:rPr>
      <w:tblPr/>
      <w:tcPr>
        <w:tcBorders>
          <w:bottom w:val="single" w:sz="12" w:space="0" w:color="E8B2CD" w:themeColor="accent4" w:themeTint="99"/>
        </w:tcBorders>
      </w:tcPr>
    </w:tblStylePr>
    <w:tblStylePr w:type="lastRow">
      <w:rPr>
        <w:b/>
        <w:bCs/>
      </w:rPr>
      <w:tblPr/>
      <w:tcPr>
        <w:tcBorders>
          <w:top w:val="double" w:sz="2" w:space="0" w:color="E8B2C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FDDBA9" w:themeColor="accent5" w:themeTint="66"/>
        <w:left w:val="single" w:sz="4" w:space="0" w:color="FDDBA9" w:themeColor="accent5" w:themeTint="66"/>
        <w:bottom w:val="single" w:sz="4" w:space="0" w:color="FDDBA9" w:themeColor="accent5" w:themeTint="66"/>
        <w:right w:val="single" w:sz="4" w:space="0" w:color="FDDBA9" w:themeColor="accent5" w:themeTint="66"/>
        <w:insideH w:val="single" w:sz="4" w:space="0" w:color="FDDBA9" w:themeColor="accent5" w:themeTint="66"/>
        <w:insideV w:val="single" w:sz="4" w:space="0" w:color="FDDBA9" w:themeColor="accent5" w:themeTint="66"/>
      </w:tblBorders>
    </w:tblPr>
    <w:tblStylePr w:type="firstRow">
      <w:rPr>
        <w:b/>
        <w:bCs/>
      </w:rPr>
      <w:tblPr/>
      <w:tcPr>
        <w:tcBorders>
          <w:bottom w:val="single" w:sz="12" w:space="0" w:color="FCC97E" w:themeColor="accent5" w:themeTint="99"/>
        </w:tcBorders>
      </w:tcPr>
    </w:tblStylePr>
    <w:tblStylePr w:type="lastRow">
      <w:rPr>
        <w:b/>
        <w:bCs/>
      </w:rPr>
      <w:tblPr/>
      <w:tcPr>
        <w:tcBorders>
          <w:top w:val="double" w:sz="2" w:space="0" w:color="FCC97E"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9C2AD" w:themeColor="accent6" w:themeTint="66"/>
        <w:left w:val="single" w:sz="4" w:space="0" w:color="F9C2AD" w:themeColor="accent6" w:themeTint="66"/>
        <w:bottom w:val="single" w:sz="4" w:space="0" w:color="F9C2AD" w:themeColor="accent6" w:themeTint="66"/>
        <w:right w:val="single" w:sz="4" w:space="0" w:color="F9C2AD" w:themeColor="accent6" w:themeTint="66"/>
        <w:insideH w:val="single" w:sz="4" w:space="0" w:color="F9C2AD" w:themeColor="accent6" w:themeTint="66"/>
        <w:insideV w:val="single" w:sz="4" w:space="0" w:color="F9C2AD" w:themeColor="accent6" w:themeTint="66"/>
      </w:tblBorders>
    </w:tblPr>
    <w:tblStylePr w:type="firstRow">
      <w:rPr>
        <w:b/>
        <w:bCs/>
      </w:rPr>
      <w:tblPr/>
      <w:tcPr>
        <w:tcBorders>
          <w:bottom w:val="single" w:sz="12" w:space="0" w:color="F7A485" w:themeColor="accent6" w:themeTint="99"/>
        </w:tcBorders>
      </w:tcPr>
    </w:tblStylePr>
    <w:tblStylePr w:type="lastRow">
      <w:rPr>
        <w:b/>
        <w:bCs/>
      </w:rPr>
      <w:tblPr/>
      <w:tcPr>
        <w:tcBorders>
          <w:top w:val="double" w:sz="2" w:space="0" w:color="F7A485"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846A88" w:themeColor="text1" w:themeTint="99"/>
        <w:bottom w:val="single" w:sz="2" w:space="0" w:color="846A88" w:themeColor="text1" w:themeTint="99"/>
        <w:insideH w:val="single" w:sz="2" w:space="0" w:color="846A88" w:themeColor="text1" w:themeTint="99"/>
        <w:insideV w:val="single" w:sz="2" w:space="0" w:color="846A88" w:themeColor="text1" w:themeTint="99"/>
      </w:tblBorders>
    </w:tblPr>
    <w:tblStylePr w:type="firstRow">
      <w:rPr>
        <w:b/>
        <w:bCs/>
      </w:rPr>
      <w:tblPr/>
      <w:tcPr>
        <w:tcBorders>
          <w:top w:val="nil"/>
          <w:bottom w:val="single" w:sz="12" w:space="0" w:color="846A88" w:themeColor="text1" w:themeTint="99"/>
          <w:insideH w:val="nil"/>
          <w:insideV w:val="nil"/>
        </w:tcBorders>
        <w:shd w:val="clear" w:color="auto" w:fill="FFFFFF" w:themeFill="background1"/>
      </w:tcPr>
    </w:tblStylePr>
    <w:tblStylePr w:type="lastRow">
      <w:rPr>
        <w:b/>
        <w:bCs/>
      </w:rPr>
      <w:tblPr/>
      <w:tcPr>
        <w:tcBorders>
          <w:top w:val="double" w:sz="2" w:space="0" w:color="846A88"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CCD8" w:themeFill="text1" w:themeFillTint="33"/>
      </w:tcPr>
    </w:tblStylePr>
    <w:tblStylePr w:type="band1Horz">
      <w:tblPr/>
      <w:tcPr>
        <w:shd w:val="clear" w:color="auto" w:fill="D6CCD8"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6CC1AD" w:themeColor="accent1" w:themeTint="99"/>
        <w:bottom w:val="single" w:sz="2" w:space="0" w:color="6CC1AD" w:themeColor="accent1" w:themeTint="99"/>
        <w:insideH w:val="single" w:sz="2" w:space="0" w:color="6CC1AD" w:themeColor="accent1" w:themeTint="99"/>
        <w:insideV w:val="single" w:sz="2" w:space="0" w:color="6CC1AD" w:themeColor="accent1" w:themeTint="99"/>
      </w:tblBorders>
    </w:tblPr>
    <w:tblStylePr w:type="firstRow">
      <w:rPr>
        <w:b/>
        <w:bCs/>
      </w:rPr>
      <w:tblPr/>
      <w:tcPr>
        <w:tcBorders>
          <w:top w:val="nil"/>
          <w:bottom w:val="single" w:sz="12" w:space="0" w:color="6CC1AD" w:themeColor="accent1" w:themeTint="99"/>
          <w:insideH w:val="nil"/>
          <w:insideV w:val="nil"/>
        </w:tcBorders>
        <w:shd w:val="clear" w:color="auto" w:fill="FFFFFF" w:themeFill="background1"/>
      </w:tcPr>
    </w:tblStylePr>
    <w:tblStylePr w:type="lastRow">
      <w:rPr>
        <w:b/>
        <w:bCs/>
      </w:rPr>
      <w:tblPr/>
      <w:tcPr>
        <w:tcBorders>
          <w:top w:val="double" w:sz="2" w:space="0" w:color="6CC1A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DEAE3" w:themeFill="accent1" w:themeFillTint="33"/>
      </w:tcPr>
    </w:tblStylePr>
    <w:tblStylePr w:type="band1Horz">
      <w:tblPr/>
      <w:tcPr>
        <w:shd w:val="clear" w:color="auto" w:fill="CDEAE3"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62E497" w:themeColor="accent2" w:themeTint="99"/>
        <w:bottom w:val="single" w:sz="2" w:space="0" w:color="62E497" w:themeColor="accent2" w:themeTint="99"/>
        <w:insideH w:val="single" w:sz="2" w:space="0" w:color="62E497" w:themeColor="accent2" w:themeTint="99"/>
        <w:insideV w:val="single" w:sz="2" w:space="0" w:color="62E497" w:themeColor="accent2" w:themeTint="99"/>
      </w:tblBorders>
    </w:tblPr>
    <w:tblStylePr w:type="firstRow">
      <w:rPr>
        <w:b/>
        <w:bCs/>
      </w:rPr>
      <w:tblPr/>
      <w:tcPr>
        <w:tcBorders>
          <w:top w:val="nil"/>
          <w:bottom w:val="single" w:sz="12" w:space="0" w:color="62E497" w:themeColor="accent2" w:themeTint="99"/>
          <w:insideH w:val="nil"/>
          <w:insideV w:val="nil"/>
        </w:tcBorders>
        <w:shd w:val="clear" w:color="auto" w:fill="FFFFFF" w:themeFill="background1"/>
      </w:tcPr>
    </w:tblStylePr>
    <w:tblStylePr w:type="lastRow">
      <w:rPr>
        <w:b/>
        <w:bCs/>
      </w:rPr>
      <w:tblPr/>
      <w:tcPr>
        <w:tcBorders>
          <w:top w:val="double" w:sz="2" w:space="0" w:color="62E49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F6DC" w:themeFill="accent2" w:themeFillTint="33"/>
      </w:tcPr>
    </w:tblStylePr>
    <w:tblStylePr w:type="band1Horz">
      <w:tblPr/>
      <w:tcPr>
        <w:shd w:val="clear" w:color="auto" w:fill="CAF6DC"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BAC7E5" w:themeColor="accent3" w:themeTint="99"/>
        <w:bottom w:val="single" w:sz="2" w:space="0" w:color="BAC7E5" w:themeColor="accent3" w:themeTint="99"/>
        <w:insideH w:val="single" w:sz="2" w:space="0" w:color="BAC7E5" w:themeColor="accent3" w:themeTint="99"/>
        <w:insideV w:val="single" w:sz="2" w:space="0" w:color="BAC7E5" w:themeColor="accent3" w:themeTint="99"/>
      </w:tblBorders>
    </w:tblPr>
    <w:tblStylePr w:type="firstRow">
      <w:rPr>
        <w:b/>
        <w:bCs/>
      </w:rPr>
      <w:tblPr/>
      <w:tcPr>
        <w:tcBorders>
          <w:top w:val="nil"/>
          <w:bottom w:val="single" w:sz="12" w:space="0" w:color="BAC7E5" w:themeColor="accent3" w:themeTint="99"/>
          <w:insideH w:val="nil"/>
          <w:insideV w:val="nil"/>
        </w:tcBorders>
        <w:shd w:val="clear" w:color="auto" w:fill="FFFFFF" w:themeFill="background1"/>
      </w:tcPr>
    </w:tblStylePr>
    <w:tblStylePr w:type="lastRow">
      <w:rPr>
        <w:b/>
        <w:bCs/>
      </w:rPr>
      <w:tblPr/>
      <w:tcPr>
        <w:tcBorders>
          <w:top w:val="double" w:sz="2" w:space="0" w:color="BAC7E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ECF6" w:themeFill="accent3" w:themeFillTint="33"/>
      </w:tcPr>
    </w:tblStylePr>
    <w:tblStylePr w:type="band1Horz">
      <w:tblPr/>
      <w:tcPr>
        <w:shd w:val="clear" w:color="auto" w:fill="E8ECF6"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E8B2CD" w:themeColor="accent4" w:themeTint="99"/>
        <w:bottom w:val="single" w:sz="2" w:space="0" w:color="E8B2CD" w:themeColor="accent4" w:themeTint="99"/>
        <w:insideH w:val="single" w:sz="2" w:space="0" w:color="E8B2CD" w:themeColor="accent4" w:themeTint="99"/>
        <w:insideV w:val="single" w:sz="2" w:space="0" w:color="E8B2CD" w:themeColor="accent4" w:themeTint="99"/>
      </w:tblBorders>
    </w:tblPr>
    <w:tblStylePr w:type="firstRow">
      <w:rPr>
        <w:b/>
        <w:bCs/>
      </w:rPr>
      <w:tblPr/>
      <w:tcPr>
        <w:tcBorders>
          <w:top w:val="nil"/>
          <w:bottom w:val="single" w:sz="12" w:space="0" w:color="E8B2CD" w:themeColor="accent4" w:themeTint="99"/>
          <w:insideH w:val="nil"/>
          <w:insideV w:val="nil"/>
        </w:tcBorders>
        <w:shd w:val="clear" w:color="auto" w:fill="FFFFFF" w:themeFill="background1"/>
      </w:tcPr>
    </w:tblStylePr>
    <w:tblStylePr w:type="lastRow">
      <w:rPr>
        <w:b/>
        <w:bCs/>
      </w:rPr>
      <w:tblPr/>
      <w:tcPr>
        <w:tcBorders>
          <w:top w:val="double" w:sz="2" w:space="0" w:color="E8B2C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E5EE" w:themeFill="accent4" w:themeFillTint="33"/>
      </w:tcPr>
    </w:tblStylePr>
    <w:tblStylePr w:type="band1Horz">
      <w:tblPr/>
      <w:tcPr>
        <w:shd w:val="clear" w:color="auto" w:fill="F7E5EE"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FCC97E" w:themeColor="accent5" w:themeTint="99"/>
        <w:bottom w:val="single" w:sz="2" w:space="0" w:color="FCC97E" w:themeColor="accent5" w:themeTint="99"/>
        <w:insideH w:val="single" w:sz="2" w:space="0" w:color="FCC97E" w:themeColor="accent5" w:themeTint="99"/>
        <w:insideV w:val="single" w:sz="2" w:space="0" w:color="FCC97E" w:themeColor="accent5" w:themeTint="99"/>
      </w:tblBorders>
    </w:tblPr>
    <w:tblStylePr w:type="firstRow">
      <w:rPr>
        <w:b/>
        <w:bCs/>
      </w:rPr>
      <w:tblPr/>
      <w:tcPr>
        <w:tcBorders>
          <w:top w:val="nil"/>
          <w:bottom w:val="single" w:sz="12" w:space="0" w:color="FCC97E" w:themeColor="accent5" w:themeTint="99"/>
          <w:insideH w:val="nil"/>
          <w:insideV w:val="nil"/>
        </w:tcBorders>
        <w:shd w:val="clear" w:color="auto" w:fill="FFFFFF" w:themeFill="background1"/>
      </w:tcPr>
    </w:tblStylePr>
    <w:tblStylePr w:type="lastRow">
      <w:rPr>
        <w:b/>
        <w:bCs/>
      </w:rPr>
      <w:tblPr/>
      <w:tcPr>
        <w:tcBorders>
          <w:top w:val="double" w:sz="2" w:space="0" w:color="FCC97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DD4" w:themeFill="accent5" w:themeFillTint="33"/>
      </w:tcPr>
    </w:tblStylePr>
    <w:tblStylePr w:type="band1Horz">
      <w:tblPr/>
      <w:tcPr>
        <w:shd w:val="clear" w:color="auto" w:fill="FEEDD4"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F7A485" w:themeColor="accent6" w:themeTint="99"/>
        <w:bottom w:val="single" w:sz="2" w:space="0" w:color="F7A485" w:themeColor="accent6" w:themeTint="99"/>
        <w:insideH w:val="single" w:sz="2" w:space="0" w:color="F7A485" w:themeColor="accent6" w:themeTint="99"/>
        <w:insideV w:val="single" w:sz="2" w:space="0" w:color="F7A485" w:themeColor="accent6" w:themeTint="99"/>
      </w:tblBorders>
    </w:tblPr>
    <w:tblStylePr w:type="firstRow">
      <w:rPr>
        <w:b/>
        <w:bCs/>
      </w:rPr>
      <w:tblPr/>
      <w:tcPr>
        <w:tcBorders>
          <w:top w:val="nil"/>
          <w:bottom w:val="single" w:sz="12" w:space="0" w:color="F7A485" w:themeColor="accent6" w:themeTint="99"/>
          <w:insideH w:val="nil"/>
          <w:insideV w:val="nil"/>
        </w:tcBorders>
        <w:shd w:val="clear" w:color="auto" w:fill="FFFFFF" w:themeFill="background1"/>
      </w:tcPr>
    </w:tblStylePr>
    <w:tblStylePr w:type="lastRow">
      <w:rPr>
        <w:b/>
        <w:bCs/>
      </w:rPr>
      <w:tblPr/>
      <w:tcPr>
        <w:tcBorders>
          <w:top w:val="double" w:sz="2" w:space="0" w:color="F7A485"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6" w:themeFill="accent6" w:themeFillTint="33"/>
      </w:tcPr>
    </w:tblStylePr>
    <w:tblStylePr w:type="band1Horz">
      <w:tblPr/>
      <w:tcPr>
        <w:shd w:val="clear" w:color="auto" w:fill="FCE0D6"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846A88" w:themeColor="text1" w:themeTint="99"/>
        <w:left w:val="single" w:sz="4" w:space="0" w:color="846A88" w:themeColor="text1" w:themeTint="99"/>
        <w:bottom w:val="single" w:sz="4" w:space="0" w:color="846A88" w:themeColor="text1" w:themeTint="99"/>
        <w:right w:val="single" w:sz="4" w:space="0" w:color="846A88" w:themeColor="text1" w:themeTint="99"/>
        <w:insideH w:val="single" w:sz="4" w:space="0" w:color="846A88" w:themeColor="text1" w:themeTint="99"/>
        <w:insideV w:val="single" w:sz="4" w:space="0" w:color="846A88"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CCD8" w:themeFill="text1" w:themeFillTint="33"/>
      </w:tcPr>
    </w:tblStylePr>
    <w:tblStylePr w:type="band1Horz">
      <w:tblPr/>
      <w:tcPr>
        <w:shd w:val="clear" w:color="auto" w:fill="D6CCD8" w:themeFill="text1" w:themeFillTint="33"/>
      </w:tcPr>
    </w:tblStylePr>
    <w:tblStylePr w:type="neCell">
      <w:tblPr/>
      <w:tcPr>
        <w:tcBorders>
          <w:bottom w:val="single" w:sz="4" w:space="0" w:color="846A88" w:themeColor="text1" w:themeTint="99"/>
        </w:tcBorders>
      </w:tcPr>
    </w:tblStylePr>
    <w:tblStylePr w:type="nwCell">
      <w:tblPr/>
      <w:tcPr>
        <w:tcBorders>
          <w:bottom w:val="single" w:sz="4" w:space="0" w:color="846A88" w:themeColor="text1" w:themeTint="99"/>
        </w:tcBorders>
      </w:tcPr>
    </w:tblStylePr>
    <w:tblStylePr w:type="seCell">
      <w:tblPr/>
      <w:tcPr>
        <w:tcBorders>
          <w:top w:val="single" w:sz="4" w:space="0" w:color="846A88" w:themeColor="text1" w:themeTint="99"/>
        </w:tcBorders>
      </w:tcPr>
    </w:tblStylePr>
    <w:tblStylePr w:type="swCell">
      <w:tblPr/>
      <w:tcPr>
        <w:tcBorders>
          <w:top w:val="single" w:sz="4" w:space="0" w:color="846A88"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6CC1AD" w:themeColor="accent1" w:themeTint="99"/>
        <w:left w:val="single" w:sz="4" w:space="0" w:color="6CC1AD" w:themeColor="accent1" w:themeTint="99"/>
        <w:bottom w:val="single" w:sz="4" w:space="0" w:color="6CC1AD" w:themeColor="accent1" w:themeTint="99"/>
        <w:right w:val="single" w:sz="4" w:space="0" w:color="6CC1AD" w:themeColor="accent1" w:themeTint="99"/>
        <w:insideH w:val="single" w:sz="4" w:space="0" w:color="6CC1AD" w:themeColor="accent1" w:themeTint="99"/>
        <w:insideV w:val="single" w:sz="4" w:space="0" w:color="6CC1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AE3" w:themeFill="accent1" w:themeFillTint="33"/>
      </w:tcPr>
    </w:tblStylePr>
    <w:tblStylePr w:type="band1Horz">
      <w:tblPr/>
      <w:tcPr>
        <w:shd w:val="clear" w:color="auto" w:fill="CDEAE3" w:themeFill="accent1" w:themeFillTint="33"/>
      </w:tcPr>
    </w:tblStylePr>
    <w:tblStylePr w:type="neCell">
      <w:tblPr/>
      <w:tcPr>
        <w:tcBorders>
          <w:bottom w:val="single" w:sz="4" w:space="0" w:color="6CC1AD" w:themeColor="accent1" w:themeTint="99"/>
        </w:tcBorders>
      </w:tcPr>
    </w:tblStylePr>
    <w:tblStylePr w:type="nwCell">
      <w:tblPr/>
      <w:tcPr>
        <w:tcBorders>
          <w:bottom w:val="single" w:sz="4" w:space="0" w:color="6CC1AD" w:themeColor="accent1" w:themeTint="99"/>
        </w:tcBorders>
      </w:tcPr>
    </w:tblStylePr>
    <w:tblStylePr w:type="seCell">
      <w:tblPr/>
      <w:tcPr>
        <w:tcBorders>
          <w:top w:val="single" w:sz="4" w:space="0" w:color="6CC1AD" w:themeColor="accent1" w:themeTint="99"/>
        </w:tcBorders>
      </w:tcPr>
    </w:tblStylePr>
    <w:tblStylePr w:type="swCell">
      <w:tblPr/>
      <w:tcPr>
        <w:tcBorders>
          <w:top w:val="single" w:sz="4" w:space="0" w:color="6CC1AD"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62E497" w:themeColor="accent2" w:themeTint="99"/>
        <w:left w:val="single" w:sz="4" w:space="0" w:color="62E497" w:themeColor="accent2" w:themeTint="99"/>
        <w:bottom w:val="single" w:sz="4" w:space="0" w:color="62E497" w:themeColor="accent2" w:themeTint="99"/>
        <w:right w:val="single" w:sz="4" w:space="0" w:color="62E497" w:themeColor="accent2" w:themeTint="99"/>
        <w:insideH w:val="single" w:sz="4" w:space="0" w:color="62E497" w:themeColor="accent2" w:themeTint="99"/>
        <w:insideV w:val="single" w:sz="4" w:space="0" w:color="62E49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6DC" w:themeFill="accent2" w:themeFillTint="33"/>
      </w:tcPr>
    </w:tblStylePr>
    <w:tblStylePr w:type="band1Horz">
      <w:tblPr/>
      <w:tcPr>
        <w:shd w:val="clear" w:color="auto" w:fill="CAF6DC" w:themeFill="accent2" w:themeFillTint="33"/>
      </w:tcPr>
    </w:tblStylePr>
    <w:tblStylePr w:type="neCell">
      <w:tblPr/>
      <w:tcPr>
        <w:tcBorders>
          <w:bottom w:val="single" w:sz="4" w:space="0" w:color="62E497" w:themeColor="accent2" w:themeTint="99"/>
        </w:tcBorders>
      </w:tcPr>
    </w:tblStylePr>
    <w:tblStylePr w:type="nwCell">
      <w:tblPr/>
      <w:tcPr>
        <w:tcBorders>
          <w:bottom w:val="single" w:sz="4" w:space="0" w:color="62E497" w:themeColor="accent2" w:themeTint="99"/>
        </w:tcBorders>
      </w:tcPr>
    </w:tblStylePr>
    <w:tblStylePr w:type="seCell">
      <w:tblPr/>
      <w:tcPr>
        <w:tcBorders>
          <w:top w:val="single" w:sz="4" w:space="0" w:color="62E497" w:themeColor="accent2" w:themeTint="99"/>
        </w:tcBorders>
      </w:tcPr>
    </w:tblStylePr>
    <w:tblStylePr w:type="swCell">
      <w:tblPr/>
      <w:tcPr>
        <w:tcBorders>
          <w:top w:val="single" w:sz="4" w:space="0" w:color="62E497"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BAC7E5" w:themeColor="accent3" w:themeTint="99"/>
        <w:left w:val="single" w:sz="4" w:space="0" w:color="BAC7E5" w:themeColor="accent3" w:themeTint="99"/>
        <w:bottom w:val="single" w:sz="4" w:space="0" w:color="BAC7E5" w:themeColor="accent3" w:themeTint="99"/>
        <w:right w:val="single" w:sz="4" w:space="0" w:color="BAC7E5" w:themeColor="accent3" w:themeTint="99"/>
        <w:insideH w:val="single" w:sz="4" w:space="0" w:color="BAC7E5" w:themeColor="accent3" w:themeTint="99"/>
        <w:insideV w:val="single" w:sz="4" w:space="0" w:color="BAC7E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CF6" w:themeFill="accent3" w:themeFillTint="33"/>
      </w:tcPr>
    </w:tblStylePr>
    <w:tblStylePr w:type="band1Horz">
      <w:tblPr/>
      <w:tcPr>
        <w:shd w:val="clear" w:color="auto" w:fill="E8ECF6" w:themeFill="accent3" w:themeFillTint="33"/>
      </w:tcPr>
    </w:tblStylePr>
    <w:tblStylePr w:type="neCell">
      <w:tblPr/>
      <w:tcPr>
        <w:tcBorders>
          <w:bottom w:val="single" w:sz="4" w:space="0" w:color="BAC7E5" w:themeColor="accent3" w:themeTint="99"/>
        </w:tcBorders>
      </w:tcPr>
    </w:tblStylePr>
    <w:tblStylePr w:type="nwCell">
      <w:tblPr/>
      <w:tcPr>
        <w:tcBorders>
          <w:bottom w:val="single" w:sz="4" w:space="0" w:color="BAC7E5" w:themeColor="accent3" w:themeTint="99"/>
        </w:tcBorders>
      </w:tcPr>
    </w:tblStylePr>
    <w:tblStylePr w:type="seCell">
      <w:tblPr/>
      <w:tcPr>
        <w:tcBorders>
          <w:top w:val="single" w:sz="4" w:space="0" w:color="BAC7E5" w:themeColor="accent3" w:themeTint="99"/>
        </w:tcBorders>
      </w:tcPr>
    </w:tblStylePr>
    <w:tblStylePr w:type="swCell">
      <w:tblPr/>
      <w:tcPr>
        <w:tcBorders>
          <w:top w:val="single" w:sz="4" w:space="0" w:color="BAC7E5"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E8B2CD" w:themeColor="accent4" w:themeTint="99"/>
        <w:left w:val="single" w:sz="4" w:space="0" w:color="E8B2CD" w:themeColor="accent4" w:themeTint="99"/>
        <w:bottom w:val="single" w:sz="4" w:space="0" w:color="E8B2CD" w:themeColor="accent4" w:themeTint="99"/>
        <w:right w:val="single" w:sz="4" w:space="0" w:color="E8B2CD" w:themeColor="accent4" w:themeTint="99"/>
        <w:insideH w:val="single" w:sz="4" w:space="0" w:color="E8B2CD" w:themeColor="accent4" w:themeTint="99"/>
        <w:insideV w:val="single" w:sz="4" w:space="0" w:color="E8B2C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5EE" w:themeFill="accent4" w:themeFillTint="33"/>
      </w:tcPr>
    </w:tblStylePr>
    <w:tblStylePr w:type="band1Horz">
      <w:tblPr/>
      <w:tcPr>
        <w:shd w:val="clear" w:color="auto" w:fill="F7E5EE" w:themeFill="accent4" w:themeFillTint="33"/>
      </w:tcPr>
    </w:tblStylePr>
    <w:tblStylePr w:type="neCell">
      <w:tblPr/>
      <w:tcPr>
        <w:tcBorders>
          <w:bottom w:val="single" w:sz="4" w:space="0" w:color="E8B2CD" w:themeColor="accent4" w:themeTint="99"/>
        </w:tcBorders>
      </w:tcPr>
    </w:tblStylePr>
    <w:tblStylePr w:type="nwCell">
      <w:tblPr/>
      <w:tcPr>
        <w:tcBorders>
          <w:bottom w:val="single" w:sz="4" w:space="0" w:color="E8B2CD" w:themeColor="accent4" w:themeTint="99"/>
        </w:tcBorders>
      </w:tcPr>
    </w:tblStylePr>
    <w:tblStylePr w:type="seCell">
      <w:tblPr/>
      <w:tcPr>
        <w:tcBorders>
          <w:top w:val="single" w:sz="4" w:space="0" w:color="E8B2CD" w:themeColor="accent4" w:themeTint="99"/>
        </w:tcBorders>
      </w:tcPr>
    </w:tblStylePr>
    <w:tblStylePr w:type="swCell">
      <w:tblPr/>
      <w:tcPr>
        <w:tcBorders>
          <w:top w:val="single" w:sz="4" w:space="0" w:color="E8B2CD"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FCC97E" w:themeColor="accent5" w:themeTint="99"/>
        <w:left w:val="single" w:sz="4" w:space="0" w:color="FCC97E" w:themeColor="accent5" w:themeTint="99"/>
        <w:bottom w:val="single" w:sz="4" w:space="0" w:color="FCC97E" w:themeColor="accent5" w:themeTint="99"/>
        <w:right w:val="single" w:sz="4" w:space="0" w:color="FCC97E" w:themeColor="accent5" w:themeTint="99"/>
        <w:insideH w:val="single" w:sz="4" w:space="0" w:color="FCC97E" w:themeColor="accent5" w:themeTint="99"/>
        <w:insideV w:val="single" w:sz="4" w:space="0" w:color="FCC97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DD4" w:themeFill="accent5" w:themeFillTint="33"/>
      </w:tcPr>
    </w:tblStylePr>
    <w:tblStylePr w:type="band1Horz">
      <w:tblPr/>
      <w:tcPr>
        <w:shd w:val="clear" w:color="auto" w:fill="FEEDD4" w:themeFill="accent5" w:themeFillTint="33"/>
      </w:tcPr>
    </w:tblStylePr>
    <w:tblStylePr w:type="neCell">
      <w:tblPr/>
      <w:tcPr>
        <w:tcBorders>
          <w:bottom w:val="single" w:sz="4" w:space="0" w:color="FCC97E" w:themeColor="accent5" w:themeTint="99"/>
        </w:tcBorders>
      </w:tcPr>
    </w:tblStylePr>
    <w:tblStylePr w:type="nwCell">
      <w:tblPr/>
      <w:tcPr>
        <w:tcBorders>
          <w:bottom w:val="single" w:sz="4" w:space="0" w:color="FCC97E" w:themeColor="accent5" w:themeTint="99"/>
        </w:tcBorders>
      </w:tcPr>
    </w:tblStylePr>
    <w:tblStylePr w:type="seCell">
      <w:tblPr/>
      <w:tcPr>
        <w:tcBorders>
          <w:top w:val="single" w:sz="4" w:space="0" w:color="FCC97E" w:themeColor="accent5" w:themeTint="99"/>
        </w:tcBorders>
      </w:tcPr>
    </w:tblStylePr>
    <w:tblStylePr w:type="swCell">
      <w:tblPr/>
      <w:tcPr>
        <w:tcBorders>
          <w:top w:val="single" w:sz="4" w:space="0" w:color="FCC97E"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F7A485" w:themeColor="accent6" w:themeTint="99"/>
        <w:left w:val="single" w:sz="4" w:space="0" w:color="F7A485" w:themeColor="accent6" w:themeTint="99"/>
        <w:bottom w:val="single" w:sz="4" w:space="0" w:color="F7A485" w:themeColor="accent6" w:themeTint="99"/>
        <w:right w:val="single" w:sz="4" w:space="0" w:color="F7A485" w:themeColor="accent6" w:themeTint="99"/>
        <w:insideH w:val="single" w:sz="4" w:space="0" w:color="F7A485" w:themeColor="accent6" w:themeTint="99"/>
        <w:insideV w:val="single" w:sz="4" w:space="0" w:color="F7A48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0D6" w:themeFill="accent6" w:themeFillTint="33"/>
      </w:tcPr>
    </w:tblStylePr>
    <w:tblStylePr w:type="band1Horz">
      <w:tblPr/>
      <w:tcPr>
        <w:shd w:val="clear" w:color="auto" w:fill="FCE0D6" w:themeFill="accent6" w:themeFillTint="33"/>
      </w:tcPr>
    </w:tblStylePr>
    <w:tblStylePr w:type="neCell">
      <w:tblPr/>
      <w:tcPr>
        <w:tcBorders>
          <w:bottom w:val="single" w:sz="4" w:space="0" w:color="F7A485" w:themeColor="accent6" w:themeTint="99"/>
        </w:tcBorders>
      </w:tcPr>
    </w:tblStylePr>
    <w:tblStylePr w:type="nwCell">
      <w:tblPr/>
      <w:tcPr>
        <w:tcBorders>
          <w:bottom w:val="single" w:sz="4" w:space="0" w:color="F7A485" w:themeColor="accent6" w:themeTint="99"/>
        </w:tcBorders>
      </w:tcPr>
    </w:tblStylePr>
    <w:tblStylePr w:type="seCell">
      <w:tblPr/>
      <w:tcPr>
        <w:tcBorders>
          <w:top w:val="single" w:sz="4" w:space="0" w:color="F7A485" w:themeColor="accent6" w:themeTint="99"/>
        </w:tcBorders>
      </w:tcPr>
    </w:tblStylePr>
    <w:tblStylePr w:type="swCell">
      <w:tblPr/>
      <w:tcPr>
        <w:tcBorders>
          <w:top w:val="single" w:sz="4" w:space="0" w:color="F7A485"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846A88" w:themeColor="text1" w:themeTint="99"/>
        <w:left w:val="single" w:sz="4" w:space="0" w:color="846A88" w:themeColor="text1" w:themeTint="99"/>
        <w:bottom w:val="single" w:sz="4" w:space="0" w:color="846A88" w:themeColor="text1" w:themeTint="99"/>
        <w:right w:val="single" w:sz="4" w:space="0" w:color="846A88" w:themeColor="text1" w:themeTint="99"/>
        <w:insideH w:val="single" w:sz="4" w:space="0" w:color="846A88" w:themeColor="text1" w:themeTint="99"/>
        <w:insideV w:val="single" w:sz="4" w:space="0" w:color="846A88" w:themeColor="text1" w:themeTint="99"/>
      </w:tblBorders>
    </w:tblPr>
    <w:tblStylePr w:type="firstRow">
      <w:rPr>
        <w:b/>
        <w:bCs/>
        <w:color w:val="FFFFFF" w:themeColor="background1"/>
      </w:rPr>
      <w:tblPr/>
      <w:tcPr>
        <w:tcBorders>
          <w:top w:val="single" w:sz="4" w:space="0" w:color="231C24" w:themeColor="text1"/>
          <w:left w:val="single" w:sz="4" w:space="0" w:color="231C24" w:themeColor="text1"/>
          <w:bottom w:val="single" w:sz="4" w:space="0" w:color="231C24" w:themeColor="text1"/>
          <w:right w:val="single" w:sz="4" w:space="0" w:color="231C24" w:themeColor="text1"/>
          <w:insideH w:val="nil"/>
          <w:insideV w:val="nil"/>
        </w:tcBorders>
        <w:shd w:val="clear" w:color="auto" w:fill="231C24" w:themeFill="text1"/>
      </w:tcPr>
    </w:tblStylePr>
    <w:tblStylePr w:type="lastRow">
      <w:rPr>
        <w:b/>
        <w:bCs/>
      </w:rPr>
      <w:tblPr/>
      <w:tcPr>
        <w:tcBorders>
          <w:top w:val="double" w:sz="4" w:space="0" w:color="231C24" w:themeColor="text1"/>
        </w:tcBorders>
      </w:tcPr>
    </w:tblStylePr>
    <w:tblStylePr w:type="firstCol">
      <w:rPr>
        <w:b/>
        <w:bCs/>
      </w:rPr>
    </w:tblStylePr>
    <w:tblStylePr w:type="lastCol">
      <w:rPr>
        <w:b/>
        <w:bCs/>
      </w:rPr>
    </w:tblStylePr>
    <w:tblStylePr w:type="band1Vert">
      <w:tblPr/>
      <w:tcPr>
        <w:shd w:val="clear" w:color="auto" w:fill="D6CCD8" w:themeFill="text1" w:themeFillTint="33"/>
      </w:tcPr>
    </w:tblStylePr>
    <w:tblStylePr w:type="band1Horz">
      <w:tblPr/>
      <w:tcPr>
        <w:shd w:val="clear" w:color="auto" w:fill="D6CCD8" w:themeFill="text1" w:themeFillTint="33"/>
      </w:tcPr>
    </w:tblStylePr>
  </w:style>
  <w:style w:type="table" w:styleId="GridTable4-Accent1">
    <w:name w:val="Grid Table 4 Accent 1"/>
    <w:basedOn w:val="TableNormal"/>
    <w:uiPriority w:val="49"/>
    <w:rsid w:val="0058629F"/>
    <w:tblPr>
      <w:tblStyleRowBandSize w:val="1"/>
      <w:tblStyleColBandSize w:val="1"/>
      <w:tblBorders>
        <w:top w:val="single" w:sz="4" w:space="0" w:color="6CC1AD" w:themeColor="accent1" w:themeTint="99"/>
        <w:left w:val="single" w:sz="4" w:space="0" w:color="6CC1AD" w:themeColor="accent1" w:themeTint="99"/>
        <w:bottom w:val="single" w:sz="4" w:space="0" w:color="6CC1AD" w:themeColor="accent1" w:themeTint="99"/>
        <w:right w:val="single" w:sz="4" w:space="0" w:color="6CC1AD" w:themeColor="accent1" w:themeTint="99"/>
        <w:insideH w:val="single" w:sz="4" w:space="0" w:color="6CC1AD" w:themeColor="accent1" w:themeTint="99"/>
        <w:insideV w:val="single" w:sz="4" w:space="0" w:color="6CC1AD" w:themeColor="accent1" w:themeTint="99"/>
      </w:tblBorders>
    </w:tblPr>
    <w:tblStylePr w:type="firstRow">
      <w:rPr>
        <w:b/>
        <w:bCs/>
        <w:color w:val="FFFFFF" w:themeColor="background1"/>
      </w:rPr>
      <w:tblPr/>
      <w:tcPr>
        <w:tcBorders>
          <w:top w:val="single" w:sz="4" w:space="0" w:color="307363" w:themeColor="accent1"/>
          <w:left w:val="single" w:sz="4" w:space="0" w:color="307363" w:themeColor="accent1"/>
          <w:bottom w:val="single" w:sz="4" w:space="0" w:color="307363" w:themeColor="accent1"/>
          <w:right w:val="single" w:sz="4" w:space="0" w:color="307363" w:themeColor="accent1"/>
          <w:insideH w:val="nil"/>
          <w:insideV w:val="nil"/>
        </w:tcBorders>
        <w:shd w:val="clear" w:color="auto" w:fill="307363" w:themeFill="accent1"/>
      </w:tcPr>
    </w:tblStylePr>
    <w:tblStylePr w:type="lastRow">
      <w:rPr>
        <w:b/>
        <w:bCs/>
      </w:rPr>
      <w:tblPr/>
      <w:tcPr>
        <w:tcBorders>
          <w:top w:val="double" w:sz="4" w:space="0" w:color="307363" w:themeColor="accent1"/>
        </w:tcBorders>
      </w:tcPr>
    </w:tblStylePr>
    <w:tblStylePr w:type="firstCol">
      <w:rPr>
        <w:b/>
        <w:bCs/>
      </w:rPr>
    </w:tblStylePr>
    <w:tblStylePr w:type="lastCol">
      <w:rPr>
        <w:b/>
        <w:bCs/>
      </w:rPr>
    </w:tblStylePr>
    <w:tblStylePr w:type="band1Vert">
      <w:tblPr/>
      <w:tcPr>
        <w:shd w:val="clear" w:color="auto" w:fill="CDEAE3" w:themeFill="accent1" w:themeFillTint="33"/>
      </w:tcPr>
    </w:tblStylePr>
    <w:tblStylePr w:type="band1Horz">
      <w:tblPr/>
      <w:tcPr>
        <w:shd w:val="clear" w:color="auto" w:fill="CDEAE3"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62E497" w:themeColor="accent2" w:themeTint="99"/>
        <w:left w:val="single" w:sz="4" w:space="0" w:color="62E497" w:themeColor="accent2" w:themeTint="99"/>
        <w:bottom w:val="single" w:sz="4" w:space="0" w:color="62E497" w:themeColor="accent2" w:themeTint="99"/>
        <w:right w:val="single" w:sz="4" w:space="0" w:color="62E497" w:themeColor="accent2" w:themeTint="99"/>
        <w:insideH w:val="single" w:sz="4" w:space="0" w:color="62E497" w:themeColor="accent2" w:themeTint="99"/>
        <w:insideV w:val="single" w:sz="4" w:space="0" w:color="62E497" w:themeColor="accent2" w:themeTint="99"/>
      </w:tblBorders>
    </w:tblPr>
    <w:tblStylePr w:type="firstRow">
      <w:rPr>
        <w:b/>
        <w:bCs/>
        <w:color w:val="FFFFFF" w:themeColor="background1"/>
      </w:rPr>
      <w:tblPr/>
      <w:tcPr>
        <w:tcBorders>
          <w:top w:val="single" w:sz="4" w:space="0" w:color="1EAF59" w:themeColor="accent2"/>
          <w:left w:val="single" w:sz="4" w:space="0" w:color="1EAF59" w:themeColor="accent2"/>
          <w:bottom w:val="single" w:sz="4" w:space="0" w:color="1EAF59" w:themeColor="accent2"/>
          <w:right w:val="single" w:sz="4" w:space="0" w:color="1EAF59" w:themeColor="accent2"/>
          <w:insideH w:val="nil"/>
          <w:insideV w:val="nil"/>
        </w:tcBorders>
        <w:shd w:val="clear" w:color="auto" w:fill="1EAF59" w:themeFill="accent2"/>
      </w:tcPr>
    </w:tblStylePr>
    <w:tblStylePr w:type="lastRow">
      <w:rPr>
        <w:b/>
        <w:bCs/>
      </w:rPr>
      <w:tblPr/>
      <w:tcPr>
        <w:tcBorders>
          <w:top w:val="double" w:sz="4" w:space="0" w:color="1EAF59" w:themeColor="accent2"/>
        </w:tcBorders>
      </w:tcPr>
    </w:tblStylePr>
    <w:tblStylePr w:type="firstCol">
      <w:rPr>
        <w:b/>
        <w:bCs/>
      </w:rPr>
    </w:tblStylePr>
    <w:tblStylePr w:type="lastCol">
      <w:rPr>
        <w:b/>
        <w:bCs/>
      </w:rPr>
    </w:tblStylePr>
    <w:tblStylePr w:type="band1Vert">
      <w:tblPr/>
      <w:tcPr>
        <w:shd w:val="clear" w:color="auto" w:fill="CAF6DC" w:themeFill="accent2" w:themeFillTint="33"/>
      </w:tcPr>
    </w:tblStylePr>
    <w:tblStylePr w:type="band1Horz">
      <w:tblPr/>
      <w:tcPr>
        <w:shd w:val="clear" w:color="auto" w:fill="CAF6DC"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BAC7E5" w:themeColor="accent3" w:themeTint="99"/>
        <w:left w:val="single" w:sz="4" w:space="0" w:color="BAC7E5" w:themeColor="accent3" w:themeTint="99"/>
        <w:bottom w:val="single" w:sz="4" w:space="0" w:color="BAC7E5" w:themeColor="accent3" w:themeTint="99"/>
        <w:right w:val="single" w:sz="4" w:space="0" w:color="BAC7E5" w:themeColor="accent3" w:themeTint="99"/>
        <w:insideH w:val="single" w:sz="4" w:space="0" w:color="BAC7E5" w:themeColor="accent3" w:themeTint="99"/>
        <w:insideV w:val="single" w:sz="4" w:space="0" w:color="BAC7E5" w:themeColor="accent3" w:themeTint="99"/>
      </w:tblBorders>
    </w:tblPr>
    <w:tblStylePr w:type="firstRow">
      <w:rPr>
        <w:b/>
        <w:bCs/>
        <w:color w:val="FFFFFF" w:themeColor="background1"/>
      </w:rPr>
      <w:tblPr/>
      <w:tcPr>
        <w:tcBorders>
          <w:top w:val="single" w:sz="4" w:space="0" w:color="8DA2D4" w:themeColor="accent3"/>
          <w:left w:val="single" w:sz="4" w:space="0" w:color="8DA2D4" w:themeColor="accent3"/>
          <w:bottom w:val="single" w:sz="4" w:space="0" w:color="8DA2D4" w:themeColor="accent3"/>
          <w:right w:val="single" w:sz="4" w:space="0" w:color="8DA2D4" w:themeColor="accent3"/>
          <w:insideH w:val="nil"/>
          <w:insideV w:val="nil"/>
        </w:tcBorders>
        <w:shd w:val="clear" w:color="auto" w:fill="8DA2D4" w:themeFill="accent3"/>
      </w:tcPr>
    </w:tblStylePr>
    <w:tblStylePr w:type="lastRow">
      <w:rPr>
        <w:b/>
        <w:bCs/>
      </w:rPr>
      <w:tblPr/>
      <w:tcPr>
        <w:tcBorders>
          <w:top w:val="double" w:sz="4" w:space="0" w:color="8DA2D4" w:themeColor="accent3"/>
        </w:tcBorders>
      </w:tcPr>
    </w:tblStylePr>
    <w:tblStylePr w:type="firstCol">
      <w:rPr>
        <w:b/>
        <w:bCs/>
      </w:rPr>
    </w:tblStylePr>
    <w:tblStylePr w:type="lastCol">
      <w:rPr>
        <w:b/>
        <w:bCs/>
      </w:rPr>
    </w:tblStylePr>
    <w:tblStylePr w:type="band1Vert">
      <w:tblPr/>
      <w:tcPr>
        <w:shd w:val="clear" w:color="auto" w:fill="E8ECF6" w:themeFill="accent3" w:themeFillTint="33"/>
      </w:tcPr>
    </w:tblStylePr>
    <w:tblStylePr w:type="band1Horz">
      <w:tblPr/>
      <w:tcPr>
        <w:shd w:val="clear" w:color="auto" w:fill="E8ECF6"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E8B2CD" w:themeColor="accent4" w:themeTint="99"/>
        <w:left w:val="single" w:sz="4" w:space="0" w:color="E8B2CD" w:themeColor="accent4" w:themeTint="99"/>
        <w:bottom w:val="single" w:sz="4" w:space="0" w:color="E8B2CD" w:themeColor="accent4" w:themeTint="99"/>
        <w:right w:val="single" w:sz="4" w:space="0" w:color="E8B2CD" w:themeColor="accent4" w:themeTint="99"/>
        <w:insideH w:val="single" w:sz="4" w:space="0" w:color="E8B2CD" w:themeColor="accent4" w:themeTint="99"/>
        <w:insideV w:val="single" w:sz="4" w:space="0" w:color="E8B2CD" w:themeColor="accent4" w:themeTint="99"/>
      </w:tblBorders>
    </w:tblPr>
    <w:tblStylePr w:type="firstRow">
      <w:rPr>
        <w:b/>
        <w:bCs/>
        <w:color w:val="FFFFFF" w:themeColor="background1"/>
      </w:rPr>
      <w:tblPr/>
      <w:tcPr>
        <w:tcBorders>
          <w:top w:val="single" w:sz="4" w:space="0" w:color="D980AD" w:themeColor="accent4"/>
          <w:left w:val="single" w:sz="4" w:space="0" w:color="D980AD" w:themeColor="accent4"/>
          <w:bottom w:val="single" w:sz="4" w:space="0" w:color="D980AD" w:themeColor="accent4"/>
          <w:right w:val="single" w:sz="4" w:space="0" w:color="D980AD" w:themeColor="accent4"/>
          <w:insideH w:val="nil"/>
          <w:insideV w:val="nil"/>
        </w:tcBorders>
        <w:shd w:val="clear" w:color="auto" w:fill="D980AD" w:themeFill="accent4"/>
      </w:tcPr>
    </w:tblStylePr>
    <w:tblStylePr w:type="lastRow">
      <w:rPr>
        <w:b/>
        <w:bCs/>
      </w:rPr>
      <w:tblPr/>
      <w:tcPr>
        <w:tcBorders>
          <w:top w:val="double" w:sz="4" w:space="0" w:color="D980AD" w:themeColor="accent4"/>
        </w:tcBorders>
      </w:tcPr>
    </w:tblStylePr>
    <w:tblStylePr w:type="firstCol">
      <w:rPr>
        <w:b/>
        <w:bCs/>
      </w:rPr>
    </w:tblStylePr>
    <w:tblStylePr w:type="lastCol">
      <w:rPr>
        <w:b/>
        <w:bCs/>
      </w:rPr>
    </w:tblStylePr>
    <w:tblStylePr w:type="band1Vert">
      <w:tblPr/>
      <w:tcPr>
        <w:shd w:val="clear" w:color="auto" w:fill="F7E5EE" w:themeFill="accent4" w:themeFillTint="33"/>
      </w:tcPr>
    </w:tblStylePr>
    <w:tblStylePr w:type="band1Horz">
      <w:tblPr/>
      <w:tcPr>
        <w:shd w:val="clear" w:color="auto" w:fill="F7E5EE"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FCC97E" w:themeColor="accent5" w:themeTint="99"/>
        <w:left w:val="single" w:sz="4" w:space="0" w:color="FCC97E" w:themeColor="accent5" w:themeTint="99"/>
        <w:bottom w:val="single" w:sz="4" w:space="0" w:color="FCC97E" w:themeColor="accent5" w:themeTint="99"/>
        <w:right w:val="single" w:sz="4" w:space="0" w:color="FCC97E" w:themeColor="accent5" w:themeTint="99"/>
        <w:insideH w:val="single" w:sz="4" w:space="0" w:color="FCC97E" w:themeColor="accent5" w:themeTint="99"/>
        <w:insideV w:val="single" w:sz="4" w:space="0" w:color="FCC97E" w:themeColor="accent5" w:themeTint="99"/>
      </w:tblBorders>
    </w:tblPr>
    <w:tblStylePr w:type="firstRow">
      <w:rPr>
        <w:b/>
        <w:bCs/>
        <w:color w:val="FFFFFF" w:themeColor="background1"/>
      </w:rPr>
      <w:tblPr/>
      <w:tcPr>
        <w:tcBorders>
          <w:top w:val="single" w:sz="4" w:space="0" w:color="FAA629" w:themeColor="accent5"/>
          <w:left w:val="single" w:sz="4" w:space="0" w:color="FAA629" w:themeColor="accent5"/>
          <w:bottom w:val="single" w:sz="4" w:space="0" w:color="FAA629" w:themeColor="accent5"/>
          <w:right w:val="single" w:sz="4" w:space="0" w:color="FAA629" w:themeColor="accent5"/>
          <w:insideH w:val="nil"/>
          <w:insideV w:val="nil"/>
        </w:tcBorders>
        <w:shd w:val="clear" w:color="auto" w:fill="FAA629" w:themeFill="accent5"/>
      </w:tcPr>
    </w:tblStylePr>
    <w:tblStylePr w:type="lastRow">
      <w:rPr>
        <w:b/>
        <w:bCs/>
      </w:rPr>
      <w:tblPr/>
      <w:tcPr>
        <w:tcBorders>
          <w:top w:val="double" w:sz="4" w:space="0" w:color="FAA629" w:themeColor="accent5"/>
        </w:tcBorders>
      </w:tcPr>
    </w:tblStylePr>
    <w:tblStylePr w:type="firstCol">
      <w:rPr>
        <w:b/>
        <w:bCs/>
      </w:rPr>
    </w:tblStylePr>
    <w:tblStylePr w:type="lastCol">
      <w:rPr>
        <w:b/>
        <w:bCs/>
      </w:rPr>
    </w:tblStylePr>
    <w:tblStylePr w:type="band1Vert">
      <w:tblPr/>
      <w:tcPr>
        <w:shd w:val="clear" w:color="auto" w:fill="FEEDD4" w:themeFill="accent5" w:themeFillTint="33"/>
      </w:tcPr>
    </w:tblStylePr>
    <w:tblStylePr w:type="band1Horz">
      <w:tblPr/>
      <w:tcPr>
        <w:shd w:val="clear" w:color="auto" w:fill="FEEDD4"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F7A485" w:themeColor="accent6" w:themeTint="99"/>
        <w:left w:val="single" w:sz="4" w:space="0" w:color="F7A485" w:themeColor="accent6" w:themeTint="99"/>
        <w:bottom w:val="single" w:sz="4" w:space="0" w:color="F7A485" w:themeColor="accent6" w:themeTint="99"/>
        <w:right w:val="single" w:sz="4" w:space="0" w:color="F7A485" w:themeColor="accent6" w:themeTint="99"/>
        <w:insideH w:val="single" w:sz="4" w:space="0" w:color="F7A485" w:themeColor="accent6" w:themeTint="99"/>
        <w:insideV w:val="single" w:sz="4" w:space="0" w:color="F7A485" w:themeColor="accent6" w:themeTint="99"/>
      </w:tblBorders>
    </w:tblPr>
    <w:tblStylePr w:type="firstRow">
      <w:rPr>
        <w:b/>
        <w:bCs/>
        <w:color w:val="FFFFFF" w:themeColor="background1"/>
      </w:rPr>
      <w:tblPr/>
      <w:tcPr>
        <w:tcBorders>
          <w:top w:val="single" w:sz="4" w:space="0" w:color="F26934" w:themeColor="accent6"/>
          <w:left w:val="single" w:sz="4" w:space="0" w:color="F26934" w:themeColor="accent6"/>
          <w:bottom w:val="single" w:sz="4" w:space="0" w:color="F26934" w:themeColor="accent6"/>
          <w:right w:val="single" w:sz="4" w:space="0" w:color="F26934" w:themeColor="accent6"/>
          <w:insideH w:val="nil"/>
          <w:insideV w:val="nil"/>
        </w:tcBorders>
        <w:shd w:val="clear" w:color="auto" w:fill="F26934" w:themeFill="accent6"/>
      </w:tcPr>
    </w:tblStylePr>
    <w:tblStylePr w:type="lastRow">
      <w:rPr>
        <w:b/>
        <w:bCs/>
      </w:rPr>
      <w:tblPr/>
      <w:tcPr>
        <w:tcBorders>
          <w:top w:val="double" w:sz="4" w:space="0" w:color="F26934" w:themeColor="accent6"/>
        </w:tcBorders>
      </w:tcPr>
    </w:tblStylePr>
    <w:tblStylePr w:type="firstCol">
      <w:rPr>
        <w:b/>
        <w:bCs/>
      </w:rPr>
    </w:tblStylePr>
    <w:tblStylePr w:type="lastCol">
      <w:rPr>
        <w:b/>
        <w:bCs/>
      </w:rPr>
    </w:tblStylePr>
    <w:tblStylePr w:type="band1Vert">
      <w:tblPr/>
      <w:tcPr>
        <w:shd w:val="clear" w:color="auto" w:fill="FCE0D6" w:themeFill="accent6" w:themeFillTint="33"/>
      </w:tcPr>
    </w:tblStylePr>
    <w:tblStylePr w:type="band1Horz">
      <w:tblPr/>
      <w:tcPr>
        <w:shd w:val="clear" w:color="auto" w:fill="FCE0D6"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CCD8"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C24"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C24"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C24"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C24" w:themeFill="text1"/>
      </w:tcPr>
    </w:tblStylePr>
    <w:tblStylePr w:type="band1Vert">
      <w:tblPr/>
      <w:tcPr>
        <w:shd w:val="clear" w:color="auto" w:fill="AE9AB0" w:themeFill="text1" w:themeFillTint="66"/>
      </w:tcPr>
    </w:tblStylePr>
    <w:tblStylePr w:type="band1Horz">
      <w:tblPr/>
      <w:tcPr>
        <w:shd w:val="clear" w:color="auto" w:fill="AE9AB0"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DEAE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0736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0736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0736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07363" w:themeFill="accent1"/>
      </w:tcPr>
    </w:tblStylePr>
    <w:tblStylePr w:type="band1Vert">
      <w:tblPr/>
      <w:tcPr>
        <w:shd w:val="clear" w:color="auto" w:fill="9CD6C8" w:themeFill="accent1" w:themeFillTint="66"/>
      </w:tcPr>
    </w:tblStylePr>
    <w:tblStylePr w:type="band1Horz">
      <w:tblPr/>
      <w:tcPr>
        <w:shd w:val="clear" w:color="auto" w:fill="9CD6C8"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F6D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AF5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AF5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AF5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AF59" w:themeFill="accent2"/>
      </w:tcPr>
    </w:tblStylePr>
    <w:tblStylePr w:type="band1Vert">
      <w:tblPr/>
      <w:tcPr>
        <w:shd w:val="clear" w:color="auto" w:fill="96EDB9" w:themeFill="accent2" w:themeFillTint="66"/>
      </w:tcPr>
    </w:tblStylePr>
    <w:tblStylePr w:type="band1Horz">
      <w:tblPr/>
      <w:tcPr>
        <w:shd w:val="clear" w:color="auto" w:fill="96EDB9"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ECF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A2D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A2D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A2D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A2D4" w:themeFill="accent3"/>
      </w:tcPr>
    </w:tblStylePr>
    <w:tblStylePr w:type="band1Vert">
      <w:tblPr/>
      <w:tcPr>
        <w:shd w:val="clear" w:color="auto" w:fill="D1D9ED" w:themeFill="accent3" w:themeFillTint="66"/>
      </w:tcPr>
    </w:tblStylePr>
    <w:tblStylePr w:type="band1Horz">
      <w:tblPr/>
      <w:tcPr>
        <w:shd w:val="clear" w:color="auto" w:fill="D1D9ED"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5E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980AD"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980AD"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980AD"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980AD" w:themeFill="accent4"/>
      </w:tcPr>
    </w:tblStylePr>
    <w:tblStylePr w:type="band1Vert">
      <w:tblPr/>
      <w:tcPr>
        <w:shd w:val="clear" w:color="auto" w:fill="EFCCDE" w:themeFill="accent4" w:themeFillTint="66"/>
      </w:tcPr>
    </w:tblStylePr>
    <w:tblStylePr w:type="band1Horz">
      <w:tblPr/>
      <w:tcPr>
        <w:shd w:val="clear" w:color="auto" w:fill="EFCCDE"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DD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AA62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AA62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AA62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AA629" w:themeFill="accent5"/>
      </w:tcPr>
    </w:tblStylePr>
    <w:tblStylePr w:type="band1Vert">
      <w:tblPr/>
      <w:tcPr>
        <w:shd w:val="clear" w:color="auto" w:fill="FDDBA9" w:themeFill="accent5" w:themeFillTint="66"/>
      </w:tcPr>
    </w:tblStylePr>
    <w:tblStylePr w:type="band1Horz">
      <w:tblPr/>
      <w:tcPr>
        <w:shd w:val="clear" w:color="auto" w:fill="FDDBA9"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0D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693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693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693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6934" w:themeFill="accent6"/>
      </w:tcPr>
    </w:tblStylePr>
    <w:tblStylePr w:type="band1Vert">
      <w:tblPr/>
      <w:tcPr>
        <w:shd w:val="clear" w:color="auto" w:fill="F9C2AD" w:themeFill="accent6" w:themeFillTint="66"/>
      </w:tcPr>
    </w:tblStylePr>
    <w:tblStylePr w:type="band1Horz">
      <w:tblPr/>
      <w:tcPr>
        <w:shd w:val="clear" w:color="auto" w:fill="F9C2AD"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846A88" w:themeColor="text1" w:themeTint="99"/>
        <w:left w:val="single" w:sz="4" w:space="0" w:color="846A88" w:themeColor="text1" w:themeTint="99"/>
        <w:bottom w:val="single" w:sz="4" w:space="0" w:color="846A88" w:themeColor="text1" w:themeTint="99"/>
        <w:right w:val="single" w:sz="4" w:space="0" w:color="846A88" w:themeColor="text1" w:themeTint="99"/>
        <w:insideH w:val="single" w:sz="4" w:space="0" w:color="846A88" w:themeColor="text1" w:themeTint="99"/>
        <w:insideV w:val="single" w:sz="4" w:space="0" w:color="846A88" w:themeColor="text1" w:themeTint="99"/>
      </w:tblBorders>
    </w:tblPr>
    <w:tblStylePr w:type="firstRow">
      <w:rPr>
        <w:b/>
        <w:bCs/>
      </w:rPr>
      <w:tblPr/>
      <w:tcPr>
        <w:tcBorders>
          <w:bottom w:val="single" w:sz="12" w:space="0" w:color="846A88" w:themeColor="text1" w:themeTint="99"/>
        </w:tcBorders>
      </w:tcPr>
    </w:tblStylePr>
    <w:tblStylePr w:type="lastRow">
      <w:rPr>
        <w:b/>
        <w:bCs/>
      </w:rPr>
      <w:tblPr/>
      <w:tcPr>
        <w:tcBorders>
          <w:top w:val="double" w:sz="4" w:space="0" w:color="846A88" w:themeColor="text1" w:themeTint="99"/>
        </w:tcBorders>
      </w:tcPr>
    </w:tblStylePr>
    <w:tblStylePr w:type="firstCol">
      <w:rPr>
        <w:b/>
        <w:bCs/>
      </w:rPr>
    </w:tblStylePr>
    <w:tblStylePr w:type="lastCol">
      <w:rPr>
        <w:b/>
        <w:bCs/>
      </w:rPr>
    </w:tblStylePr>
    <w:tblStylePr w:type="band1Vert">
      <w:tblPr/>
      <w:tcPr>
        <w:shd w:val="clear" w:color="auto" w:fill="D6CCD8" w:themeFill="text1" w:themeFillTint="33"/>
      </w:tcPr>
    </w:tblStylePr>
    <w:tblStylePr w:type="band1Horz">
      <w:tblPr/>
      <w:tcPr>
        <w:shd w:val="clear" w:color="auto" w:fill="D6CCD8" w:themeFill="text1" w:themeFillTint="33"/>
      </w:tcPr>
    </w:tblStylePr>
  </w:style>
  <w:style w:type="table" w:styleId="GridTable6Colorful-Accent1">
    <w:name w:val="Grid Table 6 Colorful Accent 1"/>
    <w:basedOn w:val="TableNormal"/>
    <w:uiPriority w:val="51"/>
    <w:semiHidden/>
    <w:rsid w:val="0058629F"/>
    <w:rPr>
      <w:color w:val="24564A" w:themeColor="accent1" w:themeShade="BF"/>
    </w:rPr>
    <w:tblPr>
      <w:tblStyleRowBandSize w:val="1"/>
      <w:tblStyleColBandSize w:val="1"/>
      <w:tblBorders>
        <w:top w:val="single" w:sz="4" w:space="0" w:color="6CC1AD" w:themeColor="accent1" w:themeTint="99"/>
        <w:left w:val="single" w:sz="4" w:space="0" w:color="6CC1AD" w:themeColor="accent1" w:themeTint="99"/>
        <w:bottom w:val="single" w:sz="4" w:space="0" w:color="6CC1AD" w:themeColor="accent1" w:themeTint="99"/>
        <w:right w:val="single" w:sz="4" w:space="0" w:color="6CC1AD" w:themeColor="accent1" w:themeTint="99"/>
        <w:insideH w:val="single" w:sz="4" w:space="0" w:color="6CC1AD" w:themeColor="accent1" w:themeTint="99"/>
        <w:insideV w:val="single" w:sz="4" w:space="0" w:color="6CC1AD" w:themeColor="accent1" w:themeTint="99"/>
      </w:tblBorders>
    </w:tblPr>
    <w:tblStylePr w:type="firstRow">
      <w:rPr>
        <w:b/>
        <w:bCs/>
      </w:rPr>
      <w:tblPr/>
      <w:tcPr>
        <w:tcBorders>
          <w:bottom w:val="single" w:sz="12" w:space="0" w:color="6CC1AD" w:themeColor="accent1" w:themeTint="99"/>
        </w:tcBorders>
      </w:tcPr>
    </w:tblStylePr>
    <w:tblStylePr w:type="lastRow">
      <w:rPr>
        <w:b/>
        <w:bCs/>
      </w:rPr>
      <w:tblPr/>
      <w:tcPr>
        <w:tcBorders>
          <w:top w:val="double" w:sz="4" w:space="0" w:color="6CC1AD" w:themeColor="accent1" w:themeTint="99"/>
        </w:tcBorders>
      </w:tcPr>
    </w:tblStylePr>
    <w:tblStylePr w:type="firstCol">
      <w:rPr>
        <w:b/>
        <w:bCs/>
      </w:rPr>
    </w:tblStylePr>
    <w:tblStylePr w:type="lastCol">
      <w:rPr>
        <w:b/>
        <w:bCs/>
      </w:rPr>
    </w:tblStylePr>
    <w:tblStylePr w:type="band1Vert">
      <w:tblPr/>
      <w:tcPr>
        <w:shd w:val="clear" w:color="auto" w:fill="CDEAE3" w:themeFill="accent1" w:themeFillTint="33"/>
      </w:tcPr>
    </w:tblStylePr>
    <w:tblStylePr w:type="band1Horz">
      <w:tblPr/>
      <w:tcPr>
        <w:shd w:val="clear" w:color="auto" w:fill="CDEAE3" w:themeFill="accent1" w:themeFillTint="33"/>
      </w:tcPr>
    </w:tblStylePr>
  </w:style>
  <w:style w:type="table" w:styleId="GridTable6Colorful-Accent2">
    <w:name w:val="Grid Table 6 Colorful Accent 2"/>
    <w:basedOn w:val="TableNormal"/>
    <w:uiPriority w:val="51"/>
    <w:semiHidden/>
    <w:rsid w:val="0058629F"/>
    <w:rPr>
      <w:color w:val="168242" w:themeColor="accent2" w:themeShade="BF"/>
    </w:rPr>
    <w:tblPr>
      <w:tblStyleRowBandSize w:val="1"/>
      <w:tblStyleColBandSize w:val="1"/>
      <w:tblBorders>
        <w:top w:val="single" w:sz="4" w:space="0" w:color="62E497" w:themeColor="accent2" w:themeTint="99"/>
        <w:left w:val="single" w:sz="4" w:space="0" w:color="62E497" w:themeColor="accent2" w:themeTint="99"/>
        <w:bottom w:val="single" w:sz="4" w:space="0" w:color="62E497" w:themeColor="accent2" w:themeTint="99"/>
        <w:right w:val="single" w:sz="4" w:space="0" w:color="62E497" w:themeColor="accent2" w:themeTint="99"/>
        <w:insideH w:val="single" w:sz="4" w:space="0" w:color="62E497" w:themeColor="accent2" w:themeTint="99"/>
        <w:insideV w:val="single" w:sz="4" w:space="0" w:color="62E497" w:themeColor="accent2" w:themeTint="99"/>
      </w:tblBorders>
    </w:tblPr>
    <w:tblStylePr w:type="firstRow">
      <w:rPr>
        <w:b/>
        <w:bCs/>
      </w:rPr>
      <w:tblPr/>
      <w:tcPr>
        <w:tcBorders>
          <w:bottom w:val="single" w:sz="12" w:space="0" w:color="62E497" w:themeColor="accent2" w:themeTint="99"/>
        </w:tcBorders>
      </w:tcPr>
    </w:tblStylePr>
    <w:tblStylePr w:type="lastRow">
      <w:rPr>
        <w:b/>
        <w:bCs/>
      </w:rPr>
      <w:tblPr/>
      <w:tcPr>
        <w:tcBorders>
          <w:top w:val="double" w:sz="4" w:space="0" w:color="62E497" w:themeColor="accent2" w:themeTint="99"/>
        </w:tcBorders>
      </w:tcPr>
    </w:tblStylePr>
    <w:tblStylePr w:type="firstCol">
      <w:rPr>
        <w:b/>
        <w:bCs/>
      </w:rPr>
    </w:tblStylePr>
    <w:tblStylePr w:type="lastCol">
      <w:rPr>
        <w:b/>
        <w:bCs/>
      </w:rPr>
    </w:tblStylePr>
    <w:tblStylePr w:type="band1Vert">
      <w:tblPr/>
      <w:tcPr>
        <w:shd w:val="clear" w:color="auto" w:fill="CAF6DC" w:themeFill="accent2" w:themeFillTint="33"/>
      </w:tcPr>
    </w:tblStylePr>
    <w:tblStylePr w:type="band1Horz">
      <w:tblPr/>
      <w:tcPr>
        <w:shd w:val="clear" w:color="auto" w:fill="CAF6DC" w:themeFill="accent2" w:themeFillTint="33"/>
      </w:tcPr>
    </w:tblStylePr>
  </w:style>
  <w:style w:type="table" w:styleId="GridTable6Colorful-Accent3">
    <w:name w:val="Grid Table 6 Colorful Accent 3"/>
    <w:basedOn w:val="TableNormal"/>
    <w:uiPriority w:val="51"/>
    <w:semiHidden/>
    <w:rsid w:val="0058629F"/>
    <w:rPr>
      <w:color w:val="4C6DBB" w:themeColor="accent3" w:themeShade="BF"/>
    </w:rPr>
    <w:tblPr>
      <w:tblStyleRowBandSize w:val="1"/>
      <w:tblStyleColBandSize w:val="1"/>
      <w:tblBorders>
        <w:top w:val="single" w:sz="4" w:space="0" w:color="BAC7E5" w:themeColor="accent3" w:themeTint="99"/>
        <w:left w:val="single" w:sz="4" w:space="0" w:color="BAC7E5" w:themeColor="accent3" w:themeTint="99"/>
        <w:bottom w:val="single" w:sz="4" w:space="0" w:color="BAC7E5" w:themeColor="accent3" w:themeTint="99"/>
        <w:right w:val="single" w:sz="4" w:space="0" w:color="BAC7E5" w:themeColor="accent3" w:themeTint="99"/>
        <w:insideH w:val="single" w:sz="4" w:space="0" w:color="BAC7E5" w:themeColor="accent3" w:themeTint="99"/>
        <w:insideV w:val="single" w:sz="4" w:space="0" w:color="BAC7E5" w:themeColor="accent3" w:themeTint="99"/>
      </w:tblBorders>
    </w:tblPr>
    <w:tblStylePr w:type="firstRow">
      <w:rPr>
        <w:b/>
        <w:bCs/>
      </w:rPr>
      <w:tblPr/>
      <w:tcPr>
        <w:tcBorders>
          <w:bottom w:val="single" w:sz="12" w:space="0" w:color="BAC7E5" w:themeColor="accent3" w:themeTint="99"/>
        </w:tcBorders>
      </w:tcPr>
    </w:tblStylePr>
    <w:tblStylePr w:type="lastRow">
      <w:rPr>
        <w:b/>
        <w:bCs/>
      </w:rPr>
      <w:tblPr/>
      <w:tcPr>
        <w:tcBorders>
          <w:top w:val="double" w:sz="4" w:space="0" w:color="BAC7E5" w:themeColor="accent3" w:themeTint="99"/>
        </w:tcBorders>
      </w:tcPr>
    </w:tblStylePr>
    <w:tblStylePr w:type="firstCol">
      <w:rPr>
        <w:b/>
        <w:bCs/>
      </w:rPr>
    </w:tblStylePr>
    <w:tblStylePr w:type="lastCol">
      <w:rPr>
        <w:b/>
        <w:bCs/>
      </w:rPr>
    </w:tblStylePr>
    <w:tblStylePr w:type="band1Vert">
      <w:tblPr/>
      <w:tcPr>
        <w:shd w:val="clear" w:color="auto" w:fill="E8ECF6" w:themeFill="accent3" w:themeFillTint="33"/>
      </w:tcPr>
    </w:tblStylePr>
    <w:tblStylePr w:type="band1Horz">
      <w:tblPr/>
      <w:tcPr>
        <w:shd w:val="clear" w:color="auto" w:fill="E8ECF6" w:themeFill="accent3" w:themeFillTint="33"/>
      </w:tcPr>
    </w:tblStylePr>
  </w:style>
  <w:style w:type="table" w:styleId="GridTable6Colorful-Accent4">
    <w:name w:val="Grid Table 6 Colorful Accent 4"/>
    <w:basedOn w:val="TableNormal"/>
    <w:uiPriority w:val="51"/>
    <w:semiHidden/>
    <w:rsid w:val="0058629F"/>
    <w:rPr>
      <w:color w:val="C53D81" w:themeColor="accent4" w:themeShade="BF"/>
    </w:rPr>
    <w:tblPr>
      <w:tblStyleRowBandSize w:val="1"/>
      <w:tblStyleColBandSize w:val="1"/>
      <w:tblBorders>
        <w:top w:val="single" w:sz="4" w:space="0" w:color="E8B2CD" w:themeColor="accent4" w:themeTint="99"/>
        <w:left w:val="single" w:sz="4" w:space="0" w:color="E8B2CD" w:themeColor="accent4" w:themeTint="99"/>
        <w:bottom w:val="single" w:sz="4" w:space="0" w:color="E8B2CD" w:themeColor="accent4" w:themeTint="99"/>
        <w:right w:val="single" w:sz="4" w:space="0" w:color="E8B2CD" w:themeColor="accent4" w:themeTint="99"/>
        <w:insideH w:val="single" w:sz="4" w:space="0" w:color="E8B2CD" w:themeColor="accent4" w:themeTint="99"/>
        <w:insideV w:val="single" w:sz="4" w:space="0" w:color="E8B2CD" w:themeColor="accent4" w:themeTint="99"/>
      </w:tblBorders>
    </w:tblPr>
    <w:tblStylePr w:type="firstRow">
      <w:rPr>
        <w:b/>
        <w:bCs/>
      </w:rPr>
      <w:tblPr/>
      <w:tcPr>
        <w:tcBorders>
          <w:bottom w:val="single" w:sz="12" w:space="0" w:color="E8B2CD" w:themeColor="accent4" w:themeTint="99"/>
        </w:tcBorders>
      </w:tcPr>
    </w:tblStylePr>
    <w:tblStylePr w:type="lastRow">
      <w:rPr>
        <w:b/>
        <w:bCs/>
      </w:rPr>
      <w:tblPr/>
      <w:tcPr>
        <w:tcBorders>
          <w:top w:val="double" w:sz="4" w:space="0" w:color="E8B2CD" w:themeColor="accent4" w:themeTint="99"/>
        </w:tcBorders>
      </w:tcPr>
    </w:tblStylePr>
    <w:tblStylePr w:type="firstCol">
      <w:rPr>
        <w:b/>
        <w:bCs/>
      </w:rPr>
    </w:tblStylePr>
    <w:tblStylePr w:type="lastCol">
      <w:rPr>
        <w:b/>
        <w:bCs/>
      </w:rPr>
    </w:tblStylePr>
    <w:tblStylePr w:type="band1Vert">
      <w:tblPr/>
      <w:tcPr>
        <w:shd w:val="clear" w:color="auto" w:fill="F7E5EE" w:themeFill="accent4" w:themeFillTint="33"/>
      </w:tcPr>
    </w:tblStylePr>
    <w:tblStylePr w:type="band1Horz">
      <w:tblPr/>
      <w:tcPr>
        <w:shd w:val="clear" w:color="auto" w:fill="F7E5EE" w:themeFill="accent4" w:themeFillTint="33"/>
      </w:tcPr>
    </w:tblStylePr>
  </w:style>
  <w:style w:type="table" w:styleId="GridTable6Colorful-Accent5">
    <w:name w:val="Grid Table 6 Colorful Accent 5"/>
    <w:basedOn w:val="TableNormal"/>
    <w:uiPriority w:val="51"/>
    <w:semiHidden/>
    <w:rsid w:val="0058629F"/>
    <w:rPr>
      <w:color w:val="D48005" w:themeColor="accent5" w:themeShade="BF"/>
    </w:rPr>
    <w:tblPr>
      <w:tblStyleRowBandSize w:val="1"/>
      <w:tblStyleColBandSize w:val="1"/>
      <w:tblBorders>
        <w:top w:val="single" w:sz="4" w:space="0" w:color="FCC97E" w:themeColor="accent5" w:themeTint="99"/>
        <w:left w:val="single" w:sz="4" w:space="0" w:color="FCC97E" w:themeColor="accent5" w:themeTint="99"/>
        <w:bottom w:val="single" w:sz="4" w:space="0" w:color="FCC97E" w:themeColor="accent5" w:themeTint="99"/>
        <w:right w:val="single" w:sz="4" w:space="0" w:color="FCC97E" w:themeColor="accent5" w:themeTint="99"/>
        <w:insideH w:val="single" w:sz="4" w:space="0" w:color="FCC97E" w:themeColor="accent5" w:themeTint="99"/>
        <w:insideV w:val="single" w:sz="4" w:space="0" w:color="FCC97E" w:themeColor="accent5" w:themeTint="99"/>
      </w:tblBorders>
    </w:tblPr>
    <w:tblStylePr w:type="firstRow">
      <w:rPr>
        <w:b/>
        <w:bCs/>
      </w:rPr>
      <w:tblPr/>
      <w:tcPr>
        <w:tcBorders>
          <w:bottom w:val="single" w:sz="12" w:space="0" w:color="FCC97E" w:themeColor="accent5" w:themeTint="99"/>
        </w:tcBorders>
      </w:tcPr>
    </w:tblStylePr>
    <w:tblStylePr w:type="lastRow">
      <w:rPr>
        <w:b/>
        <w:bCs/>
      </w:rPr>
      <w:tblPr/>
      <w:tcPr>
        <w:tcBorders>
          <w:top w:val="double" w:sz="4" w:space="0" w:color="FCC97E" w:themeColor="accent5" w:themeTint="99"/>
        </w:tcBorders>
      </w:tcPr>
    </w:tblStylePr>
    <w:tblStylePr w:type="firstCol">
      <w:rPr>
        <w:b/>
        <w:bCs/>
      </w:rPr>
    </w:tblStylePr>
    <w:tblStylePr w:type="lastCol">
      <w:rPr>
        <w:b/>
        <w:bCs/>
      </w:rPr>
    </w:tblStylePr>
    <w:tblStylePr w:type="band1Vert">
      <w:tblPr/>
      <w:tcPr>
        <w:shd w:val="clear" w:color="auto" w:fill="FEEDD4" w:themeFill="accent5" w:themeFillTint="33"/>
      </w:tcPr>
    </w:tblStylePr>
    <w:tblStylePr w:type="band1Horz">
      <w:tblPr/>
      <w:tcPr>
        <w:shd w:val="clear" w:color="auto" w:fill="FEEDD4" w:themeFill="accent5" w:themeFillTint="33"/>
      </w:tcPr>
    </w:tblStylePr>
  </w:style>
  <w:style w:type="table" w:styleId="GridTable6Colorful-Accent6">
    <w:name w:val="Grid Table 6 Colorful Accent 6"/>
    <w:basedOn w:val="TableNormal"/>
    <w:uiPriority w:val="51"/>
    <w:semiHidden/>
    <w:rsid w:val="0058629F"/>
    <w:rPr>
      <w:color w:val="CE430D" w:themeColor="accent6" w:themeShade="BF"/>
    </w:rPr>
    <w:tblPr>
      <w:tblStyleRowBandSize w:val="1"/>
      <w:tblStyleColBandSize w:val="1"/>
      <w:tblBorders>
        <w:top w:val="single" w:sz="4" w:space="0" w:color="F7A485" w:themeColor="accent6" w:themeTint="99"/>
        <w:left w:val="single" w:sz="4" w:space="0" w:color="F7A485" w:themeColor="accent6" w:themeTint="99"/>
        <w:bottom w:val="single" w:sz="4" w:space="0" w:color="F7A485" w:themeColor="accent6" w:themeTint="99"/>
        <w:right w:val="single" w:sz="4" w:space="0" w:color="F7A485" w:themeColor="accent6" w:themeTint="99"/>
        <w:insideH w:val="single" w:sz="4" w:space="0" w:color="F7A485" w:themeColor="accent6" w:themeTint="99"/>
        <w:insideV w:val="single" w:sz="4" w:space="0" w:color="F7A485" w:themeColor="accent6" w:themeTint="99"/>
      </w:tblBorders>
    </w:tblPr>
    <w:tblStylePr w:type="firstRow">
      <w:rPr>
        <w:b/>
        <w:bCs/>
      </w:rPr>
      <w:tblPr/>
      <w:tcPr>
        <w:tcBorders>
          <w:bottom w:val="single" w:sz="12" w:space="0" w:color="F7A485" w:themeColor="accent6" w:themeTint="99"/>
        </w:tcBorders>
      </w:tcPr>
    </w:tblStylePr>
    <w:tblStylePr w:type="lastRow">
      <w:rPr>
        <w:b/>
        <w:bCs/>
      </w:rPr>
      <w:tblPr/>
      <w:tcPr>
        <w:tcBorders>
          <w:top w:val="double" w:sz="4" w:space="0" w:color="F7A485" w:themeColor="accent6" w:themeTint="99"/>
        </w:tcBorders>
      </w:tcPr>
    </w:tblStylePr>
    <w:tblStylePr w:type="firstCol">
      <w:rPr>
        <w:b/>
        <w:bCs/>
      </w:rPr>
    </w:tblStylePr>
    <w:tblStylePr w:type="lastCol">
      <w:rPr>
        <w:b/>
        <w:bCs/>
      </w:rPr>
    </w:tblStylePr>
    <w:tblStylePr w:type="band1Vert">
      <w:tblPr/>
      <w:tcPr>
        <w:shd w:val="clear" w:color="auto" w:fill="FCE0D6" w:themeFill="accent6" w:themeFillTint="33"/>
      </w:tcPr>
    </w:tblStylePr>
    <w:tblStylePr w:type="band1Horz">
      <w:tblPr/>
      <w:tcPr>
        <w:shd w:val="clear" w:color="auto" w:fill="FCE0D6"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846A88" w:themeColor="text1" w:themeTint="99"/>
        <w:left w:val="single" w:sz="4" w:space="0" w:color="846A88" w:themeColor="text1" w:themeTint="99"/>
        <w:bottom w:val="single" w:sz="4" w:space="0" w:color="846A88" w:themeColor="text1" w:themeTint="99"/>
        <w:right w:val="single" w:sz="4" w:space="0" w:color="846A88" w:themeColor="text1" w:themeTint="99"/>
        <w:insideH w:val="single" w:sz="4" w:space="0" w:color="846A88" w:themeColor="text1" w:themeTint="99"/>
        <w:insideV w:val="single" w:sz="4" w:space="0" w:color="846A88"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CCD8" w:themeFill="text1" w:themeFillTint="33"/>
      </w:tcPr>
    </w:tblStylePr>
    <w:tblStylePr w:type="band1Horz">
      <w:tblPr/>
      <w:tcPr>
        <w:shd w:val="clear" w:color="auto" w:fill="D6CCD8" w:themeFill="text1" w:themeFillTint="33"/>
      </w:tcPr>
    </w:tblStylePr>
    <w:tblStylePr w:type="neCell">
      <w:tblPr/>
      <w:tcPr>
        <w:tcBorders>
          <w:bottom w:val="single" w:sz="4" w:space="0" w:color="846A88" w:themeColor="text1" w:themeTint="99"/>
        </w:tcBorders>
      </w:tcPr>
    </w:tblStylePr>
    <w:tblStylePr w:type="nwCell">
      <w:tblPr/>
      <w:tcPr>
        <w:tcBorders>
          <w:bottom w:val="single" w:sz="4" w:space="0" w:color="846A88" w:themeColor="text1" w:themeTint="99"/>
        </w:tcBorders>
      </w:tcPr>
    </w:tblStylePr>
    <w:tblStylePr w:type="seCell">
      <w:tblPr/>
      <w:tcPr>
        <w:tcBorders>
          <w:top w:val="single" w:sz="4" w:space="0" w:color="846A88" w:themeColor="text1" w:themeTint="99"/>
        </w:tcBorders>
      </w:tcPr>
    </w:tblStylePr>
    <w:tblStylePr w:type="swCell">
      <w:tblPr/>
      <w:tcPr>
        <w:tcBorders>
          <w:top w:val="single" w:sz="4" w:space="0" w:color="846A88" w:themeColor="text1" w:themeTint="99"/>
        </w:tcBorders>
      </w:tcPr>
    </w:tblStylePr>
  </w:style>
  <w:style w:type="table" w:styleId="GridTable7Colorful-Accent1">
    <w:name w:val="Grid Table 7 Colorful Accent 1"/>
    <w:basedOn w:val="TableNormal"/>
    <w:uiPriority w:val="52"/>
    <w:semiHidden/>
    <w:rsid w:val="0058629F"/>
    <w:rPr>
      <w:color w:val="24564A" w:themeColor="accent1" w:themeShade="BF"/>
    </w:rPr>
    <w:tblPr>
      <w:tblStyleRowBandSize w:val="1"/>
      <w:tblStyleColBandSize w:val="1"/>
      <w:tblBorders>
        <w:top w:val="single" w:sz="4" w:space="0" w:color="6CC1AD" w:themeColor="accent1" w:themeTint="99"/>
        <w:left w:val="single" w:sz="4" w:space="0" w:color="6CC1AD" w:themeColor="accent1" w:themeTint="99"/>
        <w:bottom w:val="single" w:sz="4" w:space="0" w:color="6CC1AD" w:themeColor="accent1" w:themeTint="99"/>
        <w:right w:val="single" w:sz="4" w:space="0" w:color="6CC1AD" w:themeColor="accent1" w:themeTint="99"/>
        <w:insideH w:val="single" w:sz="4" w:space="0" w:color="6CC1AD" w:themeColor="accent1" w:themeTint="99"/>
        <w:insideV w:val="single" w:sz="4" w:space="0" w:color="6CC1A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DEAE3" w:themeFill="accent1" w:themeFillTint="33"/>
      </w:tcPr>
    </w:tblStylePr>
    <w:tblStylePr w:type="band1Horz">
      <w:tblPr/>
      <w:tcPr>
        <w:shd w:val="clear" w:color="auto" w:fill="CDEAE3" w:themeFill="accent1" w:themeFillTint="33"/>
      </w:tcPr>
    </w:tblStylePr>
    <w:tblStylePr w:type="neCell">
      <w:tblPr/>
      <w:tcPr>
        <w:tcBorders>
          <w:bottom w:val="single" w:sz="4" w:space="0" w:color="6CC1AD" w:themeColor="accent1" w:themeTint="99"/>
        </w:tcBorders>
      </w:tcPr>
    </w:tblStylePr>
    <w:tblStylePr w:type="nwCell">
      <w:tblPr/>
      <w:tcPr>
        <w:tcBorders>
          <w:bottom w:val="single" w:sz="4" w:space="0" w:color="6CC1AD" w:themeColor="accent1" w:themeTint="99"/>
        </w:tcBorders>
      </w:tcPr>
    </w:tblStylePr>
    <w:tblStylePr w:type="seCell">
      <w:tblPr/>
      <w:tcPr>
        <w:tcBorders>
          <w:top w:val="single" w:sz="4" w:space="0" w:color="6CC1AD" w:themeColor="accent1" w:themeTint="99"/>
        </w:tcBorders>
      </w:tcPr>
    </w:tblStylePr>
    <w:tblStylePr w:type="swCell">
      <w:tblPr/>
      <w:tcPr>
        <w:tcBorders>
          <w:top w:val="single" w:sz="4" w:space="0" w:color="6CC1AD" w:themeColor="accent1" w:themeTint="99"/>
        </w:tcBorders>
      </w:tcPr>
    </w:tblStylePr>
  </w:style>
  <w:style w:type="table" w:styleId="GridTable7Colorful-Accent2">
    <w:name w:val="Grid Table 7 Colorful Accent 2"/>
    <w:basedOn w:val="TableNormal"/>
    <w:uiPriority w:val="52"/>
    <w:semiHidden/>
    <w:rsid w:val="0058629F"/>
    <w:rPr>
      <w:color w:val="168242" w:themeColor="accent2" w:themeShade="BF"/>
    </w:rPr>
    <w:tblPr>
      <w:tblStyleRowBandSize w:val="1"/>
      <w:tblStyleColBandSize w:val="1"/>
      <w:tblBorders>
        <w:top w:val="single" w:sz="4" w:space="0" w:color="62E497" w:themeColor="accent2" w:themeTint="99"/>
        <w:left w:val="single" w:sz="4" w:space="0" w:color="62E497" w:themeColor="accent2" w:themeTint="99"/>
        <w:bottom w:val="single" w:sz="4" w:space="0" w:color="62E497" w:themeColor="accent2" w:themeTint="99"/>
        <w:right w:val="single" w:sz="4" w:space="0" w:color="62E497" w:themeColor="accent2" w:themeTint="99"/>
        <w:insideH w:val="single" w:sz="4" w:space="0" w:color="62E497" w:themeColor="accent2" w:themeTint="99"/>
        <w:insideV w:val="single" w:sz="4" w:space="0" w:color="62E49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F6DC" w:themeFill="accent2" w:themeFillTint="33"/>
      </w:tcPr>
    </w:tblStylePr>
    <w:tblStylePr w:type="band1Horz">
      <w:tblPr/>
      <w:tcPr>
        <w:shd w:val="clear" w:color="auto" w:fill="CAF6DC" w:themeFill="accent2" w:themeFillTint="33"/>
      </w:tcPr>
    </w:tblStylePr>
    <w:tblStylePr w:type="neCell">
      <w:tblPr/>
      <w:tcPr>
        <w:tcBorders>
          <w:bottom w:val="single" w:sz="4" w:space="0" w:color="62E497" w:themeColor="accent2" w:themeTint="99"/>
        </w:tcBorders>
      </w:tcPr>
    </w:tblStylePr>
    <w:tblStylePr w:type="nwCell">
      <w:tblPr/>
      <w:tcPr>
        <w:tcBorders>
          <w:bottom w:val="single" w:sz="4" w:space="0" w:color="62E497" w:themeColor="accent2" w:themeTint="99"/>
        </w:tcBorders>
      </w:tcPr>
    </w:tblStylePr>
    <w:tblStylePr w:type="seCell">
      <w:tblPr/>
      <w:tcPr>
        <w:tcBorders>
          <w:top w:val="single" w:sz="4" w:space="0" w:color="62E497" w:themeColor="accent2" w:themeTint="99"/>
        </w:tcBorders>
      </w:tcPr>
    </w:tblStylePr>
    <w:tblStylePr w:type="swCell">
      <w:tblPr/>
      <w:tcPr>
        <w:tcBorders>
          <w:top w:val="single" w:sz="4" w:space="0" w:color="62E497" w:themeColor="accent2" w:themeTint="99"/>
        </w:tcBorders>
      </w:tcPr>
    </w:tblStylePr>
  </w:style>
  <w:style w:type="table" w:styleId="GridTable7Colorful-Accent3">
    <w:name w:val="Grid Table 7 Colorful Accent 3"/>
    <w:basedOn w:val="TableNormal"/>
    <w:uiPriority w:val="52"/>
    <w:semiHidden/>
    <w:rsid w:val="0058629F"/>
    <w:rPr>
      <w:color w:val="4C6DBB" w:themeColor="accent3" w:themeShade="BF"/>
    </w:rPr>
    <w:tblPr>
      <w:tblStyleRowBandSize w:val="1"/>
      <w:tblStyleColBandSize w:val="1"/>
      <w:tblBorders>
        <w:top w:val="single" w:sz="4" w:space="0" w:color="BAC7E5" w:themeColor="accent3" w:themeTint="99"/>
        <w:left w:val="single" w:sz="4" w:space="0" w:color="BAC7E5" w:themeColor="accent3" w:themeTint="99"/>
        <w:bottom w:val="single" w:sz="4" w:space="0" w:color="BAC7E5" w:themeColor="accent3" w:themeTint="99"/>
        <w:right w:val="single" w:sz="4" w:space="0" w:color="BAC7E5" w:themeColor="accent3" w:themeTint="99"/>
        <w:insideH w:val="single" w:sz="4" w:space="0" w:color="BAC7E5" w:themeColor="accent3" w:themeTint="99"/>
        <w:insideV w:val="single" w:sz="4" w:space="0" w:color="BAC7E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ECF6" w:themeFill="accent3" w:themeFillTint="33"/>
      </w:tcPr>
    </w:tblStylePr>
    <w:tblStylePr w:type="band1Horz">
      <w:tblPr/>
      <w:tcPr>
        <w:shd w:val="clear" w:color="auto" w:fill="E8ECF6" w:themeFill="accent3" w:themeFillTint="33"/>
      </w:tcPr>
    </w:tblStylePr>
    <w:tblStylePr w:type="neCell">
      <w:tblPr/>
      <w:tcPr>
        <w:tcBorders>
          <w:bottom w:val="single" w:sz="4" w:space="0" w:color="BAC7E5" w:themeColor="accent3" w:themeTint="99"/>
        </w:tcBorders>
      </w:tcPr>
    </w:tblStylePr>
    <w:tblStylePr w:type="nwCell">
      <w:tblPr/>
      <w:tcPr>
        <w:tcBorders>
          <w:bottom w:val="single" w:sz="4" w:space="0" w:color="BAC7E5" w:themeColor="accent3" w:themeTint="99"/>
        </w:tcBorders>
      </w:tcPr>
    </w:tblStylePr>
    <w:tblStylePr w:type="seCell">
      <w:tblPr/>
      <w:tcPr>
        <w:tcBorders>
          <w:top w:val="single" w:sz="4" w:space="0" w:color="BAC7E5" w:themeColor="accent3" w:themeTint="99"/>
        </w:tcBorders>
      </w:tcPr>
    </w:tblStylePr>
    <w:tblStylePr w:type="swCell">
      <w:tblPr/>
      <w:tcPr>
        <w:tcBorders>
          <w:top w:val="single" w:sz="4" w:space="0" w:color="BAC7E5" w:themeColor="accent3" w:themeTint="99"/>
        </w:tcBorders>
      </w:tcPr>
    </w:tblStylePr>
  </w:style>
  <w:style w:type="table" w:styleId="GridTable7Colorful-Accent4">
    <w:name w:val="Grid Table 7 Colorful Accent 4"/>
    <w:basedOn w:val="TableNormal"/>
    <w:uiPriority w:val="52"/>
    <w:semiHidden/>
    <w:rsid w:val="0058629F"/>
    <w:rPr>
      <w:color w:val="C53D81" w:themeColor="accent4" w:themeShade="BF"/>
    </w:rPr>
    <w:tblPr>
      <w:tblStyleRowBandSize w:val="1"/>
      <w:tblStyleColBandSize w:val="1"/>
      <w:tblBorders>
        <w:top w:val="single" w:sz="4" w:space="0" w:color="E8B2CD" w:themeColor="accent4" w:themeTint="99"/>
        <w:left w:val="single" w:sz="4" w:space="0" w:color="E8B2CD" w:themeColor="accent4" w:themeTint="99"/>
        <w:bottom w:val="single" w:sz="4" w:space="0" w:color="E8B2CD" w:themeColor="accent4" w:themeTint="99"/>
        <w:right w:val="single" w:sz="4" w:space="0" w:color="E8B2CD" w:themeColor="accent4" w:themeTint="99"/>
        <w:insideH w:val="single" w:sz="4" w:space="0" w:color="E8B2CD" w:themeColor="accent4" w:themeTint="99"/>
        <w:insideV w:val="single" w:sz="4" w:space="0" w:color="E8B2C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E5EE" w:themeFill="accent4" w:themeFillTint="33"/>
      </w:tcPr>
    </w:tblStylePr>
    <w:tblStylePr w:type="band1Horz">
      <w:tblPr/>
      <w:tcPr>
        <w:shd w:val="clear" w:color="auto" w:fill="F7E5EE" w:themeFill="accent4" w:themeFillTint="33"/>
      </w:tcPr>
    </w:tblStylePr>
    <w:tblStylePr w:type="neCell">
      <w:tblPr/>
      <w:tcPr>
        <w:tcBorders>
          <w:bottom w:val="single" w:sz="4" w:space="0" w:color="E8B2CD" w:themeColor="accent4" w:themeTint="99"/>
        </w:tcBorders>
      </w:tcPr>
    </w:tblStylePr>
    <w:tblStylePr w:type="nwCell">
      <w:tblPr/>
      <w:tcPr>
        <w:tcBorders>
          <w:bottom w:val="single" w:sz="4" w:space="0" w:color="E8B2CD" w:themeColor="accent4" w:themeTint="99"/>
        </w:tcBorders>
      </w:tcPr>
    </w:tblStylePr>
    <w:tblStylePr w:type="seCell">
      <w:tblPr/>
      <w:tcPr>
        <w:tcBorders>
          <w:top w:val="single" w:sz="4" w:space="0" w:color="E8B2CD" w:themeColor="accent4" w:themeTint="99"/>
        </w:tcBorders>
      </w:tcPr>
    </w:tblStylePr>
    <w:tblStylePr w:type="swCell">
      <w:tblPr/>
      <w:tcPr>
        <w:tcBorders>
          <w:top w:val="single" w:sz="4" w:space="0" w:color="E8B2CD" w:themeColor="accent4" w:themeTint="99"/>
        </w:tcBorders>
      </w:tcPr>
    </w:tblStylePr>
  </w:style>
  <w:style w:type="table" w:styleId="GridTable7Colorful-Accent5">
    <w:name w:val="Grid Table 7 Colorful Accent 5"/>
    <w:basedOn w:val="TableNormal"/>
    <w:uiPriority w:val="52"/>
    <w:semiHidden/>
    <w:rsid w:val="0058629F"/>
    <w:rPr>
      <w:color w:val="D48005" w:themeColor="accent5" w:themeShade="BF"/>
    </w:rPr>
    <w:tblPr>
      <w:tblStyleRowBandSize w:val="1"/>
      <w:tblStyleColBandSize w:val="1"/>
      <w:tblBorders>
        <w:top w:val="single" w:sz="4" w:space="0" w:color="FCC97E" w:themeColor="accent5" w:themeTint="99"/>
        <w:left w:val="single" w:sz="4" w:space="0" w:color="FCC97E" w:themeColor="accent5" w:themeTint="99"/>
        <w:bottom w:val="single" w:sz="4" w:space="0" w:color="FCC97E" w:themeColor="accent5" w:themeTint="99"/>
        <w:right w:val="single" w:sz="4" w:space="0" w:color="FCC97E" w:themeColor="accent5" w:themeTint="99"/>
        <w:insideH w:val="single" w:sz="4" w:space="0" w:color="FCC97E" w:themeColor="accent5" w:themeTint="99"/>
        <w:insideV w:val="single" w:sz="4" w:space="0" w:color="FCC97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DD4" w:themeFill="accent5" w:themeFillTint="33"/>
      </w:tcPr>
    </w:tblStylePr>
    <w:tblStylePr w:type="band1Horz">
      <w:tblPr/>
      <w:tcPr>
        <w:shd w:val="clear" w:color="auto" w:fill="FEEDD4" w:themeFill="accent5" w:themeFillTint="33"/>
      </w:tcPr>
    </w:tblStylePr>
    <w:tblStylePr w:type="neCell">
      <w:tblPr/>
      <w:tcPr>
        <w:tcBorders>
          <w:bottom w:val="single" w:sz="4" w:space="0" w:color="FCC97E" w:themeColor="accent5" w:themeTint="99"/>
        </w:tcBorders>
      </w:tcPr>
    </w:tblStylePr>
    <w:tblStylePr w:type="nwCell">
      <w:tblPr/>
      <w:tcPr>
        <w:tcBorders>
          <w:bottom w:val="single" w:sz="4" w:space="0" w:color="FCC97E" w:themeColor="accent5" w:themeTint="99"/>
        </w:tcBorders>
      </w:tcPr>
    </w:tblStylePr>
    <w:tblStylePr w:type="seCell">
      <w:tblPr/>
      <w:tcPr>
        <w:tcBorders>
          <w:top w:val="single" w:sz="4" w:space="0" w:color="FCC97E" w:themeColor="accent5" w:themeTint="99"/>
        </w:tcBorders>
      </w:tcPr>
    </w:tblStylePr>
    <w:tblStylePr w:type="swCell">
      <w:tblPr/>
      <w:tcPr>
        <w:tcBorders>
          <w:top w:val="single" w:sz="4" w:space="0" w:color="FCC97E" w:themeColor="accent5" w:themeTint="99"/>
        </w:tcBorders>
      </w:tcPr>
    </w:tblStylePr>
  </w:style>
  <w:style w:type="table" w:styleId="GridTable7Colorful-Accent6">
    <w:name w:val="Grid Table 7 Colorful Accent 6"/>
    <w:basedOn w:val="TableNormal"/>
    <w:uiPriority w:val="52"/>
    <w:semiHidden/>
    <w:rsid w:val="0058629F"/>
    <w:rPr>
      <w:color w:val="CE430D" w:themeColor="accent6" w:themeShade="BF"/>
    </w:rPr>
    <w:tblPr>
      <w:tblStyleRowBandSize w:val="1"/>
      <w:tblStyleColBandSize w:val="1"/>
      <w:tblBorders>
        <w:top w:val="single" w:sz="4" w:space="0" w:color="F7A485" w:themeColor="accent6" w:themeTint="99"/>
        <w:left w:val="single" w:sz="4" w:space="0" w:color="F7A485" w:themeColor="accent6" w:themeTint="99"/>
        <w:bottom w:val="single" w:sz="4" w:space="0" w:color="F7A485" w:themeColor="accent6" w:themeTint="99"/>
        <w:right w:val="single" w:sz="4" w:space="0" w:color="F7A485" w:themeColor="accent6" w:themeTint="99"/>
        <w:insideH w:val="single" w:sz="4" w:space="0" w:color="F7A485" w:themeColor="accent6" w:themeTint="99"/>
        <w:insideV w:val="single" w:sz="4" w:space="0" w:color="F7A485"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0D6" w:themeFill="accent6" w:themeFillTint="33"/>
      </w:tcPr>
    </w:tblStylePr>
    <w:tblStylePr w:type="band1Horz">
      <w:tblPr/>
      <w:tcPr>
        <w:shd w:val="clear" w:color="auto" w:fill="FCE0D6" w:themeFill="accent6" w:themeFillTint="33"/>
      </w:tcPr>
    </w:tblStylePr>
    <w:tblStylePr w:type="neCell">
      <w:tblPr/>
      <w:tcPr>
        <w:tcBorders>
          <w:bottom w:val="single" w:sz="4" w:space="0" w:color="F7A485" w:themeColor="accent6" w:themeTint="99"/>
        </w:tcBorders>
      </w:tcPr>
    </w:tblStylePr>
    <w:tblStylePr w:type="nwCell">
      <w:tblPr/>
      <w:tcPr>
        <w:tcBorders>
          <w:bottom w:val="single" w:sz="4" w:space="0" w:color="F7A485" w:themeColor="accent6" w:themeTint="99"/>
        </w:tcBorders>
      </w:tcPr>
    </w:tblStylePr>
    <w:tblStylePr w:type="seCell">
      <w:tblPr/>
      <w:tcPr>
        <w:tcBorders>
          <w:top w:val="single" w:sz="4" w:space="0" w:color="F7A485" w:themeColor="accent6" w:themeTint="99"/>
        </w:tcBorders>
      </w:tcPr>
    </w:tblStylePr>
    <w:tblStylePr w:type="swCell">
      <w:tblPr/>
      <w:tcPr>
        <w:tcBorders>
          <w:top w:val="single" w:sz="4" w:space="0" w:color="F7A485"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1C24" w:themeColor="text1"/>
        <w:left w:val="single" w:sz="8" w:space="0" w:color="231C24" w:themeColor="text1"/>
        <w:bottom w:val="single" w:sz="8" w:space="0" w:color="231C24" w:themeColor="text1"/>
        <w:right w:val="single" w:sz="8" w:space="0" w:color="231C24" w:themeColor="text1"/>
        <w:insideH w:val="single" w:sz="8" w:space="0" w:color="231C24" w:themeColor="text1"/>
        <w:insideV w:val="single" w:sz="8" w:space="0" w:color="231C24"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C24" w:themeColor="text1"/>
          <w:left w:val="single" w:sz="8" w:space="0" w:color="231C24" w:themeColor="text1"/>
          <w:bottom w:val="single" w:sz="18" w:space="0" w:color="231C24" w:themeColor="text1"/>
          <w:right w:val="single" w:sz="8" w:space="0" w:color="231C24" w:themeColor="text1"/>
          <w:insideH w:val="nil"/>
          <w:insideV w:val="single" w:sz="8" w:space="0" w:color="231C24"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C24" w:themeColor="text1"/>
          <w:left w:val="single" w:sz="8" w:space="0" w:color="231C24" w:themeColor="text1"/>
          <w:bottom w:val="single" w:sz="8" w:space="0" w:color="231C24" w:themeColor="text1"/>
          <w:right w:val="single" w:sz="8" w:space="0" w:color="231C24" w:themeColor="text1"/>
          <w:insideH w:val="nil"/>
          <w:insideV w:val="single" w:sz="8" w:space="0" w:color="231C24"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C24" w:themeColor="text1"/>
          <w:left w:val="single" w:sz="8" w:space="0" w:color="231C24" w:themeColor="text1"/>
          <w:bottom w:val="single" w:sz="8" w:space="0" w:color="231C24" w:themeColor="text1"/>
          <w:right w:val="single" w:sz="8" w:space="0" w:color="231C24" w:themeColor="text1"/>
        </w:tcBorders>
      </w:tcPr>
    </w:tblStylePr>
    <w:tblStylePr w:type="band1Vert">
      <w:tblPr/>
      <w:tcPr>
        <w:tcBorders>
          <w:top w:val="single" w:sz="8" w:space="0" w:color="231C24" w:themeColor="text1"/>
          <w:left w:val="single" w:sz="8" w:space="0" w:color="231C24" w:themeColor="text1"/>
          <w:bottom w:val="single" w:sz="8" w:space="0" w:color="231C24" w:themeColor="text1"/>
          <w:right w:val="single" w:sz="8" w:space="0" w:color="231C24" w:themeColor="text1"/>
        </w:tcBorders>
        <w:shd w:val="clear" w:color="auto" w:fill="CDC0CE" w:themeFill="text1" w:themeFillTint="3F"/>
      </w:tcPr>
    </w:tblStylePr>
    <w:tblStylePr w:type="band1Horz">
      <w:tblPr/>
      <w:tcPr>
        <w:tcBorders>
          <w:top w:val="single" w:sz="8" w:space="0" w:color="231C24" w:themeColor="text1"/>
          <w:left w:val="single" w:sz="8" w:space="0" w:color="231C24" w:themeColor="text1"/>
          <w:bottom w:val="single" w:sz="8" w:space="0" w:color="231C24" w:themeColor="text1"/>
          <w:right w:val="single" w:sz="8" w:space="0" w:color="231C24" w:themeColor="text1"/>
          <w:insideV w:val="single" w:sz="8" w:space="0" w:color="231C24" w:themeColor="text1"/>
        </w:tcBorders>
        <w:shd w:val="clear" w:color="auto" w:fill="CDC0CE" w:themeFill="text1" w:themeFillTint="3F"/>
      </w:tcPr>
    </w:tblStylePr>
    <w:tblStylePr w:type="band2Horz">
      <w:tblPr/>
      <w:tcPr>
        <w:tcBorders>
          <w:top w:val="single" w:sz="8" w:space="0" w:color="231C24" w:themeColor="text1"/>
          <w:left w:val="single" w:sz="8" w:space="0" w:color="231C24" w:themeColor="text1"/>
          <w:bottom w:val="single" w:sz="8" w:space="0" w:color="231C24" w:themeColor="text1"/>
          <w:right w:val="single" w:sz="8" w:space="0" w:color="231C24" w:themeColor="text1"/>
          <w:insideV w:val="single" w:sz="8" w:space="0" w:color="231C24"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307363" w:themeColor="accent1"/>
        <w:left w:val="single" w:sz="8" w:space="0" w:color="307363" w:themeColor="accent1"/>
        <w:bottom w:val="single" w:sz="8" w:space="0" w:color="307363" w:themeColor="accent1"/>
        <w:right w:val="single" w:sz="8" w:space="0" w:color="307363" w:themeColor="accent1"/>
        <w:insideH w:val="single" w:sz="8" w:space="0" w:color="307363" w:themeColor="accent1"/>
        <w:insideV w:val="single" w:sz="8" w:space="0" w:color="30736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07363" w:themeColor="accent1"/>
          <w:left w:val="single" w:sz="8" w:space="0" w:color="307363" w:themeColor="accent1"/>
          <w:bottom w:val="single" w:sz="18" w:space="0" w:color="307363" w:themeColor="accent1"/>
          <w:right w:val="single" w:sz="8" w:space="0" w:color="307363" w:themeColor="accent1"/>
          <w:insideH w:val="nil"/>
          <w:insideV w:val="single" w:sz="8" w:space="0" w:color="30736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07363" w:themeColor="accent1"/>
          <w:left w:val="single" w:sz="8" w:space="0" w:color="307363" w:themeColor="accent1"/>
          <w:bottom w:val="single" w:sz="8" w:space="0" w:color="307363" w:themeColor="accent1"/>
          <w:right w:val="single" w:sz="8" w:space="0" w:color="307363" w:themeColor="accent1"/>
          <w:insideH w:val="nil"/>
          <w:insideV w:val="single" w:sz="8" w:space="0" w:color="30736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07363" w:themeColor="accent1"/>
          <w:left w:val="single" w:sz="8" w:space="0" w:color="307363" w:themeColor="accent1"/>
          <w:bottom w:val="single" w:sz="8" w:space="0" w:color="307363" w:themeColor="accent1"/>
          <w:right w:val="single" w:sz="8" w:space="0" w:color="307363" w:themeColor="accent1"/>
        </w:tcBorders>
      </w:tcPr>
    </w:tblStylePr>
    <w:tblStylePr w:type="band1Vert">
      <w:tblPr/>
      <w:tcPr>
        <w:tcBorders>
          <w:top w:val="single" w:sz="8" w:space="0" w:color="307363" w:themeColor="accent1"/>
          <w:left w:val="single" w:sz="8" w:space="0" w:color="307363" w:themeColor="accent1"/>
          <w:bottom w:val="single" w:sz="8" w:space="0" w:color="307363" w:themeColor="accent1"/>
          <w:right w:val="single" w:sz="8" w:space="0" w:color="307363" w:themeColor="accent1"/>
        </w:tcBorders>
        <w:shd w:val="clear" w:color="auto" w:fill="C2E5DD" w:themeFill="accent1" w:themeFillTint="3F"/>
      </w:tcPr>
    </w:tblStylePr>
    <w:tblStylePr w:type="band1Horz">
      <w:tblPr/>
      <w:tcPr>
        <w:tcBorders>
          <w:top w:val="single" w:sz="8" w:space="0" w:color="307363" w:themeColor="accent1"/>
          <w:left w:val="single" w:sz="8" w:space="0" w:color="307363" w:themeColor="accent1"/>
          <w:bottom w:val="single" w:sz="8" w:space="0" w:color="307363" w:themeColor="accent1"/>
          <w:right w:val="single" w:sz="8" w:space="0" w:color="307363" w:themeColor="accent1"/>
          <w:insideV w:val="single" w:sz="8" w:space="0" w:color="307363" w:themeColor="accent1"/>
        </w:tcBorders>
        <w:shd w:val="clear" w:color="auto" w:fill="C2E5DD" w:themeFill="accent1" w:themeFillTint="3F"/>
      </w:tcPr>
    </w:tblStylePr>
    <w:tblStylePr w:type="band2Horz">
      <w:tblPr/>
      <w:tcPr>
        <w:tcBorders>
          <w:top w:val="single" w:sz="8" w:space="0" w:color="307363" w:themeColor="accent1"/>
          <w:left w:val="single" w:sz="8" w:space="0" w:color="307363" w:themeColor="accent1"/>
          <w:bottom w:val="single" w:sz="8" w:space="0" w:color="307363" w:themeColor="accent1"/>
          <w:right w:val="single" w:sz="8" w:space="0" w:color="307363" w:themeColor="accent1"/>
          <w:insideV w:val="single" w:sz="8" w:space="0" w:color="307363"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1EAF59" w:themeColor="accent2"/>
        <w:left w:val="single" w:sz="8" w:space="0" w:color="1EAF59" w:themeColor="accent2"/>
        <w:bottom w:val="single" w:sz="8" w:space="0" w:color="1EAF59" w:themeColor="accent2"/>
        <w:right w:val="single" w:sz="8" w:space="0" w:color="1EAF59" w:themeColor="accent2"/>
        <w:insideH w:val="single" w:sz="8" w:space="0" w:color="1EAF59" w:themeColor="accent2"/>
        <w:insideV w:val="single" w:sz="8" w:space="0" w:color="1EAF5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AF59" w:themeColor="accent2"/>
          <w:left w:val="single" w:sz="8" w:space="0" w:color="1EAF59" w:themeColor="accent2"/>
          <w:bottom w:val="single" w:sz="18" w:space="0" w:color="1EAF59" w:themeColor="accent2"/>
          <w:right w:val="single" w:sz="8" w:space="0" w:color="1EAF59" w:themeColor="accent2"/>
          <w:insideH w:val="nil"/>
          <w:insideV w:val="single" w:sz="8" w:space="0" w:color="1EAF5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AF59" w:themeColor="accent2"/>
          <w:left w:val="single" w:sz="8" w:space="0" w:color="1EAF59" w:themeColor="accent2"/>
          <w:bottom w:val="single" w:sz="8" w:space="0" w:color="1EAF59" w:themeColor="accent2"/>
          <w:right w:val="single" w:sz="8" w:space="0" w:color="1EAF59" w:themeColor="accent2"/>
          <w:insideH w:val="nil"/>
          <w:insideV w:val="single" w:sz="8" w:space="0" w:color="1EAF5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AF59" w:themeColor="accent2"/>
          <w:left w:val="single" w:sz="8" w:space="0" w:color="1EAF59" w:themeColor="accent2"/>
          <w:bottom w:val="single" w:sz="8" w:space="0" w:color="1EAF59" w:themeColor="accent2"/>
          <w:right w:val="single" w:sz="8" w:space="0" w:color="1EAF59" w:themeColor="accent2"/>
        </w:tcBorders>
      </w:tcPr>
    </w:tblStylePr>
    <w:tblStylePr w:type="band1Vert">
      <w:tblPr/>
      <w:tcPr>
        <w:tcBorders>
          <w:top w:val="single" w:sz="8" w:space="0" w:color="1EAF59" w:themeColor="accent2"/>
          <w:left w:val="single" w:sz="8" w:space="0" w:color="1EAF59" w:themeColor="accent2"/>
          <w:bottom w:val="single" w:sz="8" w:space="0" w:color="1EAF59" w:themeColor="accent2"/>
          <w:right w:val="single" w:sz="8" w:space="0" w:color="1EAF59" w:themeColor="accent2"/>
        </w:tcBorders>
        <w:shd w:val="clear" w:color="auto" w:fill="BEF4D4" w:themeFill="accent2" w:themeFillTint="3F"/>
      </w:tcPr>
    </w:tblStylePr>
    <w:tblStylePr w:type="band1Horz">
      <w:tblPr/>
      <w:tcPr>
        <w:tcBorders>
          <w:top w:val="single" w:sz="8" w:space="0" w:color="1EAF59" w:themeColor="accent2"/>
          <w:left w:val="single" w:sz="8" w:space="0" w:color="1EAF59" w:themeColor="accent2"/>
          <w:bottom w:val="single" w:sz="8" w:space="0" w:color="1EAF59" w:themeColor="accent2"/>
          <w:right w:val="single" w:sz="8" w:space="0" w:color="1EAF59" w:themeColor="accent2"/>
          <w:insideV w:val="single" w:sz="8" w:space="0" w:color="1EAF59" w:themeColor="accent2"/>
        </w:tcBorders>
        <w:shd w:val="clear" w:color="auto" w:fill="BEF4D4" w:themeFill="accent2" w:themeFillTint="3F"/>
      </w:tcPr>
    </w:tblStylePr>
    <w:tblStylePr w:type="band2Horz">
      <w:tblPr/>
      <w:tcPr>
        <w:tcBorders>
          <w:top w:val="single" w:sz="8" w:space="0" w:color="1EAF59" w:themeColor="accent2"/>
          <w:left w:val="single" w:sz="8" w:space="0" w:color="1EAF59" w:themeColor="accent2"/>
          <w:bottom w:val="single" w:sz="8" w:space="0" w:color="1EAF59" w:themeColor="accent2"/>
          <w:right w:val="single" w:sz="8" w:space="0" w:color="1EAF59" w:themeColor="accent2"/>
          <w:insideV w:val="single" w:sz="8" w:space="0" w:color="1EAF59"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8DA2D4" w:themeColor="accent3"/>
        <w:left w:val="single" w:sz="8" w:space="0" w:color="8DA2D4" w:themeColor="accent3"/>
        <w:bottom w:val="single" w:sz="8" w:space="0" w:color="8DA2D4" w:themeColor="accent3"/>
        <w:right w:val="single" w:sz="8" w:space="0" w:color="8DA2D4" w:themeColor="accent3"/>
        <w:insideH w:val="single" w:sz="8" w:space="0" w:color="8DA2D4" w:themeColor="accent3"/>
        <w:insideV w:val="single" w:sz="8" w:space="0" w:color="8DA2D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A2D4" w:themeColor="accent3"/>
          <w:left w:val="single" w:sz="8" w:space="0" w:color="8DA2D4" w:themeColor="accent3"/>
          <w:bottom w:val="single" w:sz="18" w:space="0" w:color="8DA2D4" w:themeColor="accent3"/>
          <w:right w:val="single" w:sz="8" w:space="0" w:color="8DA2D4" w:themeColor="accent3"/>
          <w:insideH w:val="nil"/>
          <w:insideV w:val="single" w:sz="8" w:space="0" w:color="8DA2D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A2D4" w:themeColor="accent3"/>
          <w:left w:val="single" w:sz="8" w:space="0" w:color="8DA2D4" w:themeColor="accent3"/>
          <w:bottom w:val="single" w:sz="8" w:space="0" w:color="8DA2D4" w:themeColor="accent3"/>
          <w:right w:val="single" w:sz="8" w:space="0" w:color="8DA2D4" w:themeColor="accent3"/>
          <w:insideH w:val="nil"/>
          <w:insideV w:val="single" w:sz="8" w:space="0" w:color="8DA2D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A2D4" w:themeColor="accent3"/>
          <w:left w:val="single" w:sz="8" w:space="0" w:color="8DA2D4" w:themeColor="accent3"/>
          <w:bottom w:val="single" w:sz="8" w:space="0" w:color="8DA2D4" w:themeColor="accent3"/>
          <w:right w:val="single" w:sz="8" w:space="0" w:color="8DA2D4" w:themeColor="accent3"/>
        </w:tcBorders>
      </w:tcPr>
    </w:tblStylePr>
    <w:tblStylePr w:type="band1Vert">
      <w:tblPr/>
      <w:tcPr>
        <w:tcBorders>
          <w:top w:val="single" w:sz="8" w:space="0" w:color="8DA2D4" w:themeColor="accent3"/>
          <w:left w:val="single" w:sz="8" w:space="0" w:color="8DA2D4" w:themeColor="accent3"/>
          <w:bottom w:val="single" w:sz="8" w:space="0" w:color="8DA2D4" w:themeColor="accent3"/>
          <w:right w:val="single" w:sz="8" w:space="0" w:color="8DA2D4" w:themeColor="accent3"/>
        </w:tcBorders>
        <w:shd w:val="clear" w:color="auto" w:fill="E2E7F4" w:themeFill="accent3" w:themeFillTint="3F"/>
      </w:tcPr>
    </w:tblStylePr>
    <w:tblStylePr w:type="band1Horz">
      <w:tblPr/>
      <w:tcPr>
        <w:tcBorders>
          <w:top w:val="single" w:sz="8" w:space="0" w:color="8DA2D4" w:themeColor="accent3"/>
          <w:left w:val="single" w:sz="8" w:space="0" w:color="8DA2D4" w:themeColor="accent3"/>
          <w:bottom w:val="single" w:sz="8" w:space="0" w:color="8DA2D4" w:themeColor="accent3"/>
          <w:right w:val="single" w:sz="8" w:space="0" w:color="8DA2D4" w:themeColor="accent3"/>
          <w:insideV w:val="single" w:sz="8" w:space="0" w:color="8DA2D4" w:themeColor="accent3"/>
        </w:tcBorders>
        <w:shd w:val="clear" w:color="auto" w:fill="E2E7F4" w:themeFill="accent3" w:themeFillTint="3F"/>
      </w:tcPr>
    </w:tblStylePr>
    <w:tblStylePr w:type="band2Horz">
      <w:tblPr/>
      <w:tcPr>
        <w:tcBorders>
          <w:top w:val="single" w:sz="8" w:space="0" w:color="8DA2D4" w:themeColor="accent3"/>
          <w:left w:val="single" w:sz="8" w:space="0" w:color="8DA2D4" w:themeColor="accent3"/>
          <w:bottom w:val="single" w:sz="8" w:space="0" w:color="8DA2D4" w:themeColor="accent3"/>
          <w:right w:val="single" w:sz="8" w:space="0" w:color="8DA2D4" w:themeColor="accent3"/>
          <w:insideV w:val="single" w:sz="8" w:space="0" w:color="8DA2D4"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D980AD" w:themeColor="accent4"/>
        <w:left w:val="single" w:sz="8" w:space="0" w:color="D980AD" w:themeColor="accent4"/>
        <w:bottom w:val="single" w:sz="8" w:space="0" w:color="D980AD" w:themeColor="accent4"/>
        <w:right w:val="single" w:sz="8" w:space="0" w:color="D980AD" w:themeColor="accent4"/>
        <w:insideH w:val="single" w:sz="8" w:space="0" w:color="D980AD" w:themeColor="accent4"/>
        <w:insideV w:val="single" w:sz="8" w:space="0" w:color="D980A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980AD" w:themeColor="accent4"/>
          <w:left w:val="single" w:sz="8" w:space="0" w:color="D980AD" w:themeColor="accent4"/>
          <w:bottom w:val="single" w:sz="18" w:space="0" w:color="D980AD" w:themeColor="accent4"/>
          <w:right w:val="single" w:sz="8" w:space="0" w:color="D980AD" w:themeColor="accent4"/>
          <w:insideH w:val="nil"/>
          <w:insideV w:val="single" w:sz="8" w:space="0" w:color="D980A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980AD" w:themeColor="accent4"/>
          <w:left w:val="single" w:sz="8" w:space="0" w:color="D980AD" w:themeColor="accent4"/>
          <w:bottom w:val="single" w:sz="8" w:space="0" w:color="D980AD" w:themeColor="accent4"/>
          <w:right w:val="single" w:sz="8" w:space="0" w:color="D980AD" w:themeColor="accent4"/>
          <w:insideH w:val="nil"/>
          <w:insideV w:val="single" w:sz="8" w:space="0" w:color="D980A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980AD" w:themeColor="accent4"/>
          <w:left w:val="single" w:sz="8" w:space="0" w:color="D980AD" w:themeColor="accent4"/>
          <w:bottom w:val="single" w:sz="8" w:space="0" w:color="D980AD" w:themeColor="accent4"/>
          <w:right w:val="single" w:sz="8" w:space="0" w:color="D980AD" w:themeColor="accent4"/>
        </w:tcBorders>
      </w:tcPr>
    </w:tblStylePr>
    <w:tblStylePr w:type="band1Vert">
      <w:tblPr/>
      <w:tcPr>
        <w:tcBorders>
          <w:top w:val="single" w:sz="8" w:space="0" w:color="D980AD" w:themeColor="accent4"/>
          <w:left w:val="single" w:sz="8" w:space="0" w:color="D980AD" w:themeColor="accent4"/>
          <w:bottom w:val="single" w:sz="8" w:space="0" w:color="D980AD" w:themeColor="accent4"/>
          <w:right w:val="single" w:sz="8" w:space="0" w:color="D980AD" w:themeColor="accent4"/>
        </w:tcBorders>
        <w:shd w:val="clear" w:color="auto" w:fill="F5DFEA" w:themeFill="accent4" w:themeFillTint="3F"/>
      </w:tcPr>
    </w:tblStylePr>
    <w:tblStylePr w:type="band1Horz">
      <w:tblPr/>
      <w:tcPr>
        <w:tcBorders>
          <w:top w:val="single" w:sz="8" w:space="0" w:color="D980AD" w:themeColor="accent4"/>
          <w:left w:val="single" w:sz="8" w:space="0" w:color="D980AD" w:themeColor="accent4"/>
          <w:bottom w:val="single" w:sz="8" w:space="0" w:color="D980AD" w:themeColor="accent4"/>
          <w:right w:val="single" w:sz="8" w:space="0" w:color="D980AD" w:themeColor="accent4"/>
          <w:insideV w:val="single" w:sz="8" w:space="0" w:color="D980AD" w:themeColor="accent4"/>
        </w:tcBorders>
        <w:shd w:val="clear" w:color="auto" w:fill="F5DFEA" w:themeFill="accent4" w:themeFillTint="3F"/>
      </w:tcPr>
    </w:tblStylePr>
    <w:tblStylePr w:type="band2Horz">
      <w:tblPr/>
      <w:tcPr>
        <w:tcBorders>
          <w:top w:val="single" w:sz="8" w:space="0" w:color="D980AD" w:themeColor="accent4"/>
          <w:left w:val="single" w:sz="8" w:space="0" w:color="D980AD" w:themeColor="accent4"/>
          <w:bottom w:val="single" w:sz="8" w:space="0" w:color="D980AD" w:themeColor="accent4"/>
          <w:right w:val="single" w:sz="8" w:space="0" w:color="D980AD" w:themeColor="accent4"/>
          <w:insideV w:val="single" w:sz="8" w:space="0" w:color="D980AD"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FAA629" w:themeColor="accent5"/>
        <w:left w:val="single" w:sz="8" w:space="0" w:color="FAA629" w:themeColor="accent5"/>
        <w:bottom w:val="single" w:sz="8" w:space="0" w:color="FAA629" w:themeColor="accent5"/>
        <w:right w:val="single" w:sz="8" w:space="0" w:color="FAA629" w:themeColor="accent5"/>
        <w:insideH w:val="single" w:sz="8" w:space="0" w:color="FAA629" w:themeColor="accent5"/>
        <w:insideV w:val="single" w:sz="8" w:space="0" w:color="FAA62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AA629" w:themeColor="accent5"/>
          <w:left w:val="single" w:sz="8" w:space="0" w:color="FAA629" w:themeColor="accent5"/>
          <w:bottom w:val="single" w:sz="18" w:space="0" w:color="FAA629" w:themeColor="accent5"/>
          <w:right w:val="single" w:sz="8" w:space="0" w:color="FAA629" w:themeColor="accent5"/>
          <w:insideH w:val="nil"/>
          <w:insideV w:val="single" w:sz="8" w:space="0" w:color="FAA62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AA629" w:themeColor="accent5"/>
          <w:left w:val="single" w:sz="8" w:space="0" w:color="FAA629" w:themeColor="accent5"/>
          <w:bottom w:val="single" w:sz="8" w:space="0" w:color="FAA629" w:themeColor="accent5"/>
          <w:right w:val="single" w:sz="8" w:space="0" w:color="FAA629" w:themeColor="accent5"/>
          <w:insideH w:val="nil"/>
          <w:insideV w:val="single" w:sz="8" w:space="0" w:color="FAA62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AA629" w:themeColor="accent5"/>
          <w:left w:val="single" w:sz="8" w:space="0" w:color="FAA629" w:themeColor="accent5"/>
          <w:bottom w:val="single" w:sz="8" w:space="0" w:color="FAA629" w:themeColor="accent5"/>
          <w:right w:val="single" w:sz="8" w:space="0" w:color="FAA629" w:themeColor="accent5"/>
        </w:tcBorders>
      </w:tcPr>
    </w:tblStylePr>
    <w:tblStylePr w:type="band1Vert">
      <w:tblPr/>
      <w:tcPr>
        <w:tcBorders>
          <w:top w:val="single" w:sz="8" w:space="0" w:color="FAA629" w:themeColor="accent5"/>
          <w:left w:val="single" w:sz="8" w:space="0" w:color="FAA629" w:themeColor="accent5"/>
          <w:bottom w:val="single" w:sz="8" w:space="0" w:color="FAA629" w:themeColor="accent5"/>
          <w:right w:val="single" w:sz="8" w:space="0" w:color="FAA629" w:themeColor="accent5"/>
        </w:tcBorders>
        <w:shd w:val="clear" w:color="auto" w:fill="FDE8C9" w:themeFill="accent5" w:themeFillTint="3F"/>
      </w:tcPr>
    </w:tblStylePr>
    <w:tblStylePr w:type="band1Horz">
      <w:tblPr/>
      <w:tcPr>
        <w:tcBorders>
          <w:top w:val="single" w:sz="8" w:space="0" w:color="FAA629" w:themeColor="accent5"/>
          <w:left w:val="single" w:sz="8" w:space="0" w:color="FAA629" w:themeColor="accent5"/>
          <w:bottom w:val="single" w:sz="8" w:space="0" w:color="FAA629" w:themeColor="accent5"/>
          <w:right w:val="single" w:sz="8" w:space="0" w:color="FAA629" w:themeColor="accent5"/>
          <w:insideV w:val="single" w:sz="8" w:space="0" w:color="FAA629" w:themeColor="accent5"/>
        </w:tcBorders>
        <w:shd w:val="clear" w:color="auto" w:fill="FDE8C9" w:themeFill="accent5" w:themeFillTint="3F"/>
      </w:tcPr>
    </w:tblStylePr>
    <w:tblStylePr w:type="band2Horz">
      <w:tblPr/>
      <w:tcPr>
        <w:tcBorders>
          <w:top w:val="single" w:sz="8" w:space="0" w:color="FAA629" w:themeColor="accent5"/>
          <w:left w:val="single" w:sz="8" w:space="0" w:color="FAA629" w:themeColor="accent5"/>
          <w:bottom w:val="single" w:sz="8" w:space="0" w:color="FAA629" w:themeColor="accent5"/>
          <w:right w:val="single" w:sz="8" w:space="0" w:color="FAA629" w:themeColor="accent5"/>
          <w:insideV w:val="single" w:sz="8" w:space="0" w:color="FAA629"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F26934" w:themeColor="accent6"/>
        <w:left w:val="single" w:sz="8" w:space="0" w:color="F26934" w:themeColor="accent6"/>
        <w:bottom w:val="single" w:sz="8" w:space="0" w:color="F26934" w:themeColor="accent6"/>
        <w:right w:val="single" w:sz="8" w:space="0" w:color="F26934" w:themeColor="accent6"/>
        <w:insideH w:val="single" w:sz="8" w:space="0" w:color="F26934" w:themeColor="accent6"/>
        <w:insideV w:val="single" w:sz="8" w:space="0" w:color="F2693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6934" w:themeColor="accent6"/>
          <w:left w:val="single" w:sz="8" w:space="0" w:color="F26934" w:themeColor="accent6"/>
          <w:bottom w:val="single" w:sz="18" w:space="0" w:color="F26934" w:themeColor="accent6"/>
          <w:right w:val="single" w:sz="8" w:space="0" w:color="F26934" w:themeColor="accent6"/>
          <w:insideH w:val="nil"/>
          <w:insideV w:val="single" w:sz="8" w:space="0" w:color="F2693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6934" w:themeColor="accent6"/>
          <w:left w:val="single" w:sz="8" w:space="0" w:color="F26934" w:themeColor="accent6"/>
          <w:bottom w:val="single" w:sz="8" w:space="0" w:color="F26934" w:themeColor="accent6"/>
          <w:right w:val="single" w:sz="8" w:space="0" w:color="F26934" w:themeColor="accent6"/>
          <w:insideH w:val="nil"/>
          <w:insideV w:val="single" w:sz="8" w:space="0" w:color="F2693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6934" w:themeColor="accent6"/>
          <w:left w:val="single" w:sz="8" w:space="0" w:color="F26934" w:themeColor="accent6"/>
          <w:bottom w:val="single" w:sz="8" w:space="0" w:color="F26934" w:themeColor="accent6"/>
          <w:right w:val="single" w:sz="8" w:space="0" w:color="F26934" w:themeColor="accent6"/>
        </w:tcBorders>
      </w:tcPr>
    </w:tblStylePr>
    <w:tblStylePr w:type="band1Vert">
      <w:tblPr/>
      <w:tcPr>
        <w:tcBorders>
          <w:top w:val="single" w:sz="8" w:space="0" w:color="F26934" w:themeColor="accent6"/>
          <w:left w:val="single" w:sz="8" w:space="0" w:color="F26934" w:themeColor="accent6"/>
          <w:bottom w:val="single" w:sz="8" w:space="0" w:color="F26934" w:themeColor="accent6"/>
          <w:right w:val="single" w:sz="8" w:space="0" w:color="F26934" w:themeColor="accent6"/>
        </w:tcBorders>
        <w:shd w:val="clear" w:color="auto" w:fill="FBD9CC" w:themeFill="accent6" w:themeFillTint="3F"/>
      </w:tcPr>
    </w:tblStylePr>
    <w:tblStylePr w:type="band1Horz">
      <w:tblPr/>
      <w:tcPr>
        <w:tcBorders>
          <w:top w:val="single" w:sz="8" w:space="0" w:color="F26934" w:themeColor="accent6"/>
          <w:left w:val="single" w:sz="8" w:space="0" w:color="F26934" w:themeColor="accent6"/>
          <w:bottom w:val="single" w:sz="8" w:space="0" w:color="F26934" w:themeColor="accent6"/>
          <w:right w:val="single" w:sz="8" w:space="0" w:color="F26934" w:themeColor="accent6"/>
          <w:insideV w:val="single" w:sz="8" w:space="0" w:color="F26934" w:themeColor="accent6"/>
        </w:tcBorders>
        <w:shd w:val="clear" w:color="auto" w:fill="FBD9CC" w:themeFill="accent6" w:themeFillTint="3F"/>
      </w:tcPr>
    </w:tblStylePr>
    <w:tblStylePr w:type="band2Horz">
      <w:tblPr/>
      <w:tcPr>
        <w:tcBorders>
          <w:top w:val="single" w:sz="8" w:space="0" w:color="F26934" w:themeColor="accent6"/>
          <w:left w:val="single" w:sz="8" w:space="0" w:color="F26934" w:themeColor="accent6"/>
          <w:bottom w:val="single" w:sz="8" w:space="0" w:color="F26934" w:themeColor="accent6"/>
          <w:right w:val="single" w:sz="8" w:space="0" w:color="F26934" w:themeColor="accent6"/>
          <w:insideV w:val="single" w:sz="8" w:space="0" w:color="F26934"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1C24" w:themeColor="text1"/>
        <w:left w:val="single" w:sz="8" w:space="0" w:color="231C24" w:themeColor="text1"/>
        <w:bottom w:val="single" w:sz="8" w:space="0" w:color="231C24" w:themeColor="text1"/>
        <w:right w:val="single" w:sz="8" w:space="0" w:color="231C24" w:themeColor="text1"/>
      </w:tblBorders>
    </w:tblPr>
    <w:tblStylePr w:type="firstRow">
      <w:pPr>
        <w:spacing w:before="0" w:after="0" w:line="240" w:lineRule="auto"/>
      </w:pPr>
      <w:rPr>
        <w:b/>
        <w:bCs/>
        <w:color w:val="FFFFFF" w:themeColor="background1"/>
      </w:rPr>
      <w:tblPr/>
      <w:tcPr>
        <w:shd w:val="clear" w:color="auto" w:fill="231C24" w:themeFill="text1"/>
      </w:tcPr>
    </w:tblStylePr>
    <w:tblStylePr w:type="lastRow">
      <w:pPr>
        <w:spacing w:before="0" w:after="0" w:line="240" w:lineRule="auto"/>
      </w:pPr>
      <w:rPr>
        <w:b/>
        <w:bCs/>
      </w:rPr>
      <w:tblPr/>
      <w:tcPr>
        <w:tcBorders>
          <w:top w:val="double" w:sz="6" w:space="0" w:color="231C24" w:themeColor="text1"/>
          <w:left w:val="single" w:sz="8" w:space="0" w:color="231C24" w:themeColor="text1"/>
          <w:bottom w:val="single" w:sz="8" w:space="0" w:color="231C24" w:themeColor="text1"/>
          <w:right w:val="single" w:sz="8" w:space="0" w:color="231C24" w:themeColor="text1"/>
        </w:tcBorders>
      </w:tcPr>
    </w:tblStylePr>
    <w:tblStylePr w:type="firstCol">
      <w:rPr>
        <w:b/>
        <w:bCs/>
      </w:rPr>
    </w:tblStylePr>
    <w:tblStylePr w:type="lastCol">
      <w:rPr>
        <w:b/>
        <w:bCs/>
      </w:rPr>
    </w:tblStylePr>
    <w:tblStylePr w:type="band1Vert">
      <w:tblPr/>
      <w:tcPr>
        <w:tcBorders>
          <w:top w:val="single" w:sz="8" w:space="0" w:color="231C24" w:themeColor="text1"/>
          <w:left w:val="single" w:sz="8" w:space="0" w:color="231C24" w:themeColor="text1"/>
          <w:bottom w:val="single" w:sz="8" w:space="0" w:color="231C24" w:themeColor="text1"/>
          <w:right w:val="single" w:sz="8" w:space="0" w:color="231C24" w:themeColor="text1"/>
        </w:tcBorders>
      </w:tcPr>
    </w:tblStylePr>
    <w:tblStylePr w:type="band1Horz">
      <w:tblPr/>
      <w:tcPr>
        <w:tcBorders>
          <w:top w:val="single" w:sz="8" w:space="0" w:color="231C24" w:themeColor="text1"/>
          <w:left w:val="single" w:sz="8" w:space="0" w:color="231C24" w:themeColor="text1"/>
          <w:bottom w:val="single" w:sz="8" w:space="0" w:color="231C24" w:themeColor="text1"/>
          <w:right w:val="single" w:sz="8" w:space="0" w:color="231C24"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307363" w:themeColor="accent1"/>
        <w:left w:val="single" w:sz="8" w:space="0" w:color="307363" w:themeColor="accent1"/>
        <w:bottom w:val="single" w:sz="8" w:space="0" w:color="307363" w:themeColor="accent1"/>
        <w:right w:val="single" w:sz="8" w:space="0" w:color="307363" w:themeColor="accent1"/>
      </w:tblBorders>
    </w:tblPr>
    <w:tblStylePr w:type="firstRow">
      <w:pPr>
        <w:spacing w:before="0" w:after="0" w:line="240" w:lineRule="auto"/>
      </w:pPr>
      <w:rPr>
        <w:b/>
        <w:bCs/>
        <w:color w:val="FFFFFF" w:themeColor="background1"/>
      </w:rPr>
      <w:tblPr/>
      <w:tcPr>
        <w:shd w:val="clear" w:color="auto" w:fill="307363" w:themeFill="accent1"/>
      </w:tcPr>
    </w:tblStylePr>
    <w:tblStylePr w:type="lastRow">
      <w:pPr>
        <w:spacing w:before="0" w:after="0" w:line="240" w:lineRule="auto"/>
      </w:pPr>
      <w:rPr>
        <w:b/>
        <w:bCs/>
      </w:rPr>
      <w:tblPr/>
      <w:tcPr>
        <w:tcBorders>
          <w:top w:val="double" w:sz="6" w:space="0" w:color="307363" w:themeColor="accent1"/>
          <w:left w:val="single" w:sz="8" w:space="0" w:color="307363" w:themeColor="accent1"/>
          <w:bottom w:val="single" w:sz="8" w:space="0" w:color="307363" w:themeColor="accent1"/>
          <w:right w:val="single" w:sz="8" w:space="0" w:color="307363" w:themeColor="accent1"/>
        </w:tcBorders>
      </w:tcPr>
    </w:tblStylePr>
    <w:tblStylePr w:type="firstCol">
      <w:rPr>
        <w:b/>
        <w:bCs/>
      </w:rPr>
    </w:tblStylePr>
    <w:tblStylePr w:type="lastCol">
      <w:rPr>
        <w:b/>
        <w:bCs/>
      </w:rPr>
    </w:tblStylePr>
    <w:tblStylePr w:type="band1Vert">
      <w:tblPr/>
      <w:tcPr>
        <w:tcBorders>
          <w:top w:val="single" w:sz="8" w:space="0" w:color="307363" w:themeColor="accent1"/>
          <w:left w:val="single" w:sz="8" w:space="0" w:color="307363" w:themeColor="accent1"/>
          <w:bottom w:val="single" w:sz="8" w:space="0" w:color="307363" w:themeColor="accent1"/>
          <w:right w:val="single" w:sz="8" w:space="0" w:color="307363" w:themeColor="accent1"/>
        </w:tcBorders>
      </w:tcPr>
    </w:tblStylePr>
    <w:tblStylePr w:type="band1Horz">
      <w:tblPr/>
      <w:tcPr>
        <w:tcBorders>
          <w:top w:val="single" w:sz="8" w:space="0" w:color="307363" w:themeColor="accent1"/>
          <w:left w:val="single" w:sz="8" w:space="0" w:color="307363" w:themeColor="accent1"/>
          <w:bottom w:val="single" w:sz="8" w:space="0" w:color="307363" w:themeColor="accent1"/>
          <w:right w:val="single" w:sz="8" w:space="0" w:color="307363"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1EAF59" w:themeColor="accent2"/>
        <w:left w:val="single" w:sz="8" w:space="0" w:color="1EAF59" w:themeColor="accent2"/>
        <w:bottom w:val="single" w:sz="8" w:space="0" w:color="1EAF59" w:themeColor="accent2"/>
        <w:right w:val="single" w:sz="8" w:space="0" w:color="1EAF59" w:themeColor="accent2"/>
      </w:tblBorders>
    </w:tblPr>
    <w:tblStylePr w:type="firstRow">
      <w:pPr>
        <w:spacing w:before="0" w:after="0" w:line="240" w:lineRule="auto"/>
      </w:pPr>
      <w:rPr>
        <w:b/>
        <w:bCs/>
        <w:color w:val="FFFFFF" w:themeColor="background1"/>
      </w:rPr>
      <w:tblPr/>
      <w:tcPr>
        <w:shd w:val="clear" w:color="auto" w:fill="1EAF59" w:themeFill="accent2"/>
      </w:tcPr>
    </w:tblStylePr>
    <w:tblStylePr w:type="lastRow">
      <w:pPr>
        <w:spacing w:before="0" w:after="0" w:line="240" w:lineRule="auto"/>
      </w:pPr>
      <w:rPr>
        <w:b/>
        <w:bCs/>
      </w:rPr>
      <w:tblPr/>
      <w:tcPr>
        <w:tcBorders>
          <w:top w:val="double" w:sz="6" w:space="0" w:color="1EAF59" w:themeColor="accent2"/>
          <w:left w:val="single" w:sz="8" w:space="0" w:color="1EAF59" w:themeColor="accent2"/>
          <w:bottom w:val="single" w:sz="8" w:space="0" w:color="1EAF59" w:themeColor="accent2"/>
          <w:right w:val="single" w:sz="8" w:space="0" w:color="1EAF59" w:themeColor="accent2"/>
        </w:tcBorders>
      </w:tcPr>
    </w:tblStylePr>
    <w:tblStylePr w:type="firstCol">
      <w:rPr>
        <w:b/>
        <w:bCs/>
      </w:rPr>
    </w:tblStylePr>
    <w:tblStylePr w:type="lastCol">
      <w:rPr>
        <w:b/>
        <w:bCs/>
      </w:rPr>
    </w:tblStylePr>
    <w:tblStylePr w:type="band1Vert">
      <w:tblPr/>
      <w:tcPr>
        <w:tcBorders>
          <w:top w:val="single" w:sz="8" w:space="0" w:color="1EAF59" w:themeColor="accent2"/>
          <w:left w:val="single" w:sz="8" w:space="0" w:color="1EAF59" w:themeColor="accent2"/>
          <w:bottom w:val="single" w:sz="8" w:space="0" w:color="1EAF59" w:themeColor="accent2"/>
          <w:right w:val="single" w:sz="8" w:space="0" w:color="1EAF59" w:themeColor="accent2"/>
        </w:tcBorders>
      </w:tcPr>
    </w:tblStylePr>
    <w:tblStylePr w:type="band1Horz">
      <w:tblPr/>
      <w:tcPr>
        <w:tcBorders>
          <w:top w:val="single" w:sz="8" w:space="0" w:color="1EAF59" w:themeColor="accent2"/>
          <w:left w:val="single" w:sz="8" w:space="0" w:color="1EAF59" w:themeColor="accent2"/>
          <w:bottom w:val="single" w:sz="8" w:space="0" w:color="1EAF59" w:themeColor="accent2"/>
          <w:right w:val="single" w:sz="8" w:space="0" w:color="1EAF59"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8DA2D4" w:themeColor="accent3"/>
        <w:left w:val="single" w:sz="8" w:space="0" w:color="8DA2D4" w:themeColor="accent3"/>
        <w:bottom w:val="single" w:sz="8" w:space="0" w:color="8DA2D4" w:themeColor="accent3"/>
        <w:right w:val="single" w:sz="8" w:space="0" w:color="8DA2D4" w:themeColor="accent3"/>
      </w:tblBorders>
    </w:tblPr>
    <w:tblStylePr w:type="firstRow">
      <w:pPr>
        <w:spacing w:before="0" w:after="0" w:line="240" w:lineRule="auto"/>
      </w:pPr>
      <w:rPr>
        <w:b/>
        <w:bCs/>
        <w:color w:val="FFFFFF" w:themeColor="background1"/>
      </w:rPr>
      <w:tblPr/>
      <w:tcPr>
        <w:shd w:val="clear" w:color="auto" w:fill="8DA2D4" w:themeFill="accent3"/>
      </w:tcPr>
    </w:tblStylePr>
    <w:tblStylePr w:type="lastRow">
      <w:pPr>
        <w:spacing w:before="0" w:after="0" w:line="240" w:lineRule="auto"/>
      </w:pPr>
      <w:rPr>
        <w:b/>
        <w:bCs/>
      </w:rPr>
      <w:tblPr/>
      <w:tcPr>
        <w:tcBorders>
          <w:top w:val="double" w:sz="6" w:space="0" w:color="8DA2D4" w:themeColor="accent3"/>
          <w:left w:val="single" w:sz="8" w:space="0" w:color="8DA2D4" w:themeColor="accent3"/>
          <w:bottom w:val="single" w:sz="8" w:space="0" w:color="8DA2D4" w:themeColor="accent3"/>
          <w:right w:val="single" w:sz="8" w:space="0" w:color="8DA2D4" w:themeColor="accent3"/>
        </w:tcBorders>
      </w:tcPr>
    </w:tblStylePr>
    <w:tblStylePr w:type="firstCol">
      <w:rPr>
        <w:b/>
        <w:bCs/>
      </w:rPr>
    </w:tblStylePr>
    <w:tblStylePr w:type="lastCol">
      <w:rPr>
        <w:b/>
        <w:bCs/>
      </w:rPr>
    </w:tblStylePr>
    <w:tblStylePr w:type="band1Vert">
      <w:tblPr/>
      <w:tcPr>
        <w:tcBorders>
          <w:top w:val="single" w:sz="8" w:space="0" w:color="8DA2D4" w:themeColor="accent3"/>
          <w:left w:val="single" w:sz="8" w:space="0" w:color="8DA2D4" w:themeColor="accent3"/>
          <w:bottom w:val="single" w:sz="8" w:space="0" w:color="8DA2D4" w:themeColor="accent3"/>
          <w:right w:val="single" w:sz="8" w:space="0" w:color="8DA2D4" w:themeColor="accent3"/>
        </w:tcBorders>
      </w:tcPr>
    </w:tblStylePr>
    <w:tblStylePr w:type="band1Horz">
      <w:tblPr/>
      <w:tcPr>
        <w:tcBorders>
          <w:top w:val="single" w:sz="8" w:space="0" w:color="8DA2D4" w:themeColor="accent3"/>
          <w:left w:val="single" w:sz="8" w:space="0" w:color="8DA2D4" w:themeColor="accent3"/>
          <w:bottom w:val="single" w:sz="8" w:space="0" w:color="8DA2D4" w:themeColor="accent3"/>
          <w:right w:val="single" w:sz="8" w:space="0" w:color="8DA2D4"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D980AD" w:themeColor="accent4"/>
        <w:left w:val="single" w:sz="8" w:space="0" w:color="D980AD" w:themeColor="accent4"/>
        <w:bottom w:val="single" w:sz="8" w:space="0" w:color="D980AD" w:themeColor="accent4"/>
        <w:right w:val="single" w:sz="8" w:space="0" w:color="D980AD" w:themeColor="accent4"/>
      </w:tblBorders>
    </w:tblPr>
    <w:tblStylePr w:type="firstRow">
      <w:pPr>
        <w:spacing w:before="0" w:after="0" w:line="240" w:lineRule="auto"/>
      </w:pPr>
      <w:rPr>
        <w:b/>
        <w:bCs/>
        <w:color w:val="FFFFFF" w:themeColor="background1"/>
      </w:rPr>
      <w:tblPr/>
      <w:tcPr>
        <w:shd w:val="clear" w:color="auto" w:fill="D980AD" w:themeFill="accent4"/>
      </w:tcPr>
    </w:tblStylePr>
    <w:tblStylePr w:type="lastRow">
      <w:pPr>
        <w:spacing w:before="0" w:after="0" w:line="240" w:lineRule="auto"/>
      </w:pPr>
      <w:rPr>
        <w:b/>
        <w:bCs/>
      </w:rPr>
      <w:tblPr/>
      <w:tcPr>
        <w:tcBorders>
          <w:top w:val="double" w:sz="6" w:space="0" w:color="D980AD" w:themeColor="accent4"/>
          <w:left w:val="single" w:sz="8" w:space="0" w:color="D980AD" w:themeColor="accent4"/>
          <w:bottom w:val="single" w:sz="8" w:space="0" w:color="D980AD" w:themeColor="accent4"/>
          <w:right w:val="single" w:sz="8" w:space="0" w:color="D980AD" w:themeColor="accent4"/>
        </w:tcBorders>
      </w:tcPr>
    </w:tblStylePr>
    <w:tblStylePr w:type="firstCol">
      <w:rPr>
        <w:b/>
        <w:bCs/>
      </w:rPr>
    </w:tblStylePr>
    <w:tblStylePr w:type="lastCol">
      <w:rPr>
        <w:b/>
        <w:bCs/>
      </w:rPr>
    </w:tblStylePr>
    <w:tblStylePr w:type="band1Vert">
      <w:tblPr/>
      <w:tcPr>
        <w:tcBorders>
          <w:top w:val="single" w:sz="8" w:space="0" w:color="D980AD" w:themeColor="accent4"/>
          <w:left w:val="single" w:sz="8" w:space="0" w:color="D980AD" w:themeColor="accent4"/>
          <w:bottom w:val="single" w:sz="8" w:space="0" w:color="D980AD" w:themeColor="accent4"/>
          <w:right w:val="single" w:sz="8" w:space="0" w:color="D980AD" w:themeColor="accent4"/>
        </w:tcBorders>
      </w:tcPr>
    </w:tblStylePr>
    <w:tblStylePr w:type="band1Horz">
      <w:tblPr/>
      <w:tcPr>
        <w:tcBorders>
          <w:top w:val="single" w:sz="8" w:space="0" w:color="D980AD" w:themeColor="accent4"/>
          <w:left w:val="single" w:sz="8" w:space="0" w:color="D980AD" w:themeColor="accent4"/>
          <w:bottom w:val="single" w:sz="8" w:space="0" w:color="D980AD" w:themeColor="accent4"/>
          <w:right w:val="single" w:sz="8" w:space="0" w:color="D980AD"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FAA629" w:themeColor="accent5"/>
        <w:left w:val="single" w:sz="8" w:space="0" w:color="FAA629" w:themeColor="accent5"/>
        <w:bottom w:val="single" w:sz="8" w:space="0" w:color="FAA629" w:themeColor="accent5"/>
        <w:right w:val="single" w:sz="8" w:space="0" w:color="FAA629" w:themeColor="accent5"/>
      </w:tblBorders>
    </w:tblPr>
    <w:tblStylePr w:type="firstRow">
      <w:pPr>
        <w:spacing w:before="0" w:after="0" w:line="240" w:lineRule="auto"/>
      </w:pPr>
      <w:rPr>
        <w:b/>
        <w:bCs/>
        <w:color w:val="FFFFFF" w:themeColor="background1"/>
      </w:rPr>
      <w:tblPr/>
      <w:tcPr>
        <w:shd w:val="clear" w:color="auto" w:fill="FAA629" w:themeFill="accent5"/>
      </w:tcPr>
    </w:tblStylePr>
    <w:tblStylePr w:type="lastRow">
      <w:pPr>
        <w:spacing w:before="0" w:after="0" w:line="240" w:lineRule="auto"/>
      </w:pPr>
      <w:rPr>
        <w:b/>
        <w:bCs/>
      </w:rPr>
      <w:tblPr/>
      <w:tcPr>
        <w:tcBorders>
          <w:top w:val="double" w:sz="6" w:space="0" w:color="FAA629" w:themeColor="accent5"/>
          <w:left w:val="single" w:sz="8" w:space="0" w:color="FAA629" w:themeColor="accent5"/>
          <w:bottom w:val="single" w:sz="8" w:space="0" w:color="FAA629" w:themeColor="accent5"/>
          <w:right w:val="single" w:sz="8" w:space="0" w:color="FAA629" w:themeColor="accent5"/>
        </w:tcBorders>
      </w:tcPr>
    </w:tblStylePr>
    <w:tblStylePr w:type="firstCol">
      <w:rPr>
        <w:b/>
        <w:bCs/>
      </w:rPr>
    </w:tblStylePr>
    <w:tblStylePr w:type="lastCol">
      <w:rPr>
        <w:b/>
        <w:bCs/>
      </w:rPr>
    </w:tblStylePr>
    <w:tblStylePr w:type="band1Vert">
      <w:tblPr/>
      <w:tcPr>
        <w:tcBorders>
          <w:top w:val="single" w:sz="8" w:space="0" w:color="FAA629" w:themeColor="accent5"/>
          <w:left w:val="single" w:sz="8" w:space="0" w:color="FAA629" w:themeColor="accent5"/>
          <w:bottom w:val="single" w:sz="8" w:space="0" w:color="FAA629" w:themeColor="accent5"/>
          <w:right w:val="single" w:sz="8" w:space="0" w:color="FAA629" w:themeColor="accent5"/>
        </w:tcBorders>
      </w:tcPr>
    </w:tblStylePr>
    <w:tblStylePr w:type="band1Horz">
      <w:tblPr/>
      <w:tcPr>
        <w:tcBorders>
          <w:top w:val="single" w:sz="8" w:space="0" w:color="FAA629" w:themeColor="accent5"/>
          <w:left w:val="single" w:sz="8" w:space="0" w:color="FAA629" w:themeColor="accent5"/>
          <w:bottom w:val="single" w:sz="8" w:space="0" w:color="FAA629" w:themeColor="accent5"/>
          <w:right w:val="single" w:sz="8" w:space="0" w:color="FAA629"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F26934" w:themeColor="accent6"/>
        <w:left w:val="single" w:sz="8" w:space="0" w:color="F26934" w:themeColor="accent6"/>
        <w:bottom w:val="single" w:sz="8" w:space="0" w:color="F26934" w:themeColor="accent6"/>
        <w:right w:val="single" w:sz="8" w:space="0" w:color="F26934" w:themeColor="accent6"/>
      </w:tblBorders>
    </w:tblPr>
    <w:tblStylePr w:type="firstRow">
      <w:pPr>
        <w:spacing w:before="0" w:after="0" w:line="240" w:lineRule="auto"/>
      </w:pPr>
      <w:rPr>
        <w:b/>
        <w:bCs/>
        <w:color w:val="FFFFFF" w:themeColor="background1"/>
      </w:rPr>
      <w:tblPr/>
      <w:tcPr>
        <w:shd w:val="clear" w:color="auto" w:fill="F26934" w:themeFill="accent6"/>
      </w:tcPr>
    </w:tblStylePr>
    <w:tblStylePr w:type="lastRow">
      <w:pPr>
        <w:spacing w:before="0" w:after="0" w:line="240" w:lineRule="auto"/>
      </w:pPr>
      <w:rPr>
        <w:b/>
        <w:bCs/>
      </w:rPr>
      <w:tblPr/>
      <w:tcPr>
        <w:tcBorders>
          <w:top w:val="double" w:sz="6" w:space="0" w:color="F26934" w:themeColor="accent6"/>
          <w:left w:val="single" w:sz="8" w:space="0" w:color="F26934" w:themeColor="accent6"/>
          <w:bottom w:val="single" w:sz="8" w:space="0" w:color="F26934" w:themeColor="accent6"/>
          <w:right w:val="single" w:sz="8" w:space="0" w:color="F26934" w:themeColor="accent6"/>
        </w:tcBorders>
      </w:tcPr>
    </w:tblStylePr>
    <w:tblStylePr w:type="firstCol">
      <w:rPr>
        <w:b/>
        <w:bCs/>
      </w:rPr>
    </w:tblStylePr>
    <w:tblStylePr w:type="lastCol">
      <w:rPr>
        <w:b/>
        <w:bCs/>
      </w:rPr>
    </w:tblStylePr>
    <w:tblStylePr w:type="band1Vert">
      <w:tblPr/>
      <w:tcPr>
        <w:tcBorders>
          <w:top w:val="single" w:sz="8" w:space="0" w:color="F26934" w:themeColor="accent6"/>
          <w:left w:val="single" w:sz="8" w:space="0" w:color="F26934" w:themeColor="accent6"/>
          <w:bottom w:val="single" w:sz="8" w:space="0" w:color="F26934" w:themeColor="accent6"/>
          <w:right w:val="single" w:sz="8" w:space="0" w:color="F26934" w:themeColor="accent6"/>
        </w:tcBorders>
      </w:tcPr>
    </w:tblStylePr>
    <w:tblStylePr w:type="band1Horz">
      <w:tblPr/>
      <w:tcPr>
        <w:tcBorders>
          <w:top w:val="single" w:sz="8" w:space="0" w:color="F26934" w:themeColor="accent6"/>
          <w:left w:val="single" w:sz="8" w:space="0" w:color="F26934" w:themeColor="accent6"/>
          <w:bottom w:val="single" w:sz="8" w:space="0" w:color="F26934" w:themeColor="accent6"/>
          <w:right w:val="single" w:sz="8" w:space="0" w:color="F26934" w:themeColor="accent6"/>
        </w:tcBorders>
      </w:tcPr>
    </w:tblStylePr>
  </w:style>
  <w:style w:type="table" w:styleId="LightShading">
    <w:name w:val="Light Shading"/>
    <w:basedOn w:val="TableNormal"/>
    <w:uiPriority w:val="60"/>
    <w:semiHidden/>
    <w:rsid w:val="0058629F"/>
    <w:rPr>
      <w:color w:val="19151A" w:themeColor="text1" w:themeShade="BF"/>
    </w:rPr>
    <w:tblPr>
      <w:tblStyleRowBandSize w:val="1"/>
      <w:tblStyleColBandSize w:val="1"/>
      <w:tblBorders>
        <w:top w:val="single" w:sz="8" w:space="0" w:color="231C24" w:themeColor="text1"/>
        <w:bottom w:val="single" w:sz="8" w:space="0" w:color="231C24" w:themeColor="text1"/>
      </w:tblBorders>
    </w:tblPr>
    <w:tblStylePr w:type="firstRow">
      <w:pPr>
        <w:spacing w:before="0" w:after="0" w:line="240" w:lineRule="auto"/>
      </w:pPr>
      <w:rPr>
        <w:b/>
        <w:bCs/>
      </w:rPr>
      <w:tblPr/>
      <w:tcPr>
        <w:tcBorders>
          <w:top w:val="single" w:sz="8" w:space="0" w:color="231C24" w:themeColor="text1"/>
          <w:left w:val="nil"/>
          <w:bottom w:val="single" w:sz="8" w:space="0" w:color="231C24" w:themeColor="text1"/>
          <w:right w:val="nil"/>
          <w:insideH w:val="nil"/>
          <w:insideV w:val="nil"/>
        </w:tcBorders>
      </w:tcPr>
    </w:tblStylePr>
    <w:tblStylePr w:type="lastRow">
      <w:pPr>
        <w:spacing w:before="0" w:after="0" w:line="240" w:lineRule="auto"/>
      </w:pPr>
      <w:rPr>
        <w:b/>
        <w:bCs/>
      </w:rPr>
      <w:tblPr/>
      <w:tcPr>
        <w:tcBorders>
          <w:top w:val="single" w:sz="8" w:space="0" w:color="231C24" w:themeColor="text1"/>
          <w:left w:val="nil"/>
          <w:bottom w:val="single" w:sz="8" w:space="0" w:color="231C24"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C0CE" w:themeFill="text1" w:themeFillTint="3F"/>
      </w:tcPr>
    </w:tblStylePr>
    <w:tblStylePr w:type="band1Horz">
      <w:tblPr/>
      <w:tcPr>
        <w:tcBorders>
          <w:left w:val="nil"/>
          <w:right w:val="nil"/>
          <w:insideH w:val="nil"/>
          <w:insideV w:val="nil"/>
        </w:tcBorders>
        <w:shd w:val="clear" w:color="auto" w:fill="CDC0CE" w:themeFill="text1" w:themeFillTint="3F"/>
      </w:tcPr>
    </w:tblStylePr>
  </w:style>
  <w:style w:type="table" w:styleId="LightShading-Accent1">
    <w:name w:val="Light Shading Accent 1"/>
    <w:basedOn w:val="TableNormal"/>
    <w:uiPriority w:val="60"/>
    <w:semiHidden/>
    <w:rsid w:val="0058629F"/>
    <w:rPr>
      <w:color w:val="24564A" w:themeColor="accent1" w:themeShade="BF"/>
    </w:rPr>
    <w:tblPr>
      <w:tblStyleRowBandSize w:val="1"/>
      <w:tblStyleColBandSize w:val="1"/>
      <w:tblBorders>
        <w:top w:val="single" w:sz="8" w:space="0" w:color="307363" w:themeColor="accent1"/>
        <w:bottom w:val="single" w:sz="8" w:space="0" w:color="307363" w:themeColor="accent1"/>
      </w:tblBorders>
    </w:tblPr>
    <w:tblStylePr w:type="firstRow">
      <w:pPr>
        <w:spacing w:before="0" w:after="0" w:line="240" w:lineRule="auto"/>
      </w:pPr>
      <w:rPr>
        <w:b/>
        <w:bCs/>
      </w:rPr>
      <w:tblPr/>
      <w:tcPr>
        <w:tcBorders>
          <w:top w:val="single" w:sz="8" w:space="0" w:color="307363" w:themeColor="accent1"/>
          <w:left w:val="nil"/>
          <w:bottom w:val="single" w:sz="8" w:space="0" w:color="307363" w:themeColor="accent1"/>
          <w:right w:val="nil"/>
          <w:insideH w:val="nil"/>
          <w:insideV w:val="nil"/>
        </w:tcBorders>
      </w:tcPr>
    </w:tblStylePr>
    <w:tblStylePr w:type="lastRow">
      <w:pPr>
        <w:spacing w:before="0" w:after="0" w:line="240" w:lineRule="auto"/>
      </w:pPr>
      <w:rPr>
        <w:b/>
        <w:bCs/>
      </w:rPr>
      <w:tblPr/>
      <w:tcPr>
        <w:tcBorders>
          <w:top w:val="single" w:sz="8" w:space="0" w:color="307363" w:themeColor="accent1"/>
          <w:left w:val="nil"/>
          <w:bottom w:val="single" w:sz="8" w:space="0" w:color="30736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E5DD" w:themeFill="accent1" w:themeFillTint="3F"/>
      </w:tcPr>
    </w:tblStylePr>
    <w:tblStylePr w:type="band1Horz">
      <w:tblPr/>
      <w:tcPr>
        <w:tcBorders>
          <w:left w:val="nil"/>
          <w:right w:val="nil"/>
          <w:insideH w:val="nil"/>
          <w:insideV w:val="nil"/>
        </w:tcBorders>
        <w:shd w:val="clear" w:color="auto" w:fill="C2E5DD" w:themeFill="accent1" w:themeFillTint="3F"/>
      </w:tcPr>
    </w:tblStylePr>
  </w:style>
  <w:style w:type="table" w:styleId="LightShading-Accent2">
    <w:name w:val="Light Shading Accent 2"/>
    <w:basedOn w:val="TableNormal"/>
    <w:uiPriority w:val="60"/>
    <w:semiHidden/>
    <w:rsid w:val="0058629F"/>
    <w:rPr>
      <w:color w:val="168242" w:themeColor="accent2" w:themeShade="BF"/>
    </w:rPr>
    <w:tblPr>
      <w:tblStyleRowBandSize w:val="1"/>
      <w:tblStyleColBandSize w:val="1"/>
      <w:tblBorders>
        <w:top w:val="single" w:sz="8" w:space="0" w:color="1EAF59" w:themeColor="accent2"/>
        <w:bottom w:val="single" w:sz="8" w:space="0" w:color="1EAF59" w:themeColor="accent2"/>
      </w:tblBorders>
    </w:tblPr>
    <w:tblStylePr w:type="firstRow">
      <w:pPr>
        <w:spacing w:before="0" w:after="0" w:line="240" w:lineRule="auto"/>
      </w:pPr>
      <w:rPr>
        <w:b/>
        <w:bCs/>
      </w:rPr>
      <w:tblPr/>
      <w:tcPr>
        <w:tcBorders>
          <w:top w:val="single" w:sz="8" w:space="0" w:color="1EAF59" w:themeColor="accent2"/>
          <w:left w:val="nil"/>
          <w:bottom w:val="single" w:sz="8" w:space="0" w:color="1EAF59" w:themeColor="accent2"/>
          <w:right w:val="nil"/>
          <w:insideH w:val="nil"/>
          <w:insideV w:val="nil"/>
        </w:tcBorders>
      </w:tcPr>
    </w:tblStylePr>
    <w:tblStylePr w:type="lastRow">
      <w:pPr>
        <w:spacing w:before="0" w:after="0" w:line="240" w:lineRule="auto"/>
      </w:pPr>
      <w:rPr>
        <w:b/>
        <w:bCs/>
      </w:rPr>
      <w:tblPr/>
      <w:tcPr>
        <w:tcBorders>
          <w:top w:val="single" w:sz="8" w:space="0" w:color="1EAF59" w:themeColor="accent2"/>
          <w:left w:val="nil"/>
          <w:bottom w:val="single" w:sz="8" w:space="0" w:color="1EAF5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EF4D4" w:themeFill="accent2" w:themeFillTint="3F"/>
      </w:tcPr>
    </w:tblStylePr>
    <w:tblStylePr w:type="band1Horz">
      <w:tblPr/>
      <w:tcPr>
        <w:tcBorders>
          <w:left w:val="nil"/>
          <w:right w:val="nil"/>
          <w:insideH w:val="nil"/>
          <w:insideV w:val="nil"/>
        </w:tcBorders>
        <w:shd w:val="clear" w:color="auto" w:fill="BEF4D4" w:themeFill="accent2" w:themeFillTint="3F"/>
      </w:tcPr>
    </w:tblStylePr>
  </w:style>
  <w:style w:type="table" w:styleId="LightShading-Accent3">
    <w:name w:val="Light Shading Accent 3"/>
    <w:basedOn w:val="TableNormal"/>
    <w:uiPriority w:val="60"/>
    <w:semiHidden/>
    <w:rsid w:val="0058629F"/>
    <w:rPr>
      <w:color w:val="4C6DBB" w:themeColor="accent3" w:themeShade="BF"/>
    </w:rPr>
    <w:tblPr>
      <w:tblStyleRowBandSize w:val="1"/>
      <w:tblStyleColBandSize w:val="1"/>
      <w:tblBorders>
        <w:top w:val="single" w:sz="8" w:space="0" w:color="8DA2D4" w:themeColor="accent3"/>
        <w:bottom w:val="single" w:sz="8" w:space="0" w:color="8DA2D4" w:themeColor="accent3"/>
      </w:tblBorders>
    </w:tblPr>
    <w:tblStylePr w:type="firstRow">
      <w:pPr>
        <w:spacing w:before="0" w:after="0" w:line="240" w:lineRule="auto"/>
      </w:pPr>
      <w:rPr>
        <w:b/>
        <w:bCs/>
      </w:rPr>
      <w:tblPr/>
      <w:tcPr>
        <w:tcBorders>
          <w:top w:val="single" w:sz="8" w:space="0" w:color="8DA2D4" w:themeColor="accent3"/>
          <w:left w:val="nil"/>
          <w:bottom w:val="single" w:sz="8" w:space="0" w:color="8DA2D4" w:themeColor="accent3"/>
          <w:right w:val="nil"/>
          <w:insideH w:val="nil"/>
          <w:insideV w:val="nil"/>
        </w:tcBorders>
      </w:tcPr>
    </w:tblStylePr>
    <w:tblStylePr w:type="lastRow">
      <w:pPr>
        <w:spacing w:before="0" w:after="0" w:line="240" w:lineRule="auto"/>
      </w:pPr>
      <w:rPr>
        <w:b/>
        <w:bCs/>
      </w:rPr>
      <w:tblPr/>
      <w:tcPr>
        <w:tcBorders>
          <w:top w:val="single" w:sz="8" w:space="0" w:color="8DA2D4" w:themeColor="accent3"/>
          <w:left w:val="nil"/>
          <w:bottom w:val="single" w:sz="8" w:space="0" w:color="8DA2D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7F4" w:themeFill="accent3" w:themeFillTint="3F"/>
      </w:tcPr>
    </w:tblStylePr>
    <w:tblStylePr w:type="band1Horz">
      <w:tblPr/>
      <w:tcPr>
        <w:tcBorders>
          <w:left w:val="nil"/>
          <w:right w:val="nil"/>
          <w:insideH w:val="nil"/>
          <w:insideV w:val="nil"/>
        </w:tcBorders>
        <w:shd w:val="clear" w:color="auto" w:fill="E2E7F4" w:themeFill="accent3" w:themeFillTint="3F"/>
      </w:tcPr>
    </w:tblStylePr>
  </w:style>
  <w:style w:type="table" w:styleId="LightShading-Accent4">
    <w:name w:val="Light Shading Accent 4"/>
    <w:basedOn w:val="TableNormal"/>
    <w:uiPriority w:val="60"/>
    <w:semiHidden/>
    <w:rsid w:val="0058629F"/>
    <w:rPr>
      <w:color w:val="C53D81" w:themeColor="accent4" w:themeShade="BF"/>
    </w:rPr>
    <w:tblPr>
      <w:tblStyleRowBandSize w:val="1"/>
      <w:tblStyleColBandSize w:val="1"/>
      <w:tblBorders>
        <w:top w:val="single" w:sz="8" w:space="0" w:color="D980AD" w:themeColor="accent4"/>
        <w:bottom w:val="single" w:sz="8" w:space="0" w:color="D980AD" w:themeColor="accent4"/>
      </w:tblBorders>
    </w:tblPr>
    <w:tblStylePr w:type="firstRow">
      <w:pPr>
        <w:spacing w:before="0" w:after="0" w:line="240" w:lineRule="auto"/>
      </w:pPr>
      <w:rPr>
        <w:b/>
        <w:bCs/>
      </w:rPr>
      <w:tblPr/>
      <w:tcPr>
        <w:tcBorders>
          <w:top w:val="single" w:sz="8" w:space="0" w:color="D980AD" w:themeColor="accent4"/>
          <w:left w:val="nil"/>
          <w:bottom w:val="single" w:sz="8" w:space="0" w:color="D980AD" w:themeColor="accent4"/>
          <w:right w:val="nil"/>
          <w:insideH w:val="nil"/>
          <w:insideV w:val="nil"/>
        </w:tcBorders>
      </w:tcPr>
    </w:tblStylePr>
    <w:tblStylePr w:type="lastRow">
      <w:pPr>
        <w:spacing w:before="0" w:after="0" w:line="240" w:lineRule="auto"/>
      </w:pPr>
      <w:rPr>
        <w:b/>
        <w:bCs/>
      </w:rPr>
      <w:tblPr/>
      <w:tcPr>
        <w:tcBorders>
          <w:top w:val="single" w:sz="8" w:space="0" w:color="D980AD" w:themeColor="accent4"/>
          <w:left w:val="nil"/>
          <w:bottom w:val="single" w:sz="8" w:space="0" w:color="D980A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DFEA" w:themeFill="accent4" w:themeFillTint="3F"/>
      </w:tcPr>
    </w:tblStylePr>
    <w:tblStylePr w:type="band1Horz">
      <w:tblPr/>
      <w:tcPr>
        <w:tcBorders>
          <w:left w:val="nil"/>
          <w:right w:val="nil"/>
          <w:insideH w:val="nil"/>
          <w:insideV w:val="nil"/>
        </w:tcBorders>
        <w:shd w:val="clear" w:color="auto" w:fill="F5DFEA" w:themeFill="accent4" w:themeFillTint="3F"/>
      </w:tcPr>
    </w:tblStylePr>
  </w:style>
  <w:style w:type="table" w:styleId="LightShading-Accent5">
    <w:name w:val="Light Shading Accent 5"/>
    <w:basedOn w:val="TableNormal"/>
    <w:uiPriority w:val="60"/>
    <w:semiHidden/>
    <w:rsid w:val="0058629F"/>
    <w:rPr>
      <w:color w:val="D48005" w:themeColor="accent5" w:themeShade="BF"/>
    </w:rPr>
    <w:tblPr>
      <w:tblStyleRowBandSize w:val="1"/>
      <w:tblStyleColBandSize w:val="1"/>
      <w:tblBorders>
        <w:top w:val="single" w:sz="8" w:space="0" w:color="FAA629" w:themeColor="accent5"/>
        <w:bottom w:val="single" w:sz="8" w:space="0" w:color="FAA629" w:themeColor="accent5"/>
      </w:tblBorders>
    </w:tblPr>
    <w:tblStylePr w:type="firstRow">
      <w:pPr>
        <w:spacing w:before="0" w:after="0" w:line="240" w:lineRule="auto"/>
      </w:pPr>
      <w:rPr>
        <w:b/>
        <w:bCs/>
      </w:rPr>
      <w:tblPr/>
      <w:tcPr>
        <w:tcBorders>
          <w:top w:val="single" w:sz="8" w:space="0" w:color="FAA629" w:themeColor="accent5"/>
          <w:left w:val="nil"/>
          <w:bottom w:val="single" w:sz="8" w:space="0" w:color="FAA629" w:themeColor="accent5"/>
          <w:right w:val="nil"/>
          <w:insideH w:val="nil"/>
          <w:insideV w:val="nil"/>
        </w:tcBorders>
      </w:tcPr>
    </w:tblStylePr>
    <w:tblStylePr w:type="lastRow">
      <w:pPr>
        <w:spacing w:before="0" w:after="0" w:line="240" w:lineRule="auto"/>
      </w:pPr>
      <w:rPr>
        <w:b/>
        <w:bCs/>
      </w:rPr>
      <w:tblPr/>
      <w:tcPr>
        <w:tcBorders>
          <w:top w:val="single" w:sz="8" w:space="0" w:color="FAA629" w:themeColor="accent5"/>
          <w:left w:val="nil"/>
          <w:bottom w:val="single" w:sz="8" w:space="0" w:color="FAA62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8C9" w:themeFill="accent5" w:themeFillTint="3F"/>
      </w:tcPr>
    </w:tblStylePr>
    <w:tblStylePr w:type="band1Horz">
      <w:tblPr/>
      <w:tcPr>
        <w:tcBorders>
          <w:left w:val="nil"/>
          <w:right w:val="nil"/>
          <w:insideH w:val="nil"/>
          <w:insideV w:val="nil"/>
        </w:tcBorders>
        <w:shd w:val="clear" w:color="auto" w:fill="FDE8C9" w:themeFill="accent5" w:themeFillTint="3F"/>
      </w:tcPr>
    </w:tblStylePr>
  </w:style>
  <w:style w:type="table" w:styleId="LightShading-Accent6">
    <w:name w:val="Light Shading Accent 6"/>
    <w:basedOn w:val="TableNormal"/>
    <w:uiPriority w:val="60"/>
    <w:semiHidden/>
    <w:rsid w:val="0058629F"/>
    <w:rPr>
      <w:color w:val="CE430D" w:themeColor="accent6" w:themeShade="BF"/>
    </w:rPr>
    <w:tblPr>
      <w:tblStyleRowBandSize w:val="1"/>
      <w:tblStyleColBandSize w:val="1"/>
      <w:tblBorders>
        <w:top w:val="single" w:sz="8" w:space="0" w:color="F26934" w:themeColor="accent6"/>
        <w:bottom w:val="single" w:sz="8" w:space="0" w:color="F26934" w:themeColor="accent6"/>
      </w:tblBorders>
    </w:tblPr>
    <w:tblStylePr w:type="firstRow">
      <w:pPr>
        <w:spacing w:before="0" w:after="0" w:line="240" w:lineRule="auto"/>
      </w:pPr>
      <w:rPr>
        <w:b/>
        <w:bCs/>
      </w:rPr>
      <w:tblPr/>
      <w:tcPr>
        <w:tcBorders>
          <w:top w:val="single" w:sz="8" w:space="0" w:color="F26934" w:themeColor="accent6"/>
          <w:left w:val="nil"/>
          <w:bottom w:val="single" w:sz="8" w:space="0" w:color="F26934" w:themeColor="accent6"/>
          <w:right w:val="nil"/>
          <w:insideH w:val="nil"/>
          <w:insideV w:val="nil"/>
        </w:tcBorders>
      </w:tcPr>
    </w:tblStylePr>
    <w:tblStylePr w:type="lastRow">
      <w:pPr>
        <w:spacing w:before="0" w:after="0" w:line="240" w:lineRule="auto"/>
      </w:pPr>
      <w:rPr>
        <w:b/>
        <w:bCs/>
      </w:rPr>
      <w:tblPr/>
      <w:tcPr>
        <w:tcBorders>
          <w:top w:val="single" w:sz="8" w:space="0" w:color="F26934" w:themeColor="accent6"/>
          <w:left w:val="nil"/>
          <w:bottom w:val="single" w:sz="8" w:space="0" w:color="F2693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9CC" w:themeFill="accent6" w:themeFillTint="3F"/>
      </w:tcPr>
    </w:tblStylePr>
    <w:tblStylePr w:type="band1Horz">
      <w:tblPr/>
      <w:tcPr>
        <w:tcBorders>
          <w:left w:val="nil"/>
          <w:right w:val="nil"/>
          <w:insideH w:val="nil"/>
          <w:insideV w:val="nil"/>
        </w:tcBorders>
        <w:shd w:val="clear" w:color="auto" w:fill="FBD9CC"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846A88" w:themeColor="text1" w:themeTint="99"/>
        </w:tcBorders>
      </w:tcPr>
    </w:tblStylePr>
    <w:tblStylePr w:type="lastRow">
      <w:rPr>
        <w:b/>
        <w:bCs/>
      </w:rPr>
      <w:tblPr/>
      <w:tcPr>
        <w:tcBorders>
          <w:top w:val="single" w:sz="4" w:space="0" w:color="846A88" w:themeColor="text1" w:themeTint="99"/>
        </w:tcBorders>
      </w:tcPr>
    </w:tblStylePr>
    <w:tblStylePr w:type="firstCol">
      <w:rPr>
        <w:b/>
        <w:bCs/>
      </w:rPr>
    </w:tblStylePr>
    <w:tblStylePr w:type="lastCol">
      <w:rPr>
        <w:b/>
        <w:bCs/>
      </w:rPr>
    </w:tblStylePr>
    <w:tblStylePr w:type="band1Vert">
      <w:tblPr/>
      <w:tcPr>
        <w:shd w:val="clear" w:color="auto" w:fill="D6CCD8" w:themeFill="text1" w:themeFillTint="33"/>
      </w:tcPr>
    </w:tblStylePr>
    <w:tblStylePr w:type="band1Horz">
      <w:tblPr/>
      <w:tcPr>
        <w:shd w:val="clear" w:color="auto" w:fill="D6CCD8"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6CC1AD" w:themeColor="accent1" w:themeTint="99"/>
        </w:tcBorders>
      </w:tcPr>
    </w:tblStylePr>
    <w:tblStylePr w:type="lastRow">
      <w:rPr>
        <w:b/>
        <w:bCs/>
      </w:rPr>
      <w:tblPr/>
      <w:tcPr>
        <w:tcBorders>
          <w:top w:val="single" w:sz="4" w:space="0" w:color="6CC1AD" w:themeColor="accent1" w:themeTint="99"/>
        </w:tcBorders>
      </w:tcPr>
    </w:tblStylePr>
    <w:tblStylePr w:type="firstCol">
      <w:rPr>
        <w:b/>
        <w:bCs/>
      </w:rPr>
    </w:tblStylePr>
    <w:tblStylePr w:type="lastCol">
      <w:rPr>
        <w:b/>
        <w:bCs/>
      </w:rPr>
    </w:tblStylePr>
    <w:tblStylePr w:type="band1Vert">
      <w:tblPr/>
      <w:tcPr>
        <w:shd w:val="clear" w:color="auto" w:fill="CDEAE3" w:themeFill="accent1" w:themeFillTint="33"/>
      </w:tcPr>
    </w:tblStylePr>
    <w:tblStylePr w:type="band1Horz">
      <w:tblPr/>
      <w:tcPr>
        <w:shd w:val="clear" w:color="auto" w:fill="CDEAE3"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62E497" w:themeColor="accent2" w:themeTint="99"/>
        </w:tcBorders>
      </w:tcPr>
    </w:tblStylePr>
    <w:tblStylePr w:type="lastRow">
      <w:rPr>
        <w:b/>
        <w:bCs/>
      </w:rPr>
      <w:tblPr/>
      <w:tcPr>
        <w:tcBorders>
          <w:top w:val="single" w:sz="4" w:space="0" w:color="62E497" w:themeColor="accent2" w:themeTint="99"/>
        </w:tcBorders>
      </w:tcPr>
    </w:tblStylePr>
    <w:tblStylePr w:type="firstCol">
      <w:rPr>
        <w:b/>
        <w:bCs/>
      </w:rPr>
    </w:tblStylePr>
    <w:tblStylePr w:type="lastCol">
      <w:rPr>
        <w:b/>
        <w:bCs/>
      </w:rPr>
    </w:tblStylePr>
    <w:tblStylePr w:type="band1Vert">
      <w:tblPr/>
      <w:tcPr>
        <w:shd w:val="clear" w:color="auto" w:fill="CAF6DC" w:themeFill="accent2" w:themeFillTint="33"/>
      </w:tcPr>
    </w:tblStylePr>
    <w:tblStylePr w:type="band1Horz">
      <w:tblPr/>
      <w:tcPr>
        <w:shd w:val="clear" w:color="auto" w:fill="CAF6DC"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BAC7E5" w:themeColor="accent3" w:themeTint="99"/>
        </w:tcBorders>
      </w:tcPr>
    </w:tblStylePr>
    <w:tblStylePr w:type="lastRow">
      <w:rPr>
        <w:b/>
        <w:bCs/>
      </w:rPr>
      <w:tblPr/>
      <w:tcPr>
        <w:tcBorders>
          <w:top w:val="single" w:sz="4" w:space="0" w:color="BAC7E5" w:themeColor="accent3" w:themeTint="99"/>
        </w:tcBorders>
      </w:tcPr>
    </w:tblStylePr>
    <w:tblStylePr w:type="firstCol">
      <w:rPr>
        <w:b/>
        <w:bCs/>
      </w:rPr>
    </w:tblStylePr>
    <w:tblStylePr w:type="lastCol">
      <w:rPr>
        <w:b/>
        <w:bCs/>
      </w:rPr>
    </w:tblStylePr>
    <w:tblStylePr w:type="band1Vert">
      <w:tblPr/>
      <w:tcPr>
        <w:shd w:val="clear" w:color="auto" w:fill="E8ECF6" w:themeFill="accent3" w:themeFillTint="33"/>
      </w:tcPr>
    </w:tblStylePr>
    <w:tblStylePr w:type="band1Horz">
      <w:tblPr/>
      <w:tcPr>
        <w:shd w:val="clear" w:color="auto" w:fill="E8ECF6"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E8B2CD" w:themeColor="accent4" w:themeTint="99"/>
        </w:tcBorders>
      </w:tcPr>
    </w:tblStylePr>
    <w:tblStylePr w:type="lastRow">
      <w:rPr>
        <w:b/>
        <w:bCs/>
      </w:rPr>
      <w:tblPr/>
      <w:tcPr>
        <w:tcBorders>
          <w:top w:val="single" w:sz="4" w:space="0" w:color="E8B2CD" w:themeColor="accent4" w:themeTint="99"/>
        </w:tcBorders>
      </w:tcPr>
    </w:tblStylePr>
    <w:tblStylePr w:type="firstCol">
      <w:rPr>
        <w:b/>
        <w:bCs/>
      </w:rPr>
    </w:tblStylePr>
    <w:tblStylePr w:type="lastCol">
      <w:rPr>
        <w:b/>
        <w:bCs/>
      </w:rPr>
    </w:tblStylePr>
    <w:tblStylePr w:type="band1Vert">
      <w:tblPr/>
      <w:tcPr>
        <w:shd w:val="clear" w:color="auto" w:fill="F7E5EE" w:themeFill="accent4" w:themeFillTint="33"/>
      </w:tcPr>
    </w:tblStylePr>
    <w:tblStylePr w:type="band1Horz">
      <w:tblPr/>
      <w:tcPr>
        <w:shd w:val="clear" w:color="auto" w:fill="F7E5EE"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FCC97E" w:themeColor="accent5" w:themeTint="99"/>
        </w:tcBorders>
      </w:tcPr>
    </w:tblStylePr>
    <w:tblStylePr w:type="lastRow">
      <w:rPr>
        <w:b/>
        <w:bCs/>
      </w:rPr>
      <w:tblPr/>
      <w:tcPr>
        <w:tcBorders>
          <w:top w:val="single" w:sz="4" w:space="0" w:color="FCC97E" w:themeColor="accent5" w:themeTint="99"/>
        </w:tcBorders>
      </w:tcPr>
    </w:tblStylePr>
    <w:tblStylePr w:type="firstCol">
      <w:rPr>
        <w:b/>
        <w:bCs/>
      </w:rPr>
    </w:tblStylePr>
    <w:tblStylePr w:type="lastCol">
      <w:rPr>
        <w:b/>
        <w:bCs/>
      </w:rPr>
    </w:tblStylePr>
    <w:tblStylePr w:type="band1Vert">
      <w:tblPr/>
      <w:tcPr>
        <w:shd w:val="clear" w:color="auto" w:fill="FEEDD4" w:themeFill="accent5" w:themeFillTint="33"/>
      </w:tcPr>
    </w:tblStylePr>
    <w:tblStylePr w:type="band1Horz">
      <w:tblPr/>
      <w:tcPr>
        <w:shd w:val="clear" w:color="auto" w:fill="FEEDD4"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F7A485" w:themeColor="accent6" w:themeTint="99"/>
        </w:tcBorders>
      </w:tcPr>
    </w:tblStylePr>
    <w:tblStylePr w:type="lastRow">
      <w:rPr>
        <w:b/>
        <w:bCs/>
      </w:rPr>
      <w:tblPr/>
      <w:tcPr>
        <w:tcBorders>
          <w:top w:val="single" w:sz="4" w:space="0" w:color="F7A485" w:themeColor="accent6" w:themeTint="99"/>
        </w:tcBorders>
      </w:tcPr>
    </w:tblStylePr>
    <w:tblStylePr w:type="firstCol">
      <w:rPr>
        <w:b/>
        <w:bCs/>
      </w:rPr>
    </w:tblStylePr>
    <w:tblStylePr w:type="lastCol">
      <w:rPr>
        <w:b/>
        <w:bCs/>
      </w:rPr>
    </w:tblStylePr>
    <w:tblStylePr w:type="band1Vert">
      <w:tblPr/>
      <w:tcPr>
        <w:shd w:val="clear" w:color="auto" w:fill="FCE0D6" w:themeFill="accent6" w:themeFillTint="33"/>
      </w:tcPr>
    </w:tblStylePr>
    <w:tblStylePr w:type="band1Horz">
      <w:tblPr/>
      <w:tcPr>
        <w:shd w:val="clear" w:color="auto" w:fill="FCE0D6"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846A88" w:themeColor="text1" w:themeTint="99"/>
        <w:bottom w:val="single" w:sz="4" w:space="0" w:color="846A88" w:themeColor="text1" w:themeTint="99"/>
        <w:insideH w:val="single" w:sz="4" w:space="0" w:color="846A88"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CCD8" w:themeFill="text1" w:themeFillTint="33"/>
      </w:tcPr>
    </w:tblStylePr>
    <w:tblStylePr w:type="band1Horz">
      <w:tblPr/>
      <w:tcPr>
        <w:shd w:val="clear" w:color="auto" w:fill="D6CCD8"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6CC1AD" w:themeColor="accent1" w:themeTint="99"/>
        <w:bottom w:val="single" w:sz="4" w:space="0" w:color="6CC1AD" w:themeColor="accent1" w:themeTint="99"/>
        <w:insideH w:val="single" w:sz="4" w:space="0" w:color="6CC1A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DEAE3" w:themeFill="accent1" w:themeFillTint="33"/>
      </w:tcPr>
    </w:tblStylePr>
    <w:tblStylePr w:type="band1Horz">
      <w:tblPr/>
      <w:tcPr>
        <w:shd w:val="clear" w:color="auto" w:fill="CDEAE3"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62E497" w:themeColor="accent2" w:themeTint="99"/>
        <w:bottom w:val="single" w:sz="4" w:space="0" w:color="62E497" w:themeColor="accent2" w:themeTint="99"/>
        <w:insideH w:val="single" w:sz="4" w:space="0" w:color="62E49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F6DC" w:themeFill="accent2" w:themeFillTint="33"/>
      </w:tcPr>
    </w:tblStylePr>
    <w:tblStylePr w:type="band1Horz">
      <w:tblPr/>
      <w:tcPr>
        <w:shd w:val="clear" w:color="auto" w:fill="CAF6DC"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BAC7E5" w:themeColor="accent3" w:themeTint="99"/>
        <w:bottom w:val="single" w:sz="4" w:space="0" w:color="BAC7E5" w:themeColor="accent3" w:themeTint="99"/>
        <w:insideH w:val="single" w:sz="4" w:space="0" w:color="BAC7E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ECF6" w:themeFill="accent3" w:themeFillTint="33"/>
      </w:tcPr>
    </w:tblStylePr>
    <w:tblStylePr w:type="band1Horz">
      <w:tblPr/>
      <w:tcPr>
        <w:shd w:val="clear" w:color="auto" w:fill="E8ECF6"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E8B2CD" w:themeColor="accent4" w:themeTint="99"/>
        <w:bottom w:val="single" w:sz="4" w:space="0" w:color="E8B2CD" w:themeColor="accent4" w:themeTint="99"/>
        <w:insideH w:val="single" w:sz="4" w:space="0" w:color="E8B2C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E5EE" w:themeFill="accent4" w:themeFillTint="33"/>
      </w:tcPr>
    </w:tblStylePr>
    <w:tblStylePr w:type="band1Horz">
      <w:tblPr/>
      <w:tcPr>
        <w:shd w:val="clear" w:color="auto" w:fill="F7E5EE"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FCC97E" w:themeColor="accent5" w:themeTint="99"/>
        <w:bottom w:val="single" w:sz="4" w:space="0" w:color="FCC97E" w:themeColor="accent5" w:themeTint="99"/>
        <w:insideH w:val="single" w:sz="4" w:space="0" w:color="FCC97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DD4" w:themeFill="accent5" w:themeFillTint="33"/>
      </w:tcPr>
    </w:tblStylePr>
    <w:tblStylePr w:type="band1Horz">
      <w:tblPr/>
      <w:tcPr>
        <w:shd w:val="clear" w:color="auto" w:fill="FEEDD4"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F7A485" w:themeColor="accent6" w:themeTint="99"/>
        <w:bottom w:val="single" w:sz="4" w:space="0" w:color="F7A485" w:themeColor="accent6" w:themeTint="99"/>
        <w:insideH w:val="single" w:sz="4" w:space="0" w:color="F7A485"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0D6" w:themeFill="accent6" w:themeFillTint="33"/>
      </w:tcPr>
    </w:tblStylePr>
    <w:tblStylePr w:type="band1Horz">
      <w:tblPr/>
      <w:tcPr>
        <w:shd w:val="clear" w:color="auto" w:fill="FCE0D6"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1C24" w:themeColor="text1"/>
        <w:left w:val="single" w:sz="4" w:space="0" w:color="231C24" w:themeColor="text1"/>
        <w:bottom w:val="single" w:sz="4" w:space="0" w:color="231C24" w:themeColor="text1"/>
        <w:right w:val="single" w:sz="4" w:space="0" w:color="231C24" w:themeColor="text1"/>
      </w:tblBorders>
    </w:tblPr>
    <w:tblStylePr w:type="firstRow">
      <w:rPr>
        <w:b/>
        <w:bCs/>
        <w:color w:val="FFFFFF" w:themeColor="background1"/>
      </w:rPr>
      <w:tblPr/>
      <w:tcPr>
        <w:shd w:val="clear" w:color="auto" w:fill="231C24" w:themeFill="text1"/>
      </w:tcPr>
    </w:tblStylePr>
    <w:tblStylePr w:type="lastRow">
      <w:rPr>
        <w:b/>
        <w:bCs/>
      </w:rPr>
      <w:tblPr/>
      <w:tcPr>
        <w:tcBorders>
          <w:top w:val="double" w:sz="4" w:space="0" w:color="231C24"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C24" w:themeColor="text1"/>
          <w:right w:val="single" w:sz="4" w:space="0" w:color="231C24" w:themeColor="text1"/>
        </w:tcBorders>
      </w:tcPr>
    </w:tblStylePr>
    <w:tblStylePr w:type="band1Horz">
      <w:tblPr/>
      <w:tcPr>
        <w:tcBorders>
          <w:top w:val="single" w:sz="4" w:space="0" w:color="231C24" w:themeColor="text1"/>
          <w:bottom w:val="single" w:sz="4" w:space="0" w:color="231C24"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C24" w:themeColor="text1"/>
          <w:left w:val="nil"/>
        </w:tcBorders>
      </w:tcPr>
    </w:tblStylePr>
    <w:tblStylePr w:type="swCell">
      <w:tblPr/>
      <w:tcPr>
        <w:tcBorders>
          <w:top w:val="double" w:sz="4" w:space="0" w:color="231C24"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307363" w:themeColor="accent1"/>
        <w:left w:val="single" w:sz="4" w:space="0" w:color="307363" w:themeColor="accent1"/>
        <w:bottom w:val="single" w:sz="4" w:space="0" w:color="307363" w:themeColor="accent1"/>
        <w:right w:val="single" w:sz="4" w:space="0" w:color="307363" w:themeColor="accent1"/>
      </w:tblBorders>
    </w:tblPr>
    <w:tblStylePr w:type="firstRow">
      <w:rPr>
        <w:b/>
        <w:bCs/>
        <w:color w:val="FFFFFF" w:themeColor="background1"/>
      </w:rPr>
      <w:tblPr/>
      <w:tcPr>
        <w:shd w:val="clear" w:color="auto" w:fill="307363" w:themeFill="accent1"/>
      </w:tcPr>
    </w:tblStylePr>
    <w:tblStylePr w:type="lastRow">
      <w:rPr>
        <w:b/>
        <w:bCs/>
      </w:rPr>
      <w:tblPr/>
      <w:tcPr>
        <w:tcBorders>
          <w:top w:val="double" w:sz="4" w:space="0" w:color="30736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07363" w:themeColor="accent1"/>
          <w:right w:val="single" w:sz="4" w:space="0" w:color="307363" w:themeColor="accent1"/>
        </w:tcBorders>
      </w:tcPr>
    </w:tblStylePr>
    <w:tblStylePr w:type="band1Horz">
      <w:tblPr/>
      <w:tcPr>
        <w:tcBorders>
          <w:top w:val="single" w:sz="4" w:space="0" w:color="307363" w:themeColor="accent1"/>
          <w:bottom w:val="single" w:sz="4" w:space="0" w:color="30736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07363" w:themeColor="accent1"/>
          <w:left w:val="nil"/>
        </w:tcBorders>
      </w:tcPr>
    </w:tblStylePr>
    <w:tblStylePr w:type="swCell">
      <w:tblPr/>
      <w:tcPr>
        <w:tcBorders>
          <w:top w:val="double" w:sz="4" w:space="0" w:color="307363"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1EAF59" w:themeColor="accent2"/>
        <w:left w:val="single" w:sz="4" w:space="0" w:color="1EAF59" w:themeColor="accent2"/>
        <w:bottom w:val="single" w:sz="4" w:space="0" w:color="1EAF59" w:themeColor="accent2"/>
        <w:right w:val="single" w:sz="4" w:space="0" w:color="1EAF59" w:themeColor="accent2"/>
      </w:tblBorders>
    </w:tblPr>
    <w:tblStylePr w:type="firstRow">
      <w:rPr>
        <w:b/>
        <w:bCs/>
        <w:color w:val="FFFFFF" w:themeColor="background1"/>
      </w:rPr>
      <w:tblPr/>
      <w:tcPr>
        <w:shd w:val="clear" w:color="auto" w:fill="1EAF59" w:themeFill="accent2"/>
      </w:tcPr>
    </w:tblStylePr>
    <w:tblStylePr w:type="lastRow">
      <w:rPr>
        <w:b/>
        <w:bCs/>
      </w:rPr>
      <w:tblPr/>
      <w:tcPr>
        <w:tcBorders>
          <w:top w:val="double" w:sz="4" w:space="0" w:color="1EAF5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AF59" w:themeColor="accent2"/>
          <w:right w:val="single" w:sz="4" w:space="0" w:color="1EAF59" w:themeColor="accent2"/>
        </w:tcBorders>
      </w:tcPr>
    </w:tblStylePr>
    <w:tblStylePr w:type="band1Horz">
      <w:tblPr/>
      <w:tcPr>
        <w:tcBorders>
          <w:top w:val="single" w:sz="4" w:space="0" w:color="1EAF59" w:themeColor="accent2"/>
          <w:bottom w:val="single" w:sz="4" w:space="0" w:color="1EAF5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AF59" w:themeColor="accent2"/>
          <w:left w:val="nil"/>
        </w:tcBorders>
      </w:tcPr>
    </w:tblStylePr>
    <w:tblStylePr w:type="swCell">
      <w:tblPr/>
      <w:tcPr>
        <w:tcBorders>
          <w:top w:val="double" w:sz="4" w:space="0" w:color="1EAF59"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8DA2D4" w:themeColor="accent3"/>
        <w:left w:val="single" w:sz="4" w:space="0" w:color="8DA2D4" w:themeColor="accent3"/>
        <w:bottom w:val="single" w:sz="4" w:space="0" w:color="8DA2D4" w:themeColor="accent3"/>
        <w:right w:val="single" w:sz="4" w:space="0" w:color="8DA2D4" w:themeColor="accent3"/>
      </w:tblBorders>
    </w:tblPr>
    <w:tblStylePr w:type="firstRow">
      <w:rPr>
        <w:b/>
        <w:bCs/>
        <w:color w:val="FFFFFF" w:themeColor="background1"/>
      </w:rPr>
      <w:tblPr/>
      <w:tcPr>
        <w:shd w:val="clear" w:color="auto" w:fill="8DA2D4" w:themeFill="accent3"/>
      </w:tcPr>
    </w:tblStylePr>
    <w:tblStylePr w:type="lastRow">
      <w:rPr>
        <w:b/>
        <w:bCs/>
      </w:rPr>
      <w:tblPr/>
      <w:tcPr>
        <w:tcBorders>
          <w:top w:val="double" w:sz="4" w:space="0" w:color="8DA2D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A2D4" w:themeColor="accent3"/>
          <w:right w:val="single" w:sz="4" w:space="0" w:color="8DA2D4" w:themeColor="accent3"/>
        </w:tcBorders>
      </w:tcPr>
    </w:tblStylePr>
    <w:tblStylePr w:type="band1Horz">
      <w:tblPr/>
      <w:tcPr>
        <w:tcBorders>
          <w:top w:val="single" w:sz="4" w:space="0" w:color="8DA2D4" w:themeColor="accent3"/>
          <w:bottom w:val="single" w:sz="4" w:space="0" w:color="8DA2D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A2D4" w:themeColor="accent3"/>
          <w:left w:val="nil"/>
        </w:tcBorders>
      </w:tcPr>
    </w:tblStylePr>
    <w:tblStylePr w:type="swCell">
      <w:tblPr/>
      <w:tcPr>
        <w:tcBorders>
          <w:top w:val="double" w:sz="4" w:space="0" w:color="8DA2D4"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D980AD" w:themeColor="accent4"/>
        <w:left w:val="single" w:sz="4" w:space="0" w:color="D980AD" w:themeColor="accent4"/>
        <w:bottom w:val="single" w:sz="4" w:space="0" w:color="D980AD" w:themeColor="accent4"/>
        <w:right w:val="single" w:sz="4" w:space="0" w:color="D980AD" w:themeColor="accent4"/>
      </w:tblBorders>
    </w:tblPr>
    <w:tblStylePr w:type="firstRow">
      <w:rPr>
        <w:b/>
        <w:bCs/>
        <w:color w:val="FFFFFF" w:themeColor="background1"/>
      </w:rPr>
      <w:tblPr/>
      <w:tcPr>
        <w:shd w:val="clear" w:color="auto" w:fill="D980AD" w:themeFill="accent4"/>
      </w:tcPr>
    </w:tblStylePr>
    <w:tblStylePr w:type="lastRow">
      <w:rPr>
        <w:b/>
        <w:bCs/>
      </w:rPr>
      <w:tblPr/>
      <w:tcPr>
        <w:tcBorders>
          <w:top w:val="double" w:sz="4" w:space="0" w:color="D980AD"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980AD" w:themeColor="accent4"/>
          <w:right w:val="single" w:sz="4" w:space="0" w:color="D980AD" w:themeColor="accent4"/>
        </w:tcBorders>
      </w:tcPr>
    </w:tblStylePr>
    <w:tblStylePr w:type="band1Horz">
      <w:tblPr/>
      <w:tcPr>
        <w:tcBorders>
          <w:top w:val="single" w:sz="4" w:space="0" w:color="D980AD" w:themeColor="accent4"/>
          <w:bottom w:val="single" w:sz="4" w:space="0" w:color="D980AD"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980AD" w:themeColor="accent4"/>
          <w:left w:val="nil"/>
        </w:tcBorders>
      </w:tcPr>
    </w:tblStylePr>
    <w:tblStylePr w:type="swCell">
      <w:tblPr/>
      <w:tcPr>
        <w:tcBorders>
          <w:top w:val="double" w:sz="4" w:space="0" w:color="D980AD"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FAA629" w:themeColor="accent5"/>
        <w:left w:val="single" w:sz="4" w:space="0" w:color="FAA629" w:themeColor="accent5"/>
        <w:bottom w:val="single" w:sz="4" w:space="0" w:color="FAA629" w:themeColor="accent5"/>
        <w:right w:val="single" w:sz="4" w:space="0" w:color="FAA629" w:themeColor="accent5"/>
      </w:tblBorders>
    </w:tblPr>
    <w:tblStylePr w:type="firstRow">
      <w:rPr>
        <w:b/>
        <w:bCs/>
        <w:color w:val="FFFFFF" w:themeColor="background1"/>
      </w:rPr>
      <w:tblPr/>
      <w:tcPr>
        <w:shd w:val="clear" w:color="auto" w:fill="FAA629" w:themeFill="accent5"/>
      </w:tcPr>
    </w:tblStylePr>
    <w:tblStylePr w:type="lastRow">
      <w:rPr>
        <w:b/>
        <w:bCs/>
      </w:rPr>
      <w:tblPr/>
      <w:tcPr>
        <w:tcBorders>
          <w:top w:val="double" w:sz="4" w:space="0" w:color="FAA62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AA629" w:themeColor="accent5"/>
          <w:right w:val="single" w:sz="4" w:space="0" w:color="FAA629" w:themeColor="accent5"/>
        </w:tcBorders>
      </w:tcPr>
    </w:tblStylePr>
    <w:tblStylePr w:type="band1Horz">
      <w:tblPr/>
      <w:tcPr>
        <w:tcBorders>
          <w:top w:val="single" w:sz="4" w:space="0" w:color="FAA629" w:themeColor="accent5"/>
          <w:bottom w:val="single" w:sz="4" w:space="0" w:color="FAA62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AA629" w:themeColor="accent5"/>
          <w:left w:val="nil"/>
        </w:tcBorders>
      </w:tcPr>
    </w:tblStylePr>
    <w:tblStylePr w:type="swCell">
      <w:tblPr/>
      <w:tcPr>
        <w:tcBorders>
          <w:top w:val="double" w:sz="4" w:space="0" w:color="FAA629"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F26934" w:themeColor="accent6"/>
        <w:left w:val="single" w:sz="4" w:space="0" w:color="F26934" w:themeColor="accent6"/>
        <w:bottom w:val="single" w:sz="4" w:space="0" w:color="F26934" w:themeColor="accent6"/>
        <w:right w:val="single" w:sz="4" w:space="0" w:color="F26934" w:themeColor="accent6"/>
      </w:tblBorders>
    </w:tblPr>
    <w:tblStylePr w:type="firstRow">
      <w:rPr>
        <w:b/>
        <w:bCs/>
        <w:color w:val="FFFFFF" w:themeColor="background1"/>
      </w:rPr>
      <w:tblPr/>
      <w:tcPr>
        <w:shd w:val="clear" w:color="auto" w:fill="F26934" w:themeFill="accent6"/>
      </w:tcPr>
    </w:tblStylePr>
    <w:tblStylePr w:type="lastRow">
      <w:rPr>
        <w:b/>
        <w:bCs/>
      </w:rPr>
      <w:tblPr/>
      <w:tcPr>
        <w:tcBorders>
          <w:top w:val="double" w:sz="4" w:space="0" w:color="F2693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6934" w:themeColor="accent6"/>
          <w:right w:val="single" w:sz="4" w:space="0" w:color="F26934" w:themeColor="accent6"/>
        </w:tcBorders>
      </w:tcPr>
    </w:tblStylePr>
    <w:tblStylePr w:type="band1Horz">
      <w:tblPr/>
      <w:tcPr>
        <w:tcBorders>
          <w:top w:val="single" w:sz="4" w:space="0" w:color="F26934" w:themeColor="accent6"/>
          <w:bottom w:val="single" w:sz="4" w:space="0" w:color="F2693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6934" w:themeColor="accent6"/>
          <w:left w:val="nil"/>
        </w:tcBorders>
      </w:tcPr>
    </w:tblStylePr>
    <w:tblStylePr w:type="swCell">
      <w:tblPr/>
      <w:tcPr>
        <w:tcBorders>
          <w:top w:val="double" w:sz="4" w:space="0" w:color="F26934"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846A88" w:themeColor="text1" w:themeTint="99"/>
        <w:left w:val="single" w:sz="4" w:space="0" w:color="846A88" w:themeColor="text1" w:themeTint="99"/>
        <w:bottom w:val="single" w:sz="4" w:space="0" w:color="846A88" w:themeColor="text1" w:themeTint="99"/>
        <w:right w:val="single" w:sz="4" w:space="0" w:color="846A88" w:themeColor="text1" w:themeTint="99"/>
        <w:insideH w:val="single" w:sz="4" w:space="0" w:color="846A88" w:themeColor="text1" w:themeTint="99"/>
      </w:tblBorders>
    </w:tblPr>
    <w:tblStylePr w:type="firstRow">
      <w:rPr>
        <w:b/>
        <w:bCs/>
        <w:color w:val="FFFFFF" w:themeColor="background1"/>
      </w:rPr>
      <w:tblPr/>
      <w:tcPr>
        <w:tcBorders>
          <w:top w:val="single" w:sz="4" w:space="0" w:color="231C24" w:themeColor="text1"/>
          <w:left w:val="single" w:sz="4" w:space="0" w:color="231C24" w:themeColor="text1"/>
          <w:bottom w:val="single" w:sz="4" w:space="0" w:color="231C24" w:themeColor="text1"/>
          <w:right w:val="single" w:sz="4" w:space="0" w:color="231C24" w:themeColor="text1"/>
          <w:insideH w:val="nil"/>
        </w:tcBorders>
        <w:shd w:val="clear" w:color="auto" w:fill="231C24" w:themeFill="text1"/>
      </w:tcPr>
    </w:tblStylePr>
    <w:tblStylePr w:type="lastRow">
      <w:rPr>
        <w:b/>
        <w:bCs/>
      </w:rPr>
      <w:tblPr/>
      <w:tcPr>
        <w:tcBorders>
          <w:top w:val="double" w:sz="4" w:space="0" w:color="846A88" w:themeColor="text1" w:themeTint="99"/>
        </w:tcBorders>
      </w:tcPr>
    </w:tblStylePr>
    <w:tblStylePr w:type="firstCol">
      <w:rPr>
        <w:b/>
        <w:bCs/>
      </w:rPr>
    </w:tblStylePr>
    <w:tblStylePr w:type="lastCol">
      <w:rPr>
        <w:b/>
        <w:bCs/>
      </w:rPr>
    </w:tblStylePr>
    <w:tblStylePr w:type="band1Vert">
      <w:tblPr/>
      <w:tcPr>
        <w:shd w:val="clear" w:color="auto" w:fill="D6CCD8" w:themeFill="text1" w:themeFillTint="33"/>
      </w:tcPr>
    </w:tblStylePr>
    <w:tblStylePr w:type="band1Horz">
      <w:tblPr/>
      <w:tcPr>
        <w:shd w:val="clear" w:color="auto" w:fill="D6CCD8"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6CC1AD" w:themeColor="accent1" w:themeTint="99"/>
        <w:left w:val="single" w:sz="4" w:space="0" w:color="6CC1AD" w:themeColor="accent1" w:themeTint="99"/>
        <w:bottom w:val="single" w:sz="4" w:space="0" w:color="6CC1AD" w:themeColor="accent1" w:themeTint="99"/>
        <w:right w:val="single" w:sz="4" w:space="0" w:color="6CC1AD" w:themeColor="accent1" w:themeTint="99"/>
        <w:insideH w:val="single" w:sz="4" w:space="0" w:color="6CC1AD" w:themeColor="accent1" w:themeTint="99"/>
      </w:tblBorders>
    </w:tblPr>
    <w:tblStylePr w:type="firstRow">
      <w:rPr>
        <w:b/>
        <w:bCs/>
        <w:color w:val="FFFFFF" w:themeColor="background1"/>
      </w:rPr>
      <w:tblPr/>
      <w:tcPr>
        <w:tcBorders>
          <w:top w:val="single" w:sz="4" w:space="0" w:color="307363" w:themeColor="accent1"/>
          <w:left w:val="single" w:sz="4" w:space="0" w:color="307363" w:themeColor="accent1"/>
          <w:bottom w:val="single" w:sz="4" w:space="0" w:color="307363" w:themeColor="accent1"/>
          <w:right w:val="single" w:sz="4" w:space="0" w:color="307363" w:themeColor="accent1"/>
          <w:insideH w:val="nil"/>
        </w:tcBorders>
        <w:shd w:val="clear" w:color="auto" w:fill="307363" w:themeFill="accent1"/>
      </w:tcPr>
    </w:tblStylePr>
    <w:tblStylePr w:type="lastRow">
      <w:rPr>
        <w:b/>
        <w:bCs/>
      </w:rPr>
      <w:tblPr/>
      <w:tcPr>
        <w:tcBorders>
          <w:top w:val="double" w:sz="4" w:space="0" w:color="6CC1AD" w:themeColor="accent1" w:themeTint="99"/>
        </w:tcBorders>
      </w:tcPr>
    </w:tblStylePr>
    <w:tblStylePr w:type="firstCol">
      <w:rPr>
        <w:b/>
        <w:bCs/>
      </w:rPr>
    </w:tblStylePr>
    <w:tblStylePr w:type="lastCol">
      <w:rPr>
        <w:b/>
        <w:bCs/>
      </w:rPr>
    </w:tblStylePr>
    <w:tblStylePr w:type="band1Vert">
      <w:tblPr/>
      <w:tcPr>
        <w:shd w:val="clear" w:color="auto" w:fill="CDEAE3" w:themeFill="accent1" w:themeFillTint="33"/>
      </w:tcPr>
    </w:tblStylePr>
    <w:tblStylePr w:type="band1Horz">
      <w:tblPr/>
      <w:tcPr>
        <w:shd w:val="clear" w:color="auto" w:fill="CDEAE3"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62E497" w:themeColor="accent2" w:themeTint="99"/>
        <w:left w:val="single" w:sz="4" w:space="0" w:color="62E497" w:themeColor="accent2" w:themeTint="99"/>
        <w:bottom w:val="single" w:sz="4" w:space="0" w:color="62E497" w:themeColor="accent2" w:themeTint="99"/>
        <w:right w:val="single" w:sz="4" w:space="0" w:color="62E497" w:themeColor="accent2" w:themeTint="99"/>
        <w:insideH w:val="single" w:sz="4" w:space="0" w:color="62E497" w:themeColor="accent2" w:themeTint="99"/>
      </w:tblBorders>
    </w:tblPr>
    <w:tblStylePr w:type="firstRow">
      <w:rPr>
        <w:b/>
        <w:bCs/>
        <w:color w:val="FFFFFF" w:themeColor="background1"/>
      </w:rPr>
      <w:tblPr/>
      <w:tcPr>
        <w:tcBorders>
          <w:top w:val="single" w:sz="4" w:space="0" w:color="1EAF59" w:themeColor="accent2"/>
          <w:left w:val="single" w:sz="4" w:space="0" w:color="1EAF59" w:themeColor="accent2"/>
          <w:bottom w:val="single" w:sz="4" w:space="0" w:color="1EAF59" w:themeColor="accent2"/>
          <w:right w:val="single" w:sz="4" w:space="0" w:color="1EAF59" w:themeColor="accent2"/>
          <w:insideH w:val="nil"/>
        </w:tcBorders>
        <w:shd w:val="clear" w:color="auto" w:fill="1EAF59" w:themeFill="accent2"/>
      </w:tcPr>
    </w:tblStylePr>
    <w:tblStylePr w:type="lastRow">
      <w:rPr>
        <w:b/>
        <w:bCs/>
      </w:rPr>
      <w:tblPr/>
      <w:tcPr>
        <w:tcBorders>
          <w:top w:val="double" w:sz="4" w:space="0" w:color="62E497" w:themeColor="accent2" w:themeTint="99"/>
        </w:tcBorders>
      </w:tcPr>
    </w:tblStylePr>
    <w:tblStylePr w:type="firstCol">
      <w:rPr>
        <w:b/>
        <w:bCs/>
      </w:rPr>
    </w:tblStylePr>
    <w:tblStylePr w:type="lastCol">
      <w:rPr>
        <w:b/>
        <w:bCs/>
      </w:rPr>
    </w:tblStylePr>
    <w:tblStylePr w:type="band1Vert">
      <w:tblPr/>
      <w:tcPr>
        <w:shd w:val="clear" w:color="auto" w:fill="CAF6DC" w:themeFill="accent2" w:themeFillTint="33"/>
      </w:tcPr>
    </w:tblStylePr>
    <w:tblStylePr w:type="band1Horz">
      <w:tblPr/>
      <w:tcPr>
        <w:shd w:val="clear" w:color="auto" w:fill="CAF6DC"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BAC7E5" w:themeColor="accent3" w:themeTint="99"/>
        <w:left w:val="single" w:sz="4" w:space="0" w:color="BAC7E5" w:themeColor="accent3" w:themeTint="99"/>
        <w:bottom w:val="single" w:sz="4" w:space="0" w:color="BAC7E5" w:themeColor="accent3" w:themeTint="99"/>
        <w:right w:val="single" w:sz="4" w:space="0" w:color="BAC7E5" w:themeColor="accent3" w:themeTint="99"/>
        <w:insideH w:val="single" w:sz="4" w:space="0" w:color="BAC7E5" w:themeColor="accent3" w:themeTint="99"/>
      </w:tblBorders>
    </w:tblPr>
    <w:tblStylePr w:type="firstRow">
      <w:rPr>
        <w:b/>
        <w:bCs/>
        <w:color w:val="FFFFFF" w:themeColor="background1"/>
      </w:rPr>
      <w:tblPr/>
      <w:tcPr>
        <w:tcBorders>
          <w:top w:val="single" w:sz="4" w:space="0" w:color="8DA2D4" w:themeColor="accent3"/>
          <w:left w:val="single" w:sz="4" w:space="0" w:color="8DA2D4" w:themeColor="accent3"/>
          <w:bottom w:val="single" w:sz="4" w:space="0" w:color="8DA2D4" w:themeColor="accent3"/>
          <w:right w:val="single" w:sz="4" w:space="0" w:color="8DA2D4" w:themeColor="accent3"/>
          <w:insideH w:val="nil"/>
        </w:tcBorders>
        <w:shd w:val="clear" w:color="auto" w:fill="8DA2D4" w:themeFill="accent3"/>
      </w:tcPr>
    </w:tblStylePr>
    <w:tblStylePr w:type="lastRow">
      <w:rPr>
        <w:b/>
        <w:bCs/>
      </w:rPr>
      <w:tblPr/>
      <w:tcPr>
        <w:tcBorders>
          <w:top w:val="double" w:sz="4" w:space="0" w:color="BAC7E5" w:themeColor="accent3" w:themeTint="99"/>
        </w:tcBorders>
      </w:tcPr>
    </w:tblStylePr>
    <w:tblStylePr w:type="firstCol">
      <w:rPr>
        <w:b/>
        <w:bCs/>
      </w:rPr>
    </w:tblStylePr>
    <w:tblStylePr w:type="lastCol">
      <w:rPr>
        <w:b/>
        <w:bCs/>
      </w:rPr>
    </w:tblStylePr>
    <w:tblStylePr w:type="band1Vert">
      <w:tblPr/>
      <w:tcPr>
        <w:shd w:val="clear" w:color="auto" w:fill="E8ECF6" w:themeFill="accent3" w:themeFillTint="33"/>
      </w:tcPr>
    </w:tblStylePr>
    <w:tblStylePr w:type="band1Horz">
      <w:tblPr/>
      <w:tcPr>
        <w:shd w:val="clear" w:color="auto" w:fill="E8ECF6"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E8B2CD" w:themeColor="accent4" w:themeTint="99"/>
        <w:left w:val="single" w:sz="4" w:space="0" w:color="E8B2CD" w:themeColor="accent4" w:themeTint="99"/>
        <w:bottom w:val="single" w:sz="4" w:space="0" w:color="E8B2CD" w:themeColor="accent4" w:themeTint="99"/>
        <w:right w:val="single" w:sz="4" w:space="0" w:color="E8B2CD" w:themeColor="accent4" w:themeTint="99"/>
        <w:insideH w:val="single" w:sz="4" w:space="0" w:color="E8B2CD" w:themeColor="accent4" w:themeTint="99"/>
      </w:tblBorders>
    </w:tblPr>
    <w:tblStylePr w:type="firstRow">
      <w:rPr>
        <w:b/>
        <w:bCs/>
        <w:color w:val="FFFFFF" w:themeColor="background1"/>
      </w:rPr>
      <w:tblPr/>
      <w:tcPr>
        <w:tcBorders>
          <w:top w:val="single" w:sz="4" w:space="0" w:color="D980AD" w:themeColor="accent4"/>
          <w:left w:val="single" w:sz="4" w:space="0" w:color="D980AD" w:themeColor="accent4"/>
          <w:bottom w:val="single" w:sz="4" w:space="0" w:color="D980AD" w:themeColor="accent4"/>
          <w:right w:val="single" w:sz="4" w:space="0" w:color="D980AD" w:themeColor="accent4"/>
          <w:insideH w:val="nil"/>
        </w:tcBorders>
        <w:shd w:val="clear" w:color="auto" w:fill="D980AD" w:themeFill="accent4"/>
      </w:tcPr>
    </w:tblStylePr>
    <w:tblStylePr w:type="lastRow">
      <w:rPr>
        <w:b/>
        <w:bCs/>
      </w:rPr>
      <w:tblPr/>
      <w:tcPr>
        <w:tcBorders>
          <w:top w:val="double" w:sz="4" w:space="0" w:color="E8B2CD" w:themeColor="accent4" w:themeTint="99"/>
        </w:tcBorders>
      </w:tcPr>
    </w:tblStylePr>
    <w:tblStylePr w:type="firstCol">
      <w:rPr>
        <w:b/>
        <w:bCs/>
      </w:rPr>
    </w:tblStylePr>
    <w:tblStylePr w:type="lastCol">
      <w:rPr>
        <w:b/>
        <w:bCs/>
      </w:rPr>
    </w:tblStylePr>
    <w:tblStylePr w:type="band1Vert">
      <w:tblPr/>
      <w:tcPr>
        <w:shd w:val="clear" w:color="auto" w:fill="F7E5EE" w:themeFill="accent4" w:themeFillTint="33"/>
      </w:tcPr>
    </w:tblStylePr>
    <w:tblStylePr w:type="band1Horz">
      <w:tblPr/>
      <w:tcPr>
        <w:shd w:val="clear" w:color="auto" w:fill="F7E5EE"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FCC97E" w:themeColor="accent5" w:themeTint="99"/>
        <w:left w:val="single" w:sz="4" w:space="0" w:color="FCC97E" w:themeColor="accent5" w:themeTint="99"/>
        <w:bottom w:val="single" w:sz="4" w:space="0" w:color="FCC97E" w:themeColor="accent5" w:themeTint="99"/>
        <w:right w:val="single" w:sz="4" w:space="0" w:color="FCC97E" w:themeColor="accent5" w:themeTint="99"/>
        <w:insideH w:val="single" w:sz="4" w:space="0" w:color="FCC97E" w:themeColor="accent5" w:themeTint="99"/>
      </w:tblBorders>
    </w:tblPr>
    <w:tblStylePr w:type="firstRow">
      <w:rPr>
        <w:b/>
        <w:bCs/>
        <w:color w:val="FFFFFF" w:themeColor="background1"/>
      </w:rPr>
      <w:tblPr/>
      <w:tcPr>
        <w:tcBorders>
          <w:top w:val="single" w:sz="4" w:space="0" w:color="FAA629" w:themeColor="accent5"/>
          <w:left w:val="single" w:sz="4" w:space="0" w:color="FAA629" w:themeColor="accent5"/>
          <w:bottom w:val="single" w:sz="4" w:space="0" w:color="FAA629" w:themeColor="accent5"/>
          <w:right w:val="single" w:sz="4" w:space="0" w:color="FAA629" w:themeColor="accent5"/>
          <w:insideH w:val="nil"/>
        </w:tcBorders>
        <w:shd w:val="clear" w:color="auto" w:fill="FAA629" w:themeFill="accent5"/>
      </w:tcPr>
    </w:tblStylePr>
    <w:tblStylePr w:type="lastRow">
      <w:rPr>
        <w:b/>
        <w:bCs/>
      </w:rPr>
      <w:tblPr/>
      <w:tcPr>
        <w:tcBorders>
          <w:top w:val="double" w:sz="4" w:space="0" w:color="FCC97E" w:themeColor="accent5" w:themeTint="99"/>
        </w:tcBorders>
      </w:tcPr>
    </w:tblStylePr>
    <w:tblStylePr w:type="firstCol">
      <w:rPr>
        <w:b/>
        <w:bCs/>
      </w:rPr>
    </w:tblStylePr>
    <w:tblStylePr w:type="lastCol">
      <w:rPr>
        <w:b/>
        <w:bCs/>
      </w:rPr>
    </w:tblStylePr>
    <w:tblStylePr w:type="band1Vert">
      <w:tblPr/>
      <w:tcPr>
        <w:shd w:val="clear" w:color="auto" w:fill="FEEDD4" w:themeFill="accent5" w:themeFillTint="33"/>
      </w:tcPr>
    </w:tblStylePr>
    <w:tblStylePr w:type="band1Horz">
      <w:tblPr/>
      <w:tcPr>
        <w:shd w:val="clear" w:color="auto" w:fill="FEEDD4"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F7A485" w:themeColor="accent6" w:themeTint="99"/>
        <w:left w:val="single" w:sz="4" w:space="0" w:color="F7A485" w:themeColor="accent6" w:themeTint="99"/>
        <w:bottom w:val="single" w:sz="4" w:space="0" w:color="F7A485" w:themeColor="accent6" w:themeTint="99"/>
        <w:right w:val="single" w:sz="4" w:space="0" w:color="F7A485" w:themeColor="accent6" w:themeTint="99"/>
        <w:insideH w:val="single" w:sz="4" w:space="0" w:color="F7A485" w:themeColor="accent6" w:themeTint="99"/>
      </w:tblBorders>
    </w:tblPr>
    <w:tblStylePr w:type="firstRow">
      <w:rPr>
        <w:b/>
        <w:bCs/>
        <w:color w:val="FFFFFF" w:themeColor="background1"/>
      </w:rPr>
      <w:tblPr/>
      <w:tcPr>
        <w:tcBorders>
          <w:top w:val="single" w:sz="4" w:space="0" w:color="F26934" w:themeColor="accent6"/>
          <w:left w:val="single" w:sz="4" w:space="0" w:color="F26934" w:themeColor="accent6"/>
          <w:bottom w:val="single" w:sz="4" w:space="0" w:color="F26934" w:themeColor="accent6"/>
          <w:right w:val="single" w:sz="4" w:space="0" w:color="F26934" w:themeColor="accent6"/>
          <w:insideH w:val="nil"/>
        </w:tcBorders>
        <w:shd w:val="clear" w:color="auto" w:fill="F26934" w:themeFill="accent6"/>
      </w:tcPr>
    </w:tblStylePr>
    <w:tblStylePr w:type="lastRow">
      <w:rPr>
        <w:b/>
        <w:bCs/>
      </w:rPr>
      <w:tblPr/>
      <w:tcPr>
        <w:tcBorders>
          <w:top w:val="double" w:sz="4" w:space="0" w:color="F7A485" w:themeColor="accent6" w:themeTint="99"/>
        </w:tcBorders>
      </w:tcPr>
    </w:tblStylePr>
    <w:tblStylePr w:type="firstCol">
      <w:rPr>
        <w:b/>
        <w:bCs/>
      </w:rPr>
    </w:tblStylePr>
    <w:tblStylePr w:type="lastCol">
      <w:rPr>
        <w:b/>
        <w:bCs/>
      </w:rPr>
    </w:tblStylePr>
    <w:tblStylePr w:type="band1Vert">
      <w:tblPr/>
      <w:tcPr>
        <w:shd w:val="clear" w:color="auto" w:fill="FCE0D6" w:themeFill="accent6" w:themeFillTint="33"/>
      </w:tcPr>
    </w:tblStylePr>
    <w:tblStylePr w:type="band1Horz">
      <w:tblPr/>
      <w:tcPr>
        <w:shd w:val="clear" w:color="auto" w:fill="FCE0D6"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1C24" w:themeColor="text1"/>
        <w:left w:val="single" w:sz="24" w:space="0" w:color="231C24" w:themeColor="text1"/>
        <w:bottom w:val="single" w:sz="24" w:space="0" w:color="231C24" w:themeColor="text1"/>
        <w:right w:val="single" w:sz="24" w:space="0" w:color="231C24" w:themeColor="text1"/>
      </w:tblBorders>
    </w:tblPr>
    <w:tcPr>
      <w:shd w:val="clear" w:color="auto" w:fill="231C24"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307363" w:themeColor="accent1"/>
        <w:left w:val="single" w:sz="24" w:space="0" w:color="307363" w:themeColor="accent1"/>
        <w:bottom w:val="single" w:sz="24" w:space="0" w:color="307363" w:themeColor="accent1"/>
        <w:right w:val="single" w:sz="24" w:space="0" w:color="307363" w:themeColor="accent1"/>
      </w:tblBorders>
    </w:tblPr>
    <w:tcPr>
      <w:shd w:val="clear" w:color="auto" w:fill="30736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1EAF59" w:themeColor="accent2"/>
        <w:left w:val="single" w:sz="24" w:space="0" w:color="1EAF59" w:themeColor="accent2"/>
        <w:bottom w:val="single" w:sz="24" w:space="0" w:color="1EAF59" w:themeColor="accent2"/>
        <w:right w:val="single" w:sz="24" w:space="0" w:color="1EAF59" w:themeColor="accent2"/>
      </w:tblBorders>
    </w:tblPr>
    <w:tcPr>
      <w:shd w:val="clear" w:color="auto" w:fill="1EAF5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8DA2D4" w:themeColor="accent3"/>
        <w:left w:val="single" w:sz="24" w:space="0" w:color="8DA2D4" w:themeColor="accent3"/>
        <w:bottom w:val="single" w:sz="24" w:space="0" w:color="8DA2D4" w:themeColor="accent3"/>
        <w:right w:val="single" w:sz="24" w:space="0" w:color="8DA2D4" w:themeColor="accent3"/>
      </w:tblBorders>
    </w:tblPr>
    <w:tcPr>
      <w:shd w:val="clear" w:color="auto" w:fill="8DA2D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D980AD" w:themeColor="accent4"/>
        <w:left w:val="single" w:sz="24" w:space="0" w:color="D980AD" w:themeColor="accent4"/>
        <w:bottom w:val="single" w:sz="24" w:space="0" w:color="D980AD" w:themeColor="accent4"/>
        <w:right w:val="single" w:sz="24" w:space="0" w:color="D980AD" w:themeColor="accent4"/>
      </w:tblBorders>
    </w:tblPr>
    <w:tcPr>
      <w:shd w:val="clear" w:color="auto" w:fill="D980A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FAA629" w:themeColor="accent5"/>
        <w:left w:val="single" w:sz="24" w:space="0" w:color="FAA629" w:themeColor="accent5"/>
        <w:bottom w:val="single" w:sz="24" w:space="0" w:color="FAA629" w:themeColor="accent5"/>
        <w:right w:val="single" w:sz="24" w:space="0" w:color="FAA629" w:themeColor="accent5"/>
      </w:tblBorders>
    </w:tblPr>
    <w:tcPr>
      <w:shd w:val="clear" w:color="auto" w:fill="FAA62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F26934" w:themeColor="accent6"/>
        <w:left w:val="single" w:sz="24" w:space="0" w:color="F26934" w:themeColor="accent6"/>
        <w:bottom w:val="single" w:sz="24" w:space="0" w:color="F26934" w:themeColor="accent6"/>
        <w:right w:val="single" w:sz="24" w:space="0" w:color="F26934" w:themeColor="accent6"/>
      </w:tblBorders>
    </w:tblPr>
    <w:tcPr>
      <w:shd w:val="clear" w:color="auto" w:fill="F2693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1C24" w:themeColor="text1"/>
        <w:bottom w:val="single" w:sz="4" w:space="0" w:color="231C24" w:themeColor="text1"/>
      </w:tblBorders>
    </w:tblPr>
    <w:tblStylePr w:type="firstRow">
      <w:rPr>
        <w:b/>
        <w:bCs/>
      </w:rPr>
      <w:tblPr/>
      <w:tcPr>
        <w:tcBorders>
          <w:bottom w:val="single" w:sz="4" w:space="0" w:color="231C24" w:themeColor="text1"/>
        </w:tcBorders>
      </w:tcPr>
    </w:tblStylePr>
    <w:tblStylePr w:type="lastRow">
      <w:rPr>
        <w:b/>
        <w:bCs/>
      </w:rPr>
      <w:tblPr/>
      <w:tcPr>
        <w:tcBorders>
          <w:top w:val="double" w:sz="4" w:space="0" w:color="231C24" w:themeColor="text1"/>
        </w:tcBorders>
      </w:tcPr>
    </w:tblStylePr>
    <w:tblStylePr w:type="firstCol">
      <w:rPr>
        <w:b/>
        <w:bCs/>
      </w:rPr>
    </w:tblStylePr>
    <w:tblStylePr w:type="lastCol">
      <w:rPr>
        <w:b/>
        <w:bCs/>
      </w:rPr>
    </w:tblStylePr>
    <w:tblStylePr w:type="band1Vert">
      <w:tblPr/>
      <w:tcPr>
        <w:shd w:val="clear" w:color="auto" w:fill="D6CCD8" w:themeFill="text1" w:themeFillTint="33"/>
      </w:tcPr>
    </w:tblStylePr>
    <w:tblStylePr w:type="band1Horz">
      <w:tblPr/>
      <w:tcPr>
        <w:shd w:val="clear" w:color="auto" w:fill="D6CCD8" w:themeFill="text1" w:themeFillTint="33"/>
      </w:tcPr>
    </w:tblStylePr>
  </w:style>
  <w:style w:type="table" w:styleId="ListTable6Colorful-Accent1">
    <w:name w:val="List Table 6 Colorful Accent 1"/>
    <w:basedOn w:val="TableNormal"/>
    <w:uiPriority w:val="51"/>
    <w:semiHidden/>
    <w:rsid w:val="0058629F"/>
    <w:rPr>
      <w:color w:val="24564A" w:themeColor="accent1" w:themeShade="BF"/>
    </w:rPr>
    <w:tblPr>
      <w:tblStyleRowBandSize w:val="1"/>
      <w:tblStyleColBandSize w:val="1"/>
      <w:tblBorders>
        <w:top w:val="single" w:sz="4" w:space="0" w:color="307363" w:themeColor="accent1"/>
        <w:bottom w:val="single" w:sz="4" w:space="0" w:color="307363" w:themeColor="accent1"/>
      </w:tblBorders>
    </w:tblPr>
    <w:tblStylePr w:type="firstRow">
      <w:rPr>
        <w:b/>
        <w:bCs/>
      </w:rPr>
      <w:tblPr/>
      <w:tcPr>
        <w:tcBorders>
          <w:bottom w:val="single" w:sz="4" w:space="0" w:color="307363" w:themeColor="accent1"/>
        </w:tcBorders>
      </w:tcPr>
    </w:tblStylePr>
    <w:tblStylePr w:type="lastRow">
      <w:rPr>
        <w:b/>
        <w:bCs/>
      </w:rPr>
      <w:tblPr/>
      <w:tcPr>
        <w:tcBorders>
          <w:top w:val="double" w:sz="4" w:space="0" w:color="307363" w:themeColor="accent1"/>
        </w:tcBorders>
      </w:tcPr>
    </w:tblStylePr>
    <w:tblStylePr w:type="firstCol">
      <w:rPr>
        <w:b/>
        <w:bCs/>
      </w:rPr>
    </w:tblStylePr>
    <w:tblStylePr w:type="lastCol">
      <w:rPr>
        <w:b/>
        <w:bCs/>
      </w:rPr>
    </w:tblStylePr>
    <w:tblStylePr w:type="band1Vert">
      <w:tblPr/>
      <w:tcPr>
        <w:shd w:val="clear" w:color="auto" w:fill="CDEAE3" w:themeFill="accent1" w:themeFillTint="33"/>
      </w:tcPr>
    </w:tblStylePr>
    <w:tblStylePr w:type="band1Horz">
      <w:tblPr/>
      <w:tcPr>
        <w:shd w:val="clear" w:color="auto" w:fill="CDEAE3" w:themeFill="accent1" w:themeFillTint="33"/>
      </w:tcPr>
    </w:tblStylePr>
  </w:style>
  <w:style w:type="table" w:styleId="ListTable6Colorful-Accent2">
    <w:name w:val="List Table 6 Colorful Accent 2"/>
    <w:basedOn w:val="TableNormal"/>
    <w:uiPriority w:val="51"/>
    <w:semiHidden/>
    <w:rsid w:val="0058629F"/>
    <w:rPr>
      <w:color w:val="168242" w:themeColor="accent2" w:themeShade="BF"/>
    </w:rPr>
    <w:tblPr>
      <w:tblStyleRowBandSize w:val="1"/>
      <w:tblStyleColBandSize w:val="1"/>
      <w:tblBorders>
        <w:top w:val="single" w:sz="4" w:space="0" w:color="1EAF59" w:themeColor="accent2"/>
        <w:bottom w:val="single" w:sz="4" w:space="0" w:color="1EAF59" w:themeColor="accent2"/>
      </w:tblBorders>
    </w:tblPr>
    <w:tblStylePr w:type="firstRow">
      <w:rPr>
        <w:b/>
        <w:bCs/>
      </w:rPr>
      <w:tblPr/>
      <w:tcPr>
        <w:tcBorders>
          <w:bottom w:val="single" w:sz="4" w:space="0" w:color="1EAF59" w:themeColor="accent2"/>
        </w:tcBorders>
      </w:tcPr>
    </w:tblStylePr>
    <w:tblStylePr w:type="lastRow">
      <w:rPr>
        <w:b/>
        <w:bCs/>
      </w:rPr>
      <w:tblPr/>
      <w:tcPr>
        <w:tcBorders>
          <w:top w:val="double" w:sz="4" w:space="0" w:color="1EAF59" w:themeColor="accent2"/>
        </w:tcBorders>
      </w:tcPr>
    </w:tblStylePr>
    <w:tblStylePr w:type="firstCol">
      <w:rPr>
        <w:b/>
        <w:bCs/>
      </w:rPr>
    </w:tblStylePr>
    <w:tblStylePr w:type="lastCol">
      <w:rPr>
        <w:b/>
        <w:bCs/>
      </w:rPr>
    </w:tblStylePr>
    <w:tblStylePr w:type="band1Vert">
      <w:tblPr/>
      <w:tcPr>
        <w:shd w:val="clear" w:color="auto" w:fill="CAF6DC" w:themeFill="accent2" w:themeFillTint="33"/>
      </w:tcPr>
    </w:tblStylePr>
    <w:tblStylePr w:type="band1Horz">
      <w:tblPr/>
      <w:tcPr>
        <w:shd w:val="clear" w:color="auto" w:fill="CAF6DC" w:themeFill="accent2" w:themeFillTint="33"/>
      </w:tcPr>
    </w:tblStylePr>
  </w:style>
  <w:style w:type="table" w:styleId="ListTable6Colorful-Accent3">
    <w:name w:val="List Table 6 Colorful Accent 3"/>
    <w:basedOn w:val="TableNormal"/>
    <w:uiPriority w:val="51"/>
    <w:semiHidden/>
    <w:rsid w:val="0058629F"/>
    <w:rPr>
      <w:color w:val="4C6DBB" w:themeColor="accent3" w:themeShade="BF"/>
    </w:rPr>
    <w:tblPr>
      <w:tblStyleRowBandSize w:val="1"/>
      <w:tblStyleColBandSize w:val="1"/>
      <w:tblBorders>
        <w:top w:val="single" w:sz="4" w:space="0" w:color="8DA2D4" w:themeColor="accent3"/>
        <w:bottom w:val="single" w:sz="4" w:space="0" w:color="8DA2D4" w:themeColor="accent3"/>
      </w:tblBorders>
    </w:tblPr>
    <w:tblStylePr w:type="firstRow">
      <w:rPr>
        <w:b/>
        <w:bCs/>
      </w:rPr>
      <w:tblPr/>
      <w:tcPr>
        <w:tcBorders>
          <w:bottom w:val="single" w:sz="4" w:space="0" w:color="8DA2D4" w:themeColor="accent3"/>
        </w:tcBorders>
      </w:tcPr>
    </w:tblStylePr>
    <w:tblStylePr w:type="lastRow">
      <w:rPr>
        <w:b/>
        <w:bCs/>
      </w:rPr>
      <w:tblPr/>
      <w:tcPr>
        <w:tcBorders>
          <w:top w:val="double" w:sz="4" w:space="0" w:color="8DA2D4" w:themeColor="accent3"/>
        </w:tcBorders>
      </w:tcPr>
    </w:tblStylePr>
    <w:tblStylePr w:type="firstCol">
      <w:rPr>
        <w:b/>
        <w:bCs/>
      </w:rPr>
    </w:tblStylePr>
    <w:tblStylePr w:type="lastCol">
      <w:rPr>
        <w:b/>
        <w:bCs/>
      </w:rPr>
    </w:tblStylePr>
    <w:tblStylePr w:type="band1Vert">
      <w:tblPr/>
      <w:tcPr>
        <w:shd w:val="clear" w:color="auto" w:fill="E8ECF6" w:themeFill="accent3" w:themeFillTint="33"/>
      </w:tcPr>
    </w:tblStylePr>
    <w:tblStylePr w:type="band1Horz">
      <w:tblPr/>
      <w:tcPr>
        <w:shd w:val="clear" w:color="auto" w:fill="E8ECF6" w:themeFill="accent3" w:themeFillTint="33"/>
      </w:tcPr>
    </w:tblStylePr>
  </w:style>
  <w:style w:type="table" w:styleId="ListTable6Colorful-Accent4">
    <w:name w:val="List Table 6 Colorful Accent 4"/>
    <w:basedOn w:val="TableNormal"/>
    <w:uiPriority w:val="51"/>
    <w:semiHidden/>
    <w:rsid w:val="0058629F"/>
    <w:rPr>
      <w:color w:val="C53D81" w:themeColor="accent4" w:themeShade="BF"/>
    </w:rPr>
    <w:tblPr>
      <w:tblStyleRowBandSize w:val="1"/>
      <w:tblStyleColBandSize w:val="1"/>
      <w:tblBorders>
        <w:top w:val="single" w:sz="4" w:space="0" w:color="D980AD" w:themeColor="accent4"/>
        <w:bottom w:val="single" w:sz="4" w:space="0" w:color="D980AD" w:themeColor="accent4"/>
      </w:tblBorders>
    </w:tblPr>
    <w:tblStylePr w:type="firstRow">
      <w:rPr>
        <w:b/>
        <w:bCs/>
      </w:rPr>
      <w:tblPr/>
      <w:tcPr>
        <w:tcBorders>
          <w:bottom w:val="single" w:sz="4" w:space="0" w:color="D980AD" w:themeColor="accent4"/>
        </w:tcBorders>
      </w:tcPr>
    </w:tblStylePr>
    <w:tblStylePr w:type="lastRow">
      <w:rPr>
        <w:b/>
        <w:bCs/>
      </w:rPr>
      <w:tblPr/>
      <w:tcPr>
        <w:tcBorders>
          <w:top w:val="double" w:sz="4" w:space="0" w:color="D980AD" w:themeColor="accent4"/>
        </w:tcBorders>
      </w:tcPr>
    </w:tblStylePr>
    <w:tblStylePr w:type="firstCol">
      <w:rPr>
        <w:b/>
        <w:bCs/>
      </w:rPr>
    </w:tblStylePr>
    <w:tblStylePr w:type="lastCol">
      <w:rPr>
        <w:b/>
        <w:bCs/>
      </w:rPr>
    </w:tblStylePr>
    <w:tblStylePr w:type="band1Vert">
      <w:tblPr/>
      <w:tcPr>
        <w:shd w:val="clear" w:color="auto" w:fill="F7E5EE" w:themeFill="accent4" w:themeFillTint="33"/>
      </w:tcPr>
    </w:tblStylePr>
    <w:tblStylePr w:type="band1Horz">
      <w:tblPr/>
      <w:tcPr>
        <w:shd w:val="clear" w:color="auto" w:fill="F7E5EE" w:themeFill="accent4" w:themeFillTint="33"/>
      </w:tcPr>
    </w:tblStylePr>
  </w:style>
  <w:style w:type="table" w:styleId="ListTable6Colorful-Accent5">
    <w:name w:val="List Table 6 Colorful Accent 5"/>
    <w:basedOn w:val="TableNormal"/>
    <w:uiPriority w:val="51"/>
    <w:semiHidden/>
    <w:rsid w:val="0058629F"/>
    <w:rPr>
      <w:color w:val="D48005" w:themeColor="accent5" w:themeShade="BF"/>
    </w:rPr>
    <w:tblPr>
      <w:tblStyleRowBandSize w:val="1"/>
      <w:tblStyleColBandSize w:val="1"/>
      <w:tblBorders>
        <w:top w:val="single" w:sz="4" w:space="0" w:color="FAA629" w:themeColor="accent5"/>
        <w:bottom w:val="single" w:sz="4" w:space="0" w:color="FAA629" w:themeColor="accent5"/>
      </w:tblBorders>
    </w:tblPr>
    <w:tblStylePr w:type="firstRow">
      <w:rPr>
        <w:b/>
        <w:bCs/>
      </w:rPr>
      <w:tblPr/>
      <w:tcPr>
        <w:tcBorders>
          <w:bottom w:val="single" w:sz="4" w:space="0" w:color="FAA629" w:themeColor="accent5"/>
        </w:tcBorders>
      </w:tcPr>
    </w:tblStylePr>
    <w:tblStylePr w:type="lastRow">
      <w:rPr>
        <w:b/>
        <w:bCs/>
      </w:rPr>
      <w:tblPr/>
      <w:tcPr>
        <w:tcBorders>
          <w:top w:val="double" w:sz="4" w:space="0" w:color="FAA629" w:themeColor="accent5"/>
        </w:tcBorders>
      </w:tcPr>
    </w:tblStylePr>
    <w:tblStylePr w:type="firstCol">
      <w:rPr>
        <w:b/>
        <w:bCs/>
      </w:rPr>
    </w:tblStylePr>
    <w:tblStylePr w:type="lastCol">
      <w:rPr>
        <w:b/>
        <w:bCs/>
      </w:rPr>
    </w:tblStylePr>
    <w:tblStylePr w:type="band1Vert">
      <w:tblPr/>
      <w:tcPr>
        <w:shd w:val="clear" w:color="auto" w:fill="FEEDD4" w:themeFill="accent5" w:themeFillTint="33"/>
      </w:tcPr>
    </w:tblStylePr>
    <w:tblStylePr w:type="band1Horz">
      <w:tblPr/>
      <w:tcPr>
        <w:shd w:val="clear" w:color="auto" w:fill="FEEDD4" w:themeFill="accent5" w:themeFillTint="33"/>
      </w:tcPr>
    </w:tblStylePr>
  </w:style>
  <w:style w:type="table" w:styleId="ListTable6Colorful-Accent6">
    <w:name w:val="List Table 6 Colorful Accent 6"/>
    <w:basedOn w:val="TableNormal"/>
    <w:uiPriority w:val="51"/>
    <w:semiHidden/>
    <w:rsid w:val="0058629F"/>
    <w:rPr>
      <w:color w:val="CE430D" w:themeColor="accent6" w:themeShade="BF"/>
    </w:rPr>
    <w:tblPr>
      <w:tblStyleRowBandSize w:val="1"/>
      <w:tblStyleColBandSize w:val="1"/>
      <w:tblBorders>
        <w:top w:val="single" w:sz="4" w:space="0" w:color="F26934" w:themeColor="accent6"/>
        <w:bottom w:val="single" w:sz="4" w:space="0" w:color="F26934" w:themeColor="accent6"/>
      </w:tblBorders>
    </w:tblPr>
    <w:tblStylePr w:type="firstRow">
      <w:rPr>
        <w:b/>
        <w:bCs/>
      </w:rPr>
      <w:tblPr/>
      <w:tcPr>
        <w:tcBorders>
          <w:bottom w:val="single" w:sz="4" w:space="0" w:color="F26934" w:themeColor="accent6"/>
        </w:tcBorders>
      </w:tcPr>
    </w:tblStylePr>
    <w:tblStylePr w:type="lastRow">
      <w:rPr>
        <w:b/>
        <w:bCs/>
      </w:rPr>
      <w:tblPr/>
      <w:tcPr>
        <w:tcBorders>
          <w:top w:val="double" w:sz="4" w:space="0" w:color="F26934" w:themeColor="accent6"/>
        </w:tcBorders>
      </w:tcPr>
    </w:tblStylePr>
    <w:tblStylePr w:type="firstCol">
      <w:rPr>
        <w:b/>
        <w:bCs/>
      </w:rPr>
    </w:tblStylePr>
    <w:tblStylePr w:type="lastCol">
      <w:rPr>
        <w:b/>
        <w:bCs/>
      </w:rPr>
    </w:tblStylePr>
    <w:tblStylePr w:type="band1Vert">
      <w:tblPr/>
      <w:tcPr>
        <w:shd w:val="clear" w:color="auto" w:fill="FCE0D6" w:themeFill="accent6" w:themeFillTint="33"/>
      </w:tcPr>
    </w:tblStylePr>
    <w:tblStylePr w:type="band1Horz">
      <w:tblPr/>
      <w:tcPr>
        <w:shd w:val="clear" w:color="auto" w:fill="FCE0D6"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C24"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C24"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C24"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C24" w:themeColor="text1"/>
        </w:tcBorders>
        <w:shd w:val="clear" w:color="auto" w:fill="FFFFFF" w:themeFill="background1"/>
      </w:tcPr>
    </w:tblStylePr>
    <w:tblStylePr w:type="band1Vert">
      <w:tblPr/>
      <w:tcPr>
        <w:shd w:val="clear" w:color="auto" w:fill="D6CCD8" w:themeFill="text1" w:themeFillTint="33"/>
      </w:tcPr>
    </w:tblStylePr>
    <w:tblStylePr w:type="band1Horz">
      <w:tblPr/>
      <w:tcPr>
        <w:shd w:val="clear" w:color="auto" w:fill="D6CCD8"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24564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0736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0736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0736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07363" w:themeColor="accent1"/>
        </w:tcBorders>
        <w:shd w:val="clear" w:color="auto" w:fill="FFFFFF" w:themeFill="background1"/>
      </w:tcPr>
    </w:tblStylePr>
    <w:tblStylePr w:type="band1Vert">
      <w:tblPr/>
      <w:tcPr>
        <w:shd w:val="clear" w:color="auto" w:fill="CDEAE3" w:themeFill="accent1" w:themeFillTint="33"/>
      </w:tcPr>
    </w:tblStylePr>
    <w:tblStylePr w:type="band1Horz">
      <w:tblPr/>
      <w:tcPr>
        <w:shd w:val="clear" w:color="auto" w:fill="CDEA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16824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AF5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AF5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AF5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AF59" w:themeColor="accent2"/>
        </w:tcBorders>
        <w:shd w:val="clear" w:color="auto" w:fill="FFFFFF" w:themeFill="background1"/>
      </w:tcPr>
    </w:tblStylePr>
    <w:tblStylePr w:type="band1Vert">
      <w:tblPr/>
      <w:tcPr>
        <w:shd w:val="clear" w:color="auto" w:fill="CAF6DC" w:themeFill="accent2" w:themeFillTint="33"/>
      </w:tcPr>
    </w:tblStylePr>
    <w:tblStylePr w:type="band1Horz">
      <w:tblPr/>
      <w:tcPr>
        <w:shd w:val="clear" w:color="auto" w:fill="CAF6D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4C6DB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A2D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A2D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A2D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A2D4" w:themeColor="accent3"/>
        </w:tcBorders>
        <w:shd w:val="clear" w:color="auto" w:fill="FFFFFF" w:themeFill="background1"/>
      </w:tcPr>
    </w:tblStylePr>
    <w:tblStylePr w:type="band1Vert">
      <w:tblPr/>
      <w:tcPr>
        <w:shd w:val="clear" w:color="auto" w:fill="E8ECF6" w:themeFill="accent3" w:themeFillTint="33"/>
      </w:tcPr>
    </w:tblStylePr>
    <w:tblStylePr w:type="band1Horz">
      <w:tblPr/>
      <w:tcPr>
        <w:shd w:val="clear" w:color="auto" w:fill="E8ECF6"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C53D8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980AD"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980AD"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980AD"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980AD" w:themeColor="accent4"/>
        </w:tcBorders>
        <w:shd w:val="clear" w:color="auto" w:fill="FFFFFF" w:themeFill="background1"/>
      </w:tcPr>
    </w:tblStylePr>
    <w:tblStylePr w:type="band1Vert">
      <w:tblPr/>
      <w:tcPr>
        <w:shd w:val="clear" w:color="auto" w:fill="F7E5EE" w:themeFill="accent4" w:themeFillTint="33"/>
      </w:tcPr>
    </w:tblStylePr>
    <w:tblStylePr w:type="band1Horz">
      <w:tblPr/>
      <w:tcPr>
        <w:shd w:val="clear" w:color="auto" w:fill="F7E5E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D4800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AA62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AA62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AA62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AA629" w:themeColor="accent5"/>
        </w:tcBorders>
        <w:shd w:val="clear" w:color="auto" w:fill="FFFFFF" w:themeFill="background1"/>
      </w:tcPr>
    </w:tblStylePr>
    <w:tblStylePr w:type="band1Vert">
      <w:tblPr/>
      <w:tcPr>
        <w:shd w:val="clear" w:color="auto" w:fill="FEEDD4" w:themeFill="accent5" w:themeFillTint="33"/>
      </w:tcPr>
    </w:tblStylePr>
    <w:tblStylePr w:type="band1Horz">
      <w:tblPr/>
      <w:tcPr>
        <w:shd w:val="clear" w:color="auto" w:fill="FEEDD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CE430D"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693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693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693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6934" w:themeColor="accent6"/>
        </w:tcBorders>
        <w:shd w:val="clear" w:color="auto" w:fill="FFFFFF" w:themeFill="background1"/>
      </w:tcPr>
    </w:tblStylePr>
    <w:tblStylePr w:type="band1Vert">
      <w:tblPr/>
      <w:tcPr>
        <w:shd w:val="clear" w:color="auto" w:fill="FCE0D6" w:themeFill="accent6" w:themeFillTint="33"/>
      </w:tcPr>
    </w:tblStylePr>
    <w:tblStylePr w:type="band1Horz">
      <w:tblPr/>
      <w:tcPr>
        <w:shd w:val="clear" w:color="auto" w:fill="FCE0D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F4D62" w:themeColor="text1" w:themeTint="BF"/>
        <w:left w:val="single" w:sz="8" w:space="0" w:color="5F4D62" w:themeColor="text1" w:themeTint="BF"/>
        <w:bottom w:val="single" w:sz="8" w:space="0" w:color="5F4D62" w:themeColor="text1" w:themeTint="BF"/>
        <w:right w:val="single" w:sz="8" w:space="0" w:color="5F4D62" w:themeColor="text1" w:themeTint="BF"/>
        <w:insideH w:val="single" w:sz="8" w:space="0" w:color="5F4D62" w:themeColor="text1" w:themeTint="BF"/>
        <w:insideV w:val="single" w:sz="8" w:space="0" w:color="5F4D62" w:themeColor="text1" w:themeTint="BF"/>
      </w:tblBorders>
    </w:tblPr>
    <w:tcPr>
      <w:shd w:val="clear" w:color="auto" w:fill="CDC0CE" w:themeFill="text1" w:themeFillTint="3F"/>
    </w:tcPr>
    <w:tblStylePr w:type="firstRow">
      <w:rPr>
        <w:b/>
        <w:bCs/>
      </w:rPr>
    </w:tblStylePr>
    <w:tblStylePr w:type="lastRow">
      <w:rPr>
        <w:b/>
        <w:bCs/>
      </w:rPr>
      <w:tblPr/>
      <w:tcPr>
        <w:tcBorders>
          <w:top w:val="single" w:sz="18" w:space="0" w:color="5F4D62" w:themeColor="text1" w:themeTint="BF"/>
        </w:tcBorders>
      </w:tcPr>
    </w:tblStylePr>
    <w:tblStylePr w:type="firstCol">
      <w:rPr>
        <w:b/>
        <w:bCs/>
      </w:rPr>
    </w:tblStylePr>
    <w:tblStylePr w:type="lastCol">
      <w:rPr>
        <w:b/>
        <w:bCs/>
      </w:rPr>
    </w:tblStylePr>
    <w:tblStylePr w:type="band1Vert">
      <w:tblPr/>
      <w:tcPr>
        <w:shd w:val="clear" w:color="auto" w:fill="9A819D" w:themeFill="text1" w:themeFillTint="7F"/>
      </w:tcPr>
    </w:tblStylePr>
    <w:tblStylePr w:type="band1Horz">
      <w:tblPr/>
      <w:tcPr>
        <w:shd w:val="clear" w:color="auto" w:fill="9A819D"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49B097" w:themeColor="accent1" w:themeTint="BF"/>
        <w:left w:val="single" w:sz="8" w:space="0" w:color="49B097" w:themeColor="accent1" w:themeTint="BF"/>
        <w:bottom w:val="single" w:sz="8" w:space="0" w:color="49B097" w:themeColor="accent1" w:themeTint="BF"/>
        <w:right w:val="single" w:sz="8" w:space="0" w:color="49B097" w:themeColor="accent1" w:themeTint="BF"/>
        <w:insideH w:val="single" w:sz="8" w:space="0" w:color="49B097" w:themeColor="accent1" w:themeTint="BF"/>
        <w:insideV w:val="single" w:sz="8" w:space="0" w:color="49B097" w:themeColor="accent1" w:themeTint="BF"/>
      </w:tblBorders>
    </w:tblPr>
    <w:tcPr>
      <w:shd w:val="clear" w:color="auto" w:fill="C2E5DD" w:themeFill="accent1" w:themeFillTint="3F"/>
    </w:tcPr>
    <w:tblStylePr w:type="firstRow">
      <w:rPr>
        <w:b/>
        <w:bCs/>
      </w:rPr>
    </w:tblStylePr>
    <w:tblStylePr w:type="lastRow">
      <w:rPr>
        <w:b/>
        <w:bCs/>
      </w:rPr>
      <w:tblPr/>
      <w:tcPr>
        <w:tcBorders>
          <w:top w:val="single" w:sz="18" w:space="0" w:color="49B097" w:themeColor="accent1" w:themeTint="BF"/>
        </w:tcBorders>
      </w:tcPr>
    </w:tblStylePr>
    <w:tblStylePr w:type="firstCol">
      <w:rPr>
        <w:b/>
        <w:bCs/>
      </w:rPr>
    </w:tblStylePr>
    <w:tblStylePr w:type="lastCol">
      <w:rPr>
        <w:b/>
        <w:bCs/>
      </w:rPr>
    </w:tblStylePr>
    <w:tblStylePr w:type="band1Vert">
      <w:tblPr/>
      <w:tcPr>
        <w:shd w:val="clear" w:color="auto" w:fill="84CCBB" w:themeFill="accent1" w:themeFillTint="7F"/>
      </w:tcPr>
    </w:tblStylePr>
    <w:tblStylePr w:type="band1Horz">
      <w:tblPr/>
      <w:tcPr>
        <w:shd w:val="clear" w:color="auto" w:fill="84CCBB"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3BDD7D" w:themeColor="accent2" w:themeTint="BF"/>
        <w:left w:val="single" w:sz="8" w:space="0" w:color="3BDD7D" w:themeColor="accent2" w:themeTint="BF"/>
        <w:bottom w:val="single" w:sz="8" w:space="0" w:color="3BDD7D" w:themeColor="accent2" w:themeTint="BF"/>
        <w:right w:val="single" w:sz="8" w:space="0" w:color="3BDD7D" w:themeColor="accent2" w:themeTint="BF"/>
        <w:insideH w:val="single" w:sz="8" w:space="0" w:color="3BDD7D" w:themeColor="accent2" w:themeTint="BF"/>
        <w:insideV w:val="single" w:sz="8" w:space="0" w:color="3BDD7D" w:themeColor="accent2" w:themeTint="BF"/>
      </w:tblBorders>
    </w:tblPr>
    <w:tcPr>
      <w:shd w:val="clear" w:color="auto" w:fill="BEF4D4" w:themeFill="accent2" w:themeFillTint="3F"/>
    </w:tcPr>
    <w:tblStylePr w:type="firstRow">
      <w:rPr>
        <w:b/>
        <w:bCs/>
      </w:rPr>
    </w:tblStylePr>
    <w:tblStylePr w:type="lastRow">
      <w:rPr>
        <w:b/>
        <w:bCs/>
      </w:rPr>
      <w:tblPr/>
      <w:tcPr>
        <w:tcBorders>
          <w:top w:val="single" w:sz="18" w:space="0" w:color="3BDD7D" w:themeColor="accent2" w:themeTint="BF"/>
        </w:tcBorders>
      </w:tcPr>
    </w:tblStylePr>
    <w:tblStylePr w:type="firstCol">
      <w:rPr>
        <w:b/>
        <w:bCs/>
      </w:rPr>
    </w:tblStylePr>
    <w:tblStylePr w:type="lastCol">
      <w:rPr>
        <w:b/>
        <w:bCs/>
      </w:rPr>
    </w:tblStylePr>
    <w:tblStylePr w:type="band1Vert">
      <w:tblPr/>
      <w:tcPr>
        <w:shd w:val="clear" w:color="auto" w:fill="7DE8A8" w:themeFill="accent2" w:themeFillTint="7F"/>
      </w:tcPr>
    </w:tblStylePr>
    <w:tblStylePr w:type="band1Horz">
      <w:tblPr/>
      <w:tcPr>
        <w:shd w:val="clear" w:color="auto" w:fill="7DE8A8"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A9B9DE" w:themeColor="accent3" w:themeTint="BF"/>
        <w:left w:val="single" w:sz="8" w:space="0" w:color="A9B9DE" w:themeColor="accent3" w:themeTint="BF"/>
        <w:bottom w:val="single" w:sz="8" w:space="0" w:color="A9B9DE" w:themeColor="accent3" w:themeTint="BF"/>
        <w:right w:val="single" w:sz="8" w:space="0" w:color="A9B9DE" w:themeColor="accent3" w:themeTint="BF"/>
        <w:insideH w:val="single" w:sz="8" w:space="0" w:color="A9B9DE" w:themeColor="accent3" w:themeTint="BF"/>
        <w:insideV w:val="single" w:sz="8" w:space="0" w:color="A9B9DE" w:themeColor="accent3" w:themeTint="BF"/>
      </w:tblBorders>
    </w:tblPr>
    <w:tcPr>
      <w:shd w:val="clear" w:color="auto" w:fill="E2E7F4" w:themeFill="accent3" w:themeFillTint="3F"/>
    </w:tcPr>
    <w:tblStylePr w:type="firstRow">
      <w:rPr>
        <w:b/>
        <w:bCs/>
      </w:rPr>
    </w:tblStylePr>
    <w:tblStylePr w:type="lastRow">
      <w:rPr>
        <w:b/>
        <w:bCs/>
      </w:rPr>
      <w:tblPr/>
      <w:tcPr>
        <w:tcBorders>
          <w:top w:val="single" w:sz="18" w:space="0" w:color="A9B9DE" w:themeColor="accent3" w:themeTint="BF"/>
        </w:tcBorders>
      </w:tcPr>
    </w:tblStylePr>
    <w:tblStylePr w:type="firstCol">
      <w:rPr>
        <w:b/>
        <w:bCs/>
      </w:rPr>
    </w:tblStylePr>
    <w:tblStylePr w:type="lastCol">
      <w:rPr>
        <w:b/>
        <w:bCs/>
      </w:rPr>
    </w:tblStylePr>
    <w:tblStylePr w:type="band1Vert">
      <w:tblPr/>
      <w:tcPr>
        <w:shd w:val="clear" w:color="auto" w:fill="C6D0E9" w:themeFill="accent3" w:themeFillTint="7F"/>
      </w:tcPr>
    </w:tblStylePr>
    <w:tblStylePr w:type="band1Horz">
      <w:tblPr/>
      <w:tcPr>
        <w:shd w:val="clear" w:color="auto" w:fill="C6D0E9"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E29FC1" w:themeColor="accent4" w:themeTint="BF"/>
        <w:left w:val="single" w:sz="8" w:space="0" w:color="E29FC1" w:themeColor="accent4" w:themeTint="BF"/>
        <w:bottom w:val="single" w:sz="8" w:space="0" w:color="E29FC1" w:themeColor="accent4" w:themeTint="BF"/>
        <w:right w:val="single" w:sz="8" w:space="0" w:color="E29FC1" w:themeColor="accent4" w:themeTint="BF"/>
        <w:insideH w:val="single" w:sz="8" w:space="0" w:color="E29FC1" w:themeColor="accent4" w:themeTint="BF"/>
        <w:insideV w:val="single" w:sz="8" w:space="0" w:color="E29FC1" w:themeColor="accent4" w:themeTint="BF"/>
      </w:tblBorders>
    </w:tblPr>
    <w:tcPr>
      <w:shd w:val="clear" w:color="auto" w:fill="F5DFEA" w:themeFill="accent4" w:themeFillTint="3F"/>
    </w:tcPr>
    <w:tblStylePr w:type="firstRow">
      <w:rPr>
        <w:b/>
        <w:bCs/>
      </w:rPr>
    </w:tblStylePr>
    <w:tblStylePr w:type="lastRow">
      <w:rPr>
        <w:b/>
        <w:bCs/>
      </w:rPr>
      <w:tblPr/>
      <w:tcPr>
        <w:tcBorders>
          <w:top w:val="single" w:sz="18" w:space="0" w:color="E29FC1" w:themeColor="accent4" w:themeTint="BF"/>
        </w:tcBorders>
      </w:tcPr>
    </w:tblStylePr>
    <w:tblStylePr w:type="firstCol">
      <w:rPr>
        <w:b/>
        <w:bCs/>
      </w:rPr>
    </w:tblStylePr>
    <w:tblStylePr w:type="lastCol">
      <w:rPr>
        <w:b/>
        <w:bCs/>
      </w:rPr>
    </w:tblStylePr>
    <w:tblStylePr w:type="band1Vert">
      <w:tblPr/>
      <w:tcPr>
        <w:shd w:val="clear" w:color="auto" w:fill="ECBFD5" w:themeFill="accent4" w:themeFillTint="7F"/>
      </w:tcPr>
    </w:tblStylePr>
    <w:tblStylePr w:type="band1Horz">
      <w:tblPr/>
      <w:tcPr>
        <w:shd w:val="clear" w:color="auto" w:fill="ECBFD5"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FBBB5E" w:themeColor="accent5" w:themeTint="BF"/>
        <w:left w:val="single" w:sz="8" w:space="0" w:color="FBBB5E" w:themeColor="accent5" w:themeTint="BF"/>
        <w:bottom w:val="single" w:sz="8" w:space="0" w:color="FBBB5E" w:themeColor="accent5" w:themeTint="BF"/>
        <w:right w:val="single" w:sz="8" w:space="0" w:color="FBBB5E" w:themeColor="accent5" w:themeTint="BF"/>
        <w:insideH w:val="single" w:sz="8" w:space="0" w:color="FBBB5E" w:themeColor="accent5" w:themeTint="BF"/>
        <w:insideV w:val="single" w:sz="8" w:space="0" w:color="FBBB5E" w:themeColor="accent5" w:themeTint="BF"/>
      </w:tblBorders>
    </w:tblPr>
    <w:tcPr>
      <w:shd w:val="clear" w:color="auto" w:fill="FDE8C9" w:themeFill="accent5" w:themeFillTint="3F"/>
    </w:tcPr>
    <w:tblStylePr w:type="firstRow">
      <w:rPr>
        <w:b/>
        <w:bCs/>
      </w:rPr>
    </w:tblStylePr>
    <w:tblStylePr w:type="lastRow">
      <w:rPr>
        <w:b/>
        <w:bCs/>
      </w:rPr>
      <w:tblPr/>
      <w:tcPr>
        <w:tcBorders>
          <w:top w:val="single" w:sz="18" w:space="0" w:color="FBBB5E" w:themeColor="accent5" w:themeTint="BF"/>
        </w:tcBorders>
      </w:tcPr>
    </w:tblStylePr>
    <w:tblStylePr w:type="firstCol">
      <w:rPr>
        <w:b/>
        <w:bCs/>
      </w:rPr>
    </w:tblStylePr>
    <w:tblStylePr w:type="lastCol">
      <w:rPr>
        <w:b/>
        <w:bCs/>
      </w:rPr>
    </w:tblStylePr>
    <w:tblStylePr w:type="band1Vert">
      <w:tblPr/>
      <w:tcPr>
        <w:shd w:val="clear" w:color="auto" w:fill="FCD294" w:themeFill="accent5" w:themeFillTint="7F"/>
      </w:tcPr>
    </w:tblStylePr>
    <w:tblStylePr w:type="band1Horz">
      <w:tblPr/>
      <w:tcPr>
        <w:shd w:val="clear" w:color="auto" w:fill="FCD294"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F58E66" w:themeColor="accent6" w:themeTint="BF"/>
        <w:left w:val="single" w:sz="8" w:space="0" w:color="F58E66" w:themeColor="accent6" w:themeTint="BF"/>
        <w:bottom w:val="single" w:sz="8" w:space="0" w:color="F58E66" w:themeColor="accent6" w:themeTint="BF"/>
        <w:right w:val="single" w:sz="8" w:space="0" w:color="F58E66" w:themeColor="accent6" w:themeTint="BF"/>
        <w:insideH w:val="single" w:sz="8" w:space="0" w:color="F58E66" w:themeColor="accent6" w:themeTint="BF"/>
        <w:insideV w:val="single" w:sz="8" w:space="0" w:color="F58E66" w:themeColor="accent6" w:themeTint="BF"/>
      </w:tblBorders>
    </w:tblPr>
    <w:tcPr>
      <w:shd w:val="clear" w:color="auto" w:fill="FBD9CC" w:themeFill="accent6" w:themeFillTint="3F"/>
    </w:tcPr>
    <w:tblStylePr w:type="firstRow">
      <w:rPr>
        <w:b/>
        <w:bCs/>
      </w:rPr>
    </w:tblStylePr>
    <w:tblStylePr w:type="lastRow">
      <w:rPr>
        <w:b/>
        <w:bCs/>
      </w:rPr>
      <w:tblPr/>
      <w:tcPr>
        <w:tcBorders>
          <w:top w:val="single" w:sz="18" w:space="0" w:color="F58E66" w:themeColor="accent6" w:themeTint="BF"/>
        </w:tcBorders>
      </w:tcPr>
    </w:tblStylePr>
    <w:tblStylePr w:type="firstCol">
      <w:rPr>
        <w:b/>
        <w:bCs/>
      </w:rPr>
    </w:tblStylePr>
    <w:tblStylePr w:type="lastCol">
      <w:rPr>
        <w:b/>
        <w:bCs/>
      </w:rPr>
    </w:tblStylePr>
    <w:tblStylePr w:type="band1Vert">
      <w:tblPr/>
      <w:tcPr>
        <w:shd w:val="clear" w:color="auto" w:fill="F8B499" w:themeFill="accent6" w:themeFillTint="7F"/>
      </w:tcPr>
    </w:tblStylePr>
    <w:tblStylePr w:type="band1Horz">
      <w:tblPr/>
      <w:tcPr>
        <w:shd w:val="clear" w:color="auto" w:fill="F8B499"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1C24" w:themeColor="text1"/>
        <w:left w:val="single" w:sz="8" w:space="0" w:color="231C24" w:themeColor="text1"/>
        <w:bottom w:val="single" w:sz="8" w:space="0" w:color="231C24" w:themeColor="text1"/>
        <w:right w:val="single" w:sz="8" w:space="0" w:color="231C24" w:themeColor="text1"/>
        <w:insideH w:val="single" w:sz="8" w:space="0" w:color="231C24" w:themeColor="text1"/>
        <w:insideV w:val="single" w:sz="8" w:space="0" w:color="231C24" w:themeColor="text1"/>
      </w:tblBorders>
    </w:tblPr>
    <w:tcPr>
      <w:shd w:val="clear" w:color="auto" w:fill="CDC0CE" w:themeFill="text1" w:themeFillTint="3F"/>
    </w:tcPr>
    <w:tblStylePr w:type="firstRow">
      <w:rPr>
        <w:b/>
        <w:bCs/>
        <w:color w:val="231C24" w:themeColor="text1"/>
      </w:rPr>
      <w:tblPr/>
      <w:tcPr>
        <w:shd w:val="clear" w:color="auto" w:fill="EBE6EB" w:themeFill="text1" w:themeFillTint="19"/>
      </w:tcPr>
    </w:tblStylePr>
    <w:tblStylePr w:type="lastRow">
      <w:rPr>
        <w:b/>
        <w:bCs/>
        <w:color w:val="231C24" w:themeColor="text1"/>
      </w:rPr>
      <w:tblPr/>
      <w:tcPr>
        <w:tcBorders>
          <w:top w:val="single" w:sz="12" w:space="0" w:color="231C24" w:themeColor="text1"/>
          <w:left w:val="nil"/>
          <w:bottom w:val="nil"/>
          <w:right w:val="nil"/>
          <w:insideH w:val="nil"/>
          <w:insideV w:val="nil"/>
        </w:tcBorders>
        <w:shd w:val="clear" w:color="auto" w:fill="FFFFFF" w:themeFill="background1"/>
      </w:tcPr>
    </w:tblStylePr>
    <w:tblStylePr w:type="firstCol">
      <w:rPr>
        <w:b/>
        <w:bCs/>
        <w:color w:val="231C2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C24" w:themeColor="text1"/>
      </w:rPr>
      <w:tblPr/>
      <w:tcPr>
        <w:tcBorders>
          <w:top w:val="nil"/>
          <w:left w:val="nil"/>
          <w:bottom w:val="nil"/>
          <w:right w:val="nil"/>
          <w:insideH w:val="nil"/>
          <w:insideV w:val="nil"/>
        </w:tcBorders>
        <w:shd w:val="clear" w:color="auto" w:fill="D6CCD8" w:themeFill="text1" w:themeFillTint="33"/>
      </w:tcPr>
    </w:tblStylePr>
    <w:tblStylePr w:type="band1Vert">
      <w:tblPr/>
      <w:tcPr>
        <w:shd w:val="clear" w:color="auto" w:fill="9A819D" w:themeFill="text1" w:themeFillTint="7F"/>
      </w:tcPr>
    </w:tblStylePr>
    <w:tblStylePr w:type="band1Horz">
      <w:tblPr/>
      <w:tcPr>
        <w:tcBorders>
          <w:insideH w:val="single" w:sz="6" w:space="0" w:color="231C24" w:themeColor="text1"/>
          <w:insideV w:val="single" w:sz="6" w:space="0" w:color="231C24" w:themeColor="text1"/>
        </w:tcBorders>
        <w:shd w:val="clear" w:color="auto" w:fill="9A819D"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307363" w:themeColor="accent1"/>
        <w:left w:val="single" w:sz="8" w:space="0" w:color="307363" w:themeColor="accent1"/>
        <w:bottom w:val="single" w:sz="8" w:space="0" w:color="307363" w:themeColor="accent1"/>
        <w:right w:val="single" w:sz="8" w:space="0" w:color="307363" w:themeColor="accent1"/>
        <w:insideH w:val="single" w:sz="8" w:space="0" w:color="307363" w:themeColor="accent1"/>
        <w:insideV w:val="single" w:sz="8" w:space="0" w:color="307363" w:themeColor="accent1"/>
      </w:tblBorders>
    </w:tblPr>
    <w:tcPr>
      <w:shd w:val="clear" w:color="auto" w:fill="C2E5DD" w:themeFill="accent1" w:themeFillTint="3F"/>
    </w:tcPr>
    <w:tblStylePr w:type="firstRow">
      <w:rPr>
        <w:b/>
        <w:bCs/>
        <w:color w:val="231C24" w:themeColor="text1"/>
      </w:rPr>
      <w:tblPr/>
      <w:tcPr>
        <w:shd w:val="clear" w:color="auto" w:fill="E6F5F1" w:themeFill="accent1" w:themeFillTint="19"/>
      </w:tcPr>
    </w:tblStylePr>
    <w:tblStylePr w:type="lastRow">
      <w:rPr>
        <w:b/>
        <w:bCs/>
        <w:color w:val="231C24" w:themeColor="text1"/>
      </w:rPr>
      <w:tblPr/>
      <w:tcPr>
        <w:tcBorders>
          <w:top w:val="single" w:sz="12" w:space="0" w:color="231C24" w:themeColor="text1"/>
          <w:left w:val="nil"/>
          <w:bottom w:val="nil"/>
          <w:right w:val="nil"/>
          <w:insideH w:val="nil"/>
          <w:insideV w:val="nil"/>
        </w:tcBorders>
        <w:shd w:val="clear" w:color="auto" w:fill="FFFFFF" w:themeFill="background1"/>
      </w:tcPr>
    </w:tblStylePr>
    <w:tblStylePr w:type="firstCol">
      <w:rPr>
        <w:b/>
        <w:bCs/>
        <w:color w:val="231C2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C24" w:themeColor="text1"/>
      </w:rPr>
      <w:tblPr/>
      <w:tcPr>
        <w:tcBorders>
          <w:top w:val="nil"/>
          <w:left w:val="nil"/>
          <w:bottom w:val="nil"/>
          <w:right w:val="nil"/>
          <w:insideH w:val="nil"/>
          <w:insideV w:val="nil"/>
        </w:tcBorders>
        <w:shd w:val="clear" w:color="auto" w:fill="CDEAE3" w:themeFill="accent1" w:themeFillTint="33"/>
      </w:tcPr>
    </w:tblStylePr>
    <w:tblStylePr w:type="band1Vert">
      <w:tblPr/>
      <w:tcPr>
        <w:shd w:val="clear" w:color="auto" w:fill="84CCBB" w:themeFill="accent1" w:themeFillTint="7F"/>
      </w:tcPr>
    </w:tblStylePr>
    <w:tblStylePr w:type="band1Horz">
      <w:tblPr/>
      <w:tcPr>
        <w:tcBorders>
          <w:insideH w:val="single" w:sz="6" w:space="0" w:color="307363" w:themeColor="accent1"/>
          <w:insideV w:val="single" w:sz="6" w:space="0" w:color="307363" w:themeColor="accent1"/>
        </w:tcBorders>
        <w:shd w:val="clear" w:color="auto" w:fill="84CCB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1EAF59" w:themeColor="accent2"/>
        <w:left w:val="single" w:sz="8" w:space="0" w:color="1EAF59" w:themeColor="accent2"/>
        <w:bottom w:val="single" w:sz="8" w:space="0" w:color="1EAF59" w:themeColor="accent2"/>
        <w:right w:val="single" w:sz="8" w:space="0" w:color="1EAF59" w:themeColor="accent2"/>
        <w:insideH w:val="single" w:sz="8" w:space="0" w:color="1EAF59" w:themeColor="accent2"/>
        <w:insideV w:val="single" w:sz="8" w:space="0" w:color="1EAF59" w:themeColor="accent2"/>
      </w:tblBorders>
    </w:tblPr>
    <w:tcPr>
      <w:shd w:val="clear" w:color="auto" w:fill="BEF4D4" w:themeFill="accent2" w:themeFillTint="3F"/>
    </w:tcPr>
    <w:tblStylePr w:type="firstRow">
      <w:rPr>
        <w:b/>
        <w:bCs/>
        <w:color w:val="231C24" w:themeColor="text1"/>
      </w:rPr>
      <w:tblPr/>
      <w:tcPr>
        <w:shd w:val="clear" w:color="auto" w:fill="E5FAED" w:themeFill="accent2" w:themeFillTint="19"/>
      </w:tcPr>
    </w:tblStylePr>
    <w:tblStylePr w:type="lastRow">
      <w:rPr>
        <w:b/>
        <w:bCs/>
        <w:color w:val="231C24" w:themeColor="text1"/>
      </w:rPr>
      <w:tblPr/>
      <w:tcPr>
        <w:tcBorders>
          <w:top w:val="single" w:sz="12" w:space="0" w:color="231C24" w:themeColor="text1"/>
          <w:left w:val="nil"/>
          <w:bottom w:val="nil"/>
          <w:right w:val="nil"/>
          <w:insideH w:val="nil"/>
          <w:insideV w:val="nil"/>
        </w:tcBorders>
        <w:shd w:val="clear" w:color="auto" w:fill="FFFFFF" w:themeFill="background1"/>
      </w:tcPr>
    </w:tblStylePr>
    <w:tblStylePr w:type="firstCol">
      <w:rPr>
        <w:b/>
        <w:bCs/>
        <w:color w:val="231C2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C24" w:themeColor="text1"/>
      </w:rPr>
      <w:tblPr/>
      <w:tcPr>
        <w:tcBorders>
          <w:top w:val="nil"/>
          <w:left w:val="nil"/>
          <w:bottom w:val="nil"/>
          <w:right w:val="nil"/>
          <w:insideH w:val="nil"/>
          <w:insideV w:val="nil"/>
        </w:tcBorders>
        <w:shd w:val="clear" w:color="auto" w:fill="CAF6DC" w:themeFill="accent2" w:themeFillTint="33"/>
      </w:tcPr>
    </w:tblStylePr>
    <w:tblStylePr w:type="band1Vert">
      <w:tblPr/>
      <w:tcPr>
        <w:shd w:val="clear" w:color="auto" w:fill="7DE8A8" w:themeFill="accent2" w:themeFillTint="7F"/>
      </w:tcPr>
    </w:tblStylePr>
    <w:tblStylePr w:type="band1Horz">
      <w:tblPr/>
      <w:tcPr>
        <w:tcBorders>
          <w:insideH w:val="single" w:sz="6" w:space="0" w:color="1EAF59" w:themeColor="accent2"/>
          <w:insideV w:val="single" w:sz="6" w:space="0" w:color="1EAF59" w:themeColor="accent2"/>
        </w:tcBorders>
        <w:shd w:val="clear" w:color="auto" w:fill="7DE8A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8DA2D4" w:themeColor="accent3"/>
        <w:left w:val="single" w:sz="8" w:space="0" w:color="8DA2D4" w:themeColor="accent3"/>
        <w:bottom w:val="single" w:sz="8" w:space="0" w:color="8DA2D4" w:themeColor="accent3"/>
        <w:right w:val="single" w:sz="8" w:space="0" w:color="8DA2D4" w:themeColor="accent3"/>
        <w:insideH w:val="single" w:sz="8" w:space="0" w:color="8DA2D4" w:themeColor="accent3"/>
        <w:insideV w:val="single" w:sz="8" w:space="0" w:color="8DA2D4" w:themeColor="accent3"/>
      </w:tblBorders>
    </w:tblPr>
    <w:tcPr>
      <w:shd w:val="clear" w:color="auto" w:fill="E2E7F4" w:themeFill="accent3" w:themeFillTint="3F"/>
    </w:tcPr>
    <w:tblStylePr w:type="firstRow">
      <w:rPr>
        <w:b/>
        <w:bCs/>
        <w:color w:val="231C24" w:themeColor="text1"/>
      </w:rPr>
      <w:tblPr/>
      <w:tcPr>
        <w:shd w:val="clear" w:color="auto" w:fill="F3F5FA" w:themeFill="accent3" w:themeFillTint="19"/>
      </w:tcPr>
    </w:tblStylePr>
    <w:tblStylePr w:type="lastRow">
      <w:rPr>
        <w:b/>
        <w:bCs/>
        <w:color w:val="231C24" w:themeColor="text1"/>
      </w:rPr>
      <w:tblPr/>
      <w:tcPr>
        <w:tcBorders>
          <w:top w:val="single" w:sz="12" w:space="0" w:color="231C24" w:themeColor="text1"/>
          <w:left w:val="nil"/>
          <w:bottom w:val="nil"/>
          <w:right w:val="nil"/>
          <w:insideH w:val="nil"/>
          <w:insideV w:val="nil"/>
        </w:tcBorders>
        <w:shd w:val="clear" w:color="auto" w:fill="FFFFFF" w:themeFill="background1"/>
      </w:tcPr>
    </w:tblStylePr>
    <w:tblStylePr w:type="firstCol">
      <w:rPr>
        <w:b/>
        <w:bCs/>
        <w:color w:val="231C2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C24" w:themeColor="text1"/>
      </w:rPr>
      <w:tblPr/>
      <w:tcPr>
        <w:tcBorders>
          <w:top w:val="nil"/>
          <w:left w:val="nil"/>
          <w:bottom w:val="nil"/>
          <w:right w:val="nil"/>
          <w:insideH w:val="nil"/>
          <w:insideV w:val="nil"/>
        </w:tcBorders>
        <w:shd w:val="clear" w:color="auto" w:fill="E8ECF6" w:themeFill="accent3" w:themeFillTint="33"/>
      </w:tcPr>
    </w:tblStylePr>
    <w:tblStylePr w:type="band1Vert">
      <w:tblPr/>
      <w:tcPr>
        <w:shd w:val="clear" w:color="auto" w:fill="C6D0E9" w:themeFill="accent3" w:themeFillTint="7F"/>
      </w:tcPr>
    </w:tblStylePr>
    <w:tblStylePr w:type="band1Horz">
      <w:tblPr/>
      <w:tcPr>
        <w:tcBorders>
          <w:insideH w:val="single" w:sz="6" w:space="0" w:color="8DA2D4" w:themeColor="accent3"/>
          <w:insideV w:val="single" w:sz="6" w:space="0" w:color="8DA2D4" w:themeColor="accent3"/>
        </w:tcBorders>
        <w:shd w:val="clear" w:color="auto" w:fill="C6D0E9"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D980AD" w:themeColor="accent4"/>
        <w:left w:val="single" w:sz="8" w:space="0" w:color="D980AD" w:themeColor="accent4"/>
        <w:bottom w:val="single" w:sz="8" w:space="0" w:color="D980AD" w:themeColor="accent4"/>
        <w:right w:val="single" w:sz="8" w:space="0" w:color="D980AD" w:themeColor="accent4"/>
        <w:insideH w:val="single" w:sz="8" w:space="0" w:color="D980AD" w:themeColor="accent4"/>
        <w:insideV w:val="single" w:sz="8" w:space="0" w:color="D980AD" w:themeColor="accent4"/>
      </w:tblBorders>
    </w:tblPr>
    <w:tcPr>
      <w:shd w:val="clear" w:color="auto" w:fill="F5DFEA" w:themeFill="accent4" w:themeFillTint="3F"/>
    </w:tcPr>
    <w:tblStylePr w:type="firstRow">
      <w:rPr>
        <w:b/>
        <w:bCs/>
        <w:color w:val="231C24" w:themeColor="text1"/>
      </w:rPr>
      <w:tblPr/>
      <w:tcPr>
        <w:shd w:val="clear" w:color="auto" w:fill="FBF2F6" w:themeFill="accent4" w:themeFillTint="19"/>
      </w:tcPr>
    </w:tblStylePr>
    <w:tblStylePr w:type="lastRow">
      <w:rPr>
        <w:b/>
        <w:bCs/>
        <w:color w:val="231C24" w:themeColor="text1"/>
      </w:rPr>
      <w:tblPr/>
      <w:tcPr>
        <w:tcBorders>
          <w:top w:val="single" w:sz="12" w:space="0" w:color="231C24" w:themeColor="text1"/>
          <w:left w:val="nil"/>
          <w:bottom w:val="nil"/>
          <w:right w:val="nil"/>
          <w:insideH w:val="nil"/>
          <w:insideV w:val="nil"/>
        </w:tcBorders>
        <w:shd w:val="clear" w:color="auto" w:fill="FFFFFF" w:themeFill="background1"/>
      </w:tcPr>
    </w:tblStylePr>
    <w:tblStylePr w:type="firstCol">
      <w:rPr>
        <w:b/>
        <w:bCs/>
        <w:color w:val="231C2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C24" w:themeColor="text1"/>
      </w:rPr>
      <w:tblPr/>
      <w:tcPr>
        <w:tcBorders>
          <w:top w:val="nil"/>
          <w:left w:val="nil"/>
          <w:bottom w:val="nil"/>
          <w:right w:val="nil"/>
          <w:insideH w:val="nil"/>
          <w:insideV w:val="nil"/>
        </w:tcBorders>
        <w:shd w:val="clear" w:color="auto" w:fill="F7E5EE" w:themeFill="accent4" w:themeFillTint="33"/>
      </w:tcPr>
    </w:tblStylePr>
    <w:tblStylePr w:type="band1Vert">
      <w:tblPr/>
      <w:tcPr>
        <w:shd w:val="clear" w:color="auto" w:fill="ECBFD5" w:themeFill="accent4" w:themeFillTint="7F"/>
      </w:tcPr>
    </w:tblStylePr>
    <w:tblStylePr w:type="band1Horz">
      <w:tblPr/>
      <w:tcPr>
        <w:tcBorders>
          <w:insideH w:val="single" w:sz="6" w:space="0" w:color="D980AD" w:themeColor="accent4"/>
          <w:insideV w:val="single" w:sz="6" w:space="0" w:color="D980AD" w:themeColor="accent4"/>
        </w:tcBorders>
        <w:shd w:val="clear" w:color="auto" w:fill="ECBFD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AA629" w:themeColor="accent5"/>
        <w:left w:val="single" w:sz="8" w:space="0" w:color="FAA629" w:themeColor="accent5"/>
        <w:bottom w:val="single" w:sz="8" w:space="0" w:color="FAA629" w:themeColor="accent5"/>
        <w:right w:val="single" w:sz="8" w:space="0" w:color="FAA629" w:themeColor="accent5"/>
        <w:insideH w:val="single" w:sz="8" w:space="0" w:color="FAA629" w:themeColor="accent5"/>
        <w:insideV w:val="single" w:sz="8" w:space="0" w:color="FAA629" w:themeColor="accent5"/>
      </w:tblBorders>
    </w:tblPr>
    <w:tcPr>
      <w:shd w:val="clear" w:color="auto" w:fill="FDE8C9" w:themeFill="accent5" w:themeFillTint="3F"/>
    </w:tcPr>
    <w:tblStylePr w:type="firstRow">
      <w:rPr>
        <w:b/>
        <w:bCs/>
        <w:color w:val="231C24" w:themeColor="text1"/>
      </w:rPr>
      <w:tblPr/>
      <w:tcPr>
        <w:shd w:val="clear" w:color="auto" w:fill="FEF6E9" w:themeFill="accent5" w:themeFillTint="19"/>
      </w:tcPr>
    </w:tblStylePr>
    <w:tblStylePr w:type="lastRow">
      <w:rPr>
        <w:b/>
        <w:bCs/>
        <w:color w:val="231C24" w:themeColor="text1"/>
      </w:rPr>
      <w:tblPr/>
      <w:tcPr>
        <w:tcBorders>
          <w:top w:val="single" w:sz="12" w:space="0" w:color="231C24" w:themeColor="text1"/>
          <w:left w:val="nil"/>
          <w:bottom w:val="nil"/>
          <w:right w:val="nil"/>
          <w:insideH w:val="nil"/>
          <w:insideV w:val="nil"/>
        </w:tcBorders>
        <w:shd w:val="clear" w:color="auto" w:fill="FFFFFF" w:themeFill="background1"/>
      </w:tcPr>
    </w:tblStylePr>
    <w:tblStylePr w:type="firstCol">
      <w:rPr>
        <w:b/>
        <w:bCs/>
        <w:color w:val="231C2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C24" w:themeColor="text1"/>
      </w:rPr>
      <w:tblPr/>
      <w:tcPr>
        <w:tcBorders>
          <w:top w:val="nil"/>
          <w:left w:val="nil"/>
          <w:bottom w:val="nil"/>
          <w:right w:val="nil"/>
          <w:insideH w:val="nil"/>
          <w:insideV w:val="nil"/>
        </w:tcBorders>
        <w:shd w:val="clear" w:color="auto" w:fill="FEEDD4" w:themeFill="accent5" w:themeFillTint="33"/>
      </w:tcPr>
    </w:tblStylePr>
    <w:tblStylePr w:type="band1Vert">
      <w:tblPr/>
      <w:tcPr>
        <w:shd w:val="clear" w:color="auto" w:fill="FCD294" w:themeFill="accent5" w:themeFillTint="7F"/>
      </w:tcPr>
    </w:tblStylePr>
    <w:tblStylePr w:type="band1Horz">
      <w:tblPr/>
      <w:tcPr>
        <w:tcBorders>
          <w:insideH w:val="single" w:sz="6" w:space="0" w:color="FAA629" w:themeColor="accent5"/>
          <w:insideV w:val="single" w:sz="6" w:space="0" w:color="FAA629" w:themeColor="accent5"/>
        </w:tcBorders>
        <w:shd w:val="clear" w:color="auto" w:fill="FCD29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26934" w:themeColor="accent6"/>
        <w:left w:val="single" w:sz="8" w:space="0" w:color="F26934" w:themeColor="accent6"/>
        <w:bottom w:val="single" w:sz="8" w:space="0" w:color="F26934" w:themeColor="accent6"/>
        <w:right w:val="single" w:sz="8" w:space="0" w:color="F26934" w:themeColor="accent6"/>
        <w:insideH w:val="single" w:sz="8" w:space="0" w:color="F26934" w:themeColor="accent6"/>
        <w:insideV w:val="single" w:sz="8" w:space="0" w:color="F26934" w:themeColor="accent6"/>
      </w:tblBorders>
    </w:tblPr>
    <w:tcPr>
      <w:shd w:val="clear" w:color="auto" w:fill="FBD9CC" w:themeFill="accent6" w:themeFillTint="3F"/>
    </w:tcPr>
    <w:tblStylePr w:type="firstRow">
      <w:rPr>
        <w:b/>
        <w:bCs/>
        <w:color w:val="231C24" w:themeColor="text1"/>
      </w:rPr>
      <w:tblPr/>
      <w:tcPr>
        <w:shd w:val="clear" w:color="auto" w:fill="FDF0EA" w:themeFill="accent6" w:themeFillTint="19"/>
      </w:tcPr>
    </w:tblStylePr>
    <w:tblStylePr w:type="lastRow">
      <w:rPr>
        <w:b/>
        <w:bCs/>
        <w:color w:val="231C24" w:themeColor="text1"/>
      </w:rPr>
      <w:tblPr/>
      <w:tcPr>
        <w:tcBorders>
          <w:top w:val="single" w:sz="12" w:space="0" w:color="231C24" w:themeColor="text1"/>
          <w:left w:val="nil"/>
          <w:bottom w:val="nil"/>
          <w:right w:val="nil"/>
          <w:insideH w:val="nil"/>
          <w:insideV w:val="nil"/>
        </w:tcBorders>
        <w:shd w:val="clear" w:color="auto" w:fill="FFFFFF" w:themeFill="background1"/>
      </w:tcPr>
    </w:tblStylePr>
    <w:tblStylePr w:type="firstCol">
      <w:rPr>
        <w:b/>
        <w:bCs/>
        <w:color w:val="231C24"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C24" w:themeColor="text1"/>
      </w:rPr>
      <w:tblPr/>
      <w:tcPr>
        <w:tcBorders>
          <w:top w:val="nil"/>
          <w:left w:val="nil"/>
          <w:bottom w:val="nil"/>
          <w:right w:val="nil"/>
          <w:insideH w:val="nil"/>
          <w:insideV w:val="nil"/>
        </w:tcBorders>
        <w:shd w:val="clear" w:color="auto" w:fill="FCE0D6" w:themeFill="accent6" w:themeFillTint="33"/>
      </w:tcPr>
    </w:tblStylePr>
    <w:tblStylePr w:type="band1Vert">
      <w:tblPr/>
      <w:tcPr>
        <w:shd w:val="clear" w:color="auto" w:fill="F8B499" w:themeFill="accent6" w:themeFillTint="7F"/>
      </w:tcPr>
    </w:tblStylePr>
    <w:tblStylePr w:type="band1Horz">
      <w:tblPr/>
      <w:tcPr>
        <w:tcBorders>
          <w:insideH w:val="single" w:sz="6" w:space="0" w:color="F26934" w:themeColor="accent6"/>
          <w:insideV w:val="single" w:sz="6" w:space="0" w:color="F26934" w:themeColor="accent6"/>
        </w:tcBorders>
        <w:shd w:val="clear" w:color="auto" w:fill="F8B49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DC0CE"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C24"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C24"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C24"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C24"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A819D"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A819D"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E5D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0736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0736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0736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0736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4CCB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4CCBB"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EF4D4"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AF5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AF5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AF5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AF5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DE8A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DE8A8"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E7F4"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A2D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A2D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A2D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A2D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6D0E9"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6D0E9"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DFE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980A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980A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980A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980A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CBFD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CBFD5"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8C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AA62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AA62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AA62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AA62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D29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D294"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9C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693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693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693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693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B49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B499"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1C24" w:themeColor="text1"/>
        <w:bottom w:val="single" w:sz="8" w:space="0" w:color="231C24" w:themeColor="text1"/>
      </w:tblBorders>
    </w:tblPr>
    <w:tblStylePr w:type="firstRow">
      <w:rPr>
        <w:rFonts w:asciiTheme="majorHAnsi" w:eastAsiaTheme="majorEastAsia" w:hAnsiTheme="majorHAnsi" w:cstheme="majorBidi"/>
      </w:rPr>
      <w:tblPr/>
      <w:tcPr>
        <w:tcBorders>
          <w:top w:val="nil"/>
          <w:bottom w:val="single" w:sz="8" w:space="0" w:color="231C24" w:themeColor="text1"/>
        </w:tcBorders>
      </w:tcPr>
    </w:tblStylePr>
    <w:tblStylePr w:type="lastRow">
      <w:rPr>
        <w:b/>
        <w:bCs/>
        <w:color w:val="EFEBDA" w:themeColor="text2"/>
      </w:rPr>
      <w:tblPr/>
      <w:tcPr>
        <w:tcBorders>
          <w:top w:val="single" w:sz="8" w:space="0" w:color="231C24" w:themeColor="text1"/>
          <w:bottom w:val="single" w:sz="8" w:space="0" w:color="231C24" w:themeColor="text1"/>
        </w:tcBorders>
      </w:tcPr>
    </w:tblStylePr>
    <w:tblStylePr w:type="firstCol">
      <w:rPr>
        <w:b/>
        <w:bCs/>
      </w:rPr>
    </w:tblStylePr>
    <w:tblStylePr w:type="lastCol">
      <w:rPr>
        <w:b/>
        <w:bCs/>
      </w:rPr>
      <w:tblPr/>
      <w:tcPr>
        <w:tcBorders>
          <w:top w:val="single" w:sz="8" w:space="0" w:color="231C24" w:themeColor="text1"/>
          <w:bottom w:val="single" w:sz="8" w:space="0" w:color="231C24" w:themeColor="text1"/>
        </w:tcBorders>
      </w:tcPr>
    </w:tblStylePr>
    <w:tblStylePr w:type="band1Vert">
      <w:tblPr/>
      <w:tcPr>
        <w:shd w:val="clear" w:color="auto" w:fill="CDC0CE" w:themeFill="text1" w:themeFillTint="3F"/>
      </w:tcPr>
    </w:tblStylePr>
    <w:tblStylePr w:type="band1Horz">
      <w:tblPr/>
      <w:tcPr>
        <w:shd w:val="clear" w:color="auto" w:fill="CDC0CE"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307363" w:themeColor="accent1"/>
        <w:bottom w:val="single" w:sz="8" w:space="0" w:color="307363" w:themeColor="accent1"/>
      </w:tblBorders>
    </w:tblPr>
    <w:tblStylePr w:type="firstRow">
      <w:rPr>
        <w:rFonts w:asciiTheme="majorHAnsi" w:eastAsiaTheme="majorEastAsia" w:hAnsiTheme="majorHAnsi" w:cstheme="majorBidi"/>
      </w:rPr>
      <w:tblPr/>
      <w:tcPr>
        <w:tcBorders>
          <w:top w:val="nil"/>
          <w:bottom w:val="single" w:sz="8" w:space="0" w:color="307363" w:themeColor="accent1"/>
        </w:tcBorders>
      </w:tcPr>
    </w:tblStylePr>
    <w:tblStylePr w:type="lastRow">
      <w:rPr>
        <w:b/>
        <w:bCs/>
        <w:color w:val="EFEBDA" w:themeColor="text2"/>
      </w:rPr>
      <w:tblPr/>
      <w:tcPr>
        <w:tcBorders>
          <w:top w:val="single" w:sz="8" w:space="0" w:color="307363" w:themeColor="accent1"/>
          <w:bottom w:val="single" w:sz="8" w:space="0" w:color="307363" w:themeColor="accent1"/>
        </w:tcBorders>
      </w:tcPr>
    </w:tblStylePr>
    <w:tblStylePr w:type="firstCol">
      <w:rPr>
        <w:b/>
        <w:bCs/>
      </w:rPr>
    </w:tblStylePr>
    <w:tblStylePr w:type="lastCol">
      <w:rPr>
        <w:b/>
        <w:bCs/>
      </w:rPr>
      <w:tblPr/>
      <w:tcPr>
        <w:tcBorders>
          <w:top w:val="single" w:sz="8" w:space="0" w:color="307363" w:themeColor="accent1"/>
          <w:bottom w:val="single" w:sz="8" w:space="0" w:color="307363" w:themeColor="accent1"/>
        </w:tcBorders>
      </w:tcPr>
    </w:tblStylePr>
    <w:tblStylePr w:type="band1Vert">
      <w:tblPr/>
      <w:tcPr>
        <w:shd w:val="clear" w:color="auto" w:fill="C2E5DD" w:themeFill="accent1" w:themeFillTint="3F"/>
      </w:tcPr>
    </w:tblStylePr>
    <w:tblStylePr w:type="band1Horz">
      <w:tblPr/>
      <w:tcPr>
        <w:shd w:val="clear" w:color="auto" w:fill="C2E5DD"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1EAF59" w:themeColor="accent2"/>
        <w:bottom w:val="single" w:sz="8" w:space="0" w:color="1EAF59" w:themeColor="accent2"/>
      </w:tblBorders>
    </w:tblPr>
    <w:tblStylePr w:type="firstRow">
      <w:rPr>
        <w:rFonts w:asciiTheme="majorHAnsi" w:eastAsiaTheme="majorEastAsia" w:hAnsiTheme="majorHAnsi" w:cstheme="majorBidi"/>
      </w:rPr>
      <w:tblPr/>
      <w:tcPr>
        <w:tcBorders>
          <w:top w:val="nil"/>
          <w:bottom w:val="single" w:sz="8" w:space="0" w:color="1EAF59" w:themeColor="accent2"/>
        </w:tcBorders>
      </w:tcPr>
    </w:tblStylePr>
    <w:tblStylePr w:type="lastRow">
      <w:rPr>
        <w:b/>
        <w:bCs/>
        <w:color w:val="EFEBDA" w:themeColor="text2"/>
      </w:rPr>
      <w:tblPr/>
      <w:tcPr>
        <w:tcBorders>
          <w:top w:val="single" w:sz="8" w:space="0" w:color="1EAF59" w:themeColor="accent2"/>
          <w:bottom w:val="single" w:sz="8" w:space="0" w:color="1EAF59" w:themeColor="accent2"/>
        </w:tcBorders>
      </w:tcPr>
    </w:tblStylePr>
    <w:tblStylePr w:type="firstCol">
      <w:rPr>
        <w:b/>
        <w:bCs/>
      </w:rPr>
    </w:tblStylePr>
    <w:tblStylePr w:type="lastCol">
      <w:rPr>
        <w:b/>
        <w:bCs/>
      </w:rPr>
      <w:tblPr/>
      <w:tcPr>
        <w:tcBorders>
          <w:top w:val="single" w:sz="8" w:space="0" w:color="1EAF59" w:themeColor="accent2"/>
          <w:bottom w:val="single" w:sz="8" w:space="0" w:color="1EAF59" w:themeColor="accent2"/>
        </w:tcBorders>
      </w:tcPr>
    </w:tblStylePr>
    <w:tblStylePr w:type="band1Vert">
      <w:tblPr/>
      <w:tcPr>
        <w:shd w:val="clear" w:color="auto" w:fill="BEF4D4" w:themeFill="accent2" w:themeFillTint="3F"/>
      </w:tcPr>
    </w:tblStylePr>
    <w:tblStylePr w:type="band1Horz">
      <w:tblPr/>
      <w:tcPr>
        <w:shd w:val="clear" w:color="auto" w:fill="BEF4D4"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8DA2D4" w:themeColor="accent3"/>
        <w:bottom w:val="single" w:sz="8" w:space="0" w:color="8DA2D4" w:themeColor="accent3"/>
      </w:tblBorders>
    </w:tblPr>
    <w:tblStylePr w:type="firstRow">
      <w:rPr>
        <w:rFonts w:asciiTheme="majorHAnsi" w:eastAsiaTheme="majorEastAsia" w:hAnsiTheme="majorHAnsi" w:cstheme="majorBidi"/>
      </w:rPr>
      <w:tblPr/>
      <w:tcPr>
        <w:tcBorders>
          <w:top w:val="nil"/>
          <w:bottom w:val="single" w:sz="8" w:space="0" w:color="8DA2D4" w:themeColor="accent3"/>
        </w:tcBorders>
      </w:tcPr>
    </w:tblStylePr>
    <w:tblStylePr w:type="lastRow">
      <w:rPr>
        <w:b/>
        <w:bCs/>
        <w:color w:val="EFEBDA" w:themeColor="text2"/>
      </w:rPr>
      <w:tblPr/>
      <w:tcPr>
        <w:tcBorders>
          <w:top w:val="single" w:sz="8" w:space="0" w:color="8DA2D4" w:themeColor="accent3"/>
          <w:bottom w:val="single" w:sz="8" w:space="0" w:color="8DA2D4" w:themeColor="accent3"/>
        </w:tcBorders>
      </w:tcPr>
    </w:tblStylePr>
    <w:tblStylePr w:type="firstCol">
      <w:rPr>
        <w:b/>
        <w:bCs/>
      </w:rPr>
    </w:tblStylePr>
    <w:tblStylePr w:type="lastCol">
      <w:rPr>
        <w:b/>
        <w:bCs/>
      </w:rPr>
      <w:tblPr/>
      <w:tcPr>
        <w:tcBorders>
          <w:top w:val="single" w:sz="8" w:space="0" w:color="8DA2D4" w:themeColor="accent3"/>
          <w:bottom w:val="single" w:sz="8" w:space="0" w:color="8DA2D4" w:themeColor="accent3"/>
        </w:tcBorders>
      </w:tcPr>
    </w:tblStylePr>
    <w:tblStylePr w:type="band1Vert">
      <w:tblPr/>
      <w:tcPr>
        <w:shd w:val="clear" w:color="auto" w:fill="E2E7F4" w:themeFill="accent3" w:themeFillTint="3F"/>
      </w:tcPr>
    </w:tblStylePr>
    <w:tblStylePr w:type="band1Horz">
      <w:tblPr/>
      <w:tcPr>
        <w:shd w:val="clear" w:color="auto" w:fill="E2E7F4"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D980AD" w:themeColor="accent4"/>
        <w:bottom w:val="single" w:sz="8" w:space="0" w:color="D980AD" w:themeColor="accent4"/>
      </w:tblBorders>
    </w:tblPr>
    <w:tblStylePr w:type="firstRow">
      <w:rPr>
        <w:rFonts w:asciiTheme="majorHAnsi" w:eastAsiaTheme="majorEastAsia" w:hAnsiTheme="majorHAnsi" w:cstheme="majorBidi"/>
      </w:rPr>
      <w:tblPr/>
      <w:tcPr>
        <w:tcBorders>
          <w:top w:val="nil"/>
          <w:bottom w:val="single" w:sz="8" w:space="0" w:color="D980AD" w:themeColor="accent4"/>
        </w:tcBorders>
      </w:tcPr>
    </w:tblStylePr>
    <w:tblStylePr w:type="lastRow">
      <w:rPr>
        <w:b/>
        <w:bCs/>
        <w:color w:val="EFEBDA" w:themeColor="text2"/>
      </w:rPr>
      <w:tblPr/>
      <w:tcPr>
        <w:tcBorders>
          <w:top w:val="single" w:sz="8" w:space="0" w:color="D980AD" w:themeColor="accent4"/>
          <w:bottom w:val="single" w:sz="8" w:space="0" w:color="D980AD" w:themeColor="accent4"/>
        </w:tcBorders>
      </w:tcPr>
    </w:tblStylePr>
    <w:tblStylePr w:type="firstCol">
      <w:rPr>
        <w:b/>
        <w:bCs/>
      </w:rPr>
    </w:tblStylePr>
    <w:tblStylePr w:type="lastCol">
      <w:rPr>
        <w:b/>
        <w:bCs/>
      </w:rPr>
      <w:tblPr/>
      <w:tcPr>
        <w:tcBorders>
          <w:top w:val="single" w:sz="8" w:space="0" w:color="D980AD" w:themeColor="accent4"/>
          <w:bottom w:val="single" w:sz="8" w:space="0" w:color="D980AD" w:themeColor="accent4"/>
        </w:tcBorders>
      </w:tcPr>
    </w:tblStylePr>
    <w:tblStylePr w:type="band1Vert">
      <w:tblPr/>
      <w:tcPr>
        <w:shd w:val="clear" w:color="auto" w:fill="F5DFEA" w:themeFill="accent4" w:themeFillTint="3F"/>
      </w:tcPr>
    </w:tblStylePr>
    <w:tblStylePr w:type="band1Horz">
      <w:tblPr/>
      <w:tcPr>
        <w:shd w:val="clear" w:color="auto" w:fill="F5DFEA"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FAA629" w:themeColor="accent5"/>
        <w:bottom w:val="single" w:sz="8" w:space="0" w:color="FAA629" w:themeColor="accent5"/>
      </w:tblBorders>
    </w:tblPr>
    <w:tblStylePr w:type="firstRow">
      <w:rPr>
        <w:rFonts w:asciiTheme="majorHAnsi" w:eastAsiaTheme="majorEastAsia" w:hAnsiTheme="majorHAnsi" w:cstheme="majorBidi"/>
      </w:rPr>
      <w:tblPr/>
      <w:tcPr>
        <w:tcBorders>
          <w:top w:val="nil"/>
          <w:bottom w:val="single" w:sz="8" w:space="0" w:color="FAA629" w:themeColor="accent5"/>
        </w:tcBorders>
      </w:tcPr>
    </w:tblStylePr>
    <w:tblStylePr w:type="lastRow">
      <w:rPr>
        <w:b/>
        <w:bCs/>
        <w:color w:val="EFEBDA" w:themeColor="text2"/>
      </w:rPr>
      <w:tblPr/>
      <w:tcPr>
        <w:tcBorders>
          <w:top w:val="single" w:sz="8" w:space="0" w:color="FAA629" w:themeColor="accent5"/>
          <w:bottom w:val="single" w:sz="8" w:space="0" w:color="FAA629" w:themeColor="accent5"/>
        </w:tcBorders>
      </w:tcPr>
    </w:tblStylePr>
    <w:tblStylePr w:type="firstCol">
      <w:rPr>
        <w:b/>
        <w:bCs/>
      </w:rPr>
    </w:tblStylePr>
    <w:tblStylePr w:type="lastCol">
      <w:rPr>
        <w:b/>
        <w:bCs/>
      </w:rPr>
      <w:tblPr/>
      <w:tcPr>
        <w:tcBorders>
          <w:top w:val="single" w:sz="8" w:space="0" w:color="FAA629" w:themeColor="accent5"/>
          <w:bottom w:val="single" w:sz="8" w:space="0" w:color="FAA629" w:themeColor="accent5"/>
        </w:tcBorders>
      </w:tcPr>
    </w:tblStylePr>
    <w:tblStylePr w:type="band1Vert">
      <w:tblPr/>
      <w:tcPr>
        <w:shd w:val="clear" w:color="auto" w:fill="FDE8C9" w:themeFill="accent5" w:themeFillTint="3F"/>
      </w:tcPr>
    </w:tblStylePr>
    <w:tblStylePr w:type="band1Horz">
      <w:tblPr/>
      <w:tcPr>
        <w:shd w:val="clear" w:color="auto" w:fill="FDE8C9"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F26934" w:themeColor="accent6"/>
        <w:bottom w:val="single" w:sz="8" w:space="0" w:color="F26934" w:themeColor="accent6"/>
      </w:tblBorders>
    </w:tblPr>
    <w:tblStylePr w:type="firstRow">
      <w:rPr>
        <w:rFonts w:asciiTheme="majorHAnsi" w:eastAsiaTheme="majorEastAsia" w:hAnsiTheme="majorHAnsi" w:cstheme="majorBidi"/>
      </w:rPr>
      <w:tblPr/>
      <w:tcPr>
        <w:tcBorders>
          <w:top w:val="nil"/>
          <w:bottom w:val="single" w:sz="8" w:space="0" w:color="F26934" w:themeColor="accent6"/>
        </w:tcBorders>
      </w:tcPr>
    </w:tblStylePr>
    <w:tblStylePr w:type="lastRow">
      <w:rPr>
        <w:b/>
        <w:bCs/>
        <w:color w:val="EFEBDA" w:themeColor="text2"/>
      </w:rPr>
      <w:tblPr/>
      <w:tcPr>
        <w:tcBorders>
          <w:top w:val="single" w:sz="8" w:space="0" w:color="F26934" w:themeColor="accent6"/>
          <w:bottom w:val="single" w:sz="8" w:space="0" w:color="F26934" w:themeColor="accent6"/>
        </w:tcBorders>
      </w:tcPr>
    </w:tblStylePr>
    <w:tblStylePr w:type="firstCol">
      <w:rPr>
        <w:b/>
        <w:bCs/>
      </w:rPr>
    </w:tblStylePr>
    <w:tblStylePr w:type="lastCol">
      <w:rPr>
        <w:b/>
        <w:bCs/>
      </w:rPr>
      <w:tblPr/>
      <w:tcPr>
        <w:tcBorders>
          <w:top w:val="single" w:sz="8" w:space="0" w:color="F26934" w:themeColor="accent6"/>
          <w:bottom w:val="single" w:sz="8" w:space="0" w:color="F26934" w:themeColor="accent6"/>
        </w:tcBorders>
      </w:tcPr>
    </w:tblStylePr>
    <w:tblStylePr w:type="band1Vert">
      <w:tblPr/>
      <w:tcPr>
        <w:shd w:val="clear" w:color="auto" w:fill="FBD9CC" w:themeFill="accent6" w:themeFillTint="3F"/>
      </w:tcPr>
    </w:tblStylePr>
    <w:tblStylePr w:type="band1Horz">
      <w:tblPr/>
      <w:tcPr>
        <w:shd w:val="clear" w:color="auto" w:fill="FBD9CC"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1C24" w:themeColor="text1"/>
        <w:left w:val="single" w:sz="8" w:space="0" w:color="231C24" w:themeColor="text1"/>
        <w:bottom w:val="single" w:sz="8" w:space="0" w:color="231C24" w:themeColor="text1"/>
        <w:right w:val="single" w:sz="8" w:space="0" w:color="231C24" w:themeColor="text1"/>
      </w:tblBorders>
    </w:tblPr>
    <w:tblStylePr w:type="firstRow">
      <w:rPr>
        <w:sz w:val="24"/>
        <w:szCs w:val="24"/>
      </w:rPr>
      <w:tblPr/>
      <w:tcPr>
        <w:tcBorders>
          <w:top w:val="nil"/>
          <w:left w:val="nil"/>
          <w:bottom w:val="single" w:sz="24" w:space="0" w:color="231C24" w:themeColor="text1"/>
          <w:right w:val="nil"/>
          <w:insideH w:val="nil"/>
          <w:insideV w:val="nil"/>
        </w:tcBorders>
        <w:shd w:val="clear" w:color="auto" w:fill="FFFFFF" w:themeFill="background1"/>
      </w:tcPr>
    </w:tblStylePr>
    <w:tblStylePr w:type="lastRow">
      <w:tblPr/>
      <w:tcPr>
        <w:tcBorders>
          <w:top w:val="single" w:sz="8" w:space="0" w:color="231C24"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C24" w:themeColor="text1"/>
          <w:insideH w:val="nil"/>
          <w:insideV w:val="nil"/>
        </w:tcBorders>
        <w:shd w:val="clear" w:color="auto" w:fill="FFFFFF" w:themeFill="background1"/>
      </w:tcPr>
    </w:tblStylePr>
    <w:tblStylePr w:type="lastCol">
      <w:tblPr/>
      <w:tcPr>
        <w:tcBorders>
          <w:top w:val="nil"/>
          <w:left w:val="single" w:sz="8" w:space="0" w:color="231C24"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DC0CE" w:themeFill="text1" w:themeFillTint="3F"/>
      </w:tcPr>
    </w:tblStylePr>
    <w:tblStylePr w:type="band1Horz">
      <w:tblPr/>
      <w:tcPr>
        <w:tcBorders>
          <w:top w:val="nil"/>
          <w:bottom w:val="nil"/>
          <w:insideH w:val="nil"/>
          <w:insideV w:val="nil"/>
        </w:tcBorders>
        <w:shd w:val="clear" w:color="auto" w:fill="CDC0CE"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307363" w:themeColor="accent1"/>
        <w:left w:val="single" w:sz="8" w:space="0" w:color="307363" w:themeColor="accent1"/>
        <w:bottom w:val="single" w:sz="8" w:space="0" w:color="307363" w:themeColor="accent1"/>
        <w:right w:val="single" w:sz="8" w:space="0" w:color="307363" w:themeColor="accent1"/>
      </w:tblBorders>
    </w:tblPr>
    <w:tblStylePr w:type="firstRow">
      <w:rPr>
        <w:sz w:val="24"/>
        <w:szCs w:val="24"/>
      </w:rPr>
      <w:tblPr/>
      <w:tcPr>
        <w:tcBorders>
          <w:top w:val="nil"/>
          <w:left w:val="nil"/>
          <w:bottom w:val="single" w:sz="24" w:space="0" w:color="307363" w:themeColor="accent1"/>
          <w:right w:val="nil"/>
          <w:insideH w:val="nil"/>
          <w:insideV w:val="nil"/>
        </w:tcBorders>
        <w:shd w:val="clear" w:color="auto" w:fill="FFFFFF" w:themeFill="background1"/>
      </w:tcPr>
    </w:tblStylePr>
    <w:tblStylePr w:type="lastRow">
      <w:tblPr/>
      <w:tcPr>
        <w:tcBorders>
          <w:top w:val="single" w:sz="8" w:space="0" w:color="30736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07363" w:themeColor="accent1"/>
          <w:insideH w:val="nil"/>
          <w:insideV w:val="nil"/>
        </w:tcBorders>
        <w:shd w:val="clear" w:color="auto" w:fill="FFFFFF" w:themeFill="background1"/>
      </w:tcPr>
    </w:tblStylePr>
    <w:tblStylePr w:type="lastCol">
      <w:tblPr/>
      <w:tcPr>
        <w:tcBorders>
          <w:top w:val="nil"/>
          <w:left w:val="single" w:sz="8" w:space="0" w:color="30736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E5DD" w:themeFill="accent1" w:themeFillTint="3F"/>
      </w:tcPr>
    </w:tblStylePr>
    <w:tblStylePr w:type="band1Horz">
      <w:tblPr/>
      <w:tcPr>
        <w:tcBorders>
          <w:top w:val="nil"/>
          <w:bottom w:val="nil"/>
          <w:insideH w:val="nil"/>
          <w:insideV w:val="nil"/>
        </w:tcBorders>
        <w:shd w:val="clear" w:color="auto" w:fill="C2E5D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1EAF59" w:themeColor="accent2"/>
        <w:left w:val="single" w:sz="8" w:space="0" w:color="1EAF59" w:themeColor="accent2"/>
        <w:bottom w:val="single" w:sz="8" w:space="0" w:color="1EAF59" w:themeColor="accent2"/>
        <w:right w:val="single" w:sz="8" w:space="0" w:color="1EAF59" w:themeColor="accent2"/>
      </w:tblBorders>
    </w:tblPr>
    <w:tblStylePr w:type="firstRow">
      <w:rPr>
        <w:sz w:val="24"/>
        <w:szCs w:val="24"/>
      </w:rPr>
      <w:tblPr/>
      <w:tcPr>
        <w:tcBorders>
          <w:top w:val="nil"/>
          <w:left w:val="nil"/>
          <w:bottom w:val="single" w:sz="24" w:space="0" w:color="1EAF59" w:themeColor="accent2"/>
          <w:right w:val="nil"/>
          <w:insideH w:val="nil"/>
          <w:insideV w:val="nil"/>
        </w:tcBorders>
        <w:shd w:val="clear" w:color="auto" w:fill="FFFFFF" w:themeFill="background1"/>
      </w:tcPr>
    </w:tblStylePr>
    <w:tblStylePr w:type="lastRow">
      <w:tblPr/>
      <w:tcPr>
        <w:tcBorders>
          <w:top w:val="single" w:sz="8" w:space="0" w:color="1EAF5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AF59" w:themeColor="accent2"/>
          <w:insideH w:val="nil"/>
          <w:insideV w:val="nil"/>
        </w:tcBorders>
        <w:shd w:val="clear" w:color="auto" w:fill="FFFFFF" w:themeFill="background1"/>
      </w:tcPr>
    </w:tblStylePr>
    <w:tblStylePr w:type="lastCol">
      <w:tblPr/>
      <w:tcPr>
        <w:tcBorders>
          <w:top w:val="nil"/>
          <w:left w:val="single" w:sz="8" w:space="0" w:color="1EAF5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EF4D4" w:themeFill="accent2" w:themeFillTint="3F"/>
      </w:tcPr>
    </w:tblStylePr>
    <w:tblStylePr w:type="band1Horz">
      <w:tblPr/>
      <w:tcPr>
        <w:tcBorders>
          <w:top w:val="nil"/>
          <w:bottom w:val="nil"/>
          <w:insideH w:val="nil"/>
          <w:insideV w:val="nil"/>
        </w:tcBorders>
        <w:shd w:val="clear" w:color="auto" w:fill="BEF4D4"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8DA2D4" w:themeColor="accent3"/>
        <w:left w:val="single" w:sz="8" w:space="0" w:color="8DA2D4" w:themeColor="accent3"/>
        <w:bottom w:val="single" w:sz="8" w:space="0" w:color="8DA2D4" w:themeColor="accent3"/>
        <w:right w:val="single" w:sz="8" w:space="0" w:color="8DA2D4" w:themeColor="accent3"/>
      </w:tblBorders>
    </w:tblPr>
    <w:tblStylePr w:type="firstRow">
      <w:rPr>
        <w:sz w:val="24"/>
        <w:szCs w:val="24"/>
      </w:rPr>
      <w:tblPr/>
      <w:tcPr>
        <w:tcBorders>
          <w:top w:val="nil"/>
          <w:left w:val="nil"/>
          <w:bottom w:val="single" w:sz="24" w:space="0" w:color="8DA2D4" w:themeColor="accent3"/>
          <w:right w:val="nil"/>
          <w:insideH w:val="nil"/>
          <w:insideV w:val="nil"/>
        </w:tcBorders>
        <w:shd w:val="clear" w:color="auto" w:fill="FFFFFF" w:themeFill="background1"/>
      </w:tcPr>
    </w:tblStylePr>
    <w:tblStylePr w:type="lastRow">
      <w:tblPr/>
      <w:tcPr>
        <w:tcBorders>
          <w:top w:val="single" w:sz="8" w:space="0" w:color="8DA2D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A2D4" w:themeColor="accent3"/>
          <w:insideH w:val="nil"/>
          <w:insideV w:val="nil"/>
        </w:tcBorders>
        <w:shd w:val="clear" w:color="auto" w:fill="FFFFFF" w:themeFill="background1"/>
      </w:tcPr>
    </w:tblStylePr>
    <w:tblStylePr w:type="lastCol">
      <w:tblPr/>
      <w:tcPr>
        <w:tcBorders>
          <w:top w:val="nil"/>
          <w:left w:val="single" w:sz="8" w:space="0" w:color="8DA2D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E7F4" w:themeFill="accent3" w:themeFillTint="3F"/>
      </w:tcPr>
    </w:tblStylePr>
    <w:tblStylePr w:type="band1Horz">
      <w:tblPr/>
      <w:tcPr>
        <w:tcBorders>
          <w:top w:val="nil"/>
          <w:bottom w:val="nil"/>
          <w:insideH w:val="nil"/>
          <w:insideV w:val="nil"/>
        </w:tcBorders>
        <w:shd w:val="clear" w:color="auto" w:fill="E2E7F4"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D980AD" w:themeColor="accent4"/>
        <w:left w:val="single" w:sz="8" w:space="0" w:color="D980AD" w:themeColor="accent4"/>
        <w:bottom w:val="single" w:sz="8" w:space="0" w:color="D980AD" w:themeColor="accent4"/>
        <w:right w:val="single" w:sz="8" w:space="0" w:color="D980AD" w:themeColor="accent4"/>
      </w:tblBorders>
    </w:tblPr>
    <w:tblStylePr w:type="firstRow">
      <w:rPr>
        <w:sz w:val="24"/>
        <w:szCs w:val="24"/>
      </w:rPr>
      <w:tblPr/>
      <w:tcPr>
        <w:tcBorders>
          <w:top w:val="nil"/>
          <w:left w:val="nil"/>
          <w:bottom w:val="single" w:sz="24" w:space="0" w:color="D980AD" w:themeColor="accent4"/>
          <w:right w:val="nil"/>
          <w:insideH w:val="nil"/>
          <w:insideV w:val="nil"/>
        </w:tcBorders>
        <w:shd w:val="clear" w:color="auto" w:fill="FFFFFF" w:themeFill="background1"/>
      </w:tcPr>
    </w:tblStylePr>
    <w:tblStylePr w:type="lastRow">
      <w:tblPr/>
      <w:tcPr>
        <w:tcBorders>
          <w:top w:val="single" w:sz="8" w:space="0" w:color="D980A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80AD" w:themeColor="accent4"/>
          <w:insideH w:val="nil"/>
          <w:insideV w:val="nil"/>
        </w:tcBorders>
        <w:shd w:val="clear" w:color="auto" w:fill="FFFFFF" w:themeFill="background1"/>
      </w:tcPr>
    </w:tblStylePr>
    <w:tblStylePr w:type="lastCol">
      <w:tblPr/>
      <w:tcPr>
        <w:tcBorders>
          <w:top w:val="nil"/>
          <w:left w:val="single" w:sz="8" w:space="0" w:color="D980A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DFEA" w:themeFill="accent4" w:themeFillTint="3F"/>
      </w:tcPr>
    </w:tblStylePr>
    <w:tblStylePr w:type="band1Horz">
      <w:tblPr/>
      <w:tcPr>
        <w:tcBorders>
          <w:top w:val="nil"/>
          <w:bottom w:val="nil"/>
          <w:insideH w:val="nil"/>
          <w:insideV w:val="nil"/>
        </w:tcBorders>
        <w:shd w:val="clear" w:color="auto" w:fill="F5DFE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AA629" w:themeColor="accent5"/>
        <w:left w:val="single" w:sz="8" w:space="0" w:color="FAA629" w:themeColor="accent5"/>
        <w:bottom w:val="single" w:sz="8" w:space="0" w:color="FAA629" w:themeColor="accent5"/>
        <w:right w:val="single" w:sz="8" w:space="0" w:color="FAA629" w:themeColor="accent5"/>
      </w:tblBorders>
    </w:tblPr>
    <w:tblStylePr w:type="firstRow">
      <w:rPr>
        <w:sz w:val="24"/>
        <w:szCs w:val="24"/>
      </w:rPr>
      <w:tblPr/>
      <w:tcPr>
        <w:tcBorders>
          <w:top w:val="nil"/>
          <w:left w:val="nil"/>
          <w:bottom w:val="single" w:sz="24" w:space="0" w:color="FAA629" w:themeColor="accent5"/>
          <w:right w:val="nil"/>
          <w:insideH w:val="nil"/>
          <w:insideV w:val="nil"/>
        </w:tcBorders>
        <w:shd w:val="clear" w:color="auto" w:fill="FFFFFF" w:themeFill="background1"/>
      </w:tcPr>
    </w:tblStylePr>
    <w:tblStylePr w:type="lastRow">
      <w:tblPr/>
      <w:tcPr>
        <w:tcBorders>
          <w:top w:val="single" w:sz="8" w:space="0" w:color="FAA62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AA629" w:themeColor="accent5"/>
          <w:insideH w:val="nil"/>
          <w:insideV w:val="nil"/>
        </w:tcBorders>
        <w:shd w:val="clear" w:color="auto" w:fill="FFFFFF" w:themeFill="background1"/>
      </w:tcPr>
    </w:tblStylePr>
    <w:tblStylePr w:type="lastCol">
      <w:tblPr/>
      <w:tcPr>
        <w:tcBorders>
          <w:top w:val="nil"/>
          <w:left w:val="single" w:sz="8" w:space="0" w:color="FAA62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8C9" w:themeFill="accent5" w:themeFillTint="3F"/>
      </w:tcPr>
    </w:tblStylePr>
    <w:tblStylePr w:type="band1Horz">
      <w:tblPr/>
      <w:tcPr>
        <w:tcBorders>
          <w:top w:val="nil"/>
          <w:bottom w:val="nil"/>
          <w:insideH w:val="nil"/>
          <w:insideV w:val="nil"/>
        </w:tcBorders>
        <w:shd w:val="clear" w:color="auto" w:fill="FDE8C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26934" w:themeColor="accent6"/>
        <w:left w:val="single" w:sz="8" w:space="0" w:color="F26934" w:themeColor="accent6"/>
        <w:bottom w:val="single" w:sz="8" w:space="0" w:color="F26934" w:themeColor="accent6"/>
        <w:right w:val="single" w:sz="8" w:space="0" w:color="F26934" w:themeColor="accent6"/>
      </w:tblBorders>
    </w:tblPr>
    <w:tblStylePr w:type="firstRow">
      <w:rPr>
        <w:sz w:val="24"/>
        <w:szCs w:val="24"/>
      </w:rPr>
      <w:tblPr/>
      <w:tcPr>
        <w:tcBorders>
          <w:top w:val="nil"/>
          <w:left w:val="nil"/>
          <w:bottom w:val="single" w:sz="24" w:space="0" w:color="F26934" w:themeColor="accent6"/>
          <w:right w:val="nil"/>
          <w:insideH w:val="nil"/>
          <w:insideV w:val="nil"/>
        </w:tcBorders>
        <w:shd w:val="clear" w:color="auto" w:fill="FFFFFF" w:themeFill="background1"/>
      </w:tcPr>
    </w:tblStylePr>
    <w:tblStylePr w:type="lastRow">
      <w:tblPr/>
      <w:tcPr>
        <w:tcBorders>
          <w:top w:val="single" w:sz="8" w:space="0" w:color="F26934"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6934" w:themeColor="accent6"/>
          <w:insideH w:val="nil"/>
          <w:insideV w:val="nil"/>
        </w:tcBorders>
        <w:shd w:val="clear" w:color="auto" w:fill="FFFFFF" w:themeFill="background1"/>
      </w:tcPr>
    </w:tblStylePr>
    <w:tblStylePr w:type="lastCol">
      <w:tblPr/>
      <w:tcPr>
        <w:tcBorders>
          <w:top w:val="nil"/>
          <w:left w:val="single" w:sz="8" w:space="0" w:color="F26934"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9CC" w:themeFill="accent6" w:themeFillTint="3F"/>
      </w:tcPr>
    </w:tblStylePr>
    <w:tblStylePr w:type="band1Horz">
      <w:tblPr/>
      <w:tcPr>
        <w:tcBorders>
          <w:top w:val="nil"/>
          <w:bottom w:val="nil"/>
          <w:insideH w:val="nil"/>
          <w:insideV w:val="nil"/>
        </w:tcBorders>
        <w:shd w:val="clear" w:color="auto" w:fill="FBD9C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F4D62" w:themeColor="text1" w:themeTint="BF"/>
        <w:left w:val="single" w:sz="8" w:space="0" w:color="5F4D62" w:themeColor="text1" w:themeTint="BF"/>
        <w:bottom w:val="single" w:sz="8" w:space="0" w:color="5F4D62" w:themeColor="text1" w:themeTint="BF"/>
        <w:right w:val="single" w:sz="8" w:space="0" w:color="5F4D62" w:themeColor="text1" w:themeTint="BF"/>
        <w:insideH w:val="single" w:sz="8" w:space="0" w:color="5F4D62" w:themeColor="text1" w:themeTint="BF"/>
      </w:tblBorders>
    </w:tblPr>
    <w:tblStylePr w:type="firstRow">
      <w:pPr>
        <w:spacing w:before="0" w:after="0" w:line="240" w:lineRule="auto"/>
      </w:pPr>
      <w:rPr>
        <w:b/>
        <w:bCs/>
        <w:color w:val="FFFFFF" w:themeColor="background1"/>
      </w:rPr>
      <w:tblPr/>
      <w:tcPr>
        <w:tcBorders>
          <w:top w:val="single" w:sz="8" w:space="0" w:color="5F4D62" w:themeColor="text1" w:themeTint="BF"/>
          <w:left w:val="single" w:sz="8" w:space="0" w:color="5F4D62" w:themeColor="text1" w:themeTint="BF"/>
          <w:bottom w:val="single" w:sz="8" w:space="0" w:color="5F4D62" w:themeColor="text1" w:themeTint="BF"/>
          <w:right w:val="single" w:sz="8" w:space="0" w:color="5F4D62" w:themeColor="text1" w:themeTint="BF"/>
          <w:insideH w:val="nil"/>
          <w:insideV w:val="nil"/>
        </w:tcBorders>
        <w:shd w:val="clear" w:color="auto" w:fill="231C24" w:themeFill="text1"/>
      </w:tcPr>
    </w:tblStylePr>
    <w:tblStylePr w:type="lastRow">
      <w:pPr>
        <w:spacing w:before="0" w:after="0" w:line="240" w:lineRule="auto"/>
      </w:pPr>
      <w:rPr>
        <w:b/>
        <w:bCs/>
      </w:rPr>
      <w:tblPr/>
      <w:tcPr>
        <w:tcBorders>
          <w:top w:val="double" w:sz="6" w:space="0" w:color="5F4D62" w:themeColor="text1" w:themeTint="BF"/>
          <w:left w:val="single" w:sz="8" w:space="0" w:color="5F4D62" w:themeColor="text1" w:themeTint="BF"/>
          <w:bottom w:val="single" w:sz="8" w:space="0" w:color="5F4D62" w:themeColor="text1" w:themeTint="BF"/>
          <w:right w:val="single" w:sz="8" w:space="0" w:color="5F4D62" w:themeColor="text1" w:themeTint="BF"/>
          <w:insideH w:val="nil"/>
          <w:insideV w:val="nil"/>
        </w:tcBorders>
      </w:tcPr>
    </w:tblStylePr>
    <w:tblStylePr w:type="firstCol">
      <w:rPr>
        <w:b/>
        <w:bCs/>
      </w:rPr>
    </w:tblStylePr>
    <w:tblStylePr w:type="lastCol">
      <w:rPr>
        <w:b/>
        <w:bCs/>
      </w:rPr>
    </w:tblStylePr>
    <w:tblStylePr w:type="band1Vert">
      <w:tblPr/>
      <w:tcPr>
        <w:shd w:val="clear" w:color="auto" w:fill="CDC0CE" w:themeFill="text1" w:themeFillTint="3F"/>
      </w:tcPr>
    </w:tblStylePr>
    <w:tblStylePr w:type="band1Horz">
      <w:tblPr/>
      <w:tcPr>
        <w:tcBorders>
          <w:insideH w:val="nil"/>
          <w:insideV w:val="nil"/>
        </w:tcBorders>
        <w:shd w:val="clear" w:color="auto" w:fill="CDC0CE"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49B097" w:themeColor="accent1" w:themeTint="BF"/>
        <w:left w:val="single" w:sz="8" w:space="0" w:color="49B097" w:themeColor="accent1" w:themeTint="BF"/>
        <w:bottom w:val="single" w:sz="8" w:space="0" w:color="49B097" w:themeColor="accent1" w:themeTint="BF"/>
        <w:right w:val="single" w:sz="8" w:space="0" w:color="49B097" w:themeColor="accent1" w:themeTint="BF"/>
        <w:insideH w:val="single" w:sz="8" w:space="0" w:color="49B097" w:themeColor="accent1" w:themeTint="BF"/>
      </w:tblBorders>
    </w:tblPr>
    <w:tblStylePr w:type="firstRow">
      <w:pPr>
        <w:spacing w:before="0" w:after="0" w:line="240" w:lineRule="auto"/>
      </w:pPr>
      <w:rPr>
        <w:b/>
        <w:bCs/>
        <w:color w:val="FFFFFF" w:themeColor="background1"/>
      </w:rPr>
      <w:tblPr/>
      <w:tcPr>
        <w:tcBorders>
          <w:top w:val="single" w:sz="8" w:space="0" w:color="49B097" w:themeColor="accent1" w:themeTint="BF"/>
          <w:left w:val="single" w:sz="8" w:space="0" w:color="49B097" w:themeColor="accent1" w:themeTint="BF"/>
          <w:bottom w:val="single" w:sz="8" w:space="0" w:color="49B097" w:themeColor="accent1" w:themeTint="BF"/>
          <w:right w:val="single" w:sz="8" w:space="0" w:color="49B097" w:themeColor="accent1" w:themeTint="BF"/>
          <w:insideH w:val="nil"/>
          <w:insideV w:val="nil"/>
        </w:tcBorders>
        <w:shd w:val="clear" w:color="auto" w:fill="307363" w:themeFill="accent1"/>
      </w:tcPr>
    </w:tblStylePr>
    <w:tblStylePr w:type="lastRow">
      <w:pPr>
        <w:spacing w:before="0" w:after="0" w:line="240" w:lineRule="auto"/>
      </w:pPr>
      <w:rPr>
        <w:b/>
        <w:bCs/>
      </w:rPr>
      <w:tblPr/>
      <w:tcPr>
        <w:tcBorders>
          <w:top w:val="double" w:sz="6" w:space="0" w:color="49B097" w:themeColor="accent1" w:themeTint="BF"/>
          <w:left w:val="single" w:sz="8" w:space="0" w:color="49B097" w:themeColor="accent1" w:themeTint="BF"/>
          <w:bottom w:val="single" w:sz="8" w:space="0" w:color="49B097" w:themeColor="accent1" w:themeTint="BF"/>
          <w:right w:val="single" w:sz="8" w:space="0" w:color="49B09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2E5DD" w:themeFill="accent1" w:themeFillTint="3F"/>
      </w:tcPr>
    </w:tblStylePr>
    <w:tblStylePr w:type="band1Horz">
      <w:tblPr/>
      <w:tcPr>
        <w:tcBorders>
          <w:insideH w:val="nil"/>
          <w:insideV w:val="nil"/>
        </w:tcBorders>
        <w:shd w:val="clear" w:color="auto" w:fill="C2E5DD"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3BDD7D" w:themeColor="accent2" w:themeTint="BF"/>
        <w:left w:val="single" w:sz="8" w:space="0" w:color="3BDD7D" w:themeColor="accent2" w:themeTint="BF"/>
        <w:bottom w:val="single" w:sz="8" w:space="0" w:color="3BDD7D" w:themeColor="accent2" w:themeTint="BF"/>
        <w:right w:val="single" w:sz="8" w:space="0" w:color="3BDD7D" w:themeColor="accent2" w:themeTint="BF"/>
        <w:insideH w:val="single" w:sz="8" w:space="0" w:color="3BDD7D" w:themeColor="accent2" w:themeTint="BF"/>
      </w:tblBorders>
    </w:tblPr>
    <w:tblStylePr w:type="firstRow">
      <w:pPr>
        <w:spacing w:before="0" w:after="0" w:line="240" w:lineRule="auto"/>
      </w:pPr>
      <w:rPr>
        <w:b/>
        <w:bCs/>
        <w:color w:val="FFFFFF" w:themeColor="background1"/>
      </w:rPr>
      <w:tblPr/>
      <w:tcPr>
        <w:tcBorders>
          <w:top w:val="single" w:sz="8" w:space="0" w:color="3BDD7D" w:themeColor="accent2" w:themeTint="BF"/>
          <w:left w:val="single" w:sz="8" w:space="0" w:color="3BDD7D" w:themeColor="accent2" w:themeTint="BF"/>
          <w:bottom w:val="single" w:sz="8" w:space="0" w:color="3BDD7D" w:themeColor="accent2" w:themeTint="BF"/>
          <w:right w:val="single" w:sz="8" w:space="0" w:color="3BDD7D" w:themeColor="accent2" w:themeTint="BF"/>
          <w:insideH w:val="nil"/>
          <w:insideV w:val="nil"/>
        </w:tcBorders>
        <w:shd w:val="clear" w:color="auto" w:fill="1EAF59" w:themeFill="accent2"/>
      </w:tcPr>
    </w:tblStylePr>
    <w:tblStylePr w:type="lastRow">
      <w:pPr>
        <w:spacing w:before="0" w:after="0" w:line="240" w:lineRule="auto"/>
      </w:pPr>
      <w:rPr>
        <w:b/>
        <w:bCs/>
      </w:rPr>
      <w:tblPr/>
      <w:tcPr>
        <w:tcBorders>
          <w:top w:val="double" w:sz="6" w:space="0" w:color="3BDD7D" w:themeColor="accent2" w:themeTint="BF"/>
          <w:left w:val="single" w:sz="8" w:space="0" w:color="3BDD7D" w:themeColor="accent2" w:themeTint="BF"/>
          <w:bottom w:val="single" w:sz="8" w:space="0" w:color="3BDD7D" w:themeColor="accent2" w:themeTint="BF"/>
          <w:right w:val="single" w:sz="8" w:space="0" w:color="3BDD7D" w:themeColor="accent2" w:themeTint="BF"/>
          <w:insideH w:val="nil"/>
          <w:insideV w:val="nil"/>
        </w:tcBorders>
      </w:tcPr>
    </w:tblStylePr>
    <w:tblStylePr w:type="firstCol">
      <w:rPr>
        <w:b/>
        <w:bCs/>
      </w:rPr>
    </w:tblStylePr>
    <w:tblStylePr w:type="lastCol">
      <w:rPr>
        <w:b/>
        <w:bCs/>
      </w:rPr>
    </w:tblStylePr>
    <w:tblStylePr w:type="band1Vert">
      <w:tblPr/>
      <w:tcPr>
        <w:shd w:val="clear" w:color="auto" w:fill="BEF4D4" w:themeFill="accent2" w:themeFillTint="3F"/>
      </w:tcPr>
    </w:tblStylePr>
    <w:tblStylePr w:type="band1Horz">
      <w:tblPr/>
      <w:tcPr>
        <w:tcBorders>
          <w:insideH w:val="nil"/>
          <w:insideV w:val="nil"/>
        </w:tcBorders>
        <w:shd w:val="clear" w:color="auto" w:fill="BEF4D4"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A9B9DE" w:themeColor="accent3" w:themeTint="BF"/>
        <w:left w:val="single" w:sz="8" w:space="0" w:color="A9B9DE" w:themeColor="accent3" w:themeTint="BF"/>
        <w:bottom w:val="single" w:sz="8" w:space="0" w:color="A9B9DE" w:themeColor="accent3" w:themeTint="BF"/>
        <w:right w:val="single" w:sz="8" w:space="0" w:color="A9B9DE" w:themeColor="accent3" w:themeTint="BF"/>
        <w:insideH w:val="single" w:sz="8" w:space="0" w:color="A9B9DE" w:themeColor="accent3" w:themeTint="BF"/>
      </w:tblBorders>
    </w:tblPr>
    <w:tblStylePr w:type="firstRow">
      <w:pPr>
        <w:spacing w:before="0" w:after="0" w:line="240" w:lineRule="auto"/>
      </w:pPr>
      <w:rPr>
        <w:b/>
        <w:bCs/>
        <w:color w:val="FFFFFF" w:themeColor="background1"/>
      </w:rPr>
      <w:tblPr/>
      <w:tcPr>
        <w:tcBorders>
          <w:top w:val="single" w:sz="8" w:space="0" w:color="A9B9DE" w:themeColor="accent3" w:themeTint="BF"/>
          <w:left w:val="single" w:sz="8" w:space="0" w:color="A9B9DE" w:themeColor="accent3" w:themeTint="BF"/>
          <w:bottom w:val="single" w:sz="8" w:space="0" w:color="A9B9DE" w:themeColor="accent3" w:themeTint="BF"/>
          <w:right w:val="single" w:sz="8" w:space="0" w:color="A9B9DE" w:themeColor="accent3" w:themeTint="BF"/>
          <w:insideH w:val="nil"/>
          <w:insideV w:val="nil"/>
        </w:tcBorders>
        <w:shd w:val="clear" w:color="auto" w:fill="8DA2D4" w:themeFill="accent3"/>
      </w:tcPr>
    </w:tblStylePr>
    <w:tblStylePr w:type="lastRow">
      <w:pPr>
        <w:spacing w:before="0" w:after="0" w:line="240" w:lineRule="auto"/>
      </w:pPr>
      <w:rPr>
        <w:b/>
        <w:bCs/>
      </w:rPr>
      <w:tblPr/>
      <w:tcPr>
        <w:tcBorders>
          <w:top w:val="double" w:sz="6" w:space="0" w:color="A9B9DE" w:themeColor="accent3" w:themeTint="BF"/>
          <w:left w:val="single" w:sz="8" w:space="0" w:color="A9B9DE" w:themeColor="accent3" w:themeTint="BF"/>
          <w:bottom w:val="single" w:sz="8" w:space="0" w:color="A9B9DE" w:themeColor="accent3" w:themeTint="BF"/>
          <w:right w:val="single" w:sz="8" w:space="0" w:color="A9B9DE" w:themeColor="accent3" w:themeTint="BF"/>
          <w:insideH w:val="nil"/>
          <w:insideV w:val="nil"/>
        </w:tcBorders>
      </w:tcPr>
    </w:tblStylePr>
    <w:tblStylePr w:type="firstCol">
      <w:rPr>
        <w:b/>
        <w:bCs/>
      </w:rPr>
    </w:tblStylePr>
    <w:tblStylePr w:type="lastCol">
      <w:rPr>
        <w:b/>
        <w:bCs/>
      </w:rPr>
    </w:tblStylePr>
    <w:tblStylePr w:type="band1Vert">
      <w:tblPr/>
      <w:tcPr>
        <w:shd w:val="clear" w:color="auto" w:fill="E2E7F4" w:themeFill="accent3" w:themeFillTint="3F"/>
      </w:tcPr>
    </w:tblStylePr>
    <w:tblStylePr w:type="band1Horz">
      <w:tblPr/>
      <w:tcPr>
        <w:tcBorders>
          <w:insideH w:val="nil"/>
          <w:insideV w:val="nil"/>
        </w:tcBorders>
        <w:shd w:val="clear" w:color="auto" w:fill="E2E7F4"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E29FC1" w:themeColor="accent4" w:themeTint="BF"/>
        <w:left w:val="single" w:sz="8" w:space="0" w:color="E29FC1" w:themeColor="accent4" w:themeTint="BF"/>
        <w:bottom w:val="single" w:sz="8" w:space="0" w:color="E29FC1" w:themeColor="accent4" w:themeTint="BF"/>
        <w:right w:val="single" w:sz="8" w:space="0" w:color="E29FC1" w:themeColor="accent4" w:themeTint="BF"/>
        <w:insideH w:val="single" w:sz="8" w:space="0" w:color="E29FC1" w:themeColor="accent4" w:themeTint="BF"/>
      </w:tblBorders>
    </w:tblPr>
    <w:tblStylePr w:type="firstRow">
      <w:pPr>
        <w:spacing w:before="0" w:after="0" w:line="240" w:lineRule="auto"/>
      </w:pPr>
      <w:rPr>
        <w:b/>
        <w:bCs/>
        <w:color w:val="FFFFFF" w:themeColor="background1"/>
      </w:rPr>
      <w:tblPr/>
      <w:tcPr>
        <w:tcBorders>
          <w:top w:val="single" w:sz="8" w:space="0" w:color="E29FC1" w:themeColor="accent4" w:themeTint="BF"/>
          <w:left w:val="single" w:sz="8" w:space="0" w:color="E29FC1" w:themeColor="accent4" w:themeTint="BF"/>
          <w:bottom w:val="single" w:sz="8" w:space="0" w:color="E29FC1" w:themeColor="accent4" w:themeTint="BF"/>
          <w:right w:val="single" w:sz="8" w:space="0" w:color="E29FC1" w:themeColor="accent4" w:themeTint="BF"/>
          <w:insideH w:val="nil"/>
          <w:insideV w:val="nil"/>
        </w:tcBorders>
        <w:shd w:val="clear" w:color="auto" w:fill="D980AD" w:themeFill="accent4"/>
      </w:tcPr>
    </w:tblStylePr>
    <w:tblStylePr w:type="lastRow">
      <w:pPr>
        <w:spacing w:before="0" w:after="0" w:line="240" w:lineRule="auto"/>
      </w:pPr>
      <w:rPr>
        <w:b/>
        <w:bCs/>
      </w:rPr>
      <w:tblPr/>
      <w:tcPr>
        <w:tcBorders>
          <w:top w:val="double" w:sz="6" w:space="0" w:color="E29FC1" w:themeColor="accent4" w:themeTint="BF"/>
          <w:left w:val="single" w:sz="8" w:space="0" w:color="E29FC1" w:themeColor="accent4" w:themeTint="BF"/>
          <w:bottom w:val="single" w:sz="8" w:space="0" w:color="E29FC1" w:themeColor="accent4" w:themeTint="BF"/>
          <w:right w:val="single" w:sz="8" w:space="0" w:color="E29FC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5DFEA" w:themeFill="accent4" w:themeFillTint="3F"/>
      </w:tcPr>
    </w:tblStylePr>
    <w:tblStylePr w:type="band1Horz">
      <w:tblPr/>
      <w:tcPr>
        <w:tcBorders>
          <w:insideH w:val="nil"/>
          <w:insideV w:val="nil"/>
        </w:tcBorders>
        <w:shd w:val="clear" w:color="auto" w:fill="F5DFE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FBBB5E" w:themeColor="accent5" w:themeTint="BF"/>
        <w:left w:val="single" w:sz="8" w:space="0" w:color="FBBB5E" w:themeColor="accent5" w:themeTint="BF"/>
        <w:bottom w:val="single" w:sz="8" w:space="0" w:color="FBBB5E" w:themeColor="accent5" w:themeTint="BF"/>
        <w:right w:val="single" w:sz="8" w:space="0" w:color="FBBB5E" w:themeColor="accent5" w:themeTint="BF"/>
        <w:insideH w:val="single" w:sz="8" w:space="0" w:color="FBBB5E" w:themeColor="accent5" w:themeTint="BF"/>
      </w:tblBorders>
    </w:tblPr>
    <w:tblStylePr w:type="firstRow">
      <w:pPr>
        <w:spacing w:before="0" w:after="0" w:line="240" w:lineRule="auto"/>
      </w:pPr>
      <w:rPr>
        <w:b/>
        <w:bCs/>
        <w:color w:val="FFFFFF" w:themeColor="background1"/>
      </w:rPr>
      <w:tblPr/>
      <w:tcPr>
        <w:tcBorders>
          <w:top w:val="single" w:sz="8" w:space="0" w:color="FBBB5E" w:themeColor="accent5" w:themeTint="BF"/>
          <w:left w:val="single" w:sz="8" w:space="0" w:color="FBBB5E" w:themeColor="accent5" w:themeTint="BF"/>
          <w:bottom w:val="single" w:sz="8" w:space="0" w:color="FBBB5E" w:themeColor="accent5" w:themeTint="BF"/>
          <w:right w:val="single" w:sz="8" w:space="0" w:color="FBBB5E" w:themeColor="accent5" w:themeTint="BF"/>
          <w:insideH w:val="nil"/>
          <w:insideV w:val="nil"/>
        </w:tcBorders>
        <w:shd w:val="clear" w:color="auto" w:fill="FAA629" w:themeFill="accent5"/>
      </w:tcPr>
    </w:tblStylePr>
    <w:tblStylePr w:type="lastRow">
      <w:pPr>
        <w:spacing w:before="0" w:after="0" w:line="240" w:lineRule="auto"/>
      </w:pPr>
      <w:rPr>
        <w:b/>
        <w:bCs/>
      </w:rPr>
      <w:tblPr/>
      <w:tcPr>
        <w:tcBorders>
          <w:top w:val="double" w:sz="6" w:space="0" w:color="FBBB5E" w:themeColor="accent5" w:themeTint="BF"/>
          <w:left w:val="single" w:sz="8" w:space="0" w:color="FBBB5E" w:themeColor="accent5" w:themeTint="BF"/>
          <w:bottom w:val="single" w:sz="8" w:space="0" w:color="FBBB5E" w:themeColor="accent5" w:themeTint="BF"/>
          <w:right w:val="single" w:sz="8" w:space="0" w:color="FBBB5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DE8C9" w:themeFill="accent5" w:themeFillTint="3F"/>
      </w:tcPr>
    </w:tblStylePr>
    <w:tblStylePr w:type="band1Horz">
      <w:tblPr/>
      <w:tcPr>
        <w:tcBorders>
          <w:insideH w:val="nil"/>
          <w:insideV w:val="nil"/>
        </w:tcBorders>
        <w:shd w:val="clear" w:color="auto" w:fill="FDE8C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F58E66" w:themeColor="accent6" w:themeTint="BF"/>
        <w:left w:val="single" w:sz="8" w:space="0" w:color="F58E66" w:themeColor="accent6" w:themeTint="BF"/>
        <w:bottom w:val="single" w:sz="8" w:space="0" w:color="F58E66" w:themeColor="accent6" w:themeTint="BF"/>
        <w:right w:val="single" w:sz="8" w:space="0" w:color="F58E66" w:themeColor="accent6" w:themeTint="BF"/>
        <w:insideH w:val="single" w:sz="8" w:space="0" w:color="F58E66" w:themeColor="accent6" w:themeTint="BF"/>
      </w:tblBorders>
    </w:tblPr>
    <w:tblStylePr w:type="firstRow">
      <w:pPr>
        <w:spacing w:before="0" w:after="0" w:line="240" w:lineRule="auto"/>
      </w:pPr>
      <w:rPr>
        <w:b/>
        <w:bCs/>
        <w:color w:val="FFFFFF" w:themeColor="background1"/>
      </w:rPr>
      <w:tblPr/>
      <w:tcPr>
        <w:tcBorders>
          <w:top w:val="single" w:sz="8" w:space="0" w:color="F58E66" w:themeColor="accent6" w:themeTint="BF"/>
          <w:left w:val="single" w:sz="8" w:space="0" w:color="F58E66" w:themeColor="accent6" w:themeTint="BF"/>
          <w:bottom w:val="single" w:sz="8" w:space="0" w:color="F58E66" w:themeColor="accent6" w:themeTint="BF"/>
          <w:right w:val="single" w:sz="8" w:space="0" w:color="F58E66" w:themeColor="accent6" w:themeTint="BF"/>
          <w:insideH w:val="nil"/>
          <w:insideV w:val="nil"/>
        </w:tcBorders>
        <w:shd w:val="clear" w:color="auto" w:fill="F26934" w:themeFill="accent6"/>
      </w:tcPr>
    </w:tblStylePr>
    <w:tblStylePr w:type="lastRow">
      <w:pPr>
        <w:spacing w:before="0" w:after="0" w:line="240" w:lineRule="auto"/>
      </w:pPr>
      <w:rPr>
        <w:b/>
        <w:bCs/>
      </w:rPr>
      <w:tblPr/>
      <w:tcPr>
        <w:tcBorders>
          <w:top w:val="double" w:sz="6" w:space="0" w:color="F58E66" w:themeColor="accent6" w:themeTint="BF"/>
          <w:left w:val="single" w:sz="8" w:space="0" w:color="F58E66" w:themeColor="accent6" w:themeTint="BF"/>
          <w:bottom w:val="single" w:sz="8" w:space="0" w:color="F58E66" w:themeColor="accent6" w:themeTint="BF"/>
          <w:right w:val="single" w:sz="8" w:space="0" w:color="F58E6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D9CC" w:themeFill="accent6" w:themeFillTint="3F"/>
      </w:tcPr>
    </w:tblStylePr>
    <w:tblStylePr w:type="band1Horz">
      <w:tblPr/>
      <w:tcPr>
        <w:tcBorders>
          <w:insideH w:val="nil"/>
          <w:insideV w:val="nil"/>
        </w:tcBorders>
        <w:shd w:val="clear" w:color="auto" w:fill="FBD9C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C24"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C24" w:themeFill="text1"/>
      </w:tcPr>
    </w:tblStylePr>
    <w:tblStylePr w:type="lastCol">
      <w:rPr>
        <w:b/>
        <w:bCs/>
        <w:color w:val="FFFFFF" w:themeColor="background1"/>
      </w:rPr>
      <w:tblPr/>
      <w:tcPr>
        <w:tcBorders>
          <w:left w:val="nil"/>
          <w:right w:val="nil"/>
          <w:insideH w:val="nil"/>
          <w:insideV w:val="nil"/>
        </w:tcBorders>
        <w:shd w:val="clear" w:color="auto" w:fill="231C24"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0736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07363" w:themeFill="accent1"/>
      </w:tcPr>
    </w:tblStylePr>
    <w:tblStylePr w:type="lastCol">
      <w:rPr>
        <w:b/>
        <w:bCs/>
        <w:color w:val="FFFFFF" w:themeColor="background1"/>
      </w:rPr>
      <w:tblPr/>
      <w:tcPr>
        <w:tcBorders>
          <w:left w:val="nil"/>
          <w:right w:val="nil"/>
          <w:insideH w:val="nil"/>
          <w:insideV w:val="nil"/>
        </w:tcBorders>
        <w:shd w:val="clear" w:color="auto" w:fill="30736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AF5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EAF59" w:themeFill="accent2"/>
      </w:tcPr>
    </w:tblStylePr>
    <w:tblStylePr w:type="lastCol">
      <w:rPr>
        <w:b/>
        <w:bCs/>
        <w:color w:val="FFFFFF" w:themeColor="background1"/>
      </w:rPr>
      <w:tblPr/>
      <w:tcPr>
        <w:tcBorders>
          <w:left w:val="nil"/>
          <w:right w:val="nil"/>
          <w:insideH w:val="nil"/>
          <w:insideV w:val="nil"/>
        </w:tcBorders>
        <w:shd w:val="clear" w:color="auto" w:fill="1EAF5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A2D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A2D4" w:themeFill="accent3"/>
      </w:tcPr>
    </w:tblStylePr>
    <w:tblStylePr w:type="lastCol">
      <w:rPr>
        <w:b/>
        <w:bCs/>
        <w:color w:val="FFFFFF" w:themeColor="background1"/>
      </w:rPr>
      <w:tblPr/>
      <w:tcPr>
        <w:tcBorders>
          <w:left w:val="nil"/>
          <w:right w:val="nil"/>
          <w:insideH w:val="nil"/>
          <w:insideV w:val="nil"/>
        </w:tcBorders>
        <w:shd w:val="clear" w:color="auto" w:fill="8DA2D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80A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80AD" w:themeFill="accent4"/>
      </w:tcPr>
    </w:tblStylePr>
    <w:tblStylePr w:type="lastCol">
      <w:rPr>
        <w:b/>
        <w:bCs/>
        <w:color w:val="FFFFFF" w:themeColor="background1"/>
      </w:rPr>
      <w:tblPr/>
      <w:tcPr>
        <w:tcBorders>
          <w:left w:val="nil"/>
          <w:right w:val="nil"/>
          <w:insideH w:val="nil"/>
          <w:insideV w:val="nil"/>
        </w:tcBorders>
        <w:shd w:val="clear" w:color="auto" w:fill="D980A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AA62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AA629" w:themeFill="accent5"/>
      </w:tcPr>
    </w:tblStylePr>
    <w:tblStylePr w:type="lastCol">
      <w:rPr>
        <w:b/>
        <w:bCs/>
        <w:color w:val="FFFFFF" w:themeColor="background1"/>
      </w:rPr>
      <w:tblPr/>
      <w:tcPr>
        <w:tcBorders>
          <w:left w:val="nil"/>
          <w:right w:val="nil"/>
          <w:insideH w:val="nil"/>
          <w:insideV w:val="nil"/>
        </w:tcBorders>
        <w:shd w:val="clear" w:color="auto" w:fill="FAA62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693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26934" w:themeFill="accent6"/>
      </w:tcPr>
    </w:tblStylePr>
    <w:tblStylePr w:type="lastCol">
      <w:rPr>
        <w:b/>
        <w:bCs/>
        <w:color w:val="FFFFFF" w:themeColor="background1"/>
      </w:rPr>
      <w:tblPr/>
      <w:tcPr>
        <w:tcBorders>
          <w:left w:val="nil"/>
          <w:right w:val="nil"/>
          <w:insideH w:val="nil"/>
          <w:insideV w:val="nil"/>
        </w:tcBorders>
        <w:shd w:val="clear" w:color="auto" w:fill="F2693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9819D"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9819D"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819D"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819D"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819D"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819D"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semiHidden/>
    <w:rsid w:val="0058629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oteHeading">
    <w:name w:val="Note Heading"/>
    <w:basedOn w:val="Normal"/>
    <w:next w:val="Normal"/>
    <w:link w:val="NoteHeadingChar"/>
    <w:qFormat/>
    <w:rsid w:val="00384FB0"/>
    <w:pPr>
      <w:spacing w:before="60" w:after="60" w:line="240" w:lineRule="atLeast"/>
    </w:pPr>
    <w:rPr>
      <w:sz w:val="18"/>
    </w:rPr>
  </w:style>
  <w:style w:type="character" w:customStyle="1" w:styleId="NoteHeadingChar">
    <w:name w:val="Note Heading Char"/>
    <w:basedOn w:val="DefaultParagraphFont"/>
    <w:link w:val="NoteHeading"/>
    <w:rsid w:val="00384FB0"/>
    <w:rPr>
      <w:kern w:val="24"/>
      <w:sz w:val="18"/>
    </w:rPr>
  </w:style>
  <w:style w:type="paragraph" w:styleId="PlainText">
    <w:name w:val="Plain Text"/>
    <w:basedOn w:val="Normal"/>
    <w:link w:val="PlainTextChar"/>
    <w:uiPriority w:val="99"/>
    <w:semiHidden/>
    <w:unhideWhenUsed/>
    <w:rsid w:val="0058629F"/>
    <w:rPr>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7A42F5"/>
    <w:rPr>
      <w:sz w:val="20"/>
    </w:rPr>
  </w:style>
  <w:style w:type="character" w:customStyle="1" w:styleId="TOC1Char">
    <w:name w:val="TOC 1 Char"/>
    <w:basedOn w:val="DefaultParagraphFont"/>
    <w:link w:val="TOC1"/>
    <w:uiPriority w:val="39"/>
    <w:rsid w:val="00C053DE"/>
    <w:rPr>
      <w:rFonts w:ascii="Calibri" w:eastAsia="Calibri" w:hAnsi="Calibri" w:cs="Calibri"/>
      <w:b/>
      <w:noProof/>
      <w:color w:val="auto"/>
      <w:sz w:val="24"/>
      <w:szCs w:val="24"/>
    </w:rPr>
  </w:style>
  <w:style w:type="paragraph" w:styleId="EndnoteText">
    <w:name w:val="endnote text"/>
    <w:basedOn w:val="Normal"/>
    <w:link w:val="EndnoteTextChar"/>
    <w:uiPriority w:val="99"/>
    <w:unhideWhenUsed/>
    <w:rsid w:val="00C009AB"/>
    <w:pPr>
      <w:spacing w:before="0" w:after="0"/>
      <w:ind w:left="720" w:hanging="720"/>
    </w:pPr>
    <w:rPr>
      <w:sz w:val="16"/>
    </w:rPr>
  </w:style>
  <w:style w:type="paragraph" w:styleId="ListContinue4">
    <w:name w:val="List Continue 4"/>
    <w:basedOn w:val="Normal"/>
    <w:semiHidden/>
    <w:rsid w:val="0058629F"/>
    <w:pPr>
      <w:spacing w:before="100" w:after="100"/>
      <w:ind w:left="1814"/>
    </w:pPr>
  </w:style>
  <w:style w:type="paragraph" w:styleId="ListContinue5">
    <w:name w:val="List Continue 5"/>
    <w:basedOn w:val="Normal"/>
    <w:semiHidden/>
    <w:rsid w:val="0058629F"/>
    <w:pPr>
      <w:spacing w:before="100" w:after="100"/>
      <w:ind w:left="2268"/>
    </w:pPr>
  </w:style>
  <w:style w:type="paragraph" w:customStyle="1" w:styleId="Headerwithpurplelineabove">
    <w:name w:val="Header with purple line above"/>
    <w:basedOn w:val="Header"/>
    <w:next w:val="Header"/>
    <w:uiPriority w:val="99"/>
    <w:qFormat/>
    <w:rsid w:val="006162F5"/>
    <w:pPr>
      <w:pBdr>
        <w:top w:val="single" w:sz="4" w:space="3" w:color="8DA2D4" w:themeColor="accent3"/>
      </w:pBdr>
      <w:spacing w:after="0"/>
    </w:pPr>
  </w:style>
  <w:style w:type="numbering" w:customStyle="1" w:styleId="Appendices">
    <w:name w:val="Appendices"/>
    <w:uiPriority w:val="99"/>
    <w:rsid w:val="0058629F"/>
    <w:pPr>
      <w:numPr>
        <w:numId w:val="16"/>
      </w:numPr>
    </w:pPr>
  </w:style>
  <w:style w:type="numbering" w:customStyle="1" w:styleId="MyHeadings">
    <w:name w:val="MyHeadings"/>
    <w:uiPriority w:val="99"/>
    <w:rsid w:val="0058629F"/>
    <w:pPr>
      <w:numPr>
        <w:numId w:val="20"/>
      </w:numPr>
    </w:pPr>
  </w:style>
  <w:style w:type="paragraph" w:customStyle="1" w:styleId="Source">
    <w:name w:val="Source"/>
    <w:basedOn w:val="Normal"/>
    <w:qFormat/>
    <w:rsid w:val="00384FB0"/>
    <w:pPr>
      <w:spacing w:line="240" w:lineRule="atLeast"/>
    </w:pPr>
    <w:rPr>
      <w:sz w:val="18"/>
    </w:rPr>
  </w:style>
  <w:style w:type="character" w:customStyle="1" w:styleId="EndnoteTextChar">
    <w:name w:val="Endnote Text Char"/>
    <w:basedOn w:val="DefaultParagraphFont"/>
    <w:link w:val="EndnoteText"/>
    <w:uiPriority w:val="99"/>
    <w:rsid w:val="00C009AB"/>
    <w:rPr>
      <w:sz w:val="16"/>
    </w:rPr>
  </w:style>
  <w:style w:type="character" w:styleId="EndnoteReference">
    <w:name w:val="endnote reference"/>
    <w:basedOn w:val="DefaultParagraphFont"/>
    <w:uiPriority w:val="99"/>
    <w:unhideWhenUsed/>
    <w:rsid w:val="00E36C40"/>
    <w:rPr>
      <w:vertAlign w:val="superscript"/>
    </w:rPr>
  </w:style>
  <w:style w:type="paragraph" w:customStyle="1" w:styleId="NotesNumbered">
    <w:name w:val="Notes Numbered"/>
    <w:basedOn w:val="NoteHeading"/>
    <w:qFormat/>
    <w:rsid w:val="00D91D02"/>
    <w:pPr>
      <w:numPr>
        <w:numId w:val="22"/>
      </w:numPr>
    </w:pPr>
  </w:style>
  <w:style w:type="paragraph" w:customStyle="1" w:styleId="FooterPageNumber">
    <w:name w:val="Footer Page Number"/>
    <w:basedOn w:val="Footer"/>
    <w:next w:val="Footer"/>
    <w:uiPriority w:val="99"/>
    <w:qFormat/>
    <w:rsid w:val="00756397"/>
    <w:pPr>
      <w:tabs>
        <w:tab w:val="left" w:pos="2948"/>
      </w:tabs>
      <w:spacing w:line="420" w:lineRule="atLeast"/>
      <w:jc w:val="right"/>
    </w:pPr>
    <w:rPr>
      <w:caps/>
      <w:color w:val="1E2431"/>
      <w:szCs w:val="20"/>
    </w:rPr>
  </w:style>
  <w:style w:type="paragraph" w:customStyle="1" w:styleId="Footerwithpurplelinebelow">
    <w:name w:val="Footer with purple line below"/>
    <w:basedOn w:val="Footer"/>
    <w:next w:val="Footer"/>
    <w:uiPriority w:val="99"/>
    <w:rsid w:val="00BA7FAE"/>
    <w:pPr>
      <w:pBdr>
        <w:bottom w:val="single" w:sz="4" w:space="1" w:color="8DA2D4" w:themeColor="accent3"/>
      </w:pBdr>
      <w:spacing w:before="120" w:after="20"/>
    </w:pPr>
  </w:style>
  <w:style w:type="paragraph" w:customStyle="1" w:styleId="ListBulletBold">
    <w:name w:val="List Bullet Bold"/>
    <w:basedOn w:val="ListBullet"/>
    <w:qFormat/>
    <w:rsid w:val="000E4CC3"/>
    <w:rPr>
      <w:b/>
    </w:rPr>
  </w:style>
  <w:style w:type="paragraph" w:customStyle="1" w:styleId="Pullouttext20pt">
    <w:name w:val="Pull out text 20pt"/>
    <w:basedOn w:val="Normal"/>
    <w:qFormat/>
    <w:rsid w:val="00055AEB"/>
    <w:pPr>
      <w:spacing w:line="480" w:lineRule="atLeast"/>
    </w:pPr>
    <w:rPr>
      <w:sz w:val="40"/>
    </w:rPr>
  </w:style>
  <w:style w:type="table" w:styleId="TableGrid">
    <w:name w:val="Table Grid"/>
    <w:basedOn w:val="TableNormal"/>
    <w:uiPriority w:val="39"/>
    <w:rsid w:val="00EA4F58"/>
    <w:pPr>
      <w:spacing w:before="60" w:after="60"/>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42" w:type="dxa"/>
        <w:right w:w="142" w:type="dxa"/>
      </w:tblCellMar>
    </w:tblPr>
    <w:tcPr>
      <w:shd w:val="clear" w:color="auto" w:fill="F7F5ED" w:themeFill="background2"/>
    </w:tcPr>
    <w:tblStylePr w:type="firstRow">
      <w:tblPr/>
      <w:tcPr>
        <w:tcBorders>
          <w:top w:val="single" w:sz="4" w:space="0" w:color="8DA2D4" w:themeColor="accent3"/>
          <w:left w:val="single" w:sz="4" w:space="0" w:color="8DA2D4" w:themeColor="accent3"/>
          <w:bottom w:val="single" w:sz="4" w:space="0" w:color="8DA2D4" w:themeColor="accent3"/>
          <w:right w:val="single" w:sz="4" w:space="0" w:color="8DA2D4" w:themeColor="accent3"/>
          <w:insideH w:val="single" w:sz="4" w:space="0" w:color="8DA2D4" w:themeColor="accent3"/>
          <w:insideV w:val="single" w:sz="4" w:space="0" w:color="8DA2D4" w:themeColor="accent3"/>
          <w:tl2br w:val="nil"/>
          <w:tr2bl w:val="nil"/>
        </w:tcBorders>
        <w:shd w:val="clear" w:color="auto" w:fill="8DA2D4" w:themeFill="accent3"/>
      </w:tcPr>
    </w:tblStylePr>
    <w:tblStylePr w:type="lastRow">
      <w:tblPr/>
      <w:tcPr>
        <w:shd w:val="clear" w:color="auto" w:fill="EFEBDA" w:themeFill="text2"/>
      </w:tcPr>
    </w:tblStylePr>
    <w:tblStylePr w:type="firstCol">
      <w:rPr>
        <w:b/>
      </w:rPr>
      <w:tblPr/>
      <w:tcPr>
        <w:shd w:val="clear" w:color="auto" w:fill="EFEBDA" w:themeFill="text2"/>
      </w:tcPr>
    </w:tblStylePr>
    <w:tblStylePr w:type="lastCol">
      <w:rPr>
        <w:b w:val="0"/>
      </w:rPr>
      <w:tblPr/>
      <w:tcPr>
        <w:shd w:val="clear" w:color="auto" w:fill="EFEBDA" w:themeFill="text2"/>
      </w:tcPr>
    </w:tblStylePr>
  </w:style>
  <w:style w:type="paragraph" w:customStyle="1" w:styleId="AppendixHeading">
    <w:name w:val="Appendix Heading"/>
    <w:basedOn w:val="BodyText"/>
    <w:next w:val="AppendixBodyText"/>
    <w:uiPriority w:val="2"/>
    <w:qFormat/>
    <w:rsid w:val="00D565A3"/>
    <w:pPr>
      <w:numPr>
        <w:numId w:val="24"/>
      </w:numPr>
      <w:pBdr>
        <w:top w:val="single" w:sz="4" w:space="6" w:color="auto"/>
      </w:pBdr>
      <w:spacing w:before="240" w:after="60"/>
    </w:pPr>
    <w:rPr>
      <w:b/>
      <w:bCs/>
      <w:color w:val="307363" w:themeColor="accent1"/>
    </w:rPr>
  </w:style>
  <w:style w:type="paragraph" w:customStyle="1" w:styleId="AppendixBodyText">
    <w:name w:val="Appendix Body Text"/>
    <w:basedOn w:val="NoSpacing"/>
    <w:uiPriority w:val="2"/>
    <w:qFormat/>
    <w:rsid w:val="00C702CD"/>
    <w:pPr>
      <w:spacing w:after="160" w:line="300" w:lineRule="atLeast"/>
    </w:pPr>
  </w:style>
  <w:style w:type="paragraph" w:customStyle="1" w:styleId="Shade">
    <w:name w:val="Shade"/>
    <w:basedOn w:val="Normal"/>
    <w:next w:val="BodyText"/>
    <w:uiPriority w:val="99"/>
    <w:rsid w:val="003440D5"/>
    <w:pPr>
      <w:shd w:val="clear" w:color="auto" w:fill="FFFFFF" w:themeFill="background1"/>
      <w:tabs>
        <w:tab w:val="left" w:pos="4774"/>
      </w:tabs>
      <w:spacing w:before="240" w:after="240" w:line="240" w:lineRule="atLeast"/>
      <w:ind w:left="-227" w:right="-227"/>
    </w:pPr>
    <w:rPr>
      <w:kern w:val="18"/>
      <w:sz w:val="18"/>
      <w:szCs w:val="18"/>
    </w:rPr>
  </w:style>
  <w:style w:type="paragraph" w:customStyle="1" w:styleId="PullBoxSmall">
    <w:name w:val="Pull Box Small"/>
    <w:basedOn w:val="Normal"/>
    <w:qFormat/>
    <w:rsid w:val="00D80D20"/>
    <w:pPr>
      <w:widowControl w:val="0"/>
      <w:spacing w:before="60" w:after="60" w:line="240" w:lineRule="atLeast"/>
    </w:pPr>
    <w:rPr>
      <w:sz w:val="18"/>
    </w:rPr>
  </w:style>
  <w:style w:type="paragraph" w:customStyle="1" w:styleId="PullBoxHeading">
    <w:name w:val="Pull Box Heading"/>
    <w:basedOn w:val="PullBoxSmall"/>
    <w:qFormat/>
    <w:rsid w:val="00EA4F58"/>
    <w:pPr>
      <w:keepNext/>
    </w:pPr>
    <w:rPr>
      <w:b/>
      <w:sz w:val="20"/>
    </w:rPr>
  </w:style>
  <w:style w:type="paragraph" w:customStyle="1" w:styleId="Headerwithblacklineabove">
    <w:name w:val="Header with black line above"/>
    <w:basedOn w:val="Header"/>
    <w:next w:val="Header"/>
    <w:uiPriority w:val="99"/>
    <w:rsid w:val="005B49FF"/>
    <w:pPr>
      <w:pBdr>
        <w:top w:val="single" w:sz="4" w:space="3" w:color="auto"/>
      </w:pBdr>
      <w:spacing w:after="0"/>
    </w:pPr>
  </w:style>
  <w:style w:type="paragraph" w:customStyle="1" w:styleId="Footerwithblacklinebelow">
    <w:name w:val="Footer with black line below"/>
    <w:basedOn w:val="Footerwithpurplelinebelow"/>
    <w:uiPriority w:val="99"/>
    <w:rsid w:val="00BE7F02"/>
    <w:pPr>
      <w:pBdr>
        <w:bottom w:val="single" w:sz="4" w:space="1" w:color="auto"/>
      </w:pBdr>
    </w:pPr>
  </w:style>
  <w:style w:type="paragraph" w:customStyle="1" w:styleId="HeadingContinued">
    <w:name w:val="Heading Continued"/>
    <w:basedOn w:val="Normal"/>
    <w:next w:val="BodyText"/>
    <w:uiPriority w:val="99"/>
    <w:qFormat/>
    <w:rsid w:val="00724C5B"/>
    <w:pPr>
      <w:spacing w:before="360" w:after="960"/>
    </w:pPr>
    <w:rPr>
      <w:b/>
      <w:bCs/>
      <w:sz w:val="30"/>
      <w:szCs w:val="30"/>
    </w:rPr>
  </w:style>
  <w:style w:type="paragraph" w:customStyle="1" w:styleId="TextBoxText">
    <w:name w:val="Text Box Text"/>
    <w:basedOn w:val="NoSpacing"/>
    <w:qFormat/>
    <w:rsid w:val="00DB60CB"/>
    <w:pPr>
      <w:spacing w:after="40"/>
      <w:contextualSpacing/>
    </w:pPr>
  </w:style>
  <w:style w:type="character" w:styleId="UnresolvedMention">
    <w:name w:val="Unresolved Mention"/>
    <w:basedOn w:val="DefaultParagraphFont"/>
    <w:uiPriority w:val="99"/>
    <w:unhideWhenUsed/>
    <w:rsid w:val="00234974"/>
    <w:rPr>
      <w:color w:val="605E5C"/>
      <w:shd w:val="clear" w:color="auto" w:fill="E1DFDD"/>
    </w:rPr>
  </w:style>
  <w:style w:type="paragraph" w:styleId="TOC3">
    <w:name w:val="toc 3"/>
    <w:basedOn w:val="Normal"/>
    <w:next w:val="Normal"/>
    <w:autoRedefine/>
    <w:uiPriority w:val="39"/>
    <w:rsid w:val="005936A7"/>
    <w:pPr>
      <w:tabs>
        <w:tab w:val="right" w:pos="9044"/>
      </w:tabs>
      <w:spacing w:before="100" w:after="100"/>
      <w:ind w:left="480" w:right="567"/>
    </w:pPr>
  </w:style>
  <w:style w:type="paragraph" w:customStyle="1" w:styleId="SectionHeading">
    <w:name w:val="Section Heading"/>
    <w:basedOn w:val="Header"/>
    <w:uiPriority w:val="2"/>
    <w:rsid w:val="00143B50"/>
    <w:pPr>
      <w:framePr w:w="5670" w:h="113" w:hSpace="17010" w:wrap="around" w:vAnchor="page" w:hAnchor="page" w:x="1419" w:y="2411"/>
      <w:spacing w:after="0" w:line="624" w:lineRule="exact"/>
      <w:ind w:left="510" w:right="510"/>
    </w:pPr>
    <w:rPr>
      <w:sz w:val="52"/>
      <w:szCs w:val="18"/>
    </w:rPr>
  </w:style>
  <w:style w:type="paragraph" w:customStyle="1" w:styleId="SectionHeadingAnchor">
    <w:name w:val="Section Heading Anchor"/>
    <w:basedOn w:val="Normal"/>
    <w:next w:val="SectionHeading"/>
    <w:uiPriority w:val="2"/>
    <w:rsid w:val="00EB2DF6"/>
    <w:pPr>
      <w:pageBreakBefore/>
      <w:spacing w:before="0" w:after="7320" w:line="220" w:lineRule="atLeast"/>
    </w:pPr>
    <w:rPr>
      <w:sz w:val="18"/>
      <w:szCs w:val="18"/>
    </w:rPr>
  </w:style>
  <w:style w:type="paragraph" w:customStyle="1" w:styleId="SectionQuote">
    <w:name w:val="Section Quote"/>
    <w:basedOn w:val="SectionHeading"/>
    <w:uiPriority w:val="2"/>
    <w:rsid w:val="008C6942"/>
    <w:pPr>
      <w:framePr w:wrap="around" w:y="5614"/>
      <w:spacing w:line="240" w:lineRule="auto"/>
      <w:ind w:left="567" w:hanging="227"/>
    </w:pPr>
    <w:rPr>
      <w:b w:val="0"/>
      <w:sz w:val="40"/>
    </w:rPr>
  </w:style>
  <w:style w:type="paragraph" w:customStyle="1" w:styleId="Heading3NoTOC">
    <w:name w:val="Heading 3 No TOC"/>
    <w:basedOn w:val="Heading3"/>
    <w:next w:val="BodyText"/>
    <w:rsid w:val="00112CD7"/>
    <w:pPr>
      <w:outlineLvl w:val="9"/>
    </w:pPr>
  </w:style>
  <w:style w:type="paragraph" w:customStyle="1" w:styleId="Heading2NoTOC">
    <w:name w:val="Heading 2 No TOC"/>
    <w:basedOn w:val="Heading2"/>
    <w:next w:val="BodyText"/>
    <w:rsid w:val="00745B34"/>
    <w:pPr>
      <w:outlineLvl w:val="0"/>
    </w:pPr>
    <w:rPr>
      <w:rFonts w:cs="Calibri"/>
      <w:sz w:val="28"/>
      <w:szCs w:val="20"/>
    </w:rPr>
  </w:style>
  <w:style w:type="paragraph" w:customStyle="1" w:styleId="BodyTextAfterListorTble">
    <w:name w:val="Body Text After List or Tble"/>
    <w:basedOn w:val="BodyText"/>
    <w:next w:val="BodyText"/>
    <w:qFormat/>
    <w:rsid w:val="00DB60CB"/>
    <w:pPr>
      <w:spacing w:before="160"/>
    </w:pPr>
  </w:style>
  <w:style w:type="character" w:customStyle="1" w:styleId="normaltextrun">
    <w:name w:val="normaltextrun"/>
    <w:basedOn w:val="DefaultParagraphFont"/>
    <w:rsid w:val="00C23208"/>
  </w:style>
  <w:style w:type="character" w:styleId="Mention">
    <w:name w:val="Mention"/>
    <w:basedOn w:val="DefaultParagraphFont"/>
    <w:uiPriority w:val="99"/>
    <w:unhideWhenUsed/>
    <w:rsid w:val="00C23208"/>
    <w:rPr>
      <w:color w:val="2B579A"/>
      <w:shd w:val="clear" w:color="auto" w:fill="E6E6E6"/>
    </w:rPr>
  </w:style>
  <w:style w:type="paragraph" w:customStyle="1" w:styleId="EndNoteBibliography">
    <w:name w:val="EndNote Bibliography"/>
    <w:basedOn w:val="Normal"/>
    <w:link w:val="EndNoteBibliographyChar"/>
    <w:rsid w:val="00C23208"/>
    <w:pPr>
      <w:suppressAutoHyphens/>
      <w:autoSpaceDE w:val="0"/>
      <w:autoSpaceDN w:val="0"/>
      <w:adjustRightInd w:val="0"/>
      <w:spacing w:before="0" w:after="240" w:line="240" w:lineRule="atLeast"/>
      <w:textAlignment w:val="center"/>
    </w:pPr>
    <w:rPr>
      <w:rFonts w:eastAsiaTheme="minorHAnsi"/>
      <w:noProof/>
      <w:color w:val="000000"/>
      <w:sz w:val="16"/>
      <w:lang w:val="en-US" w:eastAsia="en-US"/>
    </w:rPr>
  </w:style>
  <w:style w:type="character" w:customStyle="1" w:styleId="EndNoteBibliographyChar">
    <w:name w:val="EndNote Bibliography Char"/>
    <w:basedOn w:val="DefaultParagraphFont"/>
    <w:link w:val="EndNoteBibliography"/>
    <w:rsid w:val="00C23208"/>
    <w:rPr>
      <w:rFonts w:ascii="Calibri" w:eastAsiaTheme="minorHAnsi" w:hAnsi="Calibri" w:cs="Calibri"/>
      <w:noProof/>
      <w:color w:val="000000"/>
      <w:sz w:val="16"/>
      <w:szCs w:val="22"/>
      <w:lang w:val="en-US" w:eastAsia="en-US"/>
    </w:rPr>
  </w:style>
  <w:style w:type="paragraph" w:customStyle="1" w:styleId="paragraph">
    <w:name w:val="paragraph"/>
    <w:basedOn w:val="Normal"/>
    <w:link w:val="paragraphChar"/>
    <w:rsid w:val="00C23208"/>
    <w:pPr>
      <w:spacing w:before="100" w:beforeAutospacing="1" w:after="100" w:afterAutospacing="1"/>
    </w:pPr>
    <w:rPr>
      <w:rFonts w:ascii="Times New Roman" w:hAnsi="Times New Roman"/>
      <w:sz w:val="24"/>
      <w:szCs w:val="24"/>
    </w:rPr>
  </w:style>
  <w:style w:type="character" w:customStyle="1" w:styleId="eop">
    <w:name w:val="eop"/>
    <w:basedOn w:val="DefaultParagraphFont"/>
    <w:rsid w:val="00C23208"/>
  </w:style>
  <w:style w:type="character" w:customStyle="1" w:styleId="paragraphChar">
    <w:name w:val="paragraph Char"/>
    <w:basedOn w:val="DefaultParagraphFont"/>
    <w:link w:val="paragraph"/>
    <w:rsid w:val="00C23208"/>
    <w:rPr>
      <w:rFonts w:ascii="Times New Roman" w:hAnsi="Times New Roman"/>
      <w:color w:val="auto"/>
      <w:sz w:val="24"/>
      <w:szCs w:val="24"/>
    </w:rPr>
  </w:style>
  <w:style w:type="paragraph" w:styleId="ListParagraph">
    <w:name w:val="List Paragraph"/>
    <w:aliases w:val="First level bullet point,Recommendation,List Paragraph1,List Paragraph11,standard lewis,Lists,Body text,Bullet point,Body Text1,NAST Quote,Bullets,CV text,Dot pt,F5 List Paragraph,FooterText,L,List Paragraph111,List Paragraph2,列,Figure_na"/>
    <w:basedOn w:val="Normal"/>
    <w:link w:val="ListParagraphChar"/>
    <w:uiPriority w:val="34"/>
    <w:qFormat/>
    <w:rsid w:val="00F84726"/>
    <w:pPr>
      <w:numPr>
        <w:numId w:val="25"/>
      </w:numPr>
      <w:suppressAutoHyphens/>
      <w:autoSpaceDE w:val="0"/>
      <w:autoSpaceDN w:val="0"/>
      <w:adjustRightInd w:val="0"/>
      <w:spacing w:before="60" w:after="60"/>
      <w:textAlignment w:val="center"/>
    </w:pPr>
    <w:rPr>
      <w:rFonts w:eastAsiaTheme="minorHAnsi" w:cs="Roboto-Light"/>
      <w:color w:val="000000"/>
      <w:lang w:val="en-GB" w:eastAsia="en-US"/>
    </w:rPr>
  </w:style>
  <w:style w:type="character" w:customStyle="1" w:styleId="ListParagraphChar">
    <w:name w:val="List Paragraph Char"/>
    <w:aliases w:val="First level bullet point Char,Recommendation Char,List Paragraph1 Char,List Paragraph11 Char,standard lewis Char,Lists Char,Body text Char,Bullet point Char,Body Text1 Char,NAST Quote Char,Bullets Char,CV text Char,Dot pt Char,L Char"/>
    <w:basedOn w:val="DefaultParagraphFont"/>
    <w:link w:val="ListParagraph"/>
    <w:uiPriority w:val="34"/>
    <w:qFormat/>
    <w:locked/>
    <w:rsid w:val="00F84726"/>
    <w:rPr>
      <w:rFonts w:ascii="Calibri" w:eastAsiaTheme="minorHAnsi" w:hAnsi="Calibri" w:cs="Roboto-Light"/>
      <w:color w:val="000000"/>
      <w:sz w:val="22"/>
      <w:szCs w:val="22"/>
      <w:lang w:val="en-GB" w:eastAsia="en-US"/>
    </w:rPr>
  </w:style>
  <w:style w:type="character" w:customStyle="1" w:styleId="journalname">
    <w:name w:val="journalname"/>
    <w:basedOn w:val="DefaultParagraphFont"/>
    <w:rsid w:val="00E864FA"/>
  </w:style>
  <w:style w:type="character" w:customStyle="1" w:styleId="year">
    <w:name w:val="year"/>
    <w:basedOn w:val="DefaultParagraphFont"/>
    <w:rsid w:val="00E864FA"/>
  </w:style>
  <w:style w:type="character" w:customStyle="1" w:styleId="volume">
    <w:name w:val="volume"/>
    <w:basedOn w:val="DefaultParagraphFont"/>
    <w:rsid w:val="00E864FA"/>
  </w:style>
  <w:style w:type="character" w:customStyle="1" w:styleId="issue">
    <w:name w:val="issue"/>
    <w:basedOn w:val="DefaultParagraphFont"/>
    <w:rsid w:val="00E864FA"/>
  </w:style>
  <w:style w:type="character" w:customStyle="1" w:styleId="page">
    <w:name w:val="page"/>
    <w:basedOn w:val="DefaultParagraphFont"/>
    <w:rsid w:val="00E864FA"/>
  </w:style>
  <w:style w:type="paragraph" w:customStyle="1" w:styleId="NMHCIntroParagraph">
    <w:name w:val="NMHC Intro Paragraph"/>
    <w:basedOn w:val="Normal"/>
    <w:qFormat/>
    <w:rsid w:val="00927CAE"/>
    <w:pPr>
      <w:suppressAutoHyphens/>
      <w:autoSpaceDE w:val="0"/>
      <w:autoSpaceDN w:val="0"/>
      <w:adjustRightInd w:val="0"/>
      <w:spacing w:before="60" w:after="300" w:line="260" w:lineRule="atLeast"/>
      <w:textAlignment w:val="center"/>
    </w:pPr>
    <w:rPr>
      <w:rFonts w:ascii="Merriweather-Regular" w:eastAsiaTheme="minorHAnsi" w:hAnsi="Merriweather-Regular" w:cs="Roboto-Light"/>
      <w:color w:val="2E3192"/>
      <w:sz w:val="28"/>
      <w:lang w:val="en-GB" w:eastAsia="en-US"/>
    </w:rPr>
  </w:style>
  <w:style w:type="character" w:styleId="PageNumber">
    <w:name w:val="page number"/>
    <w:basedOn w:val="DefaultParagraphFont"/>
    <w:uiPriority w:val="99"/>
    <w:semiHidden/>
    <w:unhideWhenUsed/>
    <w:rsid w:val="00927CAE"/>
    <w:rPr>
      <w:rFonts w:ascii="Roboto-Bold" w:hAnsi="Roboto-Bold"/>
      <w:color w:val="5C626C"/>
      <w:sz w:val="16"/>
    </w:rPr>
  </w:style>
  <w:style w:type="paragraph" w:customStyle="1" w:styleId="NMHCABN">
    <w:name w:val="NMHC_ABN"/>
    <w:basedOn w:val="Normal"/>
    <w:uiPriority w:val="99"/>
    <w:rsid w:val="00927CAE"/>
    <w:pPr>
      <w:tabs>
        <w:tab w:val="left" w:pos="454"/>
      </w:tabs>
      <w:autoSpaceDE w:val="0"/>
      <w:autoSpaceDN w:val="0"/>
      <w:adjustRightInd w:val="0"/>
      <w:spacing w:before="0" w:after="0" w:line="260" w:lineRule="atLeast"/>
      <w:jc w:val="right"/>
      <w:textAlignment w:val="center"/>
    </w:pPr>
    <w:rPr>
      <w:rFonts w:ascii="Roboto-Regular" w:eastAsiaTheme="minorHAnsi" w:hAnsi="Roboto-Regular" w:cs="Roboto-Regular"/>
      <w:color w:val="5C626C"/>
      <w:spacing w:val="-1"/>
      <w:sz w:val="14"/>
      <w:szCs w:val="14"/>
      <w:lang w:val="en-GB" w:eastAsia="en-US"/>
      <w14:textFill>
        <w14:solidFill>
          <w14:srgbClr w14:val="5C626C">
            <w14:alpha w14:val="25000"/>
          </w14:srgbClr>
        </w14:solidFill>
      </w14:textFill>
    </w:rPr>
  </w:style>
  <w:style w:type="paragraph" w:customStyle="1" w:styleId="NMHCNamestyle">
    <w:name w:val="NMHC Namestyle"/>
    <w:basedOn w:val="Normal"/>
    <w:uiPriority w:val="99"/>
    <w:rsid w:val="00927CAE"/>
    <w:pPr>
      <w:suppressAutoHyphens/>
      <w:autoSpaceDE w:val="0"/>
      <w:autoSpaceDN w:val="0"/>
      <w:adjustRightInd w:val="0"/>
      <w:spacing w:before="0" w:after="0" w:line="260" w:lineRule="atLeast"/>
      <w:textAlignment w:val="center"/>
    </w:pPr>
    <w:rPr>
      <w:rFonts w:ascii="Roboto-Medium" w:eastAsiaTheme="minorHAnsi" w:hAnsi="Roboto-Medium" w:cs="Roboto-Medium"/>
      <w:color w:val="5C626C"/>
      <w:sz w:val="16"/>
      <w:szCs w:val="16"/>
      <w:lang w:val="en-GB" w:eastAsia="en-US"/>
    </w:rPr>
  </w:style>
  <w:style w:type="paragraph" w:customStyle="1" w:styleId="NoParagraphStyle">
    <w:name w:val="[No Paragraph Style]"/>
    <w:rsid w:val="00927CAE"/>
    <w:pPr>
      <w:autoSpaceDE w:val="0"/>
      <w:autoSpaceDN w:val="0"/>
      <w:adjustRightInd w:val="0"/>
      <w:spacing w:before="0" w:after="0" w:line="288" w:lineRule="auto"/>
      <w:textAlignment w:val="center"/>
    </w:pPr>
    <w:rPr>
      <w:rFonts w:ascii="MinionPro-Regular" w:eastAsiaTheme="minorHAnsi" w:hAnsi="MinionPro-Regular" w:cs="MinionPro-Regular"/>
      <w:color w:val="000000"/>
      <w:sz w:val="24"/>
      <w:szCs w:val="24"/>
      <w:lang w:val="en-US" w:eastAsia="en-US"/>
    </w:rPr>
  </w:style>
  <w:style w:type="paragraph" w:customStyle="1" w:styleId="NMHCCoverNamestyle">
    <w:name w:val="NMHC_Cover_Namestyle"/>
    <w:basedOn w:val="NoParagraphStyle"/>
    <w:qFormat/>
    <w:rsid w:val="00927CAE"/>
    <w:pPr>
      <w:suppressAutoHyphens/>
      <w:spacing w:line="240" w:lineRule="auto"/>
    </w:pPr>
    <w:rPr>
      <w:rFonts w:ascii="Roboto Medium" w:hAnsi="Roboto Medium" w:cs="Roboto-Bold"/>
      <w:bCs/>
      <w:color w:val="2E3192"/>
      <w:szCs w:val="30"/>
    </w:rPr>
  </w:style>
  <w:style w:type="paragraph" w:customStyle="1" w:styleId="Folio-DocumentNameFOLIO">
    <w:name w:val="Folio - Document Name (FOLIO)"/>
    <w:basedOn w:val="NoParagraphStyle"/>
    <w:uiPriority w:val="99"/>
    <w:rsid w:val="00927CAE"/>
    <w:pPr>
      <w:suppressAutoHyphens/>
      <w:spacing w:line="180" w:lineRule="atLeast"/>
    </w:pPr>
    <w:rPr>
      <w:rFonts w:ascii="Merriweather-Regular" w:hAnsi="Merriweather-Regular" w:cs="Merriweather"/>
      <w:color w:val="5C626C"/>
      <w:spacing w:val="-4"/>
      <w:sz w:val="18"/>
      <w:szCs w:val="18"/>
      <w:lang w:val="en-GB"/>
    </w:rPr>
  </w:style>
  <w:style w:type="character" w:customStyle="1" w:styleId="RobotoMediumRoboto">
    <w:name w:val="Roboto Medium (Roboto)"/>
    <w:uiPriority w:val="99"/>
    <w:rsid w:val="00927CAE"/>
    <w:rPr>
      <w:rFonts w:ascii="Roboto-Medium" w:hAnsi="Roboto-Medium" w:cs="Roboto-Medium"/>
    </w:rPr>
  </w:style>
  <w:style w:type="paragraph" w:customStyle="1" w:styleId="NMHCEndsStatement">
    <w:name w:val="NMHC_Ends_Statement"/>
    <w:basedOn w:val="Normal"/>
    <w:qFormat/>
    <w:rsid w:val="00927CAE"/>
    <w:pPr>
      <w:suppressAutoHyphens/>
      <w:autoSpaceDE w:val="0"/>
      <w:autoSpaceDN w:val="0"/>
      <w:adjustRightInd w:val="0"/>
      <w:spacing w:before="0" w:after="240" w:line="260" w:lineRule="atLeast"/>
      <w:jc w:val="center"/>
      <w:textAlignment w:val="center"/>
    </w:pPr>
    <w:rPr>
      <w:rFonts w:eastAsiaTheme="minorHAnsi" w:cs="Roboto-Light"/>
      <w:b/>
      <w:bCs/>
      <w:color w:val="2E3192"/>
      <w:lang w:val="en-GB" w:eastAsia="en-US"/>
    </w:rPr>
  </w:style>
  <w:style w:type="paragraph" w:customStyle="1" w:styleId="NMHCCoverDate">
    <w:name w:val="NMHC_Cover_Date"/>
    <w:basedOn w:val="NMHCCoverNamestyle"/>
    <w:qFormat/>
    <w:rsid w:val="00927CAE"/>
    <w:rPr>
      <w:color w:val="5C626C"/>
      <w:sz w:val="28"/>
    </w:rPr>
  </w:style>
  <w:style w:type="paragraph" w:customStyle="1" w:styleId="NMHCCoverTitle">
    <w:name w:val="NMHC_Cover_Title"/>
    <w:basedOn w:val="Normal"/>
    <w:qFormat/>
    <w:rsid w:val="00927CAE"/>
    <w:pPr>
      <w:suppressAutoHyphens/>
      <w:autoSpaceDE w:val="0"/>
      <w:autoSpaceDN w:val="0"/>
      <w:adjustRightInd w:val="0"/>
      <w:spacing w:before="0" w:after="0" w:line="260" w:lineRule="atLeast"/>
      <w:textAlignment w:val="center"/>
    </w:pPr>
    <w:rPr>
      <w:rFonts w:ascii="Merriweather-Regular" w:eastAsiaTheme="minorHAnsi" w:hAnsi="Merriweather-Regular" w:cs="Roboto-Light"/>
      <w:color w:val="2E3192"/>
      <w:sz w:val="52"/>
      <w:lang w:eastAsia="en-US"/>
    </w:rPr>
  </w:style>
  <w:style w:type="paragraph" w:customStyle="1" w:styleId="NMHCTableName">
    <w:name w:val="NMHC_Table_Name"/>
    <w:basedOn w:val="Heading4"/>
    <w:qFormat/>
    <w:rsid w:val="00927CAE"/>
    <w:pPr>
      <w:keepNext w:val="0"/>
      <w:keepLines w:val="0"/>
      <w:suppressAutoHyphens/>
      <w:autoSpaceDE w:val="0"/>
      <w:autoSpaceDN w:val="0"/>
      <w:adjustRightInd w:val="0"/>
      <w:spacing w:before="0" w:after="240" w:line="260" w:lineRule="atLeast"/>
      <w:textAlignment w:val="center"/>
    </w:pPr>
    <w:rPr>
      <w:rFonts w:ascii="Roboto Medium" w:eastAsiaTheme="minorHAnsi" w:hAnsi="Roboto Medium" w:cs="Roboto-Light"/>
      <w:b w:val="0"/>
      <w:bCs w:val="0"/>
      <w:iCs w:val="0"/>
      <w:color w:val="231C24" w:themeColor="text1"/>
      <w:szCs w:val="22"/>
      <w:lang w:val="en-GB" w:eastAsia="en-US"/>
    </w:rPr>
  </w:style>
  <w:style w:type="paragraph" w:customStyle="1" w:styleId="NMHCTableHeaderRow">
    <w:name w:val="NMHC Table Header Row"/>
    <w:basedOn w:val="Normal"/>
    <w:qFormat/>
    <w:rsid w:val="004F5B0E"/>
    <w:pPr>
      <w:suppressAutoHyphens/>
      <w:autoSpaceDE w:val="0"/>
      <w:autoSpaceDN w:val="0"/>
      <w:adjustRightInd w:val="0"/>
      <w:spacing w:before="60" w:after="60" w:line="260" w:lineRule="atLeast"/>
      <w:textAlignment w:val="center"/>
    </w:pPr>
    <w:rPr>
      <w:rFonts w:eastAsiaTheme="minorHAnsi"/>
      <w:b/>
      <w:lang w:val="en-GB" w:eastAsia="en-US"/>
    </w:rPr>
  </w:style>
  <w:style w:type="paragraph" w:customStyle="1" w:styleId="NMHCTableSubheaderRow">
    <w:name w:val="NMHC_Table_Subheader_Row"/>
    <w:basedOn w:val="NMHCTableHeaderRow"/>
    <w:qFormat/>
    <w:rsid w:val="00927CAE"/>
    <w:rPr>
      <w:color w:val="F7941D"/>
    </w:rPr>
  </w:style>
  <w:style w:type="paragraph" w:customStyle="1" w:styleId="TableBody8ptRJTABLES">
    <w:name w:val="Table Body 8pt RJ (TABLES)"/>
    <w:basedOn w:val="Normal"/>
    <w:uiPriority w:val="99"/>
    <w:rsid w:val="00927CAE"/>
    <w:pPr>
      <w:keepNext/>
      <w:tabs>
        <w:tab w:val="left" w:pos="388"/>
        <w:tab w:val="left" w:pos="466"/>
      </w:tabs>
      <w:suppressAutoHyphens/>
      <w:autoSpaceDE w:val="0"/>
      <w:autoSpaceDN w:val="0"/>
      <w:adjustRightInd w:val="0"/>
      <w:spacing w:before="0" w:after="57" w:line="160" w:lineRule="atLeast"/>
      <w:jc w:val="right"/>
      <w:textAlignment w:val="center"/>
    </w:pPr>
    <w:rPr>
      <w:rFonts w:eastAsiaTheme="minorHAnsi" w:cs="Roboto-Light"/>
      <w:color w:val="000000"/>
      <w:sz w:val="16"/>
      <w:szCs w:val="16"/>
      <w:lang w:val="en-GB" w:eastAsia="en-US"/>
    </w:rPr>
  </w:style>
  <w:style w:type="paragraph" w:customStyle="1" w:styleId="NMHCTableNormal">
    <w:name w:val="NMHC_Table_Normal"/>
    <w:basedOn w:val="Normal"/>
    <w:qFormat/>
    <w:rsid w:val="00927CAE"/>
    <w:pPr>
      <w:suppressAutoHyphens/>
      <w:autoSpaceDE w:val="0"/>
      <w:autoSpaceDN w:val="0"/>
      <w:adjustRightInd w:val="0"/>
      <w:spacing w:before="0" w:after="0" w:line="260" w:lineRule="atLeast"/>
      <w:textAlignment w:val="center"/>
    </w:pPr>
    <w:rPr>
      <w:rFonts w:eastAsiaTheme="minorHAnsi" w:cs="Roboto-Light"/>
      <w:color w:val="000000"/>
      <w:lang w:val="en-GB" w:eastAsia="en-US"/>
    </w:rPr>
  </w:style>
  <w:style w:type="paragraph" w:customStyle="1" w:styleId="NMHCTableFootnote">
    <w:name w:val="NMHC_Table_Footnote"/>
    <w:basedOn w:val="Normal"/>
    <w:qFormat/>
    <w:rsid w:val="00927CAE"/>
    <w:pPr>
      <w:suppressAutoHyphens/>
      <w:autoSpaceDE w:val="0"/>
      <w:autoSpaceDN w:val="0"/>
      <w:adjustRightInd w:val="0"/>
      <w:spacing w:before="0" w:after="0" w:line="260" w:lineRule="atLeast"/>
      <w:textAlignment w:val="center"/>
    </w:pPr>
    <w:rPr>
      <w:rFonts w:eastAsiaTheme="minorHAnsi" w:cs="Roboto-Light"/>
      <w:color w:val="808080" w:themeColor="background1" w:themeShade="80"/>
      <w:sz w:val="16"/>
      <w:lang w:val="en-GB" w:eastAsia="en-US"/>
    </w:rPr>
  </w:style>
  <w:style w:type="paragraph" w:customStyle="1" w:styleId="StyleHeading3CustomColorRGB4649146">
    <w:name w:val="Style Heading 3 + Custom Color(RGB(4649146))"/>
    <w:basedOn w:val="Heading3"/>
    <w:rsid w:val="00927CAE"/>
    <w:pPr>
      <w:suppressAutoHyphens/>
      <w:autoSpaceDE w:val="0"/>
      <w:autoSpaceDN w:val="0"/>
      <w:adjustRightInd w:val="0"/>
      <w:spacing w:before="60" w:after="60" w:line="260" w:lineRule="atLeast"/>
      <w:textAlignment w:val="center"/>
    </w:pPr>
    <w:rPr>
      <w:rFonts w:ascii="Roboto" w:hAnsi="Roboto"/>
      <w:color w:val="A7954A" w:themeColor="background2" w:themeShade="80"/>
      <w:sz w:val="24"/>
      <w:szCs w:val="24"/>
      <w:lang w:val="en-GB" w:eastAsia="en-US"/>
    </w:rPr>
  </w:style>
  <w:style w:type="character" w:styleId="Emphasis">
    <w:name w:val="Emphasis"/>
    <w:uiPriority w:val="20"/>
    <w:qFormat/>
    <w:rsid w:val="00927CAE"/>
    <w:rPr>
      <w:b w:val="0"/>
      <w:i/>
      <w:iCs/>
    </w:rPr>
  </w:style>
  <w:style w:type="character" w:customStyle="1" w:styleId="nlmstring-name">
    <w:name w:val="nlm_string-name"/>
    <w:basedOn w:val="DefaultParagraphFont"/>
    <w:rsid w:val="00927CAE"/>
  </w:style>
  <w:style w:type="character" w:customStyle="1" w:styleId="superscript">
    <w:name w:val="superscript"/>
    <w:basedOn w:val="DefaultParagraphFont"/>
    <w:rsid w:val="00927CAE"/>
  </w:style>
  <w:style w:type="paragraph" w:styleId="NormalWeb">
    <w:name w:val="Normal (Web)"/>
    <w:basedOn w:val="Normal"/>
    <w:uiPriority w:val="99"/>
    <w:unhideWhenUsed/>
    <w:rsid w:val="00927CAE"/>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927CAE"/>
    <w:rPr>
      <w:b/>
      <w:bCs/>
    </w:rPr>
  </w:style>
  <w:style w:type="paragraph" w:customStyle="1" w:styleId="Copyrightbodytext">
    <w:name w:val="Copyright bodytext"/>
    <w:basedOn w:val="BodyText"/>
    <w:link w:val="CopyrightbodytextChar"/>
    <w:qFormat/>
    <w:rsid w:val="00927CAE"/>
    <w:pPr>
      <w:spacing w:before="60" w:after="0" w:line="300" w:lineRule="atLeast"/>
      <w:jc w:val="both"/>
    </w:pPr>
    <w:rPr>
      <w:rFonts w:ascii="Times New Roman" w:hAnsi="Times New Roman"/>
      <w:color w:val="000000"/>
      <w:lang w:val="en-GB"/>
    </w:rPr>
  </w:style>
  <w:style w:type="character" w:customStyle="1" w:styleId="CopyrightbodytextChar">
    <w:name w:val="Copyright bodytext Char"/>
    <w:basedOn w:val="BodyTextChar"/>
    <w:link w:val="Copyrightbodytext"/>
    <w:rsid w:val="00927CAE"/>
    <w:rPr>
      <w:rFonts w:ascii="Times New Roman" w:hAnsi="Times New Roman"/>
      <w:color w:val="000000"/>
      <w:sz w:val="22"/>
      <w:lang w:val="en-GB"/>
    </w:rPr>
  </w:style>
  <w:style w:type="paragraph" w:customStyle="1" w:styleId="reference-list-item">
    <w:name w:val="reference-list-item"/>
    <w:basedOn w:val="Normal"/>
    <w:rsid w:val="00927CAE"/>
    <w:pPr>
      <w:spacing w:before="100" w:beforeAutospacing="1" w:after="100" w:afterAutospacing="1"/>
    </w:pPr>
    <w:rPr>
      <w:rFonts w:ascii="Times New Roman" w:hAnsi="Times New Roman"/>
      <w:sz w:val="24"/>
      <w:szCs w:val="24"/>
    </w:rPr>
  </w:style>
  <w:style w:type="paragraph" w:customStyle="1" w:styleId="reference-item-description">
    <w:name w:val="reference-item-description"/>
    <w:basedOn w:val="Normal"/>
    <w:rsid w:val="00927CAE"/>
    <w:pPr>
      <w:spacing w:before="100" w:beforeAutospacing="1" w:after="100" w:afterAutospacing="1"/>
    </w:pPr>
    <w:rPr>
      <w:rFonts w:ascii="Times New Roman" w:hAnsi="Times New Roman"/>
      <w:sz w:val="24"/>
      <w:szCs w:val="24"/>
    </w:rPr>
  </w:style>
  <w:style w:type="character" w:customStyle="1" w:styleId="cf01">
    <w:name w:val="cf01"/>
    <w:basedOn w:val="DefaultParagraphFont"/>
    <w:rsid w:val="00927CAE"/>
    <w:rPr>
      <w:rFonts w:ascii="Segoe UI" w:eastAsiaTheme="minorEastAsia" w:hAnsi="Segoe UI" w:cs="Segoe UI"/>
      <w:sz w:val="18"/>
      <w:szCs w:val="18"/>
    </w:rPr>
  </w:style>
  <w:style w:type="character" w:customStyle="1" w:styleId="cf11">
    <w:name w:val="cf11"/>
    <w:basedOn w:val="DefaultParagraphFont"/>
    <w:rsid w:val="00927CAE"/>
    <w:rPr>
      <w:rFonts w:ascii="Segoe UI" w:eastAsiaTheme="minorEastAsia" w:hAnsi="Segoe UI" w:cs="Segoe UI"/>
      <w:sz w:val="18"/>
      <w:szCs w:val="18"/>
    </w:rPr>
  </w:style>
  <w:style w:type="paragraph" w:customStyle="1" w:styleId="Numberlist">
    <w:name w:val="Number list"/>
    <w:basedOn w:val="ListParagraph"/>
    <w:qFormat/>
    <w:rsid w:val="00927CAE"/>
    <w:pPr>
      <w:numPr>
        <w:numId w:val="28"/>
      </w:numPr>
    </w:pPr>
  </w:style>
  <w:style w:type="character" w:customStyle="1" w:styleId="element-citation">
    <w:name w:val="element-citation"/>
    <w:basedOn w:val="DefaultParagraphFont"/>
    <w:rsid w:val="00927CAE"/>
  </w:style>
  <w:style w:type="character" w:customStyle="1" w:styleId="ref-journal">
    <w:name w:val="ref-journal"/>
    <w:basedOn w:val="DefaultParagraphFont"/>
    <w:rsid w:val="00927CAE"/>
  </w:style>
  <w:style w:type="character" w:customStyle="1" w:styleId="ref-vol">
    <w:name w:val="ref-vol"/>
    <w:basedOn w:val="DefaultParagraphFont"/>
    <w:rsid w:val="00927CAE"/>
  </w:style>
  <w:style w:type="character" w:customStyle="1" w:styleId="nowrap">
    <w:name w:val="nowrap"/>
    <w:basedOn w:val="DefaultParagraphFont"/>
    <w:rsid w:val="00927CAE"/>
  </w:style>
  <w:style w:type="numbering" w:customStyle="1" w:styleId="CurrentList1">
    <w:name w:val="Current List1"/>
    <w:uiPriority w:val="99"/>
    <w:rsid w:val="00927CAE"/>
    <w:pPr>
      <w:numPr>
        <w:numId w:val="30"/>
      </w:numPr>
    </w:pPr>
  </w:style>
  <w:style w:type="character" w:customStyle="1" w:styleId="accordion-tabbedtab-mobile">
    <w:name w:val="accordion-tabbed__tab-mobile"/>
    <w:basedOn w:val="DefaultParagraphFont"/>
    <w:rsid w:val="00927CAE"/>
  </w:style>
  <w:style w:type="character" w:customStyle="1" w:styleId="comma-separator">
    <w:name w:val="comma-separator"/>
    <w:basedOn w:val="DefaultParagraphFont"/>
    <w:rsid w:val="00927CAE"/>
  </w:style>
  <w:style w:type="character" w:customStyle="1" w:styleId="epub-state">
    <w:name w:val="epub-state"/>
    <w:basedOn w:val="DefaultParagraphFont"/>
    <w:rsid w:val="00927CAE"/>
  </w:style>
  <w:style w:type="character" w:customStyle="1" w:styleId="epub-date">
    <w:name w:val="epub-date"/>
    <w:basedOn w:val="DefaultParagraphFont"/>
    <w:rsid w:val="00927CAE"/>
  </w:style>
  <w:style w:type="table" w:customStyle="1" w:styleId="TableGrid10">
    <w:name w:val="Table Grid1"/>
    <w:basedOn w:val="TableNormal"/>
    <w:next w:val="TableGrid"/>
    <w:uiPriority w:val="39"/>
    <w:rsid w:val="00927CAE"/>
    <w:pPr>
      <w:spacing w:before="0" w:after="0"/>
    </w:pPr>
    <w:rPr>
      <w:rFonts w:eastAsiaTheme="minorHAnsi" w:cstheme="minorBidi"/>
      <w:color w:val="auto"/>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927CAE"/>
    <w:pPr>
      <w:autoSpaceDE w:val="0"/>
      <w:autoSpaceDN w:val="0"/>
      <w:spacing w:before="0" w:after="0"/>
    </w:pPr>
    <w:rPr>
      <w:rFonts w:eastAsiaTheme="minorHAnsi"/>
      <w:color w:val="000000"/>
      <w:sz w:val="24"/>
      <w:szCs w:val="24"/>
      <w:lang w:eastAsia="en-US"/>
    </w:rPr>
  </w:style>
  <w:style w:type="paragraph" w:customStyle="1" w:styleId="pf0">
    <w:name w:val="pf0"/>
    <w:basedOn w:val="Normal"/>
    <w:rsid w:val="00927CAE"/>
    <w:pPr>
      <w:spacing w:before="100" w:beforeAutospacing="1" w:after="100" w:afterAutospacing="1"/>
    </w:pPr>
    <w:rPr>
      <w:rFonts w:ascii="Times New Roman" w:hAnsi="Times New Roman"/>
      <w:sz w:val="24"/>
      <w:szCs w:val="24"/>
    </w:rPr>
  </w:style>
  <w:style w:type="paragraph" w:customStyle="1" w:styleId="EndNoteBibliographyTitle">
    <w:name w:val="EndNote Bibliography Title"/>
    <w:basedOn w:val="Normal"/>
    <w:link w:val="EndNoteBibliographyTitleChar"/>
    <w:rsid w:val="00927CAE"/>
    <w:pPr>
      <w:suppressAutoHyphens/>
      <w:autoSpaceDE w:val="0"/>
      <w:autoSpaceDN w:val="0"/>
      <w:adjustRightInd w:val="0"/>
      <w:spacing w:before="0" w:after="0" w:line="260" w:lineRule="atLeast"/>
      <w:jc w:val="center"/>
      <w:textAlignment w:val="center"/>
    </w:pPr>
    <w:rPr>
      <w:rFonts w:eastAsiaTheme="minorHAnsi"/>
      <w:noProof/>
      <w:color w:val="000000"/>
      <w:sz w:val="16"/>
      <w:lang w:val="en-US" w:eastAsia="en-US"/>
    </w:rPr>
  </w:style>
  <w:style w:type="character" w:customStyle="1" w:styleId="EndNoteBibliographyTitleChar">
    <w:name w:val="EndNote Bibliography Title Char"/>
    <w:basedOn w:val="DefaultParagraphFont"/>
    <w:link w:val="EndNoteBibliographyTitle"/>
    <w:rsid w:val="00927CAE"/>
    <w:rPr>
      <w:rFonts w:ascii="Calibri" w:eastAsiaTheme="minorHAnsi" w:hAnsi="Calibri" w:cs="Calibri"/>
      <w:noProof/>
      <w:color w:val="000000"/>
      <w:sz w:val="16"/>
      <w:szCs w:val="22"/>
      <w:lang w:val="en-US" w:eastAsia="en-US"/>
    </w:rPr>
  </w:style>
  <w:style w:type="character" w:customStyle="1" w:styleId="text">
    <w:name w:val="text"/>
    <w:basedOn w:val="DefaultParagraphFont"/>
    <w:rsid w:val="00927CAE"/>
  </w:style>
  <w:style w:type="character" w:customStyle="1" w:styleId="findhit">
    <w:name w:val="findhit"/>
    <w:basedOn w:val="DefaultParagraphFont"/>
    <w:rsid w:val="00927CAE"/>
  </w:style>
  <w:style w:type="character" w:customStyle="1" w:styleId="cf21">
    <w:name w:val="cf21"/>
    <w:basedOn w:val="DefaultParagraphFont"/>
    <w:rsid w:val="00927CAE"/>
    <w:rPr>
      <w:rFonts w:ascii="Segoe UI" w:hAnsi="Segoe UI" w:cs="Segoe UI" w:hint="default"/>
      <w:sz w:val="18"/>
      <w:szCs w:val="18"/>
    </w:rPr>
  </w:style>
  <w:style w:type="character" w:customStyle="1" w:styleId="ref-title">
    <w:name w:val="ref-title"/>
    <w:basedOn w:val="DefaultParagraphFont"/>
    <w:rsid w:val="00927CAE"/>
  </w:style>
  <w:style w:type="character" w:customStyle="1" w:styleId="ref-iss">
    <w:name w:val="ref-iss"/>
    <w:basedOn w:val="DefaultParagraphFont"/>
    <w:rsid w:val="00927CAE"/>
  </w:style>
  <w:style w:type="paragraph" w:styleId="Bibliography">
    <w:name w:val="Bibliography"/>
    <w:basedOn w:val="Normal"/>
    <w:next w:val="Normal"/>
    <w:uiPriority w:val="37"/>
    <w:unhideWhenUsed/>
    <w:rsid w:val="00927CAE"/>
    <w:pPr>
      <w:suppressAutoHyphens/>
      <w:autoSpaceDE w:val="0"/>
      <w:autoSpaceDN w:val="0"/>
      <w:adjustRightInd w:val="0"/>
      <w:spacing w:before="0" w:after="240" w:line="260" w:lineRule="atLeast"/>
      <w:textAlignment w:val="center"/>
    </w:pPr>
    <w:rPr>
      <w:rFonts w:eastAsiaTheme="minorHAnsi" w:cs="Roboto-Light"/>
      <w:color w:val="000000"/>
      <w:lang w:val="en-GB" w:eastAsia="en-US"/>
    </w:rPr>
  </w:style>
  <w:style w:type="character" w:customStyle="1" w:styleId="sr-only">
    <w:name w:val="sr-only"/>
    <w:basedOn w:val="DefaultParagraphFont"/>
    <w:rsid w:val="00927CAE"/>
  </w:style>
  <w:style w:type="paragraph" w:styleId="Quote">
    <w:name w:val="Quote"/>
    <w:basedOn w:val="Normal"/>
    <w:next w:val="Normal"/>
    <w:link w:val="QuoteChar"/>
    <w:uiPriority w:val="29"/>
    <w:qFormat/>
    <w:rsid w:val="00927CAE"/>
    <w:pPr>
      <w:suppressAutoHyphens/>
      <w:autoSpaceDE w:val="0"/>
      <w:autoSpaceDN w:val="0"/>
      <w:adjustRightInd w:val="0"/>
      <w:spacing w:before="0" w:line="260" w:lineRule="atLeast"/>
      <w:textAlignment w:val="center"/>
    </w:pPr>
    <w:rPr>
      <w:rFonts w:eastAsiaTheme="minorHAnsi" w:cs="Roboto-Light"/>
      <w:i/>
      <w:iCs/>
      <w:color w:val="CE430D" w:themeColor="accent6" w:themeShade="BF"/>
      <w:shd w:val="clear" w:color="auto" w:fill="FFFFFF"/>
      <w:lang w:val="en-GB" w:eastAsia="en-US"/>
    </w:rPr>
  </w:style>
  <w:style w:type="character" w:customStyle="1" w:styleId="QuoteChar">
    <w:name w:val="Quote Char"/>
    <w:basedOn w:val="DefaultParagraphFont"/>
    <w:link w:val="Quote"/>
    <w:uiPriority w:val="29"/>
    <w:rsid w:val="00927CAE"/>
    <w:rPr>
      <w:rFonts w:eastAsiaTheme="minorHAnsi" w:cs="Roboto-Light"/>
      <w:i/>
      <w:iCs/>
      <w:color w:val="CE430D" w:themeColor="accent6" w:themeShade="BF"/>
      <w:sz w:val="22"/>
      <w:szCs w:val="22"/>
      <w:lang w:val="en-GB" w:eastAsia="en-US"/>
    </w:rPr>
  </w:style>
  <w:style w:type="paragraph" w:styleId="z-TopofForm">
    <w:name w:val="HTML Top of Form"/>
    <w:basedOn w:val="Normal"/>
    <w:next w:val="Normal"/>
    <w:link w:val="z-TopofFormChar"/>
    <w:hidden/>
    <w:uiPriority w:val="99"/>
    <w:semiHidden/>
    <w:unhideWhenUsed/>
    <w:rsid w:val="00360553"/>
    <w:pPr>
      <w:pBdr>
        <w:bottom w:val="single" w:sz="6" w:space="1" w:color="auto"/>
      </w:pBdr>
      <w:spacing w:before="0"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60553"/>
    <w:rPr>
      <w:rFonts w:ascii="Arial" w:hAnsi="Arial" w:cs="Arial"/>
      <w:vanish/>
      <w:color w:val="auto"/>
      <w:sz w:val="16"/>
      <w:szCs w:val="16"/>
    </w:rPr>
  </w:style>
  <w:style w:type="character" w:customStyle="1" w:styleId="download-title">
    <w:name w:val="download-title"/>
    <w:basedOn w:val="DefaultParagraphFont"/>
    <w:rsid w:val="00360553"/>
  </w:style>
  <w:style w:type="paragraph" w:styleId="z-BottomofForm">
    <w:name w:val="HTML Bottom of Form"/>
    <w:basedOn w:val="Normal"/>
    <w:next w:val="Normal"/>
    <w:link w:val="z-BottomofFormChar"/>
    <w:hidden/>
    <w:uiPriority w:val="99"/>
    <w:semiHidden/>
    <w:unhideWhenUsed/>
    <w:rsid w:val="00360553"/>
    <w:pPr>
      <w:pBdr>
        <w:top w:val="single" w:sz="6" w:space="1" w:color="auto"/>
      </w:pBdr>
      <w:spacing w:before="0"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360553"/>
    <w:rPr>
      <w:rFonts w:ascii="Arial" w:hAnsi="Arial" w:cs="Arial"/>
      <w:vanish/>
      <w:color w:val="auto"/>
      <w:sz w:val="16"/>
      <w:szCs w:val="16"/>
    </w:rPr>
  </w:style>
  <w:style w:type="character" w:customStyle="1" w:styleId="citation">
    <w:name w:val="citation"/>
    <w:basedOn w:val="DefaultParagraphFont"/>
    <w:rsid w:val="00B9357B"/>
  </w:style>
  <w:style w:type="character" w:customStyle="1" w:styleId="doi">
    <w:name w:val="doi"/>
    <w:basedOn w:val="DefaultParagraphFont"/>
    <w:rsid w:val="00B9357B"/>
  </w:style>
  <w:style w:type="paragraph" w:customStyle="1" w:styleId="BasicParagraph">
    <w:name w:val="[Basic Paragraph]"/>
    <w:basedOn w:val="Normal"/>
    <w:uiPriority w:val="99"/>
    <w:rsid w:val="006E684C"/>
    <w:pPr>
      <w:autoSpaceDE w:val="0"/>
      <w:autoSpaceDN w:val="0"/>
      <w:adjustRightInd w:val="0"/>
      <w:spacing w:before="0" w:after="0" w:line="288" w:lineRule="auto"/>
    </w:pPr>
    <w:rPr>
      <w:rFonts w:ascii="Minion Pro" w:eastAsiaTheme="minorHAnsi" w:hAnsi="Minion Pro" w:cs="Minion Pro"/>
      <w:color w:val="000000"/>
      <w:sz w:val="24"/>
      <w:szCs w:val="24"/>
      <w:lang w:val="en-US" w:eastAsia="en-US"/>
    </w:rPr>
  </w:style>
  <w:style w:type="paragraph" w:customStyle="1" w:styleId="07Pullout">
    <w:name w:val="07. Pull out"/>
    <w:basedOn w:val="Normal"/>
    <w:uiPriority w:val="99"/>
    <w:rsid w:val="006E684C"/>
    <w:pPr>
      <w:suppressAutoHyphens/>
      <w:autoSpaceDE w:val="0"/>
      <w:autoSpaceDN w:val="0"/>
      <w:adjustRightInd w:val="0"/>
      <w:spacing w:before="0" w:after="170" w:line="288" w:lineRule="atLeast"/>
      <w:ind w:left="283" w:right="283"/>
    </w:pPr>
    <w:rPr>
      <w:rFonts w:eastAsiaTheme="minorHAnsi"/>
      <w:i/>
      <w:iCs/>
      <w:color w:val="502C65"/>
      <w:lang w:val="en-US" w:eastAsia="en-US"/>
    </w:rPr>
  </w:style>
  <w:style w:type="paragraph" w:customStyle="1" w:styleId="list-inline-item">
    <w:name w:val="list-inline-item"/>
    <w:basedOn w:val="Normal"/>
    <w:rsid w:val="006E684C"/>
    <w:pPr>
      <w:spacing w:before="100" w:beforeAutospacing="1" w:after="100" w:afterAutospacing="1"/>
    </w:pPr>
    <w:rPr>
      <w:rFonts w:ascii="Times New Roman" w:hAnsi="Times New Roman"/>
      <w:sz w:val="24"/>
      <w:szCs w:val="24"/>
    </w:rPr>
  </w:style>
  <w:style w:type="character" w:customStyle="1" w:styleId="hlfld-contribauthor">
    <w:name w:val="hlfld-contribauthor"/>
    <w:basedOn w:val="DefaultParagraphFont"/>
    <w:rsid w:val="006E684C"/>
  </w:style>
  <w:style w:type="character" w:customStyle="1" w:styleId="ml-n1">
    <w:name w:val="ml-n1"/>
    <w:basedOn w:val="DefaultParagraphFont"/>
    <w:rsid w:val="006E684C"/>
  </w:style>
  <w:style w:type="character" w:customStyle="1" w:styleId="ml-1">
    <w:name w:val="ml-1"/>
    <w:basedOn w:val="DefaultParagraphFont"/>
    <w:rsid w:val="006E684C"/>
  </w:style>
  <w:style w:type="paragraph" w:customStyle="1" w:styleId="c-monopoly-cardcontenttext">
    <w:name w:val="c-monopoly-card__content__text"/>
    <w:basedOn w:val="Normal"/>
    <w:rsid w:val="00F9551B"/>
    <w:pPr>
      <w:spacing w:before="100" w:beforeAutospacing="1" w:after="100" w:afterAutospacing="1"/>
    </w:pPr>
    <w:rPr>
      <w:rFonts w:ascii="Times New Roman" w:hAnsi="Times New Roman"/>
      <w:sz w:val="24"/>
      <w:szCs w:val="24"/>
    </w:rPr>
  </w:style>
  <w:style w:type="character" w:customStyle="1" w:styleId="no-wrap">
    <w:name w:val="no-wrap"/>
    <w:basedOn w:val="DefaultParagraphFont"/>
    <w:rsid w:val="00F9551B"/>
  </w:style>
  <w:style w:type="paragraph" w:customStyle="1" w:styleId="TextBoxTexthead">
    <w:name w:val="Text Box Text head"/>
    <w:basedOn w:val="TextBoxText"/>
    <w:qFormat/>
    <w:rsid w:val="00E6181A"/>
    <w:pPr>
      <w:shd w:val="clear" w:color="auto" w:fill="FFFFFF" w:themeFill="background1"/>
      <w:spacing w:before="360"/>
    </w:pPr>
    <w:rPr>
      <w:b/>
      <w:bCs/>
    </w:rPr>
  </w:style>
  <w:style w:type="paragraph" w:customStyle="1" w:styleId="BT-Beigebox">
    <w:name w:val="BT-Beige box"/>
    <w:basedOn w:val="Normal"/>
    <w:qFormat/>
    <w:rsid w:val="007B1D57"/>
    <w:pPr>
      <w:pBdr>
        <w:top w:val="single" w:sz="48" w:space="4" w:color="EFEBDA" w:themeColor="text2"/>
        <w:left w:val="single" w:sz="48" w:space="6" w:color="EFEBDA" w:themeColor="text2"/>
        <w:bottom w:val="single" w:sz="48" w:space="4" w:color="EFEBDA" w:themeColor="text2"/>
        <w:right w:val="single" w:sz="48" w:space="6" w:color="EFEBDA" w:themeColor="text2"/>
      </w:pBdr>
      <w:shd w:val="solid" w:color="EFEBDA" w:themeColor="text2" w:fill="EFEBDA" w:themeFill="text2"/>
      <w:spacing w:before="240" w:after="240"/>
      <w:ind w:left="255" w:right="255"/>
    </w:pPr>
  </w:style>
  <w:style w:type="paragraph" w:customStyle="1" w:styleId="BT-Livedexperience-Orange">
    <w:name w:val="BT-Lived experience-Orange"/>
    <w:basedOn w:val="BT-Beigebox"/>
    <w:qFormat/>
    <w:rsid w:val="00A842B4"/>
    <w:pPr>
      <w:pBdr>
        <w:top w:val="single" w:sz="48" w:space="4" w:color="FEEDD4" w:themeColor="accent5" w:themeTint="33"/>
        <w:left w:val="single" w:sz="48" w:space="6" w:color="FEEDD4" w:themeColor="accent5" w:themeTint="33"/>
        <w:bottom w:val="single" w:sz="48" w:space="4" w:color="FEEDD4" w:themeColor="accent5" w:themeTint="33"/>
        <w:right w:val="single" w:sz="48" w:space="6" w:color="FEEDD4" w:themeColor="accent5" w:themeTint="33"/>
      </w:pBdr>
      <w:shd w:val="solid" w:color="FEEDD4" w:themeColor="accent5" w:themeTint="33" w:fill="FEEDD4" w:themeFill="accent5" w:themeFillTint="33"/>
    </w:pPr>
  </w:style>
  <w:style w:type="paragraph" w:customStyle="1" w:styleId="BT-Livedexperience-Orange-Heading">
    <w:name w:val="BT-Lived experience-Orange-Heading"/>
    <w:basedOn w:val="BT-Livedexperience-Orange"/>
    <w:next w:val="BT-Livedexperience-Orange"/>
    <w:qFormat/>
    <w:rsid w:val="00C375C5"/>
    <w:pPr>
      <w:outlineLvl w:val="3"/>
    </w:pPr>
    <w:rPr>
      <w:b/>
    </w:rPr>
  </w:style>
  <w:style w:type="paragraph" w:customStyle="1" w:styleId="BT-Beigebox-Heading">
    <w:name w:val="BT-Beige box-Heading"/>
    <w:basedOn w:val="BT-Beigebox"/>
    <w:next w:val="BT-Beigebox"/>
    <w:qFormat/>
    <w:rsid w:val="00BF6B69"/>
    <w:pPr>
      <w:keepNext/>
      <w:outlineLvl w:val="3"/>
    </w:pPr>
    <w:rPr>
      <w:b/>
    </w:rPr>
  </w:style>
  <w:style w:type="paragraph" w:customStyle="1" w:styleId="BT-Livedexperience-Green">
    <w:name w:val="BT-Lived experience-Green"/>
    <w:basedOn w:val="BT-Livedexperience-Orange"/>
    <w:qFormat/>
    <w:rsid w:val="007B1D57"/>
    <w:pPr>
      <w:pBdr>
        <w:top w:val="single" w:sz="48" w:space="4" w:color="CDEAE3" w:themeColor="accent1" w:themeTint="33"/>
        <w:left w:val="single" w:sz="48" w:space="6" w:color="CDEAE3" w:themeColor="accent1" w:themeTint="33"/>
        <w:bottom w:val="single" w:sz="48" w:space="4" w:color="CDEAE3" w:themeColor="accent1" w:themeTint="33"/>
        <w:right w:val="single" w:sz="48" w:space="6" w:color="CDEAE3" w:themeColor="accent1" w:themeTint="33"/>
      </w:pBdr>
      <w:shd w:val="solid" w:color="CDEAE3" w:themeColor="accent1" w:themeTint="33" w:fill="CDEAE3" w:themeFill="accent1" w:themeFillTint="33"/>
    </w:pPr>
  </w:style>
  <w:style w:type="paragraph" w:customStyle="1" w:styleId="BT-Livedexperience-Green-Heading">
    <w:name w:val="BT-Lived experience-Green-Heading"/>
    <w:basedOn w:val="BT-Livedexperience-Green"/>
    <w:next w:val="BT-Livedexperience-Green"/>
    <w:qFormat/>
    <w:rsid w:val="00176748"/>
    <w:pPr>
      <w:outlineLvl w:val="3"/>
    </w:pPr>
    <w:rPr>
      <w:b/>
    </w:rPr>
  </w:style>
  <w:style w:type="paragraph" w:customStyle="1" w:styleId="BT-Livedexperience-Pink-Heading">
    <w:name w:val="BT-Lived experience-Pink-Heading"/>
    <w:basedOn w:val="BT-Livedexperience-Orange-Heading"/>
    <w:next w:val="BT-Livedexperience-Pink"/>
    <w:qFormat/>
    <w:rsid w:val="00F1212B"/>
    <w:pPr>
      <w:pBdr>
        <w:top w:val="single" w:sz="48" w:space="4" w:color="F7E5EE" w:themeColor="accent4" w:themeTint="33"/>
        <w:left w:val="single" w:sz="48" w:space="6" w:color="F7E5EE" w:themeColor="accent4" w:themeTint="33"/>
        <w:bottom w:val="single" w:sz="48" w:space="4" w:color="F7E5EE" w:themeColor="accent4" w:themeTint="33"/>
        <w:right w:val="single" w:sz="48" w:space="6" w:color="F7E5EE" w:themeColor="accent4" w:themeTint="33"/>
      </w:pBdr>
      <w:shd w:val="solid" w:color="F7E5EE" w:themeColor="accent4" w:themeTint="33" w:fill="F7E5EE" w:themeFill="accent4" w:themeFillTint="33"/>
      <w:spacing w:after="120"/>
    </w:pPr>
  </w:style>
  <w:style w:type="paragraph" w:customStyle="1" w:styleId="BT-Livedexperience-Pink">
    <w:name w:val="BT-Lived experience-Pink"/>
    <w:basedOn w:val="BT-Livedexperience-Pink-Heading"/>
    <w:qFormat/>
    <w:rsid w:val="00F1212B"/>
    <w:pPr>
      <w:spacing w:after="240"/>
      <w:outlineLvl w:val="9"/>
    </w:pPr>
    <w:rPr>
      <w:b w:val="0"/>
    </w:rPr>
  </w:style>
  <w:style w:type="paragraph" w:customStyle="1" w:styleId="BT-Beigebox-Bullet">
    <w:name w:val="BT-Beige box-Bullet"/>
    <w:basedOn w:val="BT-Beigebox"/>
    <w:qFormat/>
    <w:rsid w:val="00A842B4"/>
    <w:pPr>
      <w:numPr>
        <w:numId w:val="44"/>
      </w:numPr>
      <w:tabs>
        <w:tab w:val="left" w:pos="5107"/>
      </w:tabs>
      <w:ind w:left="612" w:hanging="357"/>
    </w:pPr>
    <w:rPr>
      <w:bCs/>
    </w:rPr>
  </w:style>
  <w:style w:type="paragraph" w:customStyle="1" w:styleId="BT-Quotes">
    <w:name w:val="BT-Quotes"/>
    <w:basedOn w:val="BodyText"/>
    <w:qFormat/>
    <w:rsid w:val="00A842B4"/>
    <w:pPr>
      <w:pBdr>
        <w:top w:val="single" w:sz="36" w:space="1" w:color="EFEBDA" w:themeColor="text2"/>
        <w:bottom w:val="single" w:sz="36" w:space="8" w:color="EFEBDA" w:themeColor="text2"/>
      </w:pBdr>
      <w:ind w:left="255" w:right="255"/>
    </w:pPr>
  </w:style>
  <w:style w:type="paragraph" w:customStyle="1" w:styleId="BT-Quotes2">
    <w:name w:val="BT-Quotes2"/>
    <w:basedOn w:val="BT-Quotes"/>
    <w:qFormat/>
    <w:rsid w:val="00891A89"/>
    <w:pPr>
      <w:pBdr>
        <w:top w:val="single" w:sz="36" w:space="1" w:color="307363" w:themeColor="accent1"/>
        <w:bottom w:val="single" w:sz="36" w:space="8" w:color="307363" w:themeColor="accent1"/>
      </w:pBdr>
    </w:pPr>
  </w:style>
  <w:style w:type="paragraph" w:customStyle="1" w:styleId="BT-Quotes3">
    <w:name w:val="BT-Quotes3"/>
    <w:basedOn w:val="BT-Quotes2"/>
    <w:qFormat/>
    <w:rsid w:val="007133F0"/>
    <w:pPr>
      <w:pBdr>
        <w:left w:val="single" w:sz="36" w:space="10" w:color="CDEAE3" w:themeColor="accent1" w:themeTint="33"/>
        <w:bottom w:val="single" w:sz="48" w:space="8" w:color="CDEAE3" w:themeColor="accent1" w:themeTint="33"/>
        <w:right w:val="single" w:sz="36" w:space="10" w:color="CDEAE3" w:themeColor="accent1" w:themeTint="33"/>
      </w:pBdr>
      <w:shd w:val="solid" w:color="CDEAE3" w:themeColor="accent1" w:themeTint="33" w:fill="CDEAE3" w:themeFill="accent1" w:themeFillTint="33"/>
      <w:ind w:left="1134" w:right="1134"/>
    </w:pPr>
  </w:style>
  <w:style w:type="paragraph" w:customStyle="1" w:styleId="BT-Supportbox-Heading">
    <w:name w:val="BT-Support box-Heading"/>
    <w:basedOn w:val="BT-Beigebox-Heading"/>
    <w:rsid w:val="005B5371"/>
    <w:pPr>
      <w:spacing w:before="360"/>
    </w:pPr>
  </w:style>
  <w:style w:type="paragraph" w:customStyle="1" w:styleId="BT-figurenote">
    <w:name w:val="BT-figure note"/>
    <w:basedOn w:val="Normal"/>
    <w:qFormat/>
    <w:rsid w:val="00EB7DFE"/>
    <w:rPr>
      <w:sz w:val="18"/>
    </w:rPr>
  </w:style>
  <w:style w:type="character" w:customStyle="1" w:styleId="identifier">
    <w:name w:val="identifier"/>
    <w:basedOn w:val="DefaultParagraphFont"/>
    <w:rsid w:val="007339F6"/>
  </w:style>
  <w:style w:type="paragraph" w:customStyle="1" w:styleId="BT-Recommendedactions-Heading">
    <w:name w:val="BT-Recommended actions-Heading"/>
    <w:basedOn w:val="Normal"/>
    <w:qFormat/>
    <w:rsid w:val="00695C66"/>
    <w:pPr>
      <w:keepNext/>
      <w:pBdr>
        <w:top w:val="single" w:sz="48" w:space="1" w:color="FAA629" w:themeColor="accent5"/>
        <w:left w:val="single" w:sz="48" w:space="4" w:color="FAA629" w:themeColor="accent5"/>
        <w:bottom w:val="single" w:sz="48" w:space="1" w:color="FAA629" w:themeColor="accent5"/>
        <w:right w:val="single" w:sz="48" w:space="4" w:color="FAA629" w:themeColor="accent5"/>
      </w:pBdr>
      <w:shd w:val="clear" w:color="auto" w:fill="FAA629" w:themeFill="accent5"/>
      <w:spacing w:before="60" w:after="0"/>
      <w:ind w:left="227" w:right="249"/>
    </w:pPr>
    <w:rPr>
      <w:rFonts w:cstheme="minorBidi"/>
      <w:b/>
      <w:bCs/>
    </w:rPr>
  </w:style>
  <w:style w:type="paragraph" w:customStyle="1" w:styleId="BT-Recommendedactions-Headinggreen">
    <w:name w:val="BT-Recommended actions-Heading green"/>
    <w:basedOn w:val="BT-Recommendedactions-Heading"/>
    <w:qFormat/>
    <w:rsid w:val="006B7A8B"/>
    <w:pPr>
      <w:pBdr>
        <w:top w:val="single" w:sz="48" w:space="1" w:color="307363" w:themeColor="accent1"/>
        <w:left w:val="single" w:sz="48" w:space="4" w:color="307363" w:themeColor="accent1"/>
        <w:bottom w:val="single" w:sz="48" w:space="1" w:color="307363" w:themeColor="accent1"/>
        <w:right w:val="single" w:sz="48" w:space="4" w:color="307363" w:themeColor="accent1"/>
      </w:pBdr>
      <w:shd w:val="clear" w:color="auto" w:fill="307363" w:themeFill="accent1"/>
    </w:pPr>
    <w:rPr>
      <w:color w:val="FFFFFF" w:themeColor="background1"/>
    </w:rPr>
  </w:style>
  <w:style w:type="paragraph" w:customStyle="1" w:styleId="BT-Recommendedactions-Headingpink">
    <w:name w:val="BT-Recommended actions-Heading pink"/>
    <w:basedOn w:val="BT-Recommendedactions-Heading"/>
    <w:qFormat/>
    <w:rsid w:val="00BE2B15"/>
    <w:pPr>
      <w:pBdr>
        <w:top w:val="single" w:sz="48" w:space="1" w:color="D980AD" w:themeColor="accent4"/>
        <w:left w:val="single" w:sz="48" w:space="4" w:color="D980AD" w:themeColor="accent4"/>
        <w:bottom w:val="single" w:sz="48" w:space="1" w:color="D980AD" w:themeColor="accent4"/>
        <w:right w:val="single" w:sz="48" w:space="4" w:color="D980AD" w:themeColor="accent4"/>
      </w:pBdr>
      <w:shd w:val="clear" w:color="auto" w:fill="D980AD" w:themeFill="accent4"/>
    </w:pPr>
  </w:style>
  <w:style w:type="paragraph" w:customStyle="1" w:styleId="Heading1NoTOC">
    <w:name w:val="Heading 1 No TOC"/>
    <w:basedOn w:val="Heading1"/>
    <w:qFormat/>
    <w:rsid w:val="00745B34"/>
    <w:rPr>
      <w:rFonts w:cs="Calibri"/>
    </w:rPr>
  </w:style>
  <w:style w:type="paragraph" w:customStyle="1" w:styleId="Heading2a">
    <w:name w:val="Heading 2a"/>
    <w:basedOn w:val="Heading2"/>
    <w:qFormat/>
    <w:rsid w:val="001E13D8"/>
  </w:style>
  <w:style w:type="paragraph" w:customStyle="1" w:styleId="TOCHeading1">
    <w:name w:val="TOC Heading1"/>
    <w:basedOn w:val="TOC1"/>
    <w:qFormat/>
    <w:rsid w:val="00745B34"/>
    <w:rPr>
      <w:sz w:val="40"/>
      <w:szCs w:val="40"/>
    </w:rPr>
  </w:style>
  <w:style w:type="paragraph" w:customStyle="1" w:styleId="Subheading1withnumber">
    <w:name w:val="Sub heading 1 with number"/>
    <w:basedOn w:val="ListParagraph"/>
    <w:qFormat/>
    <w:rsid w:val="00B95BD4"/>
    <w:pPr>
      <w:numPr>
        <w:numId w:val="73"/>
      </w:numPr>
    </w:pPr>
    <w:rPr>
      <w:b/>
      <w:bCs/>
      <w:sz w:val="28"/>
      <w:szCs w:val="28"/>
    </w:rPr>
  </w:style>
  <w:style w:type="paragraph" w:customStyle="1" w:styleId="HeadingKOprevention">
    <w:name w:val="Heading KO prevention"/>
    <w:basedOn w:val="Heading2"/>
    <w:qFormat/>
    <w:rsid w:val="00B92E42"/>
    <w:rPr>
      <w:color w:val="D48005" w:themeColor="accent5" w:themeShade="BF"/>
    </w:rPr>
  </w:style>
  <w:style w:type="paragraph" w:customStyle="1" w:styleId="heading3prevention">
    <w:name w:val="heading 3 prevention"/>
    <w:basedOn w:val="Heading3"/>
    <w:qFormat/>
    <w:rsid w:val="008F7F7F"/>
    <w:rPr>
      <w:color w:val="D48005" w:themeColor="accent5" w:themeShade="BF"/>
    </w:rPr>
  </w:style>
  <w:style w:type="paragraph" w:customStyle="1" w:styleId="HeadingKOsupport">
    <w:name w:val="Heading KO support"/>
    <w:basedOn w:val="HeadingKOprevention"/>
    <w:qFormat/>
    <w:rsid w:val="008F7F7F"/>
    <w:rPr>
      <w:color w:val="307363" w:themeColor="accent1"/>
    </w:rPr>
  </w:style>
  <w:style w:type="paragraph" w:customStyle="1" w:styleId="HeadingMainenablers">
    <w:name w:val="Heading Main enablers"/>
    <w:basedOn w:val="HeadingKOsupport"/>
    <w:qFormat/>
    <w:rsid w:val="008F7F7F"/>
    <w:rPr>
      <w:color w:val="DC80B0"/>
    </w:rPr>
  </w:style>
  <w:style w:type="paragraph" w:customStyle="1" w:styleId="Heading3prevention0">
    <w:name w:val="Heading 3 prevention"/>
    <w:basedOn w:val="Heading3"/>
    <w:qFormat/>
    <w:rsid w:val="008F7F7F"/>
    <w:rPr>
      <w:color w:val="D48005" w:themeColor="accent5" w:themeShade="BF"/>
    </w:rPr>
  </w:style>
  <w:style w:type="paragraph" w:customStyle="1" w:styleId="Headingmainsupport">
    <w:name w:val="Heading main support"/>
    <w:basedOn w:val="Heading1"/>
    <w:qFormat/>
    <w:rsid w:val="006A66E3"/>
    <w:rPr>
      <w:color w:val="24564A" w:themeColor="accent1" w:themeShade="BF"/>
      <w14:textFill>
        <w14:solidFill>
          <w14:schemeClr w14:val="accent1">
            <w14:lumMod w14:val="75000"/>
            <w14:lumMod w14:val="75000"/>
          </w14:schemeClr>
        </w14:solidFill>
      </w14:textFill>
    </w:rPr>
  </w:style>
  <w:style w:type="paragraph" w:customStyle="1" w:styleId="heading2support">
    <w:name w:val="heading 2 support"/>
    <w:basedOn w:val="Heading2"/>
    <w:qFormat/>
    <w:rsid w:val="00934B8E"/>
    <w:rPr>
      <w:color w:val="307363" w:themeColor="accent1"/>
    </w:rPr>
  </w:style>
  <w:style w:type="paragraph" w:customStyle="1" w:styleId="heading3support">
    <w:name w:val="heading 3 support"/>
    <w:basedOn w:val="Heading3"/>
    <w:qFormat/>
    <w:rsid w:val="00D81ABA"/>
    <w:rPr>
      <w:color w:val="307363" w:themeColor="accent1"/>
    </w:rPr>
  </w:style>
  <w:style w:type="paragraph" w:customStyle="1" w:styleId="Heading31">
    <w:name w:val="Heading 31"/>
    <w:basedOn w:val="Heading3"/>
    <w:qFormat/>
    <w:rsid w:val="00696ED3"/>
    <w:rPr>
      <w:color w:val="auto"/>
    </w:rPr>
  </w:style>
  <w:style w:type="paragraph" w:customStyle="1" w:styleId="Heading21">
    <w:name w:val="Heading 21"/>
    <w:basedOn w:val="Heading2"/>
    <w:qFormat/>
    <w:rsid w:val="002E7F9A"/>
    <w:rPr>
      <w:color w:val="auto"/>
      <w:sz w:val="28"/>
      <w:szCs w:val="20"/>
    </w:rPr>
  </w:style>
  <w:style w:type="paragraph" w:customStyle="1" w:styleId="heading1prevention">
    <w:name w:val="heading 1 prevention"/>
    <w:basedOn w:val="Heading1"/>
    <w:qFormat/>
    <w:rsid w:val="00584C11"/>
    <w:rPr>
      <w:color w:val="D48005" w:themeColor="accent5" w:themeShade="BF"/>
    </w:rPr>
  </w:style>
  <w:style w:type="paragraph" w:customStyle="1" w:styleId="heading2prevention">
    <w:name w:val="heading 2 prevention"/>
    <w:basedOn w:val="Heading2"/>
    <w:qFormat/>
    <w:rsid w:val="00F84726"/>
    <w:rPr>
      <w:color w:val="D48005" w:themeColor="accent5"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11339">
      <w:bodyDiv w:val="1"/>
      <w:marLeft w:val="0"/>
      <w:marRight w:val="0"/>
      <w:marTop w:val="0"/>
      <w:marBottom w:val="0"/>
      <w:divBdr>
        <w:top w:val="none" w:sz="0" w:space="0" w:color="auto"/>
        <w:left w:val="none" w:sz="0" w:space="0" w:color="auto"/>
        <w:bottom w:val="none" w:sz="0" w:space="0" w:color="auto"/>
        <w:right w:val="none" w:sz="0" w:space="0" w:color="auto"/>
      </w:divBdr>
      <w:divsChild>
        <w:div w:id="208493604">
          <w:marLeft w:val="0"/>
          <w:marRight w:val="0"/>
          <w:marTop w:val="0"/>
          <w:marBottom w:val="0"/>
          <w:divBdr>
            <w:top w:val="none" w:sz="0" w:space="0" w:color="auto"/>
            <w:left w:val="none" w:sz="0" w:space="0" w:color="auto"/>
            <w:bottom w:val="none" w:sz="0" w:space="0" w:color="auto"/>
            <w:right w:val="none" w:sz="0" w:space="0" w:color="auto"/>
          </w:divBdr>
        </w:div>
        <w:div w:id="1179155204">
          <w:marLeft w:val="0"/>
          <w:marRight w:val="0"/>
          <w:marTop w:val="0"/>
          <w:marBottom w:val="0"/>
          <w:divBdr>
            <w:top w:val="none" w:sz="0" w:space="0" w:color="auto"/>
            <w:left w:val="none" w:sz="0" w:space="0" w:color="auto"/>
            <w:bottom w:val="none" w:sz="0" w:space="0" w:color="auto"/>
            <w:right w:val="none" w:sz="0" w:space="0" w:color="auto"/>
          </w:divBdr>
        </w:div>
        <w:div w:id="1793748423">
          <w:marLeft w:val="0"/>
          <w:marRight w:val="0"/>
          <w:marTop w:val="0"/>
          <w:marBottom w:val="0"/>
          <w:divBdr>
            <w:top w:val="none" w:sz="0" w:space="0" w:color="auto"/>
            <w:left w:val="none" w:sz="0" w:space="0" w:color="auto"/>
            <w:bottom w:val="none" w:sz="0" w:space="0" w:color="auto"/>
            <w:right w:val="none" w:sz="0" w:space="0" w:color="auto"/>
          </w:divBdr>
        </w:div>
      </w:divsChild>
    </w:div>
    <w:div w:id="29688601">
      <w:bodyDiv w:val="1"/>
      <w:marLeft w:val="0"/>
      <w:marRight w:val="0"/>
      <w:marTop w:val="0"/>
      <w:marBottom w:val="0"/>
      <w:divBdr>
        <w:top w:val="none" w:sz="0" w:space="0" w:color="auto"/>
        <w:left w:val="none" w:sz="0" w:space="0" w:color="auto"/>
        <w:bottom w:val="none" w:sz="0" w:space="0" w:color="auto"/>
        <w:right w:val="none" w:sz="0" w:space="0" w:color="auto"/>
      </w:divBdr>
    </w:div>
    <w:div w:id="70741869">
      <w:bodyDiv w:val="1"/>
      <w:marLeft w:val="0"/>
      <w:marRight w:val="0"/>
      <w:marTop w:val="0"/>
      <w:marBottom w:val="0"/>
      <w:divBdr>
        <w:top w:val="none" w:sz="0" w:space="0" w:color="auto"/>
        <w:left w:val="none" w:sz="0" w:space="0" w:color="auto"/>
        <w:bottom w:val="none" w:sz="0" w:space="0" w:color="auto"/>
        <w:right w:val="none" w:sz="0" w:space="0" w:color="auto"/>
      </w:divBdr>
      <w:divsChild>
        <w:div w:id="1218518321">
          <w:marLeft w:val="-225"/>
          <w:marRight w:val="-225"/>
          <w:marTop w:val="0"/>
          <w:marBottom w:val="0"/>
          <w:divBdr>
            <w:top w:val="none" w:sz="0" w:space="0" w:color="auto"/>
            <w:left w:val="none" w:sz="0" w:space="0" w:color="auto"/>
            <w:bottom w:val="none" w:sz="0" w:space="0" w:color="auto"/>
            <w:right w:val="none" w:sz="0" w:space="0" w:color="auto"/>
          </w:divBdr>
          <w:divsChild>
            <w:div w:id="50994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13956">
      <w:bodyDiv w:val="1"/>
      <w:marLeft w:val="0"/>
      <w:marRight w:val="0"/>
      <w:marTop w:val="0"/>
      <w:marBottom w:val="0"/>
      <w:divBdr>
        <w:top w:val="none" w:sz="0" w:space="0" w:color="auto"/>
        <w:left w:val="none" w:sz="0" w:space="0" w:color="auto"/>
        <w:bottom w:val="none" w:sz="0" w:space="0" w:color="auto"/>
        <w:right w:val="none" w:sz="0" w:space="0" w:color="auto"/>
      </w:divBdr>
      <w:divsChild>
        <w:div w:id="24139035">
          <w:marLeft w:val="0"/>
          <w:marRight w:val="0"/>
          <w:marTop w:val="0"/>
          <w:marBottom w:val="0"/>
          <w:divBdr>
            <w:top w:val="none" w:sz="0" w:space="0" w:color="auto"/>
            <w:left w:val="none" w:sz="0" w:space="0" w:color="auto"/>
            <w:bottom w:val="none" w:sz="0" w:space="0" w:color="auto"/>
            <w:right w:val="none" w:sz="0" w:space="0" w:color="auto"/>
          </w:divBdr>
        </w:div>
        <w:div w:id="164976629">
          <w:marLeft w:val="0"/>
          <w:marRight w:val="0"/>
          <w:marTop w:val="0"/>
          <w:marBottom w:val="0"/>
          <w:divBdr>
            <w:top w:val="none" w:sz="0" w:space="0" w:color="auto"/>
            <w:left w:val="none" w:sz="0" w:space="0" w:color="auto"/>
            <w:bottom w:val="none" w:sz="0" w:space="0" w:color="auto"/>
            <w:right w:val="none" w:sz="0" w:space="0" w:color="auto"/>
          </w:divBdr>
          <w:divsChild>
            <w:div w:id="33534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3520">
      <w:bodyDiv w:val="1"/>
      <w:marLeft w:val="0"/>
      <w:marRight w:val="0"/>
      <w:marTop w:val="0"/>
      <w:marBottom w:val="0"/>
      <w:divBdr>
        <w:top w:val="none" w:sz="0" w:space="0" w:color="auto"/>
        <w:left w:val="none" w:sz="0" w:space="0" w:color="auto"/>
        <w:bottom w:val="none" w:sz="0" w:space="0" w:color="auto"/>
        <w:right w:val="none" w:sz="0" w:space="0" w:color="auto"/>
      </w:divBdr>
      <w:divsChild>
        <w:div w:id="345719044">
          <w:marLeft w:val="0"/>
          <w:marRight w:val="0"/>
          <w:marTop w:val="0"/>
          <w:marBottom w:val="0"/>
          <w:divBdr>
            <w:top w:val="single" w:sz="6" w:space="0" w:color="5B616B"/>
            <w:left w:val="single" w:sz="6" w:space="0" w:color="5B616B"/>
            <w:bottom w:val="single" w:sz="6" w:space="0" w:color="5B616B"/>
            <w:right w:val="single" w:sz="6" w:space="0" w:color="5B616B"/>
          </w:divBdr>
        </w:div>
        <w:div w:id="1915314486">
          <w:marLeft w:val="0"/>
          <w:marRight w:val="0"/>
          <w:marTop w:val="0"/>
          <w:marBottom w:val="0"/>
          <w:divBdr>
            <w:top w:val="none" w:sz="0" w:space="0" w:color="auto"/>
            <w:left w:val="none" w:sz="0" w:space="0" w:color="auto"/>
            <w:bottom w:val="none" w:sz="0" w:space="0" w:color="auto"/>
            <w:right w:val="none" w:sz="0" w:space="0" w:color="auto"/>
          </w:divBdr>
          <w:divsChild>
            <w:div w:id="149490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804">
      <w:bodyDiv w:val="1"/>
      <w:marLeft w:val="0"/>
      <w:marRight w:val="0"/>
      <w:marTop w:val="0"/>
      <w:marBottom w:val="0"/>
      <w:divBdr>
        <w:top w:val="none" w:sz="0" w:space="0" w:color="auto"/>
        <w:left w:val="none" w:sz="0" w:space="0" w:color="auto"/>
        <w:bottom w:val="none" w:sz="0" w:space="0" w:color="auto"/>
        <w:right w:val="none" w:sz="0" w:space="0" w:color="auto"/>
      </w:divBdr>
      <w:divsChild>
        <w:div w:id="904295442">
          <w:marLeft w:val="0"/>
          <w:marRight w:val="0"/>
          <w:marTop w:val="0"/>
          <w:marBottom w:val="0"/>
          <w:divBdr>
            <w:top w:val="none" w:sz="0" w:space="0" w:color="auto"/>
            <w:left w:val="none" w:sz="0" w:space="0" w:color="auto"/>
            <w:bottom w:val="none" w:sz="0" w:space="0" w:color="auto"/>
            <w:right w:val="none" w:sz="0" w:space="0" w:color="auto"/>
          </w:divBdr>
        </w:div>
        <w:div w:id="1424449832">
          <w:marLeft w:val="0"/>
          <w:marRight w:val="0"/>
          <w:marTop w:val="0"/>
          <w:marBottom w:val="0"/>
          <w:divBdr>
            <w:top w:val="none" w:sz="0" w:space="0" w:color="auto"/>
            <w:left w:val="none" w:sz="0" w:space="0" w:color="auto"/>
            <w:bottom w:val="none" w:sz="0" w:space="0" w:color="auto"/>
            <w:right w:val="none" w:sz="0" w:space="0" w:color="auto"/>
          </w:divBdr>
        </w:div>
        <w:div w:id="1792939187">
          <w:marLeft w:val="0"/>
          <w:marRight w:val="0"/>
          <w:marTop w:val="0"/>
          <w:marBottom w:val="0"/>
          <w:divBdr>
            <w:top w:val="none" w:sz="0" w:space="0" w:color="auto"/>
            <w:left w:val="none" w:sz="0" w:space="0" w:color="auto"/>
            <w:bottom w:val="none" w:sz="0" w:space="0" w:color="auto"/>
            <w:right w:val="none" w:sz="0" w:space="0" w:color="auto"/>
          </w:divBdr>
        </w:div>
      </w:divsChild>
    </w:div>
    <w:div w:id="201988341">
      <w:bodyDiv w:val="1"/>
      <w:marLeft w:val="0"/>
      <w:marRight w:val="0"/>
      <w:marTop w:val="0"/>
      <w:marBottom w:val="0"/>
      <w:divBdr>
        <w:top w:val="none" w:sz="0" w:space="0" w:color="auto"/>
        <w:left w:val="none" w:sz="0" w:space="0" w:color="auto"/>
        <w:bottom w:val="none" w:sz="0" w:space="0" w:color="auto"/>
        <w:right w:val="none" w:sz="0" w:space="0" w:color="auto"/>
      </w:divBdr>
    </w:div>
    <w:div w:id="215552768">
      <w:bodyDiv w:val="1"/>
      <w:marLeft w:val="0"/>
      <w:marRight w:val="0"/>
      <w:marTop w:val="0"/>
      <w:marBottom w:val="0"/>
      <w:divBdr>
        <w:top w:val="none" w:sz="0" w:space="0" w:color="auto"/>
        <w:left w:val="none" w:sz="0" w:space="0" w:color="auto"/>
        <w:bottom w:val="none" w:sz="0" w:space="0" w:color="auto"/>
        <w:right w:val="none" w:sz="0" w:space="0" w:color="auto"/>
      </w:divBdr>
    </w:div>
    <w:div w:id="309403586">
      <w:bodyDiv w:val="1"/>
      <w:marLeft w:val="0"/>
      <w:marRight w:val="0"/>
      <w:marTop w:val="0"/>
      <w:marBottom w:val="0"/>
      <w:divBdr>
        <w:top w:val="none" w:sz="0" w:space="0" w:color="auto"/>
        <w:left w:val="none" w:sz="0" w:space="0" w:color="auto"/>
        <w:bottom w:val="none" w:sz="0" w:space="0" w:color="auto"/>
        <w:right w:val="none" w:sz="0" w:space="0" w:color="auto"/>
      </w:divBdr>
    </w:div>
    <w:div w:id="387729640">
      <w:bodyDiv w:val="1"/>
      <w:marLeft w:val="0"/>
      <w:marRight w:val="0"/>
      <w:marTop w:val="0"/>
      <w:marBottom w:val="0"/>
      <w:divBdr>
        <w:top w:val="none" w:sz="0" w:space="0" w:color="auto"/>
        <w:left w:val="none" w:sz="0" w:space="0" w:color="auto"/>
        <w:bottom w:val="none" w:sz="0" w:space="0" w:color="auto"/>
        <w:right w:val="none" w:sz="0" w:space="0" w:color="auto"/>
      </w:divBdr>
      <w:divsChild>
        <w:div w:id="1630011759">
          <w:marLeft w:val="0"/>
          <w:marRight w:val="0"/>
          <w:marTop w:val="0"/>
          <w:marBottom w:val="0"/>
          <w:divBdr>
            <w:top w:val="none" w:sz="0" w:space="0" w:color="auto"/>
            <w:left w:val="none" w:sz="0" w:space="0" w:color="auto"/>
            <w:bottom w:val="none" w:sz="0" w:space="0" w:color="auto"/>
            <w:right w:val="none" w:sz="0" w:space="0" w:color="auto"/>
          </w:divBdr>
        </w:div>
        <w:div w:id="1975480659">
          <w:marLeft w:val="0"/>
          <w:marRight w:val="0"/>
          <w:marTop w:val="0"/>
          <w:marBottom w:val="0"/>
          <w:divBdr>
            <w:top w:val="none" w:sz="0" w:space="0" w:color="auto"/>
            <w:left w:val="none" w:sz="0" w:space="0" w:color="auto"/>
            <w:bottom w:val="none" w:sz="0" w:space="0" w:color="auto"/>
            <w:right w:val="none" w:sz="0" w:space="0" w:color="auto"/>
          </w:divBdr>
        </w:div>
      </w:divsChild>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446240998">
      <w:bodyDiv w:val="1"/>
      <w:marLeft w:val="0"/>
      <w:marRight w:val="0"/>
      <w:marTop w:val="0"/>
      <w:marBottom w:val="0"/>
      <w:divBdr>
        <w:top w:val="none" w:sz="0" w:space="0" w:color="auto"/>
        <w:left w:val="none" w:sz="0" w:space="0" w:color="auto"/>
        <w:bottom w:val="none" w:sz="0" w:space="0" w:color="auto"/>
        <w:right w:val="none" w:sz="0" w:space="0" w:color="auto"/>
      </w:divBdr>
    </w:div>
    <w:div w:id="526413156">
      <w:bodyDiv w:val="1"/>
      <w:marLeft w:val="0"/>
      <w:marRight w:val="0"/>
      <w:marTop w:val="0"/>
      <w:marBottom w:val="0"/>
      <w:divBdr>
        <w:top w:val="none" w:sz="0" w:space="0" w:color="auto"/>
        <w:left w:val="none" w:sz="0" w:space="0" w:color="auto"/>
        <w:bottom w:val="none" w:sz="0" w:space="0" w:color="auto"/>
        <w:right w:val="none" w:sz="0" w:space="0" w:color="auto"/>
      </w:divBdr>
    </w:div>
    <w:div w:id="555750153">
      <w:bodyDiv w:val="1"/>
      <w:marLeft w:val="0"/>
      <w:marRight w:val="0"/>
      <w:marTop w:val="0"/>
      <w:marBottom w:val="0"/>
      <w:divBdr>
        <w:top w:val="none" w:sz="0" w:space="0" w:color="auto"/>
        <w:left w:val="none" w:sz="0" w:space="0" w:color="auto"/>
        <w:bottom w:val="none" w:sz="0" w:space="0" w:color="auto"/>
        <w:right w:val="none" w:sz="0" w:space="0" w:color="auto"/>
      </w:divBdr>
    </w:div>
    <w:div w:id="592738916">
      <w:bodyDiv w:val="1"/>
      <w:marLeft w:val="0"/>
      <w:marRight w:val="0"/>
      <w:marTop w:val="0"/>
      <w:marBottom w:val="0"/>
      <w:divBdr>
        <w:top w:val="none" w:sz="0" w:space="0" w:color="auto"/>
        <w:left w:val="none" w:sz="0" w:space="0" w:color="auto"/>
        <w:bottom w:val="none" w:sz="0" w:space="0" w:color="auto"/>
        <w:right w:val="none" w:sz="0" w:space="0" w:color="auto"/>
      </w:divBdr>
      <w:divsChild>
        <w:div w:id="1212304710">
          <w:marLeft w:val="0"/>
          <w:marRight w:val="0"/>
          <w:marTop w:val="0"/>
          <w:marBottom w:val="0"/>
          <w:divBdr>
            <w:top w:val="none" w:sz="0" w:space="0" w:color="auto"/>
            <w:left w:val="none" w:sz="0" w:space="0" w:color="auto"/>
            <w:bottom w:val="none" w:sz="0" w:space="0" w:color="auto"/>
            <w:right w:val="none" w:sz="0" w:space="0" w:color="auto"/>
          </w:divBdr>
        </w:div>
        <w:div w:id="1391928328">
          <w:marLeft w:val="0"/>
          <w:marRight w:val="0"/>
          <w:marTop w:val="0"/>
          <w:marBottom w:val="0"/>
          <w:divBdr>
            <w:top w:val="none" w:sz="0" w:space="0" w:color="auto"/>
            <w:left w:val="none" w:sz="0" w:space="0" w:color="auto"/>
            <w:bottom w:val="none" w:sz="0" w:space="0" w:color="auto"/>
            <w:right w:val="none" w:sz="0" w:space="0" w:color="auto"/>
          </w:divBdr>
        </w:div>
      </w:divsChild>
    </w:div>
    <w:div w:id="604312474">
      <w:bodyDiv w:val="1"/>
      <w:marLeft w:val="0"/>
      <w:marRight w:val="0"/>
      <w:marTop w:val="0"/>
      <w:marBottom w:val="0"/>
      <w:divBdr>
        <w:top w:val="none" w:sz="0" w:space="0" w:color="auto"/>
        <w:left w:val="none" w:sz="0" w:space="0" w:color="auto"/>
        <w:bottom w:val="none" w:sz="0" w:space="0" w:color="auto"/>
        <w:right w:val="none" w:sz="0" w:space="0" w:color="auto"/>
      </w:divBdr>
    </w:div>
    <w:div w:id="621963423">
      <w:bodyDiv w:val="1"/>
      <w:marLeft w:val="0"/>
      <w:marRight w:val="0"/>
      <w:marTop w:val="0"/>
      <w:marBottom w:val="0"/>
      <w:divBdr>
        <w:top w:val="none" w:sz="0" w:space="0" w:color="auto"/>
        <w:left w:val="none" w:sz="0" w:space="0" w:color="auto"/>
        <w:bottom w:val="none" w:sz="0" w:space="0" w:color="auto"/>
        <w:right w:val="none" w:sz="0" w:space="0" w:color="auto"/>
      </w:divBdr>
    </w:div>
    <w:div w:id="680396722">
      <w:bodyDiv w:val="1"/>
      <w:marLeft w:val="0"/>
      <w:marRight w:val="0"/>
      <w:marTop w:val="0"/>
      <w:marBottom w:val="0"/>
      <w:divBdr>
        <w:top w:val="none" w:sz="0" w:space="0" w:color="auto"/>
        <w:left w:val="none" w:sz="0" w:space="0" w:color="auto"/>
        <w:bottom w:val="none" w:sz="0" w:space="0" w:color="auto"/>
        <w:right w:val="none" w:sz="0" w:space="0" w:color="auto"/>
      </w:divBdr>
    </w:div>
    <w:div w:id="761612725">
      <w:bodyDiv w:val="1"/>
      <w:marLeft w:val="0"/>
      <w:marRight w:val="0"/>
      <w:marTop w:val="0"/>
      <w:marBottom w:val="0"/>
      <w:divBdr>
        <w:top w:val="none" w:sz="0" w:space="0" w:color="auto"/>
        <w:left w:val="none" w:sz="0" w:space="0" w:color="auto"/>
        <w:bottom w:val="none" w:sz="0" w:space="0" w:color="auto"/>
        <w:right w:val="none" w:sz="0" w:space="0" w:color="auto"/>
      </w:divBdr>
    </w:div>
    <w:div w:id="872771856">
      <w:bodyDiv w:val="1"/>
      <w:marLeft w:val="0"/>
      <w:marRight w:val="0"/>
      <w:marTop w:val="0"/>
      <w:marBottom w:val="0"/>
      <w:divBdr>
        <w:top w:val="none" w:sz="0" w:space="0" w:color="auto"/>
        <w:left w:val="none" w:sz="0" w:space="0" w:color="auto"/>
        <w:bottom w:val="none" w:sz="0" w:space="0" w:color="auto"/>
        <w:right w:val="none" w:sz="0" w:space="0" w:color="auto"/>
      </w:divBdr>
    </w:div>
    <w:div w:id="875628160">
      <w:bodyDiv w:val="1"/>
      <w:marLeft w:val="0"/>
      <w:marRight w:val="0"/>
      <w:marTop w:val="0"/>
      <w:marBottom w:val="0"/>
      <w:divBdr>
        <w:top w:val="none" w:sz="0" w:space="0" w:color="auto"/>
        <w:left w:val="none" w:sz="0" w:space="0" w:color="auto"/>
        <w:bottom w:val="none" w:sz="0" w:space="0" w:color="auto"/>
        <w:right w:val="none" w:sz="0" w:space="0" w:color="auto"/>
      </w:divBdr>
    </w:div>
    <w:div w:id="884801712">
      <w:bodyDiv w:val="1"/>
      <w:marLeft w:val="0"/>
      <w:marRight w:val="0"/>
      <w:marTop w:val="0"/>
      <w:marBottom w:val="0"/>
      <w:divBdr>
        <w:top w:val="none" w:sz="0" w:space="0" w:color="auto"/>
        <w:left w:val="none" w:sz="0" w:space="0" w:color="auto"/>
        <w:bottom w:val="none" w:sz="0" w:space="0" w:color="auto"/>
        <w:right w:val="none" w:sz="0" w:space="0" w:color="auto"/>
      </w:divBdr>
    </w:div>
    <w:div w:id="889196740">
      <w:bodyDiv w:val="1"/>
      <w:marLeft w:val="0"/>
      <w:marRight w:val="0"/>
      <w:marTop w:val="0"/>
      <w:marBottom w:val="0"/>
      <w:divBdr>
        <w:top w:val="none" w:sz="0" w:space="0" w:color="auto"/>
        <w:left w:val="none" w:sz="0" w:space="0" w:color="auto"/>
        <w:bottom w:val="none" w:sz="0" w:space="0" w:color="auto"/>
        <w:right w:val="none" w:sz="0" w:space="0" w:color="auto"/>
      </w:divBdr>
    </w:div>
    <w:div w:id="917321311">
      <w:bodyDiv w:val="1"/>
      <w:marLeft w:val="0"/>
      <w:marRight w:val="0"/>
      <w:marTop w:val="0"/>
      <w:marBottom w:val="0"/>
      <w:divBdr>
        <w:top w:val="none" w:sz="0" w:space="0" w:color="auto"/>
        <w:left w:val="none" w:sz="0" w:space="0" w:color="auto"/>
        <w:bottom w:val="none" w:sz="0" w:space="0" w:color="auto"/>
        <w:right w:val="none" w:sz="0" w:space="0" w:color="auto"/>
      </w:divBdr>
    </w:div>
    <w:div w:id="938560799">
      <w:bodyDiv w:val="1"/>
      <w:marLeft w:val="0"/>
      <w:marRight w:val="0"/>
      <w:marTop w:val="0"/>
      <w:marBottom w:val="0"/>
      <w:divBdr>
        <w:top w:val="none" w:sz="0" w:space="0" w:color="auto"/>
        <w:left w:val="none" w:sz="0" w:space="0" w:color="auto"/>
        <w:bottom w:val="none" w:sz="0" w:space="0" w:color="auto"/>
        <w:right w:val="none" w:sz="0" w:space="0" w:color="auto"/>
      </w:divBdr>
    </w:div>
    <w:div w:id="980503368">
      <w:bodyDiv w:val="1"/>
      <w:marLeft w:val="0"/>
      <w:marRight w:val="0"/>
      <w:marTop w:val="0"/>
      <w:marBottom w:val="0"/>
      <w:divBdr>
        <w:top w:val="none" w:sz="0" w:space="0" w:color="auto"/>
        <w:left w:val="none" w:sz="0" w:space="0" w:color="auto"/>
        <w:bottom w:val="none" w:sz="0" w:space="0" w:color="auto"/>
        <w:right w:val="none" w:sz="0" w:space="0" w:color="auto"/>
      </w:divBdr>
    </w:div>
    <w:div w:id="1010569300">
      <w:bodyDiv w:val="1"/>
      <w:marLeft w:val="0"/>
      <w:marRight w:val="0"/>
      <w:marTop w:val="0"/>
      <w:marBottom w:val="0"/>
      <w:divBdr>
        <w:top w:val="none" w:sz="0" w:space="0" w:color="auto"/>
        <w:left w:val="none" w:sz="0" w:space="0" w:color="auto"/>
        <w:bottom w:val="none" w:sz="0" w:space="0" w:color="auto"/>
        <w:right w:val="none" w:sz="0" w:space="0" w:color="auto"/>
      </w:divBdr>
    </w:div>
    <w:div w:id="1026979408">
      <w:bodyDiv w:val="1"/>
      <w:marLeft w:val="0"/>
      <w:marRight w:val="0"/>
      <w:marTop w:val="0"/>
      <w:marBottom w:val="0"/>
      <w:divBdr>
        <w:top w:val="none" w:sz="0" w:space="0" w:color="auto"/>
        <w:left w:val="none" w:sz="0" w:space="0" w:color="auto"/>
        <w:bottom w:val="none" w:sz="0" w:space="0" w:color="auto"/>
        <w:right w:val="none" w:sz="0" w:space="0" w:color="auto"/>
      </w:divBdr>
    </w:div>
    <w:div w:id="1037242721">
      <w:bodyDiv w:val="1"/>
      <w:marLeft w:val="0"/>
      <w:marRight w:val="0"/>
      <w:marTop w:val="0"/>
      <w:marBottom w:val="0"/>
      <w:divBdr>
        <w:top w:val="none" w:sz="0" w:space="0" w:color="auto"/>
        <w:left w:val="none" w:sz="0" w:space="0" w:color="auto"/>
        <w:bottom w:val="none" w:sz="0" w:space="0" w:color="auto"/>
        <w:right w:val="none" w:sz="0" w:space="0" w:color="auto"/>
      </w:divBdr>
    </w:div>
    <w:div w:id="1157457026">
      <w:bodyDiv w:val="1"/>
      <w:marLeft w:val="0"/>
      <w:marRight w:val="0"/>
      <w:marTop w:val="0"/>
      <w:marBottom w:val="0"/>
      <w:divBdr>
        <w:top w:val="none" w:sz="0" w:space="0" w:color="auto"/>
        <w:left w:val="none" w:sz="0" w:space="0" w:color="auto"/>
        <w:bottom w:val="none" w:sz="0" w:space="0" w:color="auto"/>
        <w:right w:val="none" w:sz="0" w:space="0" w:color="auto"/>
      </w:divBdr>
    </w:div>
    <w:div w:id="1171412738">
      <w:bodyDiv w:val="1"/>
      <w:marLeft w:val="0"/>
      <w:marRight w:val="0"/>
      <w:marTop w:val="0"/>
      <w:marBottom w:val="0"/>
      <w:divBdr>
        <w:top w:val="none" w:sz="0" w:space="0" w:color="auto"/>
        <w:left w:val="none" w:sz="0" w:space="0" w:color="auto"/>
        <w:bottom w:val="none" w:sz="0" w:space="0" w:color="auto"/>
        <w:right w:val="none" w:sz="0" w:space="0" w:color="auto"/>
      </w:divBdr>
    </w:div>
    <w:div w:id="1186944440">
      <w:bodyDiv w:val="1"/>
      <w:marLeft w:val="0"/>
      <w:marRight w:val="0"/>
      <w:marTop w:val="0"/>
      <w:marBottom w:val="0"/>
      <w:divBdr>
        <w:top w:val="none" w:sz="0" w:space="0" w:color="auto"/>
        <w:left w:val="none" w:sz="0" w:space="0" w:color="auto"/>
        <w:bottom w:val="none" w:sz="0" w:space="0" w:color="auto"/>
        <w:right w:val="none" w:sz="0" w:space="0" w:color="auto"/>
      </w:divBdr>
      <w:divsChild>
        <w:div w:id="19088671">
          <w:marLeft w:val="0"/>
          <w:marRight w:val="0"/>
          <w:marTop w:val="0"/>
          <w:marBottom w:val="0"/>
          <w:divBdr>
            <w:top w:val="none" w:sz="0" w:space="0" w:color="auto"/>
            <w:left w:val="none" w:sz="0" w:space="0" w:color="auto"/>
            <w:bottom w:val="none" w:sz="0" w:space="0" w:color="auto"/>
            <w:right w:val="none" w:sz="0" w:space="0" w:color="auto"/>
          </w:divBdr>
          <w:divsChild>
            <w:div w:id="1504467347">
              <w:marLeft w:val="0"/>
              <w:marRight w:val="0"/>
              <w:marTop w:val="0"/>
              <w:marBottom w:val="0"/>
              <w:divBdr>
                <w:top w:val="none" w:sz="0" w:space="0" w:color="auto"/>
                <w:left w:val="none" w:sz="0" w:space="0" w:color="auto"/>
                <w:bottom w:val="none" w:sz="0" w:space="0" w:color="auto"/>
                <w:right w:val="none" w:sz="0" w:space="0" w:color="auto"/>
              </w:divBdr>
            </w:div>
          </w:divsChild>
        </w:div>
        <w:div w:id="1813987882">
          <w:marLeft w:val="0"/>
          <w:marRight w:val="0"/>
          <w:marTop w:val="0"/>
          <w:marBottom w:val="0"/>
          <w:divBdr>
            <w:top w:val="none" w:sz="0" w:space="0" w:color="auto"/>
            <w:left w:val="none" w:sz="0" w:space="0" w:color="auto"/>
            <w:bottom w:val="none" w:sz="0" w:space="0" w:color="auto"/>
            <w:right w:val="none" w:sz="0" w:space="0" w:color="auto"/>
          </w:divBdr>
        </w:div>
      </w:divsChild>
    </w:div>
    <w:div w:id="1198467342">
      <w:bodyDiv w:val="1"/>
      <w:marLeft w:val="0"/>
      <w:marRight w:val="0"/>
      <w:marTop w:val="0"/>
      <w:marBottom w:val="0"/>
      <w:divBdr>
        <w:top w:val="none" w:sz="0" w:space="0" w:color="auto"/>
        <w:left w:val="none" w:sz="0" w:space="0" w:color="auto"/>
        <w:bottom w:val="none" w:sz="0" w:space="0" w:color="auto"/>
        <w:right w:val="none" w:sz="0" w:space="0" w:color="auto"/>
      </w:divBdr>
    </w:div>
    <w:div w:id="1200751168">
      <w:bodyDiv w:val="1"/>
      <w:marLeft w:val="0"/>
      <w:marRight w:val="0"/>
      <w:marTop w:val="0"/>
      <w:marBottom w:val="0"/>
      <w:divBdr>
        <w:top w:val="none" w:sz="0" w:space="0" w:color="auto"/>
        <w:left w:val="none" w:sz="0" w:space="0" w:color="auto"/>
        <w:bottom w:val="none" w:sz="0" w:space="0" w:color="auto"/>
        <w:right w:val="none" w:sz="0" w:space="0" w:color="auto"/>
      </w:divBdr>
    </w:div>
    <w:div w:id="1276060906">
      <w:bodyDiv w:val="1"/>
      <w:marLeft w:val="0"/>
      <w:marRight w:val="0"/>
      <w:marTop w:val="0"/>
      <w:marBottom w:val="0"/>
      <w:divBdr>
        <w:top w:val="none" w:sz="0" w:space="0" w:color="auto"/>
        <w:left w:val="none" w:sz="0" w:space="0" w:color="auto"/>
        <w:bottom w:val="none" w:sz="0" w:space="0" w:color="auto"/>
        <w:right w:val="none" w:sz="0" w:space="0" w:color="auto"/>
      </w:divBdr>
      <w:divsChild>
        <w:div w:id="445849401">
          <w:marLeft w:val="0"/>
          <w:marRight w:val="0"/>
          <w:marTop w:val="0"/>
          <w:marBottom w:val="0"/>
          <w:divBdr>
            <w:top w:val="none" w:sz="0" w:space="0" w:color="auto"/>
            <w:left w:val="none" w:sz="0" w:space="0" w:color="auto"/>
            <w:bottom w:val="none" w:sz="0" w:space="0" w:color="auto"/>
            <w:right w:val="none" w:sz="0" w:space="0" w:color="auto"/>
          </w:divBdr>
        </w:div>
        <w:div w:id="833571893">
          <w:marLeft w:val="0"/>
          <w:marRight w:val="0"/>
          <w:marTop w:val="0"/>
          <w:marBottom w:val="0"/>
          <w:divBdr>
            <w:top w:val="none" w:sz="0" w:space="0" w:color="auto"/>
            <w:left w:val="none" w:sz="0" w:space="0" w:color="auto"/>
            <w:bottom w:val="none" w:sz="0" w:space="0" w:color="auto"/>
            <w:right w:val="none" w:sz="0" w:space="0" w:color="auto"/>
          </w:divBdr>
        </w:div>
      </w:divsChild>
    </w:div>
    <w:div w:id="1281256048">
      <w:bodyDiv w:val="1"/>
      <w:marLeft w:val="0"/>
      <w:marRight w:val="0"/>
      <w:marTop w:val="0"/>
      <w:marBottom w:val="0"/>
      <w:divBdr>
        <w:top w:val="none" w:sz="0" w:space="0" w:color="auto"/>
        <w:left w:val="none" w:sz="0" w:space="0" w:color="auto"/>
        <w:bottom w:val="none" w:sz="0" w:space="0" w:color="auto"/>
        <w:right w:val="none" w:sz="0" w:space="0" w:color="auto"/>
      </w:divBdr>
    </w:div>
    <w:div w:id="1285387621">
      <w:bodyDiv w:val="1"/>
      <w:marLeft w:val="0"/>
      <w:marRight w:val="0"/>
      <w:marTop w:val="0"/>
      <w:marBottom w:val="0"/>
      <w:divBdr>
        <w:top w:val="none" w:sz="0" w:space="0" w:color="auto"/>
        <w:left w:val="none" w:sz="0" w:space="0" w:color="auto"/>
        <w:bottom w:val="none" w:sz="0" w:space="0" w:color="auto"/>
        <w:right w:val="none" w:sz="0" w:space="0" w:color="auto"/>
      </w:divBdr>
      <w:divsChild>
        <w:div w:id="680475773">
          <w:marLeft w:val="0"/>
          <w:marRight w:val="0"/>
          <w:marTop w:val="0"/>
          <w:marBottom w:val="0"/>
          <w:divBdr>
            <w:top w:val="none" w:sz="0" w:space="0" w:color="auto"/>
            <w:left w:val="none" w:sz="0" w:space="0" w:color="auto"/>
            <w:bottom w:val="none" w:sz="0" w:space="0" w:color="auto"/>
            <w:right w:val="none" w:sz="0" w:space="0" w:color="auto"/>
          </w:divBdr>
        </w:div>
        <w:div w:id="727146188">
          <w:marLeft w:val="0"/>
          <w:marRight w:val="0"/>
          <w:marTop w:val="0"/>
          <w:marBottom w:val="0"/>
          <w:divBdr>
            <w:top w:val="none" w:sz="0" w:space="0" w:color="auto"/>
            <w:left w:val="none" w:sz="0" w:space="0" w:color="auto"/>
            <w:bottom w:val="none" w:sz="0" w:space="0" w:color="auto"/>
            <w:right w:val="none" w:sz="0" w:space="0" w:color="auto"/>
          </w:divBdr>
        </w:div>
        <w:div w:id="1029143061">
          <w:marLeft w:val="0"/>
          <w:marRight w:val="0"/>
          <w:marTop w:val="0"/>
          <w:marBottom w:val="0"/>
          <w:divBdr>
            <w:top w:val="none" w:sz="0" w:space="0" w:color="auto"/>
            <w:left w:val="none" w:sz="0" w:space="0" w:color="auto"/>
            <w:bottom w:val="none" w:sz="0" w:space="0" w:color="auto"/>
            <w:right w:val="none" w:sz="0" w:space="0" w:color="auto"/>
          </w:divBdr>
        </w:div>
      </w:divsChild>
    </w:div>
    <w:div w:id="1352295058">
      <w:bodyDiv w:val="1"/>
      <w:marLeft w:val="0"/>
      <w:marRight w:val="0"/>
      <w:marTop w:val="0"/>
      <w:marBottom w:val="0"/>
      <w:divBdr>
        <w:top w:val="none" w:sz="0" w:space="0" w:color="auto"/>
        <w:left w:val="none" w:sz="0" w:space="0" w:color="auto"/>
        <w:bottom w:val="none" w:sz="0" w:space="0" w:color="auto"/>
        <w:right w:val="none" w:sz="0" w:space="0" w:color="auto"/>
      </w:divBdr>
    </w:div>
    <w:div w:id="1406760797">
      <w:bodyDiv w:val="1"/>
      <w:marLeft w:val="0"/>
      <w:marRight w:val="0"/>
      <w:marTop w:val="0"/>
      <w:marBottom w:val="0"/>
      <w:divBdr>
        <w:top w:val="none" w:sz="0" w:space="0" w:color="auto"/>
        <w:left w:val="none" w:sz="0" w:space="0" w:color="auto"/>
        <w:bottom w:val="none" w:sz="0" w:space="0" w:color="auto"/>
        <w:right w:val="none" w:sz="0" w:space="0" w:color="auto"/>
      </w:divBdr>
    </w:div>
    <w:div w:id="1444491857">
      <w:bodyDiv w:val="1"/>
      <w:marLeft w:val="0"/>
      <w:marRight w:val="0"/>
      <w:marTop w:val="0"/>
      <w:marBottom w:val="0"/>
      <w:divBdr>
        <w:top w:val="none" w:sz="0" w:space="0" w:color="auto"/>
        <w:left w:val="none" w:sz="0" w:space="0" w:color="auto"/>
        <w:bottom w:val="none" w:sz="0" w:space="0" w:color="auto"/>
        <w:right w:val="none" w:sz="0" w:space="0" w:color="auto"/>
      </w:divBdr>
    </w:div>
    <w:div w:id="1462965806">
      <w:bodyDiv w:val="1"/>
      <w:marLeft w:val="0"/>
      <w:marRight w:val="0"/>
      <w:marTop w:val="0"/>
      <w:marBottom w:val="0"/>
      <w:divBdr>
        <w:top w:val="none" w:sz="0" w:space="0" w:color="auto"/>
        <w:left w:val="none" w:sz="0" w:space="0" w:color="auto"/>
        <w:bottom w:val="none" w:sz="0" w:space="0" w:color="auto"/>
        <w:right w:val="none" w:sz="0" w:space="0" w:color="auto"/>
      </w:divBdr>
    </w:div>
    <w:div w:id="1483622879">
      <w:bodyDiv w:val="1"/>
      <w:marLeft w:val="0"/>
      <w:marRight w:val="0"/>
      <w:marTop w:val="0"/>
      <w:marBottom w:val="0"/>
      <w:divBdr>
        <w:top w:val="none" w:sz="0" w:space="0" w:color="auto"/>
        <w:left w:val="none" w:sz="0" w:space="0" w:color="auto"/>
        <w:bottom w:val="none" w:sz="0" w:space="0" w:color="auto"/>
        <w:right w:val="none" w:sz="0" w:space="0" w:color="auto"/>
      </w:divBdr>
    </w:div>
    <w:div w:id="1542471475">
      <w:bodyDiv w:val="1"/>
      <w:marLeft w:val="0"/>
      <w:marRight w:val="0"/>
      <w:marTop w:val="0"/>
      <w:marBottom w:val="0"/>
      <w:divBdr>
        <w:top w:val="none" w:sz="0" w:space="0" w:color="auto"/>
        <w:left w:val="none" w:sz="0" w:space="0" w:color="auto"/>
        <w:bottom w:val="none" w:sz="0" w:space="0" w:color="auto"/>
        <w:right w:val="none" w:sz="0" w:space="0" w:color="auto"/>
      </w:divBdr>
    </w:div>
    <w:div w:id="1645234886">
      <w:bodyDiv w:val="1"/>
      <w:marLeft w:val="0"/>
      <w:marRight w:val="0"/>
      <w:marTop w:val="0"/>
      <w:marBottom w:val="0"/>
      <w:divBdr>
        <w:top w:val="none" w:sz="0" w:space="0" w:color="auto"/>
        <w:left w:val="none" w:sz="0" w:space="0" w:color="auto"/>
        <w:bottom w:val="none" w:sz="0" w:space="0" w:color="auto"/>
        <w:right w:val="none" w:sz="0" w:space="0" w:color="auto"/>
      </w:divBdr>
    </w:div>
    <w:div w:id="1769228270">
      <w:bodyDiv w:val="1"/>
      <w:marLeft w:val="0"/>
      <w:marRight w:val="0"/>
      <w:marTop w:val="0"/>
      <w:marBottom w:val="0"/>
      <w:divBdr>
        <w:top w:val="none" w:sz="0" w:space="0" w:color="auto"/>
        <w:left w:val="none" w:sz="0" w:space="0" w:color="auto"/>
        <w:bottom w:val="none" w:sz="0" w:space="0" w:color="auto"/>
        <w:right w:val="none" w:sz="0" w:space="0" w:color="auto"/>
      </w:divBdr>
    </w:div>
    <w:div w:id="1834879228">
      <w:bodyDiv w:val="1"/>
      <w:marLeft w:val="0"/>
      <w:marRight w:val="0"/>
      <w:marTop w:val="0"/>
      <w:marBottom w:val="0"/>
      <w:divBdr>
        <w:top w:val="none" w:sz="0" w:space="0" w:color="auto"/>
        <w:left w:val="none" w:sz="0" w:space="0" w:color="auto"/>
        <w:bottom w:val="none" w:sz="0" w:space="0" w:color="auto"/>
        <w:right w:val="none" w:sz="0" w:space="0" w:color="auto"/>
      </w:divBdr>
    </w:div>
    <w:div w:id="1847014335">
      <w:bodyDiv w:val="1"/>
      <w:marLeft w:val="0"/>
      <w:marRight w:val="0"/>
      <w:marTop w:val="0"/>
      <w:marBottom w:val="0"/>
      <w:divBdr>
        <w:top w:val="none" w:sz="0" w:space="0" w:color="auto"/>
        <w:left w:val="none" w:sz="0" w:space="0" w:color="auto"/>
        <w:bottom w:val="none" w:sz="0" w:space="0" w:color="auto"/>
        <w:right w:val="none" w:sz="0" w:space="0" w:color="auto"/>
      </w:divBdr>
    </w:div>
    <w:div w:id="1854494135">
      <w:bodyDiv w:val="1"/>
      <w:marLeft w:val="0"/>
      <w:marRight w:val="0"/>
      <w:marTop w:val="0"/>
      <w:marBottom w:val="0"/>
      <w:divBdr>
        <w:top w:val="none" w:sz="0" w:space="0" w:color="auto"/>
        <w:left w:val="none" w:sz="0" w:space="0" w:color="auto"/>
        <w:bottom w:val="none" w:sz="0" w:space="0" w:color="auto"/>
        <w:right w:val="none" w:sz="0" w:space="0" w:color="auto"/>
      </w:divBdr>
    </w:div>
    <w:div w:id="1908571179">
      <w:bodyDiv w:val="1"/>
      <w:marLeft w:val="0"/>
      <w:marRight w:val="0"/>
      <w:marTop w:val="0"/>
      <w:marBottom w:val="0"/>
      <w:divBdr>
        <w:top w:val="none" w:sz="0" w:space="0" w:color="auto"/>
        <w:left w:val="none" w:sz="0" w:space="0" w:color="auto"/>
        <w:bottom w:val="none" w:sz="0" w:space="0" w:color="auto"/>
        <w:right w:val="none" w:sz="0" w:space="0" w:color="auto"/>
      </w:divBdr>
    </w:div>
    <w:div w:id="1983001655">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137409625">
      <w:bodyDiv w:val="1"/>
      <w:marLeft w:val="0"/>
      <w:marRight w:val="0"/>
      <w:marTop w:val="0"/>
      <w:marBottom w:val="0"/>
      <w:divBdr>
        <w:top w:val="none" w:sz="0" w:space="0" w:color="auto"/>
        <w:left w:val="none" w:sz="0" w:space="0" w:color="auto"/>
        <w:bottom w:val="none" w:sz="0" w:space="0" w:color="auto"/>
        <w:right w:val="none" w:sz="0" w:space="0" w:color="auto"/>
      </w:divBdr>
      <w:divsChild>
        <w:div w:id="318578021">
          <w:marLeft w:val="0"/>
          <w:marRight w:val="0"/>
          <w:marTop w:val="0"/>
          <w:marBottom w:val="0"/>
          <w:divBdr>
            <w:top w:val="none" w:sz="0" w:space="0" w:color="auto"/>
            <w:left w:val="none" w:sz="0" w:space="0" w:color="auto"/>
            <w:bottom w:val="none" w:sz="0" w:space="0" w:color="auto"/>
            <w:right w:val="none" w:sz="0" w:space="0" w:color="auto"/>
          </w:divBdr>
        </w:div>
        <w:div w:id="615604742">
          <w:marLeft w:val="0"/>
          <w:marRight w:val="0"/>
          <w:marTop w:val="0"/>
          <w:marBottom w:val="0"/>
          <w:divBdr>
            <w:top w:val="none" w:sz="0" w:space="0" w:color="auto"/>
            <w:left w:val="none" w:sz="0" w:space="0" w:color="auto"/>
            <w:bottom w:val="none" w:sz="0" w:space="0" w:color="auto"/>
            <w:right w:val="none" w:sz="0" w:space="0" w:color="auto"/>
          </w:divBdr>
        </w:div>
        <w:div w:id="1066878344">
          <w:marLeft w:val="0"/>
          <w:marRight w:val="0"/>
          <w:marTop w:val="0"/>
          <w:marBottom w:val="0"/>
          <w:divBdr>
            <w:top w:val="none" w:sz="0" w:space="0" w:color="auto"/>
            <w:left w:val="none" w:sz="0" w:space="0" w:color="auto"/>
            <w:bottom w:val="none" w:sz="0" w:space="0" w:color="auto"/>
            <w:right w:val="none" w:sz="0" w:space="0" w:color="auto"/>
          </w:divBdr>
        </w:div>
        <w:div w:id="1578779666">
          <w:marLeft w:val="0"/>
          <w:marRight w:val="0"/>
          <w:marTop w:val="0"/>
          <w:marBottom w:val="0"/>
          <w:divBdr>
            <w:top w:val="none" w:sz="0" w:space="0" w:color="auto"/>
            <w:left w:val="none" w:sz="0" w:space="0" w:color="auto"/>
            <w:bottom w:val="none" w:sz="0" w:space="0" w:color="auto"/>
            <w:right w:val="none" w:sz="0" w:space="0" w:color="auto"/>
          </w:divBdr>
          <w:divsChild>
            <w:div w:id="1584954349">
              <w:marLeft w:val="0"/>
              <w:marRight w:val="0"/>
              <w:marTop w:val="30"/>
              <w:marBottom w:val="30"/>
              <w:divBdr>
                <w:top w:val="none" w:sz="0" w:space="0" w:color="auto"/>
                <w:left w:val="none" w:sz="0" w:space="0" w:color="auto"/>
                <w:bottom w:val="none" w:sz="0" w:space="0" w:color="auto"/>
                <w:right w:val="none" w:sz="0" w:space="0" w:color="auto"/>
              </w:divBdr>
              <w:divsChild>
                <w:div w:id="232085329">
                  <w:marLeft w:val="0"/>
                  <w:marRight w:val="0"/>
                  <w:marTop w:val="0"/>
                  <w:marBottom w:val="0"/>
                  <w:divBdr>
                    <w:top w:val="none" w:sz="0" w:space="0" w:color="auto"/>
                    <w:left w:val="none" w:sz="0" w:space="0" w:color="auto"/>
                    <w:bottom w:val="none" w:sz="0" w:space="0" w:color="auto"/>
                    <w:right w:val="none" w:sz="0" w:space="0" w:color="auto"/>
                  </w:divBdr>
                  <w:divsChild>
                    <w:div w:id="496187540">
                      <w:marLeft w:val="0"/>
                      <w:marRight w:val="0"/>
                      <w:marTop w:val="0"/>
                      <w:marBottom w:val="0"/>
                      <w:divBdr>
                        <w:top w:val="none" w:sz="0" w:space="0" w:color="auto"/>
                        <w:left w:val="none" w:sz="0" w:space="0" w:color="auto"/>
                        <w:bottom w:val="none" w:sz="0" w:space="0" w:color="auto"/>
                        <w:right w:val="none" w:sz="0" w:space="0" w:color="auto"/>
                      </w:divBdr>
                    </w:div>
                  </w:divsChild>
                </w:div>
                <w:div w:id="361593862">
                  <w:marLeft w:val="0"/>
                  <w:marRight w:val="0"/>
                  <w:marTop w:val="0"/>
                  <w:marBottom w:val="0"/>
                  <w:divBdr>
                    <w:top w:val="none" w:sz="0" w:space="0" w:color="auto"/>
                    <w:left w:val="none" w:sz="0" w:space="0" w:color="auto"/>
                    <w:bottom w:val="none" w:sz="0" w:space="0" w:color="auto"/>
                    <w:right w:val="none" w:sz="0" w:space="0" w:color="auto"/>
                  </w:divBdr>
                  <w:divsChild>
                    <w:div w:id="465661283">
                      <w:marLeft w:val="0"/>
                      <w:marRight w:val="0"/>
                      <w:marTop w:val="0"/>
                      <w:marBottom w:val="0"/>
                      <w:divBdr>
                        <w:top w:val="none" w:sz="0" w:space="0" w:color="auto"/>
                        <w:left w:val="none" w:sz="0" w:space="0" w:color="auto"/>
                        <w:bottom w:val="none" w:sz="0" w:space="0" w:color="auto"/>
                        <w:right w:val="none" w:sz="0" w:space="0" w:color="auto"/>
                      </w:divBdr>
                    </w:div>
                    <w:div w:id="920724767">
                      <w:marLeft w:val="0"/>
                      <w:marRight w:val="0"/>
                      <w:marTop w:val="0"/>
                      <w:marBottom w:val="0"/>
                      <w:divBdr>
                        <w:top w:val="none" w:sz="0" w:space="0" w:color="auto"/>
                        <w:left w:val="none" w:sz="0" w:space="0" w:color="auto"/>
                        <w:bottom w:val="none" w:sz="0" w:space="0" w:color="auto"/>
                        <w:right w:val="none" w:sz="0" w:space="0" w:color="auto"/>
                      </w:divBdr>
                    </w:div>
                  </w:divsChild>
                </w:div>
                <w:div w:id="437801567">
                  <w:marLeft w:val="0"/>
                  <w:marRight w:val="0"/>
                  <w:marTop w:val="0"/>
                  <w:marBottom w:val="0"/>
                  <w:divBdr>
                    <w:top w:val="none" w:sz="0" w:space="0" w:color="auto"/>
                    <w:left w:val="none" w:sz="0" w:space="0" w:color="auto"/>
                    <w:bottom w:val="none" w:sz="0" w:space="0" w:color="auto"/>
                    <w:right w:val="none" w:sz="0" w:space="0" w:color="auto"/>
                  </w:divBdr>
                  <w:divsChild>
                    <w:div w:id="802622108">
                      <w:marLeft w:val="0"/>
                      <w:marRight w:val="0"/>
                      <w:marTop w:val="0"/>
                      <w:marBottom w:val="0"/>
                      <w:divBdr>
                        <w:top w:val="none" w:sz="0" w:space="0" w:color="auto"/>
                        <w:left w:val="none" w:sz="0" w:space="0" w:color="auto"/>
                        <w:bottom w:val="none" w:sz="0" w:space="0" w:color="auto"/>
                        <w:right w:val="none" w:sz="0" w:space="0" w:color="auto"/>
                      </w:divBdr>
                    </w:div>
                  </w:divsChild>
                </w:div>
                <w:div w:id="666440656">
                  <w:marLeft w:val="0"/>
                  <w:marRight w:val="0"/>
                  <w:marTop w:val="0"/>
                  <w:marBottom w:val="0"/>
                  <w:divBdr>
                    <w:top w:val="none" w:sz="0" w:space="0" w:color="auto"/>
                    <w:left w:val="none" w:sz="0" w:space="0" w:color="auto"/>
                    <w:bottom w:val="none" w:sz="0" w:space="0" w:color="auto"/>
                    <w:right w:val="none" w:sz="0" w:space="0" w:color="auto"/>
                  </w:divBdr>
                  <w:divsChild>
                    <w:div w:id="2122915806">
                      <w:marLeft w:val="0"/>
                      <w:marRight w:val="0"/>
                      <w:marTop w:val="0"/>
                      <w:marBottom w:val="0"/>
                      <w:divBdr>
                        <w:top w:val="none" w:sz="0" w:space="0" w:color="auto"/>
                        <w:left w:val="none" w:sz="0" w:space="0" w:color="auto"/>
                        <w:bottom w:val="none" w:sz="0" w:space="0" w:color="auto"/>
                        <w:right w:val="none" w:sz="0" w:space="0" w:color="auto"/>
                      </w:divBdr>
                    </w:div>
                  </w:divsChild>
                </w:div>
                <w:div w:id="1173375869">
                  <w:marLeft w:val="0"/>
                  <w:marRight w:val="0"/>
                  <w:marTop w:val="0"/>
                  <w:marBottom w:val="0"/>
                  <w:divBdr>
                    <w:top w:val="none" w:sz="0" w:space="0" w:color="auto"/>
                    <w:left w:val="none" w:sz="0" w:space="0" w:color="auto"/>
                    <w:bottom w:val="none" w:sz="0" w:space="0" w:color="auto"/>
                    <w:right w:val="none" w:sz="0" w:space="0" w:color="auto"/>
                  </w:divBdr>
                  <w:divsChild>
                    <w:div w:id="545218185">
                      <w:marLeft w:val="0"/>
                      <w:marRight w:val="0"/>
                      <w:marTop w:val="0"/>
                      <w:marBottom w:val="0"/>
                      <w:divBdr>
                        <w:top w:val="none" w:sz="0" w:space="0" w:color="auto"/>
                        <w:left w:val="none" w:sz="0" w:space="0" w:color="auto"/>
                        <w:bottom w:val="none" w:sz="0" w:space="0" w:color="auto"/>
                        <w:right w:val="none" w:sz="0" w:space="0" w:color="auto"/>
                      </w:divBdr>
                    </w:div>
                  </w:divsChild>
                </w:div>
                <w:div w:id="1178076216">
                  <w:marLeft w:val="0"/>
                  <w:marRight w:val="0"/>
                  <w:marTop w:val="0"/>
                  <w:marBottom w:val="0"/>
                  <w:divBdr>
                    <w:top w:val="none" w:sz="0" w:space="0" w:color="auto"/>
                    <w:left w:val="none" w:sz="0" w:space="0" w:color="auto"/>
                    <w:bottom w:val="none" w:sz="0" w:space="0" w:color="auto"/>
                    <w:right w:val="none" w:sz="0" w:space="0" w:color="auto"/>
                  </w:divBdr>
                  <w:divsChild>
                    <w:div w:id="698315395">
                      <w:marLeft w:val="0"/>
                      <w:marRight w:val="0"/>
                      <w:marTop w:val="0"/>
                      <w:marBottom w:val="0"/>
                      <w:divBdr>
                        <w:top w:val="none" w:sz="0" w:space="0" w:color="auto"/>
                        <w:left w:val="none" w:sz="0" w:space="0" w:color="auto"/>
                        <w:bottom w:val="none" w:sz="0" w:space="0" w:color="auto"/>
                        <w:right w:val="none" w:sz="0" w:space="0" w:color="auto"/>
                      </w:divBdr>
                    </w:div>
                  </w:divsChild>
                </w:div>
                <w:div w:id="1227036157">
                  <w:marLeft w:val="0"/>
                  <w:marRight w:val="0"/>
                  <w:marTop w:val="0"/>
                  <w:marBottom w:val="0"/>
                  <w:divBdr>
                    <w:top w:val="none" w:sz="0" w:space="0" w:color="auto"/>
                    <w:left w:val="none" w:sz="0" w:space="0" w:color="auto"/>
                    <w:bottom w:val="none" w:sz="0" w:space="0" w:color="auto"/>
                    <w:right w:val="none" w:sz="0" w:space="0" w:color="auto"/>
                  </w:divBdr>
                  <w:divsChild>
                    <w:div w:id="803616520">
                      <w:marLeft w:val="0"/>
                      <w:marRight w:val="0"/>
                      <w:marTop w:val="0"/>
                      <w:marBottom w:val="0"/>
                      <w:divBdr>
                        <w:top w:val="none" w:sz="0" w:space="0" w:color="auto"/>
                        <w:left w:val="none" w:sz="0" w:space="0" w:color="auto"/>
                        <w:bottom w:val="none" w:sz="0" w:space="0" w:color="auto"/>
                        <w:right w:val="none" w:sz="0" w:space="0" w:color="auto"/>
                      </w:divBdr>
                    </w:div>
                  </w:divsChild>
                </w:div>
                <w:div w:id="1633056194">
                  <w:marLeft w:val="0"/>
                  <w:marRight w:val="0"/>
                  <w:marTop w:val="0"/>
                  <w:marBottom w:val="0"/>
                  <w:divBdr>
                    <w:top w:val="none" w:sz="0" w:space="0" w:color="auto"/>
                    <w:left w:val="none" w:sz="0" w:space="0" w:color="auto"/>
                    <w:bottom w:val="none" w:sz="0" w:space="0" w:color="auto"/>
                    <w:right w:val="none" w:sz="0" w:space="0" w:color="auto"/>
                  </w:divBdr>
                  <w:divsChild>
                    <w:div w:id="175924353">
                      <w:marLeft w:val="0"/>
                      <w:marRight w:val="0"/>
                      <w:marTop w:val="0"/>
                      <w:marBottom w:val="0"/>
                      <w:divBdr>
                        <w:top w:val="none" w:sz="0" w:space="0" w:color="auto"/>
                        <w:left w:val="none" w:sz="0" w:space="0" w:color="auto"/>
                        <w:bottom w:val="none" w:sz="0" w:space="0" w:color="auto"/>
                        <w:right w:val="none" w:sz="0" w:space="0" w:color="auto"/>
                      </w:divBdr>
                    </w:div>
                  </w:divsChild>
                </w:div>
                <w:div w:id="2020617446">
                  <w:marLeft w:val="0"/>
                  <w:marRight w:val="0"/>
                  <w:marTop w:val="0"/>
                  <w:marBottom w:val="0"/>
                  <w:divBdr>
                    <w:top w:val="none" w:sz="0" w:space="0" w:color="auto"/>
                    <w:left w:val="none" w:sz="0" w:space="0" w:color="auto"/>
                    <w:bottom w:val="none" w:sz="0" w:space="0" w:color="auto"/>
                    <w:right w:val="none" w:sz="0" w:space="0" w:color="auto"/>
                  </w:divBdr>
                  <w:divsChild>
                    <w:div w:id="150138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ihw.gov.au/reports/food-nutrition/diet" TargetMode="External"/><Relationship Id="rId21" Type="http://schemas.openxmlformats.org/officeDocument/2006/relationships/hyperlink" Target="http://www.lifeline.org.au" TargetMode="External"/><Relationship Id="rId42" Type="http://schemas.openxmlformats.org/officeDocument/2006/relationships/image" Target="media/image14.png"/><Relationship Id="rId63" Type="http://schemas.openxmlformats.org/officeDocument/2006/relationships/image" Target="media/image30.jpeg"/><Relationship Id="rId84" Type="http://schemas.openxmlformats.org/officeDocument/2006/relationships/hyperlink" Target="https://www.dss.gov.au/sites/default/files/documents/10_2023/national-plan-end-violence-against-women-and-children-2022-2032.pdf" TargetMode="External"/><Relationship Id="rId138" Type="http://schemas.openxmlformats.org/officeDocument/2006/relationships/hyperlink" Target="https://phidu.torrens.edu.au/social-health-atlases/graphs/remoteness-whole-population/remoteness-graphs-latest#education" TargetMode="External"/><Relationship Id="rId159" Type="http://schemas.openxmlformats.org/officeDocument/2006/relationships/hyperlink" Target="https://iris.who.int/handle/10665/70853" TargetMode="External"/><Relationship Id="rId170" Type="http://schemas.openxmlformats.org/officeDocument/2006/relationships/hyperlink" Target="https://www.who.int/publications/i/item/9789241564779" TargetMode="External"/><Relationship Id="rId191" Type="http://schemas.openxmlformats.org/officeDocument/2006/relationships/hyperlink" Target="https://www.saxinstitute.org.au/wp-content/uploads/2019_Suicide-Aftercare-Services-Report.pdf" TargetMode="External"/><Relationship Id="rId205" Type="http://schemas.openxmlformats.org/officeDocument/2006/relationships/hyperlink" Target="https://www.gov.uk/government/publications/suicide-prevention-strategy-for-england-2023-to-2028" TargetMode="External"/><Relationship Id="rId226" Type="http://schemas.openxmlformats.org/officeDocument/2006/relationships/hyperlink" Target="https://www.blackdoginstitute.org.au/research-centres/centre-of-research-excellence-in-suicide-prevention/lived-experience-resource-centre/" TargetMode="External"/><Relationship Id="rId247" Type="http://schemas.openxmlformats.org/officeDocument/2006/relationships/hyperlink" Target="https://www.safetyandquality.gov.au/standards/nsqhs-standards/comprehensive-care-standard/minimising-patient-harm/action-531" TargetMode="External"/><Relationship Id="rId107" Type="http://schemas.openxmlformats.org/officeDocument/2006/relationships/hyperlink" Target="https://www.aihw.gov.au/reports/domestic-violence/family-domestic-and-sexual-violence" TargetMode="External"/><Relationship Id="rId11" Type="http://schemas.openxmlformats.org/officeDocument/2006/relationships/endnotes" Target="endnotes.xml"/><Relationship Id="rId32" Type="http://schemas.openxmlformats.org/officeDocument/2006/relationships/hyperlink" Target="https://embracementalhealth.org.au/" TargetMode="External"/><Relationship Id="rId53" Type="http://schemas.openxmlformats.org/officeDocument/2006/relationships/image" Target="media/image21.PNG"/><Relationship Id="rId74" Type="http://schemas.openxmlformats.org/officeDocument/2006/relationships/hyperlink" Target="https://www.aihw.gov.au/suicide-self-harm-monitoring/data/populations-age-groups/suicidal-and-self-harming-thoughts-and-behaviours" TargetMode="External"/><Relationship Id="rId128" Type="http://schemas.openxmlformats.org/officeDocument/2006/relationships/hyperlink" Target="https://www.suicidepreventionaust.org/wp-content/uploads/2022/02/Gambling-Report_2022.pdf" TargetMode="External"/><Relationship Id="rId149" Type="http://schemas.openxmlformats.org/officeDocument/2006/relationships/hyperlink" Target="https://melbourneinstitute.unimelb.edu.au/hilda/publications/hilda-statistical-reports/past-reports" TargetMode="External"/><Relationship Id="rId5" Type="http://schemas.openxmlformats.org/officeDocument/2006/relationships/customXml" Target="../customXml/item5.xml"/><Relationship Id="rId95" Type="http://schemas.openxmlformats.org/officeDocument/2006/relationships/hyperlink" Target="https://www.closingthegap.gov.au/national-agreement/targets" TargetMode="External"/><Relationship Id="rId160" Type="http://schemas.openxmlformats.org/officeDocument/2006/relationships/hyperlink" Target="https://www.royalcommission.gov.au/aged-care/final-report" TargetMode="External"/><Relationship Id="rId181" Type="http://schemas.openxmlformats.org/officeDocument/2006/relationships/hyperlink" Target="https://doi.org/10.1377/hlthaff.2015.1672" TargetMode="External"/><Relationship Id="rId216" Type="http://schemas.openxmlformats.org/officeDocument/2006/relationships/hyperlink" Target="https://www.health.gov.au/resources/publications/national-suicide-prevention-trial-final-evaluation-report?language=en" TargetMode="External"/><Relationship Id="rId237" Type="http://schemas.openxmlformats.org/officeDocument/2006/relationships/hyperlink" Target="https://www.racgp.org.au/advocacy/position-statements/view-all-position-statements/health-systems-and-environmental/the-role-of-specialist-gps" TargetMode="External"/><Relationship Id="rId258" Type="http://schemas.openxmlformats.org/officeDocument/2006/relationships/glossaryDocument" Target="glossary/document.xml"/><Relationship Id="rId22" Type="http://schemas.openxmlformats.org/officeDocument/2006/relationships/hyperlink" Target="https://www.suicidecallbackservice.org.au/" TargetMode="External"/><Relationship Id="rId43" Type="http://schemas.openxmlformats.org/officeDocument/2006/relationships/image" Target="media/image15.png"/><Relationship Id="rId64" Type="http://schemas.openxmlformats.org/officeDocument/2006/relationships/image" Target="media/image31.jpg"/><Relationship Id="rId118" Type="http://schemas.openxmlformats.org/officeDocument/2006/relationships/hyperlink" Target="https://www.aihw.gov.au/reports-data/australias-health" TargetMode="External"/><Relationship Id="rId139" Type="http://schemas.openxmlformats.org/officeDocument/2006/relationships/hyperlink" Target="https://doi.org/10.1016/j.joclim.2023.100240" TargetMode="External"/><Relationship Id="rId85" Type="http://schemas.openxmlformats.org/officeDocument/2006/relationships/hyperlink" Target="https://research.bond.edu.au/en/publications/aboriginal-and-torres-strait-islander-social-and-emotional-wellbe" TargetMode="External"/><Relationship Id="rId150" Type="http://schemas.openxmlformats.org/officeDocument/2006/relationships/hyperlink" Target="https://www.dss.gov.au/our-responsibilities-communities-and-vulnerable-people/strong-and-resilient-communities" TargetMode="External"/><Relationship Id="rId171" Type="http://schemas.openxmlformats.org/officeDocument/2006/relationships/hyperlink" Target="https://www.orygen.org.au/chatsafe" TargetMode="External"/><Relationship Id="rId192" Type="http://schemas.openxmlformats.org/officeDocument/2006/relationships/hyperlink" Target="https://www.aihw.gov.au/suicide-self-harm-monitoring/data/deaths-by-suicide-in-australia/prevalence-estimates-of-suicidal-behaviours" TargetMode="External"/><Relationship Id="rId206" Type="http://schemas.openxmlformats.org/officeDocument/2006/relationships/hyperlink" Target="https://ssir.org/articles/entry/collective_impact/" TargetMode="External"/><Relationship Id="rId227" Type="http://schemas.openxmlformats.org/officeDocument/2006/relationships/hyperlink" Target="https://mspgh.unimelb.edu.au/research-groups/centre-for-mental-health/mental-health-policy-and-practice/national-leadership-in-suicide-prevention-research" TargetMode="External"/><Relationship Id="rId248" Type="http://schemas.openxmlformats.org/officeDocument/2006/relationships/hyperlink" Target="https://www.menzies.edu.au/icms_docs/310034_The_BestPrAxIS_study.pdf" TargetMode="External"/><Relationship Id="rId12" Type="http://schemas.openxmlformats.org/officeDocument/2006/relationships/image" Target="media/image1.png"/><Relationship Id="rId33" Type="http://schemas.openxmlformats.org/officeDocument/2006/relationships/hyperlink" Target="https://www.beyondblue.org.au/" TargetMode="External"/><Relationship Id="rId108" Type="http://schemas.openxmlformats.org/officeDocument/2006/relationships/hyperlink" Target="https://www.facs.nsw.gov.au/domestic-violence-1/services-and-support0/programs/staying-home-leaving-violence" TargetMode="External"/><Relationship Id="rId129" Type="http://schemas.openxmlformats.org/officeDocument/2006/relationships/hyperlink" Target="https://parlinfo.aph.gov.au/parlInfo/download/committees/reportrep/RB000159/toc_pdf/Youwinsome,youlosemore.pdf" TargetMode="External"/><Relationship Id="rId54" Type="http://schemas.openxmlformats.org/officeDocument/2006/relationships/image" Target="media/image22.PNG"/><Relationship Id="rId75" Type="http://schemas.openxmlformats.org/officeDocument/2006/relationships/hyperlink" Target="https://www.abs.gov.au/articles/cultural-diversity-australia" TargetMode="External"/><Relationship Id="rId96" Type="http://schemas.openxmlformats.org/officeDocument/2006/relationships/hyperlink" Target="https://apo.org.au/node/31055" TargetMode="External"/><Relationship Id="rId140" Type="http://schemas.openxmlformats.org/officeDocument/2006/relationships/hyperlink" Target="https://www.aihw.gov.au/suicide-self-harm-monitoring/data/behaviours-risk-factors/social-factors-suicide" TargetMode="External"/><Relationship Id="rId161" Type="http://schemas.openxmlformats.org/officeDocument/2006/relationships/hyperlink" Target="https://www.y-a-m.org/" TargetMode="External"/><Relationship Id="rId182" Type="http://schemas.openxmlformats.org/officeDocument/2006/relationships/hyperlink" Target="https://www.health.gov.au/resources/publications/main-report-evaluation-of-the-better-access-initiative?language=en" TargetMode="External"/><Relationship Id="rId217" Type="http://schemas.openxmlformats.org/officeDocument/2006/relationships/hyperlink" Target="https://www.health.gov.au/resources/publications/analysis-of-suicide-prevention-trials-evaluation-findings-discussion-paper?language=en" TargetMode="External"/><Relationship Id="rId6" Type="http://schemas.openxmlformats.org/officeDocument/2006/relationships/numbering" Target="numbering.xml"/><Relationship Id="rId238" Type="http://schemas.openxmlformats.org/officeDocument/2006/relationships/hyperlink" Target="https://www.racgp.org.au/FSDEDEV/media/documents/Clinical%20Resources/Guidelines/Red%20Book/Guidelines-for-preventive-activities-in-general-practice.pdf" TargetMode="External"/><Relationship Id="rId259" Type="http://schemas.openxmlformats.org/officeDocument/2006/relationships/theme" Target="theme/theme1.xml"/><Relationship Id="rId23" Type="http://schemas.openxmlformats.org/officeDocument/2006/relationships/hyperlink" Target="http://1800" TargetMode="External"/><Relationship Id="rId119" Type="http://schemas.openxmlformats.org/officeDocument/2006/relationships/hyperlink" Target="https://www.sydney.edu.au/content/dam/corporate/documents/matilda-centre/resources/reports/aod-and-suicidal-behaviour-.pdf" TargetMode="External"/><Relationship Id="rId44" Type="http://schemas.openxmlformats.org/officeDocument/2006/relationships/image" Target="media/image16.svg"/><Relationship Id="rId65" Type="http://schemas.openxmlformats.org/officeDocument/2006/relationships/hyperlink" Target="https://www.abs.gov.au/statistics/health/causes-death/causes-death-australia/2022" TargetMode="External"/><Relationship Id="rId86" Type="http://schemas.openxmlformats.org/officeDocument/2006/relationships/hyperlink" Target="https://www.health.gov.au/resources/publications/national-aboriginal-and-torres-strait-islander-health-plan-2021-2031" TargetMode="External"/><Relationship Id="rId130" Type="http://schemas.openxmlformats.org/officeDocument/2006/relationships/hyperlink" Target="https://www.aihw.gov.au/suicide-self-harm-monitoring/data/deaths-by-suicide-in-australia/suicide-deaths-over-time" TargetMode="External"/><Relationship Id="rId151" Type="http://schemas.openxmlformats.org/officeDocument/2006/relationships/hyperlink" Target="https://www.dss.gov.au/strong-and-resilient-communities-evaluation-report" TargetMode="External"/><Relationship Id="rId172" Type="http://schemas.openxmlformats.org/officeDocument/2006/relationships/hyperlink" Target="https://www.aihw.gov.au/suicide-self-harm-monitoring" TargetMode="External"/><Relationship Id="rId193" Type="http://schemas.openxmlformats.org/officeDocument/2006/relationships/hyperlink" Target="https://www.beyondblue.org.au/docs/default-source/media-release-pdf/the-way-back-support-services-evaluation-final-evaluation-report.pdf" TargetMode="External"/><Relationship Id="rId207" Type="http://schemas.openxmlformats.org/officeDocument/2006/relationships/hyperlink" Target="https://www.legislation.sa.gov.au/__legislation/lz/v/a/2021/suicide%20prevention%20act%202021_51/2021.51.un.pdf" TargetMode="External"/><Relationship Id="rId228" Type="http://schemas.openxmlformats.org/officeDocument/2006/relationships/hyperlink" Target="https://www.blackdoginstitute.org.au/cresp/" TargetMode="External"/><Relationship Id="rId249" Type="http://schemas.openxmlformats.org/officeDocument/2006/relationships/hyperlink" Target="https://www.telethonkids.org.au/globalassets/media/documents/projects/lgbtqa-guidelines/lgbtqa-suicide-prevention-guidelines.pdf" TargetMode="External"/><Relationship Id="rId13" Type="http://schemas.openxmlformats.org/officeDocument/2006/relationships/header" Target="header1.xml"/><Relationship Id="rId109" Type="http://schemas.openxmlformats.org/officeDocument/2006/relationships/hyperlink" Target="https://www.childsafety.gov.au/resources/national-strategy-prevent-and-respond-child-sexual-abuse-2021-2030" TargetMode="External"/><Relationship Id="rId260" Type="http://schemas.microsoft.com/office/2020/10/relationships/intelligence" Target="intelligence2.xml"/><Relationship Id="rId34" Type="http://schemas.openxmlformats.org/officeDocument/2006/relationships/image" Target="media/image6.png"/><Relationship Id="rId55" Type="http://schemas.openxmlformats.org/officeDocument/2006/relationships/image" Target="media/image23.PNG"/><Relationship Id="rId76" Type="http://schemas.openxmlformats.org/officeDocument/2006/relationships/hyperlink" Target="https://www.aihw.gov.au/suicide-self-harm-monitoring/data/populations-age-groups/deaths-by-suicide-among-people-who-used-disability" TargetMode="External"/><Relationship Id="rId97" Type="http://schemas.openxmlformats.org/officeDocument/2006/relationships/hyperlink" Target="http://www.acms.au/wp-content/uploads/2023/04/3846.1_ACMS_A4Report_C1_Digital-Near-final.pdf" TargetMode="External"/><Relationship Id="rId120" Type="http://schemas.openxmlformats.org/officeDocument/2006/relationships/hyperlink" Target="https://www.health.gov.au/sites/default/files/documents/2021/12/national-preventive-health-strategy-2021-2030_1.pdf" TargetMode="External"/><Relationship Id="rId141" Type="http://schemas.openxmlformats.org/officeDocument/2006/relationships/hyperlink" Target="https://www.ahuri.edu.au/analysis/brief/what-mental-ill-health-issue-and-how-it-affects-housing" TargetMode="External"/><Relationship Id="rId7" Type="http://schemas.openxmlformats.org/officeDocument/2006/relationships/styles" Target="styles.xml"/><Relationship Id="rId162" Type="http://schemas.openxmlformats.org/officeDocument/2006/relationships/hyperlink" Target="https://www.health.gov.au/sites/default/files/documents/2021/05/australian-government-response-to-the-final-report-of-the-royal-commission-into-aged-care-quality-and-safety.pdf" TargetMode="External"/><Relationship Id="rId183" Type="http://schemas.openxmlformats.org/officeDocument/2006/relationships/hyperlink" Target="https://www.ncbi.nlm.nih.gov/pmc/articles/PMC5077254/" TargetMode="External"/><Relationship Id="rId218" Type="http://schemas.openxmlformats.org/officeDocument/2006/relationships/hyperlink" Target="https://iap2.org.au/resources/spectrum/" TargetMode="External"/><Relationship Id="rId239" Type="http://schemas.openxmlformats.org/officeDocument/2006/relationships/hyperlink" Target="https://gpmhsc.org.au/getattachment/f30b23b9-086b-4f48-a1cf-55721cd0cc3b/gpmhsc-suicide-prevention-and-first-aid-resource-for-gps.pdf" TargetMode="External"/><Relationship Id="rId250" Type="http://schemas.openxmlformats.org/officeDocument/2006/relationships/hyperlink" Target="https://www.who.int/news-room/questions-and-answers/item/stress" TargetMode="External"/><Relationship Id="rId24" Type="http://schemas.openxmlformats.org/officeDocument/2006/relationships/hyperlink" Target="https://mensline.org.au/" TargetMode="External"/><Relationship Id="rId45" Type="http://schemas.openxmlformats.org/officeDocument/2006/relationships/header" Target="header5.xml"/><Relationship Id="rId66" Type="http://schemas.openxmlformats.org/officeDocument/2006/relationships/hyperlink" Target="https://www.aihw.gov.au/suicide-self-harm-monitoring/data/behaviours-risk-factors/burden-of-disease-studies-suicide-self-inflicted" TargetMode="External"/><Relationship Id="rId87" Type="http://schemas.openxmlformats.org/officeDocument/2006/relationships/hyperlink" Target="https://www.ohchr.org/en/instruments-mechanisms/instruments/international-covenant-civil-and-political-rights#article-6" TargetMode="External"/><Relationship Id="rId110" Type="http://schemas.openxmlformats.org/officeDocument/2006/relationships/hyperlink" Target="https://www.dss.gov.au/sites/default/files/documents/12_2021/dess5016-national-framework-protecting-childrenaccessible.pdf" TargetMode="External"/><Relationship Id="rId131" Type="http://schemas.openxmlformats.org/officeDocument/2006/relationships/hyperlink" Target="https://www.aihw.gov.au/suicide-self-harm-monitoring/data/deaths-by-suicide-in-australia/suicide-deaths-over-time#Impact%20of%20social%20and%20economic%20events" TargetMode="External"/><Relationship Id="rId152" Type="http://schemas.openxmlformats.org/officeDocument/2006/relationships/hyperlink" Target="https://www.gilc.global/our-position-statements" TargetMode="External"/><Relationship Id="rId173" Type="http://schemas.openxmlformats.org/officeDocument/2006/relationships/hyperlink" Target="https://www.aihw.gov.au/getmedia/3913189d-ee80-4dcb-bbf2-ed1cb2104e3a/NSSHMS-Evaluation_Final-report_UoM_280622.pdf.aspx" TargetMode="External"/><Relationship Id="rId194" Type="http://schemas.openxmlformats.org/officeDocument/2006/relationships/hyperlink" Target="https://www.blackdoginstitute.org.au/wp-content/uploads/2020/09/What-Can-Be-Done-To-Decrease-Suicide-a-call-to-action_Black-Dog-Institute.pdf" TargetMode="External"/><Relationship Id="rId208" Type="http://schemas.openxmlformats.org/officeDocument/2006/relationships/hyperlink" Target="https://www.health.nsw.gov.au/mentalhealth/Pages/suicide-prevention-strategic-framework.aspx" TargetMode="External"/><Relationship Id="rId229" Type="http://schemas.openxmlformats.org/officeDocument/2006/relationships/hyperlink" Target="https://www.suicidepreventionaust.org/research-grants/" TargetMode="External"/><Relationship Id="rId240" Type="http://schemas.openxmlformats.org/officeDocument/2006/relationships/hyperlink" Target="https://shtg.scot/our-advice/an-evidence-review-on-multidisciplinary-team-support-in-primary-care/" TargetMode="External"/><Relationship Id="rId14" Type="http://schemas.openxmlformats.org/officeDocument/2006/relationships/footer" Target="footer1.xml"/><Relationship Id="rId35" Type="http://schemas.openxmlformats.org/officeDocument/2006/relationships/image" Target="media/image7.jpg"/><Relationship Id="rId56" Type="http://schemas.openxmlformats.org/officeDocument/2006/relationships/image" Target="media/image24.PNG"/><Relationship Id="rId77" Type="http://schemas.openxmlformats.org/officeDocument/2006/relationships/hyperlink" Target="https://www.aihw.gov.au/reports/veterans/serving-exserving-adf-suicide-monitoring-2023/" TargetMode="External"/><Relationship Id="rId100" Type="http://schemas.openxmlformats.org/officeDocument/2006/relationships/hyperlink" Target="https://www.abs.gov.au/statistics/people/crime-and-justice/personal-safety-australia/latest-release" TargetMode="External"/><Relationship Id="rId8" Type="http://schemas.openxmlformats.org/officeDocument/2006/relationships/settings" Target="settings.xml"/><Relationship Id="rId98" Type="http://schemas.openxmlformats.org/officeDocument/2006/relationships/hyperlink" Target="https://aifs.gov.au/resources/short-articles/supportive-practices-young-people-out-home-care-who-are-risk-suicidality" TargetMode="External"/><Relationship Id="rId121" Type="http://schemas.openxmlformats.org/officeDocument/2006/relationships/hyperlink" Target="https://www.aph.gov.au/Parliamentary_Business/Committees/House/Health_Aged_Care_and_Sport/SleepHealthAwareness/Government_Response" TargetMode="External"/><Relationship Id="rId142" Type="http://schemas.openxmlformats.org/officeDocument/2006/relationships/hyperlink" Target="https://www.dss.gov.au/communities-and-vulnerable-people-publications-articles/the-countervailing-power-review-of-the-coordination-and-funding-for-financial-counselling-services-across-australia" TargetMode="External"/><Relationship Id="rId163" Type="http://schemas.openxmlformats.org/officeDocument/2006/relationships/hyperlink" Target="https://williamsinstitute.law.ucla.edu/publications/suicide-coming-out-sgm" TargetMode="External"/><Relationship Id="rId184" Type="http://schemas.openxmlformats.org/officeDocument/2006/relationships/hyperlink" Target="https://gbvguidelines.org/wp/wp-content/uploads/2019/11/AAAQ-framework-Nov-2019-WEB.pdf" TargetMode="External"/><Relationship Id="rId219" Type="http://schemas.openxmlformats.org/officeDocument/2006/relationships/hyperlink" Target="https://rosesintheocean.com.au/wp-content/uploads/2022/09/LESEPI-Decision-Evaluation-Tools-V1.2.pdf" TargetMode="External"/><Relationship Id="rId230" Type="http://schemas.openxmlformats.org/officeDocument/2006/relationships/hyperlink" Target="https://www.aph.gov.au/Parliamentary_Business/Committees/House/Former_Committees/Mental_Health_and_Suicide_Prevention/MHSP/Report" TargetMode="External"/><Relationship Id="rId251" Type="http://schemas.openxmlformats.org/officeDocument/2006/relationships/hyperlink" Target="https://www.blackdoginstitute.org.au/education-services/aboriginal-and-torres-strait-islander-network/" TargetMode="External"/><Relationship Id="rId25" Type="http://schemas.openxmlformats.org/officeDocument/2006/relationships/hyperlink" Target="https://au.reachout.com/" TargetMode="External"/><Relationship Id="rId46" Type="http://schemas.openxmlformats.org/officeDocument/2006/relationships/footer" Target="footer5.xml"/><Relationship Id="rId67" Type="http://schemas.openxmlformats.org/officeDocument/2006/relationships/hyperlink" Target="https://www.abs.gov.au/statistics/health/mental-health/national-study-mental-health-and-wellbeing/2020-2022" TargetMode="External"/><Relationship Id="rId88" Type="http://schemas.openxmlformats.org/officeDocument/2006/relationships/hyperlink" Target="https://www.aihw.gov.au/reports/burden-of-disease/health-impact-suicide-self-inflicted-injuries-2019/contents/about" TargetMode="External"/><Relationship Id="rId111" Type="http://schemas.openxmlformats.org/officeDocument/2006/relationships/hyperlink" Target="https://www.safeworkaustralia.gov.au/sites/default/files/2023-10/australian_whs_strategy_2023-33_october2023.pdf" TargetMode="External"/><Relationship Id="rId132" Type="http://schemas.openxmlformats.org/officeDocument/2006/relationships/hyperlink" Target="https://www.aihw.gov.au/reports/australias-health/health-across-socioeconomic-groups" TargetMode="External"/><Relationship Id="rId153" Type="http://schemas.openxmlformats.org/officeDocument/2006/relationships/hyperlink" Target="https://www.indigenousmhspc.gov.au/getattachment/72f9d6ff-14fe-4c3b-8705-dce479bce7bb/racism-and-indigenous-wellbeing.pdf?v=1569" TargetMode="External"/><Relationship Id="rId174" Type="http://schemas.openxmlformats.org/officeDocument/2006/relationships/hyperlink" Target="https://www.orygen.org.au/Orygen-Institute/Policy-Reports/Raising-the-bar-for-youth-suicide-prevention#:~:text=Titled%20'Raising%20the%20bar%20for,partnership%20with%20young%20people%20themselves" TargetMode="External"/><Relationship Id="rId195" Type="http://schemas.openxmlformats.org/officeDocument/2006/relationships/hyperlink" Target="https://www.countrysaphn.com.au/wp-content/uploads/2021/05/CSAPHN_Evaluation-Report_V4.pdf" TargetMode="External"/><Relationship Id="rId209" Type="http://schemas.openxmlformats.org/officeDocument/2006/relationships/hyperlink" Target="https://www.mhc.wa.gov.au/media/3505/wa-suicideprevention-a4-mk40-web-version.pdf" TargetMode="External"/><Relationship Id="rId220" Type="http://schemas.openxmlformats.org/officeDocument/2006/relationships/hyperlink" Target="https://haveyoursay.mentalhealthcommission.gov.au/rito-lived-experience-summit-workshop-summary-report-2023" TargetMode="External"/><Relationship Id="rId241" Type="http://schemas.openxmlformats.org/officeDocument/2006/relationships/hyperlink" Target="https://nova.newcastle.edu.au/vital/access/manager/Repository/uon:33517" TargetMode="External"/><Relationship Id="rId15" Type="http://schemas.openxmlformats.org/officeDocument/2006/relationships/header" Target="header2.xml"/><Relationship Id="rId36" Type="http://schemas.openxmlformats.org/officeDocument/2006/relationships/image" Target="media/image8.png"/><Relationship Id="rId57" Type="http://schemas.openxmlformats.org/officeDocument/2006/relationships/image" Target="media/image25.PNG"/><Relationship Id="rId78" Type="http://schemas.openxmlformats.org/officeDocument/2006/relationships/hyperlink" Target="https://doi.org/10.1016/j.comppsych.2021.152261" TargetMode="External"/><Relationship Id="rId99" Type="http://schemas.openxmlformats.org/officeDocument/2006/relationships/hyperlink" Target="https://www.aihw.gov.au/getmedia/ce7f01c2-1979-4be5-b373-f65f1c9e4134/aihw-fdv-9.pdf.aspx" TargetMode="External"/><Relationship Id="rId101" Type="http://schemas.openxmlformats.org/officeDocument/2006/relationships/hyperlink" Target="https://www.abs.gov.au/statistics/people/people-and-communities/general-social-survey-summary-results-australia/latest-release" TargetMode="External"/><Relationship Id="rId122" Type="http://schemas.openxmlformats.org/officeDocument/2006/relationships/hyperlink" Target="https://www.abs.gov.au/statistics/health/causes-death/causes-death-australia/2021#risk-factors-for-intentional-self-harm-deaths-suicide-in-australia" TargetMode="External"/><Relationship Id="rId143" Type="http://schemas.openxmlformats.org/officeDocument/2006/relationships/hyperlink" Target="https://www.aihw.gov.au/suicide-self-harm-monitoring/data/covid-19" TargetMode="External"/><Relationship Id="rId164" Type="http://schemas.openxmlformats.org/officeDocument/2006/relationships/hyperlink" Target="https://www.thetrevorproject.org/wp-content/uploads/2023/03/March-2023-Research-Brief-Final.pdf" TargetMode="External"/><Relationship Id="rId185" Type="http://schemas.openxmlformats.org/officeDocument/2006/relationships/hyperlink" Target="https://www.latrobe.edu.au/__data/assets/pdf_file/0009/1185885/Private-Lives-3.pdf" TargetMode="External"/><Relationship Id="rId9" Type="http://schemas.openxmlformats.org/officeDocument/2006/relationships/webSettings" Target="webSettings.xml"/><Relationship Id="rId210" Type="http://schemas.openxmlformats.org/officeDocument/2006/relationships/hyperlink" Target="https://nt.gov.au/wellbeing" TargetMode="External"/><Relationship Id="rId26" Type="http://schemas.openxmlformats.org/officeDocument/2006/relationships/hyperlink" Target="https://healthinfonet.ecu.edu.au/" TargetMode="External"/><Relationship Id="rId231" Type="http://schemas.openxmlformats.org/officeDocument/2006/relationships/hyperlink" Target="https://zerosuicide.edc.org/resources/resource-database/zero-suicide-institute-australasia-evaluation-framework" TargetMode="External"/><Relationship Id="rId252" Type="http://schemas.openxmlformats.org/officeDocument/2006/relationships/hyperlink" Target="https://www.abs.gov.au/statistics/standards/standard-sex-gender-variations-sex-characteristics-and-sexual-orientation-variables/latest-release" TargetMode="External"/><Relationship Id="rId47" Type="http://schemas.openxmlformats.org/officeDocument/2006/relationships/header" Target="header6.xml"/><Relationship Id="rId68" Type="http://schemas.openxmlformats.org/officeDocument/2006/relationships/hyperlink" Target="https://doi.org/10.1002/ajim.23217" TargetMode="External"/><Relationship Id="rId89" Type="http://schemas.openxmlformats.org/officeDocument/2006/relationships/hyperlink" Target="https://www.aihw.gov.au/suicide-self-harm-monitoring/data/behaviours-risk-factors/social-factors-suicide/regression-risk-models-selected-census-variables" TargetMode="External"/><Relationship Id="rId112" Type="http://schemas.openxmlformats.org/officeDocument/2006/relationships/hyperlink" Target="https://nema.gov.au/sites/default/files/inline-files/28108%20NEMA%20National%20Disaster%20Mental%20Health%20and%20Wellbeing%20Framework%20FA%20v4.pdf" TargetMode="External"/><Relationship Id="rId133" Type="http://schemas.openxmlformats.org/officeDocument/2006/relationships/hyperlink" Target="https://www.cdc.gov/suicide/risk-factors/?CDC_AAref_Val=https://www.cdc.gov/suicide/factors/index.html" TargetMode="External"/><Relationship Id="rId154" Type="http://schemas.openxmlformats.org/officeDocument/2006/relationships/hyperlink" Target="https://lonelinessawarenessweek.com.au/wp-content/uploads/2023/08/state-of-nation-social-connection-2023.pdf" TargetMode="External"/><Relationship Id="rId175" Type="http://schemas.openxmlformats.org/officeDocument/2006/relationships/hyperlink" Target="https://www.gov.scot/publications/evaluation-distress-brief-intervention-pilot-programme/documents/" TargetMode="External"/><Relationship Id="rId196" Type="http://schemas.openxmlformats.org/officeDocument/2006/relationships/hyperlink" Target="https://www.health.gov.au/sites/default/files/2023-02/strengthening-medicare-taskforce-report_0.pdf" TargetMode="External"/><Relationship Id="rId200" Type="http://schemas.openxmlformats.org/officeDocument/2006/relationships/hyperlink" Target="https://www.blackdoginstitute.org.au/wp-content/uploads/2020/04/delphi-guidelines-clinical-summary_web.pdf" TargetMode="External"/><Relationship Id="rId16" Type="http://schemas.openxmlformats.org/officeDocument/2006/relationships/footer" Target="footer2.xml"/><Relationship Id="rId221" Type="http://schemas.openxmlformats.org/officeDocument/2006/relationships/hyperlink" Target="https://rosesintheocean.com.au/wp-content/uploads/2022/03/1.-LESEP-Guidance-Document-V1.1-FEB-2022.pdf" TargetMode="External"/><Relationship Id="rId242" Type="http://schemas.openxmlformats.org/officeDocument/2006/relationships/hyperlink" Target="https://www.mentalhealthcommission.gov.au/getmedia/a33cce2a-e7fa-4f90-964d-85dbf1514b6b/NMHC_Lived-Experience-Workforce-Development-Guidelines" TargetMode="External"/><Relationship Id="rId37" Type="http://schemas.openxmlformats.org/officeDocument/2006/relationships/image" Target="media/image9.png"/><Relationship Id="rId58" Type="http://schemas.openxmlformats.org/officeDocument/2006/relationships/image" Target="media/image26.png"/><Relationship Id="rId79" Type="http://schemas.openxmlformats.org/officeDocument/2006/relationships/hyperlink" Target="https://finalreport.rcvmhs.vic.gov.au/wp-content/uploads/2021/02/RCVMHS_FinalReport_ExecSummary_Accessible.pdf" TargetMode="External"/><Relationship Id="rId102" Type="http://schemas.openxmlformats.org/officeDocument/2006/relationships/hyperlink" Target="https://doi.org/10.1177/070674371005500503" TargetMode="External"/><Relationship Id="rId123" Type="http://schemas.openxmlformats.org/officeDocument/2006/relationships/hyperlink" Target="https://www.health.act.gov.au/news/guidance-support-gender-affirming-care-mental-health" TargetMode="External"/><Relationship Id="rId144" Type="http://schemas.openxmlformats.org/officeDocument/2006/relationships/hyperlink" Target="https://csrm.cass.anu.edu.au/research/publications/covid-19-jobkeeper-and-jobseeker-impacts-poverty-and-housing-stress-under" TargetMode="External"/><Relationship Id="rId90" Type="http://schemas.openxmlformats.org/officeDocument/2006/relationships/hyperlink" Target="https://www.aihw.gov.au/suicide-self-harm-monitoring/data/behaviours-risk-factors/social-factors-suicide/longitudinal-analysis-of-income-uncertainty" TargetMode="External"/><Relationship Id="rId165" Type="http://schemas.openxmlformats.org/officeDocument/2006/relationships/hyperlink" Target="https://www.aihw.gov.au/suicide-self-harm-monitoring/data/behaviours-risk-factors/psychosocial-risk-factors-suicide" TargetMode="External"/><Relationship Id="rId186" Type="http://schemas.openxmlformats.org/officeDocument/2006/relationships/hyperlink" Target="https://finalreport.rcvmhs.vic.gov.au/" TargetMode="External"/><Relationship Id="rId211" Type="http://schemas.openxmlformats.org/officeDocument/2006/relationships/hyperlink" Target="https://www.health.tas.gov.au/publications/tasmanian-suicide-prevention-strategy-2023-2027" TargetMode="External"/><Relationship Id="rId232" Type="http://schemas.openxmlformats.org/officeDocument/2006/relationships/hyperlink" Target="https://www.suicidepreventionaust.org/wp-content/uploads/2023/04/Suicide-Prevention-Standards-for-Quality-Improvement-Ed2_-2023.pdf" TargetMode="External"/><Relationship Id="rId253" Type="http://schemas.openxmlformats.org/officeDocument/2006/relationships/hyperlink" Target="https://www.idahobit.org.au/identity-and-stats/understanding-trans-identities" TargetMode="External"/><Relationship Id="rId27" Type="http://schemas.openxmlformats.org/officeDocument/2006/relationships/hyperlink" Target="https://qlife.org.au/" TargetMode="External"/><Relationship Id="rId48" Type="http://schemas.openxmlformats.org/officeDocument/2006/relationships/footer" Target="footer6.xml"/><Relationship Id="rId69" Type="http://schemas.openxmlformats.org/officeDocument/2006/relationships/hyperlink" Target="https://www.pc.gov.au/inquiries/completed/mental-health/report" TargetMode="External"/><Relationship Id="rId113" Type="http://schemas.openxmlformats.org/officeDocument/2006/relationships/hyperlink" Target="https://www.dss.gov.au/disability-and-carers/australian-government-response-to-the-disability-royal-commission" TargetMode="External"/><Relationship Id="rId134" Type="http://schemas.openxmlformats.org/officeDocument/2006/relationships/hyperlink" Target="https://www.newcastle.edu.au/__data/assets/pdf_file/0009/816039/2022-1041-Greater-Bank-report-v241.pdf" TargetMode="External"/><Relationship Id="rId80" Type="http://schemas.openxmlformats.org/officeDocument/2006/relationships/hyperlink" Target="https://www.mentalhealthcommission.gov.au/national-suicide-prevention-office/national-suicide-prevention-adviser-final-advice" TargetMode="External"/><Relationship Id="rId155" Type="http://schemas.openxmlformats.org/officeDocument/2006/relationships/hyperlink" Target="https://aifs.gov.au/tentomen/insights-report/insights-2-report-overview-and-key-findings" TargetMode="External"/><Relationship Id="rId176" Type="http://schemas.openxmlformats.org/officeDocument/2006/relationships/hyperlink" Target="http://www.amsant.org.au/suicide-story/" TargetMode="External"/><Relationship Id="rId197" Type="http://schemas.openxmlformats.org/officeDocument/2006/relationships/hyperlink" Target="https://www.qcmhl.qld.edu.au/course/index.php?categoryid=4" TargetMode="External"/><Relationship Id="rId201" Type="http://schemas.openxmlformats.org/officeDocument/2006/relationships/hyperlink" Target="http://hdl.handle.net/11343/337092" TargetMode="External"/><Relationship Id="rId222" Type="http://schemas.openxmlformats.org/officeDocument/2006/relationships/hyperlink" Target="https://rosesintheocean.com.au/what-we-do/workshops/" TargetMode="External"/><Relationship Id="rId243" Type="http://schemas.openxmlformats.org/officeDocument/2006/relationships/hyperlink" Target="https://rosesintheocean.com.au/wp-content/uploads/2023/01/230329-Peer-Worker-Paper.pdf" TargetMode="External"/><Relationship Id="rId17" Type="http://schemas.openxmlformats.org/officeDocument/2006/relationships/header" Target="header3.xml"/><Relationship Id="rId38" Type="http://schemas.openxmlformats.org/officeDocument/2006/relationships/image" Target="media/image10.png"/><Relationship Id="rId59" Type="http://schemas.openxmlformats.org/officeDocument/2006/relationships/hyperlink" Target="file:///C:/Users/MULLII/Downloads/www.iap2.org" TargetMode="External"/><Relationship Id="rId103" Type="http://schemas.openxmlformats.org/officeDocument/2006/relationships/hyperlink" Target="https://doi.org/10.3390/ijerph17041448" TargetMode="External"/><Relationship Id="rId124" Type="http://schemas.openxmlformats.org/officeDocument/2006/relationships/hyperlink" Target="https://www.aph.gov.au/Parliamentary_Business/Committees/Senate/Autism/autism/Report" TargetMode="External"/><Relationship Id="rId70" Type="http://schemas.openxmlformats.org/officeDocument/2006/relationships/hyperlink" Target="https://www.health.gov.au/resources/publications/national-suicide-prevention-adviser-compassion-first-designing-our-national-approach-from-the-lived-experience-of-suicidal-behaviour" TargetMode="External"/><Relationship Id="rId91" Type="http://schemas.openxmlformats.org/officeDocument/2006/relationships/hyperlink" Target="https://doi.org/10.1007/s00737-005-0080-1" TargetMode="External"/><Relationship Id="rId145" Type="http://schemas.openxmlformats.org/officeDocument/2006/relationships/hyperlink" Target="https://treasury.gov.au/employment-whitepaper/final-report" TargetMode="External"/><Relationship Id="rId166" Type="http://schemas.openxmlformats.org/officeDocument/2006/relationships/hyperlink" Target="https://store.samhsa.gov/sites/default/files/d7/priv/pep14-lgbtkids.pdf" TargetMode="External"/><Relationship Id="rId187" Type="http://schemas.openxmlformats.org/officeDocument/2006/relationships/hyperlink" Target="https://www.emphn.org.au/images/uploads/files/EMHSCA-Care-Coordination-study-2019.pdf" TargetMode="External"/><Relationship Id="rId1" Type="http://schemas.openxmlformats.org/officeDocument/2006/relationships/customXml" Target="../customXml/item1.xml"/><Relationship Id="rId212" Type="http://schemas.openxmlformats.org/officeDocument/2006/relationships/hyperlink" Target="https://www.qmhc.qld.gov.au/sites/default/files/every_life_the_queensland_suicide_prevention_plan_2019-2029_web.pdf" TargetMode="External"/><Relationship Id="rId233" Type="http://schemas.openxmlformats.org/officeDocument/2006/relationships/hyperlink" Target="https://www.suicidepreventionaust.org/accreditation-program" TargetMode="External"/><Relationship Id="rId254" Type="http://schemas.openxmlformats.org/officeDocument/2006/relationships/hyperlink" Target="https://icd.who.int/browse10/2019/en" TargetMode="External"/><Relationship Id="rId28" Type="http://schemas.openxmlformats.org/officeDocument/2006/relationships/hyperlink" Target="https://kidshelpline.com.au/" TargetMode="External"/><Relationship Id="rId49" Type="http://schemas.openxmlformats.org/officeDocument/2006/relationships/image" Target="media/image17.png"/><Relationship Id="rId114" Type="http://schemas.openxmlformats.org/officeDocument/2006/relationships/hyperlink" Target="https://disability.royalcommission.gov.au/publications/final-report" TargetMode="External"/><Relationship Id="rId60" Type="http://schemas.openxmlformats.org/officeDocument/2006/relationships/image" Target="media/image27.png"/><Relationship Id="rId81" Type="http://schemas.openxmlformats.org/officeDocument/2006/relationships/hyperlink" Target="https://www.atsispep.sis.uwa.edu.au/__data/assets/pdf_file/0006/2947299/ATSISPEP-Report-Final-Web.pdf" TargetMode="External"/><Relationship Id="rId135" Type="http://schemas.openxmlformats.org/officeDocument/2006/relationships/hyperlink" Target="https://www.education.gov.au/review-inform-better-and-fairer-education-system/resources/expert-panels-report" TargetMode="External"/><Relationship Id="rId156" Type="http://schemas.openxmlformats.org/officeDocument/2006/relationships/hyperlink" Target="https://www.mentalhealthcommission.gov.au/projects/childrens-strategy" TargetMode="External"/><Relationship Id="rId177" Type="http://schemas.openxmlformats.org/officeDocument/2006/relationships/hyperlink" Target="https://eprints.batchelor.edu.au/id/eprint/611/1/Evaluation%20of%20Suicide%20Story%20FINAL%20REPORT_V1.3.pdf" TargetMode="External"/><Relationship Id="rId198" Type="http://schemas.openxmlformats.org/officeDocument/2006/relationships/hyperlink" Target="https://safesideprevention.com/approach/care-framework" TargetMode="External"/><Relationship Id="rId202" Type="http://schemas.openxmlformats.org/officeDocument/2006/relationships/hyperlink" Target="https://nceph.anu.edu.au/research/tools-resources/breaking-silence-seminal-report-suicide-and-suicide-prevention-australia" TargetMode="External"/><Relationship Id="rId223" Type="http://schemas.openxmlformats.org/officeDocument/2006/relationships/hyperlink" Target="https://www.blackdoginstitute.org.au/education-services/aboriginal-and-torres-strait-islander-network/" TargetMode="External"/><Relationship Id="rId244" Type="http://schemas.openxmlformats.org/officeDocument/2006/relationships/hyperlink" Target="https://www.health.vic.gov.au/publications/suicide-working-with-the-suicidal-person-clinical-practice-guidelines-for-emergency" TargetMode="External"/><Relationship Id="rId18" Type="http://schemas.openxmlformats.org/officeDocument/2006/relationships/footer" Target="footer3.xml"/><Relationship Id="rId39" Type="http://schemas.openxmlformats.org/officeDocument/2006/relationships/image" Target="media/image11.PNG"/><Relationship Id="rId50" Type="http://schemas.openxmlformats.org/officeDocument/2006/relationships/image" Target="media/image18.png"/><Relationship Id="rId104" Type="http://schemas.openxmlformats.org/officeDocument/2006/relationships/hyperlink" Target="https://www.comcare.gov.au/safe-healthy-work/prevent-harm/changes-to-whs-laws" TargetMode="External"/><Relationship Id="rId125" Type="http://schemas.openxmlformats.org/officeDocument/2006/relationships/hyperlink" Target="https://engage.dss.gov.au/developing-the-national-autism-strategy/draft-strategy/" TargetMode="External"/><Relationship Id="rId146" Type="http://schemas.openxmlformats.org/officeDocument/2006/relationships/hyperlink" Target="https://tentomen.org.au/research-findings/social-connectedness-among-australian-males" TargetMode="External"/><Relationship Id="rId167" Type="http://schemas.openxmlformats.org/officeDocument/2006/relationships/hyperlink" Target="https://nccc.georgetown.edu/documents/LGBT_Brief.pdf" TargetMode="External"/><Relationship Id="rId188" Type="http://schemas.openxmlformats.org/officeDocument/2006/relationships/hyperlink" Target="https://www.health.gov.au/resources/collections/national-guidelines-to-improve-coordination-of-treatment-and-supports-for-people-with-severe-and-complex-mental-illness" TargetMode="External"/><Relationship Id="rId71" Type="http://schemas.openxmlformats.org/officeDocument/2006/relationships/hyperlink" Target="https://www.niaa.gov.au/resource-centre/indigenous-affairs/national-strategic-framework-mental-health-social-emotional-wellbeing-2017-23" TargetMode="External"/><Relationship Id="rId92" Type="http://schemas.openxmlformats.org/officeDocument/2006/relationships/hyperlink" Target="https://www.aihw.gov.au/suicide-self-harm-monitoring/data/data-downloads" TargetMode="External"/><Relationship Id="rId213" Type="http://schemas.openxmlformats.org/officeDocument/2006/relationships/hyperlink" Target="https://www.health.vic.gov.au/publications/victorian-suicide-prevention-framework-2016-2025" TargetMode="External"/><Relationship Id="rId234" Type="http://schemas.openxmlformats.org/officeDocument/2006/relationships/hyperlink" Target="https://evaluation.treasury.gov.au/" TargetMode="External"/><Relationship Id="rId2" Type="http://schemas.openxmlformats.org/officeDocument/2006/relationships/customXml" Target="../customXml/item2.xml"/><Relationship Id="rId29" Type="http://schemas.openxmlformats.org/officeDocument/2006/relationships/hyperlink" Target="https://www.headtohealth.gov.au/" TargetMode="External"/><Relationship Id="rId255" Type="http://schemas.openxmlformats.org/officeDocument/2006/relationships/header" Target="header7.xml"/><Relationship Id="rId40" Type="http://schemas.openxmlformats.org/officeDocument/2006/relationships/image" Target="media/image12.png"/><Relationship Id="rId115" Type="http://schemas.openxmlformats.org/officeDocument/2006/relationships/hyperlink" Target="https://www.ohchr.org/en/instruments-mechanisms/instruments/international-covenant-economic-social-and-cultural-rights" TargetMode="External"/><Relationship Id="rId136" Type="http://schemas.openxmlformats.org/officeDocument/2006/relationships/hyperlink" Target="https://www.aihw.gov.au/suicide-self-harm-monitoring/data/behaviours-risk-factors/suicide-by-socioeconomic-areas" TargetMode="External"/><Relationship Id="rId157" Type="http://schemas.openxmlformats.org/officeDocument/2006/relationships/hyperlink" Target="https://www.dss.gov.au/families-and-children-programs-services/early-years-strategy" TargetMode="External"/><Relationship Id="rId178" Type="http://schemas.openxmlformats.org/officeDocument/2006/relationships/hyperlink" Target="https://samhsa.gov/resource/dbhis/samhsas-concept-trauma-guidance-trauma-informed-approach" TargetMode="External"/><Relationship Id="rId61" Type="http://schemas.openxmlformats.org/officeDocument/2006/relationships/image" Target="media/image28.svg"/><Relationship Id="rId82" Type="http://schemas.openxmlformats.org/officeDocument/2006/relationships/hyperlink" Target="https://www.closingthegap.gov.au/national-agreement" TargetMode="External"/><Relationship Id="rId199" Type="http://schemas.openxmlformats.org/officeDocument/2006/relationships/hyperlink" Target="https://zerosuicide.edc.org/" TargetMode="External"/><Relationship Id="rId203" Type="http://schemas.openxmlformats.org/officeDocument/2006/relationships/hyperlink" Target="https://www.who.int/publications/i/item/9789240026629" TargetMode="External"/><Relationship Id="rId19" Type="http://schemas.openxmlformats.org/officeDocument/2006/relationships/header" Target="header4.xml"/><Relationship Id="rId224" Type="http://schemas.openxmlformats.org/officeDocument/2006/relationships/hyperlink" Target="https://rosesintheocean.com.au/wp-content/uploads/2022/09/LESEPI-Framework-V1.2.pdf" TargetMode="External"/><Relationship Id="rId245" Type="http://schemas.openxmlformats.org/officeDocument/2006/relationships/hyperlink" Target="https://www.health.qld.gov.au/__data/assets/pdf_file/0027/1125864/qh-gdl-967.pdf" TargetMode="External"/><Relationship Id="rId30" Type="http://schemas.openxmlformats.org/officeDocument/2006/relationships/hyperlink" Target="https://govteams.sharepoint.com/sites/nspo/Shared%20Documents/Key%20Projects/National%20Suicide%20Prevention%20Strategy/Content%20(E23-231307)/Draft%20Strategy%20(E24-62914)/Edits%20from%20the%20editor%20-%2001-03-2024/headspace.org.au" TargetMode="External"/><Relationship Id="rId105" Type="http://schemas.openxmlformats.org/officeDocument/2006/relationships/hyperlink" Target="https://www.mentalhealthcommission.gov.au/projects/national-disaster-response/disaster-framework" TargetMode="External"/><Relationship Id="rId126" Type="http://schemas.openxmlformats.org/officeDocument/2006/relationships/hyperlink" Target="https://www.suicidepreventionaust.org/wp-content/uploads/2023/08/Submission-to-Inquiry-into-assessment-and-support-services-for-people-with-ADHD-Suicide-Prevention-Australia.pdf" TargetMode="External"/><Relationship Id="rId147" Type="http://schemas.openxmlformats.org/officeDocument/2006/relationships/hyperlink" Target="https://www.americansurveycenter.org/commentary/american-men-suffer-a-friendship-recession/" TargetMode="External"/><Relationship Id="rId168" Type="http://schemas.openxmlformats.org/officeDocument/2006/relationships/hyperlink" Target="https://www.aph.gov.au/Parliamentary_Business/Tabled_Documents/7262" TargetMode="External"/><Relationship Id="rId51" Type="http://schemas.openxmlformats.org/officeDocument/2006/relationships/image" Target="media/image19.png"/><Relationship Id="rId72" Type="http://schemas.openxmlformats.org/officeDocument/2006/relationships/hyperlink" Target="https://www.aihw.gov.au/suicide-self-harm-monitoring/data/intentional-self-harm-hospitalisations/intentional-self-harm-hospitalisations-by-age-sex" TargetMode="External"/><Relationship Id="rId93" Type="http://schemas.openxmlformats.org/officeDocument/2006/relationships/hyperlink" Target="https://www.gov.scot/publications/creating-hope-together-scotlands-suicide-prevention-action-plan-2022-2025/documents/" TargetMode="External"/><Relationship Id="rId189" Type="http://schemas.openxmlformats.org/officeDocument/2006/relationships/hyperlink" Target="https://www.samhsa.gov/sites/default/files/national-guidelines-for-behavioral-health-crisis-care-02242020.pdf" TargetMode="External"/><Relationship Id="rId3" Type="http://schemas.openxmlformats.org/officeDocument/2006/relationships/customXml" Target="../customXml/item3.xml"/><Relationship Id="rId214" Type="http://schemas.openxmlformats.org/officeDocument/2006/relationships/hyperlink" Target="https://www.health.gov.au/resources/publications/analysis-of-suicide-prevention-trials-evaluation-findings-discussion-paper" TargetMode="External"/><Relationship Id="rId235" Type="http://schemas.openxmlformats.org/officeDocument/2006/relationships/hyperlink" Target="https://www.aihw.gov.au/nmhspf" TargetMode="External"/><Relationship Id="rId256" Type="http://schemas.openxmlformats.org/officeDocument/2006/relationships/footer" Target="footer7.xml"/><Relationship Id="rId116" Type="http://schemas.openxmlformats.org/officeDocument/2006/relationships/hyperlink" Target="https://doi.org/10.1016/j.jad.2017.08.070" TargetMode="External"/><Relationship Id="rId137" Type="http://schemas.openxmlformats.org/officeDocument/2006/relationships/hyperlink" Target="https://doi.org/10.1126/sciadv.adg3758" TargetMode="External"/><Relationship Id="rId158" Type="http://schemas.openxmlformats.org/officeDocument/2006/relationships/hyperlink" Target="https://www.who.int/activities/improving-the-mental-and-brain-health-of-children-and-adolescents" TargetMode="External"/><Relationship Id="rId20" Type="http://schemas.openxmlformats.org/officeDocument/2006/relationships/footer" Target="footer4.xml"/><Relationship Id="rId41" Type="http://schemas.openxmlformats.org/officeDocument/2006/relationships/image" Target="media/image13.png"/><Relationship Id="rId62" Type="http://schemas.openxmlformats.org/officeDocument/2006/relationships/image" Target="media/image29.PNG"/><Relationship Id="rId83" Type="http://schemas.openxmlformats.org/officeDocument/2006/relationships/hyperlink" Target="https://www.dss.gov.au/housing-support-programs-services-housing/developing-the-national-housing-and-homelessness-plan" TargetMode="External"/><Relationship Id="rId179" Type="http://schemas.openxmlformats.org/officeDocument/2006/relationships/hyperlink" Target="https://www.cec.health.nsw.gov.au/__data/assets/pdf_file/0008/891728/GUIDE-Co-developing-RJLC_Rev-1_-30_June-2023.pdf" TargetMode="External"/><Relationship Id="rId190" Type="http://schemas.openxmlformats.org/officeDocument/2006/relationships/hyperlink" Target="https://vuir.vu.edu.au/41956/1/nowhere-else-to-go-people-mental-illness-stuck-emergency-departments-report-mitchell-institute.pdf" TargetMode="External"/><Relationship Id="rId204" Type="http://schemas.openxmlformats.org/officeDocument/2006/relationships/hyperlink" Target="https://www.mentalhealthcommission.gov.au/getmedia/543d313c-5749-404d-b349-b08db3a7fd96/Connected-and-Compassionate" TargetMode="External"/><Relationship Id="rId225" Type="http://schemas.openxmlformats.org/officeDocument/2006/relationships/hyperlink" Target="https://www.blackdoginstitute.org.au/wp-content/uploads/2020/04/anu-lived-experience-framework.pdf" TargetMode="External"/><Relationship Id="rId246" Type="http://schemas.openxmlformats.org/officeDocument/2006/relationships/hyperlink" Target="https://aci.health.nsw.gov.au/networks/mental-health/suicide-care-pathway#evidence" TargetMode="External"/><Relationship Id="rId106" Type="http://schemas.openxmlformats.org/officeDocument/2006/relationships/hyperlink" Target="https://www.disabilitygateway.gov.au/document/3106" TargetMode="External"/><Relationship Id="rId127" Type="http://schemas.openxmlformats.org/officeDocument/2006/relationships/hyperlink" Target="https://www.pc.gov.au/inquiries/completed/mental-health/report/mental-health-volume1.pdf" TargetMode="External"/><Relationship Id="rId10" Type="http://schemas.openxmlformats.org/officeDocument/2006/relationships/footnotes" Target="footnotes.xml"/><Relationship Id="rId31" Type="http://schemas.openxmlformats.org/officeDocument/2006/relationships/hyperlink" Target="https://govteams.sharepoint.com/sites/nspo/Shared%20Documents/Key%20Projects/National%20Suicide%20Prevention%20Strategy/Content%20(E23-231307)/Draft%20Strategy%20(E24-62914)/Edits%20from%20the%20editor%20-%2001-03-2024/openarms.gov.au" TargetMode="External"/><Relationship Id="rId52" Type="http://schemas.openxmlformats.org/officeDocument/2006/relationships/image" Target="media/image20.svg"/><Relationship Id="rId73" Type="http://schemas.openxmlformats.org/officeDocument/2006/relationships/hyperlink" Target="https://www.aihw.gov.au/suicide-self-harm-monitoring/data/ambulance-attendances/ambulance-attendances-for-suicidal-behaviours" TargetMode="External"/><Relationship Id="rId94" Type="http://schemas.openxmlformats.org/officeDocument/2006/relationships/hyperlink" Target="https://www.health.govt.nz/our-work/mental-health-and-addiction/suicide-prevention-new-zealand/suicide-prevention-strategy-and-action-plan" TargetMode="External"/><Relationship Id="rId148" Type="http://schemas.openxmlformats.org/officeDocument/2006/relationships/hyperlink" Target="https://doi.org/10.5694/mja2.51084" TargetMode="External"/><Relationship Id="rId169" Type="http://schemas.openxmlformats.org/officeDocument/2006/relationships/hyperlink" Target="https://mensoutreach.org.au/alive-kicking-goals/" TargetMode="External"/><Relationship Id="rId4" Type="http://schemas.openxmlformats.org/officeDocument/2006/relationships/customXml" Target="../customXml/item4.xml"/><Relationship Id="rId180" Type="http://schemas.openxmlformats.org/officeDocument/2006/relationships/hyperlink" Target="https://doi.org/10.1192/pb.bp.116.055699" TargetMode="External"/><Relationship Id="rId215" Type="http://schemas.openxmlformats.org/officeDocument/2006/relationships/hyperlink" Target="https://www.health.gov.au/our-work/national-suicide-prevention-trial" TargetMode="External"/><Relationship Id="rId236" Type="http://schemas.openxmlformats.org/officeDocument/2006/relationships/hyperlink" Target="https://doi.org/10.1016/j.comppsych.2013.05.007" TargetMode="External"/><Relationship Id="rId25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C62373A50FE84460B11BC3109A9FE33B"/>
        <w:category>
          <w:name w:val="General"/>
          <w:gallery w:val="placeholder"/>
        </w:category>
        <w:types>
          <w:type w:val="bbPlcHdr"/>
        </w:types>
        <w:behaviors>
          <w:behavior w:val="content"/>
        </w:behaviors>
        <w:guid w:val="{B7861E44-2362-4694-A884-EDBAC13A0B13}"/>
      </w:docPartPr>
      <w:docPartBody>
        <w:p w:rsidR="00A40522" w:rsidRDefault="00A40522">
          <w:pPr>
            <w:pStyle w:val="C62373A50FE84460B11BC3109A9FE33B"/>
          </w:pPr>
          <w:r w:rsidRPr="007C32AC">
            <w:rPr>
              <w:rStyle w:val="PlaceholderText"/>
            </w:rPr>
            <w:t>[Title]</w:t>
          </w:r>
        </w:p>
      </w:docPartBody>
    </w:docPart>
    <w:docPart>
      <w:docPartPr>
        <w:name w:val="EEC6820629F54A99A040653FFB9E5632"/>
        <w:category>
          <w:name w:val="General"/>
          <w:gallery w:val="placeholder"/>
        </w:category>
        <w:types>
          <w:type w:val="bbPlcHdr"/>
        </w:types>
        <w:behaviors>
          <w:behavior w:val="content"/>
        </w:behaviors>
        <w:guid w:val="{926126B6-2D9D-444A-9444-6EEDA07D88DE}"/>
      </w:docPartPr>
      <w:docPartBody>
        <w:p w:rsidR="00F86799" w:rsidRDefault="00A40522">
          <w:pPr>
            <w:pStyle w:val="EEC6820629F54A99A040653FFB9E5632"/>
          </w:pPr>
          <w:r w:rsidRPr="00B27033">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Roboto-Light">
    <w:altName w:val="Arial"/>
    <w:charset w:val="00"/>
    <w:family w:val="auto"/>
    <w:pitch w:val="variable"/>
    <w:sig w:usb0="E00002FF" w:usb1="5000205B" w:usb2="00000020" w:usb3="00000000" w:csb0="0000019F" w:csb1="00000000"/>
  </w:font>
  <w:font w:name="Merriweather-Regular">
    <w:altName w:val="Cambria"/>
    <w:charset w:val="4D"/>
    <w:family w:val="auto"/>
    <w:pitch w:val="variable"/>
    <w:sig w:usb0="20000207" w:usb1="00000002" w:usb2="00000000" w:usb3="00000000" w:csb0="00000197" w:csb1="00000000"/>
  </w:font>
  <w:font w:name="Roboto-Bold">
    <w:altName w:val="Arial"/>
    <w:charset w:val="00"/>
    <w:family w:val="auto"/>
    <w:pitch w:val="variable"/>
    <w:sig w:usb0="E00002FF" w:usb1="5000205B" w:usb2="00000020" w:usb3="00000000" w:csb0="0000019F" w:csb1="00000000"/>
  </w:font>
  <w:font w:name="Roboto-Regular">
    <w:altName w:val="Arial"/>
    <w:charset w:val="00"/>
    <w:family w:val="auto"/>
    <w:pitch w:val="variable"/>
    <w:sig w:usb0="E00002FF" w:usb1="5000205B" w:usb2="00000020" w:usb3="00000000" w:csb0="0000019F" w:csb1="00000000"/>
  </w:font>
  <w:font w:name="Roboto-Medium">
    <w:altName w:val="Arial"/>
    <w:charset w:val="00"/>
    <w:family w:val="auto"/>
    <w:pitch w:val="variable"/>
    <w:sig w:usb0="E00002FF" w:usb1="5000205B" w:usb2="0000002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Roboto Medium">
    <w:charset w:val="00"/>
    <w:family w:val="auto"/>
    <w:pitch w:val="variable"/>
    <w:sig w:usb0="E0000AFF" w:usb1="5000217F" w:usb2="00000021" w:usb3="00000000" w:csb0="0000019F" w:csb1="00000000"/>
  </w:font>
  <w:font w:name="Merriweather">
    <w:altName w:val="Calibri"/>
    <w:charset w:val="00"/>
    <w:family w:val="auto"/>
    <w:pitch w:val="variable"/>
    <w:sig w:usb0="20000207" w:usb1="00000002" w:usb2="00000000" w:usb3="00000000" w:csb0="00000197" w:csb1="00000000"/>
  </w:font>
  <w:font w:name="Roboto">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Minion Pro">
    <w:altName w:val="Cambria Math"/>
    <w:panose1 w:val="00000000000000000000"/>
    <w:charset w:val="00"/>
    <w:family w:val="roman"/>
    <w:notTrueType/>
    <w:pitch w:val="variable"/>
    <w:sig w:usb0="00000001" w:usb1="5000205B" w:usb2="00000000" w:usb3="00000000" w:csb0="0000019F" w:csb1="00000000"/>
  </w:font>
  <w:font w:name="Poppins">
    <w:charset w:val="00"/>
    <w:family w:val="auto"/>
    <w:pitch w:val="variable"/>
    <w:sig w:usb0="00008007" w:usb1="00000000" w:usb2="00000000" w:usb3="00000000" w:csb0="00000093" w:csb1="00000000"/>
  </w:font>
  <w:font w:name="Roboto Light">
    <w:altName w:val="Arial"/>
    <w:charset w:val="00"/>
    <w:family w:val="auto"/>
    <w:pitch w:val="variable"/>
    <w:sig w:usb0="E0000AFF" w:usb1="5000217F" w:usb2="00000021" w:usb3="00000000" w:csb0="0000019F"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F7F"/>
    <w:rsid w:val="000044BA"/>
    <w:rsid w:val="00055984"/>
    <w:rsid w:val="0006309C"/>
    <w:rsid w:val="00097427"/>
    <w:rsid w:val="000A7B18"/>
    <w:rsid w:val="000B05FF"/>
    <w:rsid w:val="000B0A00"/>
    <w:rsid w:val="000B7E52"/>
    <w:rsid w:val="000C59E1"/>
    <w:rsid w:val="000E59D6"/>
    <w:rsid w:val="000F3E50"/>
    <w:rsid w:val="00110679"/>
    <w:rsid w:val="001143CD"/>
    <w:rsid w:val="00116926"/>
    <w:rsid w:val="0012612E"/>
    <w:rsid w:val="0013733D"/>
    <w:rsid w:val="00141603"/>
    <w:rsid w:val="00181794"/>
    <w:rsid w:val="00187229"/>
    <w:rsid w:val="00187922"/>
    <w:rsid w:val="00193598"/>
    <w:rsid w:val="001B1E1A"/>
    <w:rsid w:val="001B4BFD"/>
    <w:rsid w:val="001E753D"/>
    <w:rsid w:val="001E75B4"/>
    <w:rsid w:val="001F05A3"/>
    <w:rsid w:val="002325C0"/>
    <w:rsid w:val="002459E0"/>
    <w:rsid w:val="00246896"/>
    <w:rsid w:val="0025143D"/>
    <w:rsid w:val="00255983"/>
    <w:rsid w:val="0026479A"/>
    <w:rsid w:val="002D0696"/>
    <w:rsid w:val="002D4EE5"/>
    <w:rsid w:val="002F7411"/>
    <w:rsid w:val="0031035A"/>
    <w:rsid w:val="00362C7D"/>
    <w:rsid w:val="00386063"/>
    <w:rsid w:val="00390566"/>
    <w:rsid w:val="00392F7F"/>
    <w:rsid w:val="003A457A"/>
    <w:rsid w:val="003B589C"/>
    <w:rsid w:val="003D5F6F"/>
    <w:rsid w:val="003F1A5C"/>
    <w:rsid w:val="003F36CB"/>
    <w:rsid w:val="003F4889"/>
    <w:rsid w:val="00401E5A"/>
    <w:rsid w:val="00402DB1"/>
    <w:rsid w:val="0042467D"/>
    <w:rsid w:val="004279F4"/>
    <w:rsid w:val="00427ACB"/>
    <w:rsid w:val="004418B3"/>
    <w:rsid w:val="0044443B"/>
    <w:rsid w:val="0046280A"/>
    <w:rsid w:val="00467A56"/>
    <w:rsid w:val="00470736"/>
    <w:rsid w:val="00474C38"/>
    <w:rsid w:val="004F1F03"/>
    <w:rsid w:val="004F7E7B"/>
    <w:rsid w:val="00525D2C"/>
    <w:rsid w:val="0053461F"/>
    <w:rsid w:val="005401F8"/>
    <w:rsid w:val="005600D4"/>
    <w:rsid w:val="00564051"/>
    <w:rsid w:val="00585F90"/>
    <w:rsid w:val="005925E2"/>
    <w:rsid w:val="00594E03"/>
    <w:rsid w:val="005A551A"/>
    <w:rsid w:val="005B2863"/>
    <w:rsid w:val="005B34EB"/>
    <w:rsid w:val="005B7F6D"/>
    <w:rsid w:val="005D068E"/>
    <w:rsid w:val="005D298F"/>
    <w:rsid w:val="005F3352"/>
    <w:rsid w:val="0060105E"/>
    <w:rsid w:val="006067F7"/>
    <w:rsid w:val="00645682"/>
    <w:rsid w:val="00645DE8"/>
    <w:rsid w:val="0065396B"/>
    <w:rsid w:val="00665A62"/>
    <w:rsid w:val="006877D1"/>
    <w:rsid w:val="006877E7"/>
    <w:rsid w:val="00691191"/>
    <w:rsid w:val="006935FF"/>
    <w:rsid w:val="00697E1C"/>
    <w:rsid w:val="006B2803"/>
    <w:rsid w:val="006B430A"/>
    <w:rsid w:val="006B6054"/>
    <w:rsid w:val="006C6110"/>
    <w:rsid w:val="006D5EC6"/>
    <w:rsid w:val="006D67D0"/>
    <w:rsid w:val="006E2A74"/>
    <w:rsid w:val="006E3CAB"/>
    <w:rsid w:val="006E3CF8"/>
    <w:rsid w:val="006F0D60"/>
    <w:rsid w:val="006F43DF"/>
    <w:rsid w:val="007024BE"/>
    <w:rsid w:val="00707DB3"/>
    <w:rsid w:val="00721642"/>
    <w:rsid w:val="007320B3"/>
    <w:rsid w:val="00733273"/>
    <w:rsid w:val="00733569"/>
    <w:rsid w:val="00764BFF"/>
    <w:rsid w:val="007957A7"/>
    <w:rsid w:val="007C2A7A"/>
    <w:rsid w:val="007F20FB"/>
    <w:rsid w:val="00800F1B"/>
    <w:rsid w:val="0080302F"/>
    <w:rsid w:val="0080314E"/>
    <w:rsid w:val="0081431F"/>
    <w:rsid w:val="008230F2"/>
    <w:rsid w:val="008366A7"/>
    <w:rsid w:val="008C2C67"/>
    <w:rsid w:val="008D36AF"/>
    <w:rsid w:val="008D6249"/>
    <w:rsid w:val="008E325D"/>
    <w:rsid w:val="00915481"/>
    <w:rsid w:val="00937FBB"/>
    <w:rsid w:val="00942BC5"/>
    <w:rsid w:val="00947470"/>
    <w:rsid w:val="009571A3"/>
    <w:rsid w:val="00963702"/>
    <w:rsid w:val="009651F4"/>
    <w:rsid w:val="00987433"/>
    <w:rsid w:val="009A1CF0"/>
    <w:rsid w:val="009D3BDA"/>
    <w:rsid w:val="009E2162"/>
    <w:rsid w:val="009E6BDC"/>
    <w:rsid w:val="009F5ADC"/>
    <w:rsid w:val="009F7BD0"/>
    <w:rsid w:val="00A018AB"/>
    <w:rsid w:val="00A04D27"/>
    <w:rsid w:val="00A23AB5"/>
    <w:rsid w:val="00A26159"/>
    <w:rsid w:val="00A320B2"/>
    <w:rsid w:val="00A36B42"/>
    <w:rsid w:val="00A40522"/>
    <w:rsid w:val="00A4067D"/>
    <w:rsid w:val="00A41503"/>
    <w:rsid w:val="00A41A66"/>
    <w:rsid w:val="00A71233"/>
    <w:rsid w:val="00A763ED"/>
    <w:rsid w:val="00A85E1F"/>
    <w:rsid w:val="00A94620"/>
    <w:rsid w:val="00AA32C8"/>
    <w:rsid w:val="00AB0428"/>
    <w:rsid w:val="00AB3114"/>
    <w:rsid w:val="00AF35C0"/>
    <w:rsid w:val="00B07DDA"/>
    <w:rsid w:val="00B159D6"/>
    <w:rsid w:val="00B25799"/>
    <w:rsid w:val="00B445E3"/>
    <w:rsid w:val="00B663D4"/>
    <w:rsid w:val="00B8775D"/>
    <w:rsid w:val="00B901E4"/>
    <w:rsid w:val="00B929A8"/>
    <w:rsid w:val="00BA01AD"/>
    <w:rsid w:val="00BA2F9C"/>
    <w:rsid w:val="00BA58BE"/>
    <w:rsid w:val="00BA756A"/>
    <w:rsid w:val="00BF66CE"/>
    <w:rsid w:val="00C15636"/>
    <w:rsid w:val="00C60AFC"/>
    <w:rsid w:val="00C67228"/>
    <w:rsid w:val="00C75518"/>
    <w:rsid w:val="00C90507"/>
    <w:rsid w:val="00C96213"/>
    <w:rsid w:val="00CA4069"/>
    <w:rsid w:val="00D10B77"/>
    <w:rsid w:val="00D132B0"/>
    <w:rsid w:val="00D214B3"/>
    <w:rsid w:val="00D25BE7"/>
    <w:rsid w:val="00D339DC"/>
    <w:rsid w:val="00D45F39"/>
    <w:rsid w:val="00D528CC"/>
    <w:rsid w:val="00D57257"/>
    <w:rsid w:val="00D60246"/>
    <w:rsid w:val="00D70A3C"/>
    <w:rsid w:val="00D74E79"/>
    <w:rsid w:val="00D77D54"/>
    <w:rsid w:val="00D91360"/>
    <w:rsid w:val="00DD1C57"/>
    <w:rsid w:val="00DD7795"/>
    <w:rsid w:val="00E079C1"/>
    <w:rsid w:val="00E16BED"/>
    <w:rsid w:val="00E34FB6"/>
    <w:rsid w:val="00E538F3"/>
    <w:rsid w:val="00E62B32"/>
    <w:rsid w:val="00E649D5"/>
    <w:rsid w:val="00E65B91"/>
    <w:rsid w:val="00E83540"/>
    <w:rsid w:val="00E85FAA"/>
    <w:rsid w:val="00E93669"/>
    <w:rsid w:val="00EC7D91"/>
    <w:rsid w:val="00EF09A4"/>
    <w:rsid w:val="00EF151D"/>
    <w:rsid w:val="00EF5225"/>
    <w:rsid w:val="00F0399A"/>
    <w:rsid w:val="00F03C3A"/>
    <w:rsid w:val="00F07E05"/>
    <w:rsid w:val="00F108D2"/>
    <w:rsid w:val="00F14B9E"/>
    <w:rsid w:val="00F40232"/>
    <w:rsid w:val="00F510C8"/>
    <w:rsid w:val="00F52D65"/>
    <w:rsid w:val="00F53D79"/>
    <w:rsid w:val="00F54BAE"/>
    <w:rsid w:val="00F86799"/>
    <w:rsid w:val="00F9447C"/>
    <w:rsid w:val="00FB5444"/>
    <w:rsid w:val="00FB54EC"/>
    <w:rsid w:val="00FC319F"/>
    <w:rsid w:val="00FE4B10"/>
    <w:rsid w:val="00FF3F3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0AE798E2"/>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B4BFD"/>
    <w:rPr>
      <w:color w:val="808080"/>
    </w:rPr>
  </w:style>
  <w:style w:type="paragraph" w:customStyle="1" w:styleId="C62373A50FE84460B11BC3109A9FE33B">
    <w:name w:val="C62373A50FE84460B11BC3109A9FE33B"/>
  </w:style>
  <w:style w:type="paragraph" w:customStyle="1" w:styleId="EEC6820629F54A99A040653FFB9E5632">
    <w:name w:val="EEC6820629F54A99A040653FFB9E5632"/>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NSPO">
      <a:dk1>
        <a:srgbClr val="231C24"/>
      </a:dk1>
      <a:lt1>
        <a:sysClr val="window" lastClr="FFFFFF"/>
      </a:lt1>
      <a:dk2>
        <a:srgbClr val="EFEBDA"/>
      </a:dk2>
      <a:lt2>
        <a:srgbClr val="F7F5ED"/>
      </a:lt2>
      <a:accent1>
        <a:srgbClr val="307363"/>
      </a:accent1>
      <a:accent2>
        <a:srgbClr val="1EAF59"/>
      </a:accent2>
      <a:accent3>
        <a:srgbClr val="8DA2D4"/>
      </a:accent3>
      <a:accent4>
        <a:srgbClr val="D980AD"/>
      </a:accent4>
      <a:accent5>
        <a:srgbClr val="FAA629"/>
      </a:accent5>
      <a:accent6>
        <a:srgbClr val="F26934"/>
      </a:accent6>
      <a:hlink>
        <a:srgbClr val="231C24"/>
      </a:hlink>
      <a:folHlink>
        <a:srgbClr val="954F72"/>
      </a:folHlink>
    </a:clrScheme>
    <a:fontScheme name="Century Gothic">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2"/>
        </a:solidFill>
        <a:ln>
          <a:no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objectDefaults>
  <a:extraClrSchemeLst/>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2024-02-05T00:00:00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1daaf13a-c818-4716-b286-c47a851e75e8" xsi:nil="true"/>
    <lcf76f155ced4ddcb4097134ff3c332f xmlns="084bd9a4-dbe0-4063-a88e-1c6349fef22d">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DE605DE2F02CD64C92B085DFF1AD0A76" ma:contentTypeVersion="12" ma:contentTypeDescription="Create a new document." ma:contentTypeScope="" ma:versionID="9c6d233621c27207c346c47aed244712">
  <xsd:schema xmlns:xsd="http://www.w3.org/2001/XMLSchema" xmlns:xs="http://www.w3.org/2001/XMLSchema" xmlns:p="http://schemas.microsoft.com/office/2006/metadata/properties" xmlns:ns2="084bd9a4-dbe0-4063-a88e-1c6349fef22d" xmlns:ns3="1daaf13a-c818-4716-b286-c47a851e75e8" targetNamespace="http://schemas.microsoft.com/office/2006/metadata/properties" ma:root="true" ma:fieldsID="720e184f9a5585c9027f779dff2a8c7f" ns2:_="" ns3:_="">
    <xsd:import namespace="084bd9a4-dbe0-4063-a88e-1c6349fef22d"/>
    <xsd:import namespace="1daaf13a-c818-4716-b286-c47a851e75e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bd9a4-dbe0-4063-a88e-1c6349fef2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aaf13a-c818-4716-b286-c47a851e75e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2d30bd1-8b99-452a-be9a-3cdbf0468cc6}" ma:internalName="TaxCatchAll" ma:showField="CatchAllData" ma:web="1daaf13a-c818-4716-b286-c47a851e75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CE9674-AB8D-4D3A-B9D9-40AD8FCD7198}">
  <ds:schemaRefs>
    <ds:schemaRef ds:uri="http://schemas.microsoft.com/office/2006/metadata/properties"/>
    <ds:schemaRef ds:uri="http://schemas.microsoft.com/office/infopath/2007/PartnerControls"/>
    <ds:schemaRef ds:uri="1daaf13a-c818-4716-b286-c47a851e75e8"/>
    <ds:schemaRef ds:uri="084bd9a4-dbe0-4063-a88e-1c6349fef22d"/>
  </ds:schemaRefs>
</ds:datastoreItem>
</file>

<file path=customXml/itemProps3.xml><?xml version="1.0" encoding="utf-8"?>
<ds:datastoreItem xmlns:ds="http://schemas.openxmlformats.org/officeDocument/2006/customXml" ds:itemID="{BD8A4976-002C-4534-8999-A17A602D91AD}">
  <ds:schemaRefs>
    <ds:schemaRef ds:uri="http://schemas.openxmlformats.org/officeDocument/2006/bibliography"/>
  </ds:schemaRefs>
</ds:datastoreItem>
</file>

<file path=customXml/itemProps4.xml><?xml version="1.0" encoding="utf-8"?>
<ds:datastoreItem xmlns:ds="http://schemas.openxmlformats.org/officeDocument/2006/customXml" ds:itemID="{441E050F-CC68-4954-B97A-04DC89DFD960}">
  <ds:schemaRefs>
    <ds:schemaRef ds:uri="http://schemas.microsoft.com/sharepoint/v3/contenttype/forms"/>
  </ds:schemaRefs>
</ds:datastoreItem>
</file>

<file path=customXml/itemProps5.xml><?xml version="1.0" encoding="utf-8"?>
<ds:datastoreItem xmlns:ds="http://schemas.openxmlformats.org/officeDocument/2006/customXml" ds:itemID="{B2EC3315-7AAC-450D-8E17-9186FE1A3B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bd9a4-dbe0-4063-a88e-1c6349fef22d"/>
    <ds:schemaRef ds:uri="1daaf13a-c818-4716-b286-c47a851e75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1</Pages>
  <Words>129288</Words>
  <Characters>736946</Characters>
  <Application>Microsoft Office Word</Application>
  <DocSecurity>4</DocSecurity>
  <Lines>6141</Lines>
  <Paragraphs>1729</Paragraphs>
  <ScaleCrop>false</ScaleCrop>
  <HeadingPairs>
    <vt:vector size="2" baseType="variant">
      <vt:variant>
        <vt:lpstr>Title</vt:lpstr>
      </vt:variant>
      <vt:variant>
        <vt:i4>1</vt:i4>
      </vt:variant>
    </vt:vector>
  </HeadingPairs>
  <TitlesOfParts>
    <vt:vector size="1" baseType="lpstr">
      <vt:lpstr>Advice on the National Suicide Prevention Strategy (consultation draft)</vt:lpstr>
    </vt:vector>
  </TitlesOfParts>
  <Company/>
  <LinksUpToDate>false</LinksUpToDate>
  <CharactersWithSpaces>864505</CharactersWithSpaces>
  <SharedDoc>false</SharedDoc>
  <HLinks>
    <vt:vector size="4416" baseType="variant">
      <vt:variant>
        <vt:i4>4784196</vt:i4>
      </vt:variant>
      <vt:variant>
        <vt:i4>4123</vt:i4>
      </vt:variant>
      <vt:variant>
        <vt:i4>0</vt:i4>
      </vt:variant>
      <vt:variant>
        <vt:i4>5</vt:i4>
      </vt:variant>
      <vt:variant>
        <vt:lpwstr>https://icd.who.int/browse10/2019/en</vt:lpwstr>
      </vt:variant>
      <vt:variant>
        <vt:lpwstr/>
      </vt:variant>
      <vt:variant>
        <vt:i4>1179649</vt:i4>
      </vt:variant>
      <vt:variant>
        <vt:i4>4120</vt:i4>
      </vt:variant>
      <vt:variant>
        <vt:i4>0</vt:i4>
      </vt:variant>
      <vt:variant>
        <vt:i4>5</vt:i4>
      </vt:variant>
      <vt:variant>
        <vt:lpwstr>https://www.idahobit.org.au/identity-and-stats/understanding-trans-identities</vt:lpwstr>
      </vt:variant>
      <vt:variant>
        <vt:lpwstr/>
      </vt:variant>
      <vt:variant>
        <vt:i4>2883639</vt:i4>
      </vt:variant>
      <vt:variant>
        <vt:i4>4117</vt:i4>
      </vt:variant>
      <vt:variant>
        <vt:i4>0</vt:i4>
      </vt:variant>
      <vt:variant>
        <vt:i4>5</vt:i4>
      </vt:variant>
      <vt:variant>
        <vt:lpwstr>https://www.abs.gov.au/statistics/standards/standard-sex-gender-variations-sex-characteristics-and-sexual-orientation-variables/latest-release</vt:lpwstr>
      </vt:variant>
      <vt:variant>
        <vt:lpwstr/>
      </vt:variant>
      <vt:variant>
        <vt:i4>4063328</vt:i4>
      </vt:variant>
      <vt:variant>
        <vt:i4>4114</vt:i4>
      </vt:variant>
      <vt:variant>
        <vt:i4>0</vt:i4>
      </vt:variant>
      <vt:variant>
        <vt:i4>5</vt:i4>
      </vt:variant>
      <vt:variant>
        <vt:lpwstr>https://www.blackdoginstitute.org.au/education-services/aboriginal-and-torres-strait-islander-network/</vt:lpwstr>
      </vt:variant>
      <vt:variant>
        <vt:lpwstr/>
      </vt:variant>
      <vt:variant>
        <vt:i4>2818108</vt:i4>
      </vt:variant>
      <vt:variant>
        <vt:i4>4111</vt:i4>
      </vt:variant>
      <vt:variant>
        <vt:i4>0</vt:i4>
      </vt:variant>
      <vt:variant>
        <vt:i4>5</vt:i4>
      </vt:variant>
      <vt:variant>
        <vt:lpwstr>https://www.who.int/news-room/questions-and-answers/item/stress</vt:lpwstr>
      </vt:variant>
      <vt:variant>
        <vt:lpwstr/>
      </vt:variant>
      <vt:variant>
        <vt:i4>4522011</vt:i4>
      </vt:variant>
      <vt:variant>
        <vt:i4>4108</vt:i4>
      </vt:variant>
      <vt:variant>
        <vt:i4>0</vt:i4>
      </vt:variant>
      <vt:variant>
        <vt:i4>5</vt:i4>
      </vt:variant>
      <vt:variant>
        <vt:lpwstr>https://www.telethonkids.org.au/globalassets/media/documents/projects/lgbtqa-guidelines/lgbtqa-suicide-prevention-guidelines.pdf</vt:lpwstr>
      </vt:variant>
      <vt:variant>
        <vt:lpwstr/>
      </vt:variant>
      <vt:variant>
        <vt:i4>3997815</vt:i4>
      </vt:variant>
      <vt:variant>
        <vt:i4>4105</vt:i4>
      </vt:variant>
      <vt:variant>
        <vt:i4>0</vt:i4>
      </vt:variant>
      <vt:variant>
        <vt:i4>5</vt:i4>
      </vt:variant>
      <vt:variant>
        <vt:lpwstr>https://www.menzies.edu.au/icms_docs/310034_The_BestPrAxIS_study.pdf</vt:lpwstr>
      </vt:variant>
      <vt:variant>
        <vt:lpwstr/>
      </vt:variant>
      <vt:variant>
        <vt:i4>851991</vt:i4>
      </vt:variant>
      <vt:variant>
        <vt:i4>4102</vt:i4>
      </vt:variant>
      <vt:variant>
        <vt:i4>0</vt:i4>
      </vt:variant>
      <vt:variant>
        <vt:i4>5</vt:i4>
      </vt:variant>
      <vt:variant>
        <vt:lpwstr>https://www.safetyandquality.gov.au/standards/nsqhs-standards/comprehensive-care-standard/minimising-patient-harm/action-531</vt:lpwstr>
      </vt:variant>
      <vt:variant>
        <vt:lpwstr/>
      </vt:variant>
      <vt:variant>
        <vt:i4>1900622</vt:i4>
      </vt:variant>
      <vt:variant>
        <vt:i4>4099</vt:i4>
      </vt:variant>
      <vt:variant>
        <vt:i4>0</vt:i4>
      </vt:variant>
      <vt:variant>
        <vt:i4>5</vt:i4>
      </vt:variant>
      <vt:variant>
        <vt:lpwstr>https://aci.health.nsw.gov.au/networks/mental-health/suicide-care-pathway</vt:lpwstr>
      </vt:variant>
      <vt:variant>
        <vt:lpwstr>evidence</vt:lpwstr>
      </vt:variant>
      <vt:variant>
        <vt:i4>589874</vt:i4>
      </vt:variant>
      <vt:variant>
        <vt:i4>4096</vt:i4>
      </vt:variant>
      <vt:variant>
        <vt:i4>0</vt:i4>
      </vt:variant>
      <vt:variant>
        <vt:i4>5</vt:i4>
      </vt:variant>
      <vt:variant>
        <vt:lpwstr>https://www.health.qld.gov.au/__data/assets/pdf_file/0027/1125864/qh-gdl-967.pdf</vt:lpwstr>
      </vt:variant>
      <vt:variant>
        <vt:lpwstr/>
      </vt:variant>
      <vt:variant>
        <vt:i4>8060990</vt:i4>
      </vt:variant>
      <vt:variant>
        <vt:i4>4093</vt:i4>
      </vt:variant>
      <vt:variant>
        <vt:i4>0</vt:i4>
      </vt:variant>
      <vt:variant>
        <vt:i4>5</vt:i4>
      </vt:variant>
      <vt:variant>
        <vt:lpwstr>https://www.health.vic.gov.au/publications/suicide-working-with-the-suicidal-person-clinical-practice-guidelines-for-emergency</vt:lpwstr>
      </vt:variant>
      <vt:variant>
        <vt:lpwstr/>
      </vt:variant>
      <vt:variant>
        <vt:i4>2097248</vt:i4>
      </vt:variant>
      <vt:variant>
        <vt:i4>4090</vt:i4>
      </vt:variant>
      <vt:variant>
        <vt:i4>0</vt:i4>
      </vt:variant>
      <vt:variant>
        <vt:i4>5</vt:i4>
      </vt:variant>
      <vt:variant>
        <vt:lpwstr>https://rosesintheocean.com.au/wp-content/uploads/2023/01/230329-Peer-Worker-Paper.pdf</vt:lpwstr>
      </vt:variant>
      <vt:variant>
        <vt:lpwstr/>
      </vt:variant>
      <vt:variant>
        <vt:i4>6291550</vt:i4>
      </vt:variant>
      <vt:variant>
        <vt:i4>4087</vt:i4>
      </vt:variant>
      <vt:variant>
        <vt:i4>0</vt:i4>
      </vt:variant>
      <vt:variant>
        <vt:i4>5</vt:i4>
      </vt:variant>
      <vt:variant>
        <vt:lpwstr>https://www.mentalhealthcommission.gov.au/getmedia/a33cce2a-e7fa-4f90-964d-85dbf1514b6b/NMHC_Lived-Experience-Workforce-Development-Guidelines</vt:lpwstr>
      </vt:variant>
      <vt:variant>
        <vt:lpwstr/>
      </vt:variant>
      <vt:variant>
        <vt:i4>6488172</vt:i4>
      </vt:variant>
      <vt:variant>
        <vt:i4>4084</vt:i4>
      </vt:variant>
      <vt:variant>
        <vt:i4>0</vt:i4>
      </vt:variant>
      <vt:variant>
        <vt:i4>5</vt:i4>
      </vt:variant>
      <vt:variant>
        <vt:lpwstr>https://nova.newcastle.edu.au/vital/access/manager/Repository/uon:33517</vt:lpwstr>
      </vt:variant>
      <vt:variant>
        <vt:lpwstr/>
      </vt:variant>
      <vt:variant>
        <vt:i4>3801210</vt:i4>
      </vt:variant>
      <vt:variant>
        <vt:i4>4081</vt:i4>
      </vt:variant>
      <vt:variant>
        <vt:i4>0</vt:i4>
      </vt:variant>
      <vt:variant>
        <vt:i4>5</vt:i4>
      </vt:variant>
      <vt:variant>
        <vt:lpwstr>https://shtg.scot/our-advice/an-evidence-review-on-multidisciplinary-team-support-in-primary-care/</vt:lpwstr>
      </vt:variant>
      <vt:variant>
        <vt:lpwstr/>
      </vt:variant>
      <vt:variant>
        <vt:i4>196628</vt:i4>
      </vt:variant>
      <vt:variant>
        <vt:i4>4078</vt:i4>
      </vt:variant>
      <vt:variant>
        <vt:i4>0</vt:i4>
      </vt:variant>
      <vt:variant>
        <vt:i4>5</vt:i4>
      </vt:variant>
      <vt:variant>
        <vt:lpwstr>https://gpmhsc.org.au/getattachment/f30b23b9-086b-4f48-a1cf-55721cd0cc3b/gpmhsc-suicide-prevention-and-first-aid-resource-for-gps.pdf</vt:lpwstr>
      </vt:variant>
      <vt:variant>
        <vt:lpwstr/>
      </vt:variant>
      <vt:variant>
        <vt:i4>5439576</vt:i4>
      </vt:variant>
      <vt:variant>
        <vt:i4>4075</vt:i4>
      </vt:variant>
      <vt:variant>
        <vt:i4>0</vt:i4>
      </vt:variant>
      <vt:variant>
        <vt:i4>5</vt:i4>
      </vt:variant>
      <vt:variant>
        <vt:lpwstr>https://www.racgp.org.au/FSDEDEV/media/documents/Clinical Resources/Guidelines/Red Book/Guidelines-for-preventive-activities-in-general-practice.pdf</vt:lpwstr>
      </vt:variant>
      <vt:variant>
        <vt:lpwstr/>
      </vt:variant>
      <vt:variant>
        <vt:i4>6422655</vt:i4>
      </vt:variant>
      <vt:variant>
        <vt:i4>4072</vt:i4>
      </vt:variant>
      <vt:variant>
        <vt:i4>0</vt:i4>
      </vt:variant>
      <vt:variant>
        <vt:i4>5</vt:i4>
      </vt:variant>
      <vt:variant>
        <vt:lpwstr>https://www.racgp.org.au/advocacy/position-statements/view-all-position-statements/health-systems-and-environmental/the-role-of-specialist-gps</vt:lpwstr>
      </vt:variant>
      <vt:variant>
        <vt:lpwstr/>
      </vt:variant>
      <vt:variant>
        <vt:i4>3145841</vt:i4>
      </vt:variant>
      <vt:variant>
        <vt:i4>4069</vt:i4>
      </vt:variant>
      <vt:variant>
        <vt:i4>0</vt:i4>
      </vt:variant>
      <vt:variant>
        <vt:i4>5</vt:i4>
      </vt:variant>
      <vt:variant>
        <vt:lpwstr>https://doi.org/10.1016/j.comppsych.2013.05.007</vt:lpwstr>
      </vt:variant>
      <vt:variant>
        <vt:lpwstr/>
      </vt:variant>
      <vt:variant>
        <vt:i4>7405605</vt:i4>
      </vt:variant>
      <vt:variant>
        <vt:i4>4066</vt:i4>
      </vt:variant>
      <vt:variant>
        <vt:i4>0</vt:i4>
      </vt:variant>
      <vt:variant>
        <vt:i4>5</vt:i4>
      </vt:variant>
      <vt:variant>
        <vt:lpwstr>https://www.aihw.gov.au/nmhspf</vt:lpwstr>
      </vt:variant>
      <vt:variant>
        <vt:lpwstr/>
      </vt:variant>
      <vt:variant>
        <vt:i4>6750315</vt:i4>
      </vt:variant>
      <vt:variant>
        <vt:i4>4063</vt:i4>
      </vt:variant>
      <vt:variant>
        <vt:i4>0</vt:i4>
      </vt:variant>
      <vt:variant>
        <vt:i4>5</vt:i4>
      </vt:variant>
      <vt:variant>
        <vt:lpwstr>https://evaluation.treasury.gov.au/</vt:lpwstr>
      </vt:variant>
      <vt:variant>
        <vt:lpwstr/>
      </vt:variant>
      <vt:variant>
        <vt:i4>7536695</vt:i4>
      </vt:variant>
      <vt:variant>
        <vt:i4>4060</vt:i4>
      </vt:variant>
      <vt:variant>
        <vt:i4>0</vt:i4>
      </vt:variant>
      <vt:variant>
        <vt:i4>5</vt:i4>
      </vt:variant>
      <vt:variant>
        <vt:lpwstr>https://www.suicidepreventionaust.org/accreditation-program</vt:lpwstr>
      </vt:variant>
      <vt:variant>
        <vt:lpwstr/>
      </vt:variant>
      <vt:variant>
        <vt:i4>1703968</vt:i4>
      </vt:variant>
      <vt:variant>
        <vt:i4>4057</vt:i4>
      </vt:variant>
      <vt:variant>
        <vt:i4>0</vt:i4>
      </vt:variant>
      <vt:variant>
        <vt:i4>5</vt:i4>
      </vt:variant>
      <vt:variant>
        <vt:lpwstr>https://www.suicidepreventionaust.org/wp-content/uploads/2023/04/Suicide-Prevention-Standards-for-Quality-Improvement-Ed2_-2023.pdf</vt:lpwstr>
      </vt:variant>
      <vt:variant>
        <vt:lpwstr/>
      </vt:variant>
      <vt:variant>
        <vt:i4>7143539</vt:i4>
      </vt:variant>
      <vt:variant>
        <vt:i4>4054</vt:i4>
      </vt:variant>
      <vt:variant>
        <vt:i4>0</vt:i4>
      </vt:variant>
      <vt:variant>
        <vt:i4>5</vt:i4>
      </vt:variant>
      <vt:variant>
        <vt:lpwstr>https://zerosuicide.edc.org/resources/resource-database/zero-suicide-institute-australasia-evaluation-framework</vt:lpwstr>
      </vt:variant>
      <vt:variant>
        <vt:lpwstr/>
      </vt:variant>
      <vt:variant>
        <vt:i4>4456474</vt:i4>
      </vt:variant>
      <vt:variant>
        <vt:i4>4051</vt:i4>
      </vt:variant>
      <vt:variant>
        <vt:i4>0</vt:i4>
      </vt:variant>
      <vt:variant>
        <vt:i4>5</vt:i4>
      </vt:variant>
      <vt:variant>
        <vt:lpwstr>https://www.aph.gov.au/Parliamentary_Business/Committees/House/Former_Committees/Mental_Health_and_Suicide_Prevention/MHSP/Report</vt:lpwstr>
      </vt:variant>
      <vt:variant>
        <vt:lpwstr/>
      </vt:variant>
      <vt:variant>
        <vt:i4>7798899</vt:i4>
      </vt:variant>
      <vt:variant>
        <vt:i4>4048</vt:i4>
      </vt:variant>
      <vt:variant>
        <vt:i4>0</vt:i4>
      </vt:variant>
      <vt:variant>
        <vt:i4>5</vt:i4>
      </vt:variant>
      <vt:variant>
        <vt:lpwstr>https://www.suicidepreventionaust.org/research-grants/</vt:lpwstr>
      </vt:variant>
      <vt:variant>
        <vt:lpwstr/>
      </vt:variant>
      <vt:variant>
        <vt:i4>3080291</vt:i4>
      </vt:variant>
      <vt:variant>
        <vt:i4>4045</vt:i4>
      </vt:variant>
      <vt:variant>
        <vt:i4>0</vt:i4>
      </vt:variant>
      <vt:variant>
        <vt:i4>5</vt:i4>
      </vt:variant>
      <vt:variant>
        <vt:lpwstr>https://www.blackdoginstitute.org.au/cresp/</vt:lpwstr>
      </vt:variant>
      <vt:variant>
        <vt:lpwstr/>
      </vt:variant>
      <vt:variant>
        <vt:i4>4128886</vt:i4>
      </vt:variant>
      <vt:variant>
        <vt:i4>4042</vt:i4>
      </vt:variant>
      <vt:variant>
        <vt:i4>0</vt:i4>
      </vt:variant>
      <vt:variant>
        <vt:i4>5</vt:i4>
      </vt:variant>
      <vt:variant>
        <vt:lpwstr>https://mspgh.unimelb.edu.au/research-groups/centre-for-mental-health/mental-health-policy-and-practice/national-leadership-in-suicide-prevention-research</vt:lpwstr>
      </vt:variant>
      <vt:variant>
        <vt:lpwstr/>
      </vt:variant>
      <vt:variant>
        <vt:i4>7143474</vt:i4>
      </vt:variant>
      <vt:variant>
        <vt:i4>4039</vt:i4>
      </vt:variant>
      <vt:variant>
        <vt:i4>0</vt:i4>
      </vt:variant>
      <vt:variant>
        <vt:i4>5</vt:i4>
      </vt:variant>
      <vt:variant>
        <vt:lpwstr>https://www.blackdoginstitute.org.au/research-centres/centre-of-research-excellence-in-suicide-prevention/lived-experience-resource-centre/</vt:lpwstr>
      </vt:variant>
      <vt:variant>
        <vt:lpwstr/>
      </vt:variant>
      <vt:variant>
        <vt:i4>8323176</vt:i4>
      </vt:variant>
      <vt:variant>
        <vt:i4>4036</vt:i4>
      </vt:variant>
      <vt:variant>
        <vt:i4>0</vt:i4>
      </vt:variant>
      <vt:variant>
        <vt:i4>5</vt:i4>
      </vt:variant>
      <vt:variant>
        <vt:lpwstr>https://www.blackdoginstitute.org.au/wp-content/uploads/2020/04/anu-lived-experience-framework.pdf</vt:lpwstr>
      </vt:variant>
      <vt:variant>
        <vt:lpwstr/>
      </vt:variant>
      <vt:variant>
        <vt:i4>3080295</vt:i4>
      </vt:variant>
      <vt:variant>
        <vt:i4>4033</vt:i4>
      </vt:variant>
      <vt:variant>
        <vt:i4>0</vt:i4>
      </vt:variant>
      <vt:variant>
        <vt:i4>5</vt:i4>
      </vt:variant>
      <vt:variant>
        <vt:lpwstr>https://rosesintheocean.com.au/wp-content/uploads/2022/09/LESEPI-Framework-V1.2.pdf</vt:lpwstr>
      </vt:variant>
      <vt:variant>
        <vt:lpwstr/>
      </vt:variant>
      <vt:variant>
        <vt:i4>4063328</vt:i4>
      </vt:variant>
      <vt:variant>
        <vt:i4>4030</vt:i4>
      </vt:variant>
      <vt:variant>
        <vt:i4>0</vt:i4>
      </vt:variant>
      <vt:variant>
        <vt:i4>5</vt:i4>
      </vt:variant>
      <vt:variant>
        <vt:lpwstr>https://www.blackdoginstitute.org.au/education-services/aboriginal-and-torres-strait-islander-network/</vt:lpwstr>
      </vt:variant>
      <vt:variant>
        <vt:lpwstr/>
      </vt:variant>
      <vt:variant>
        <vt:i4>6094931</vt:i4>
      </vt:variant>
      <vt:variant>
        <vt:i4>4027</vt:i4>
      </vt:variant>
      <vt:variant>
        <vt:i4>0</vt:i4>
      </vt:variant>
      <vt:variant>
        <vt:i4>5</vt:i4>
      </vt:variant>
      <vt:variant>
        <vt:lpwstr>https://rosesintheocean.com.au/what-we-do/workshops/</vt:lpwstr>
      </vt:variant>
      <vt:variant>
        <vt:lpwstr/>
      </vt:variant>
      <vt:variant>
        <vt:i4>7340071</vt:i4>
      </vt:variant>
      <vt:variant>
        <vt:i4>4024</vt:i4>
      </vt:variant>
      <vt:variant>
        <vt:i4>0</vt:i4>
      </vt:variant>
      <vt:variant>
        <vt:i4>5</vt:i4>
      </vt:variant>
      <vt:variant>
        <vt:lpwstr>https://rosesintheocean.com.au/wp-content/uploads/2022/03/1.-LESEP-Guidance-Document-V1.1-FEB-2022.pdf</vt:lpwstr>
      </vt:variant>
      <vt:variant>
        <vt:lpwstr/>
      </vt:variant>
      <vt:variant>
        <vt:i4>2556030</vt:i4>
      </vt:variant>
      <vt:variant>
        <vt:i4>4021</vt:i4>
      </vt:variant>
      <vt:variant>
        <vt:i4>0</vt:i4>
      </vt:variant>
      <vt:variant>
        <vt:i4>5</vt:i4>
      </vt:variant>
      <vt:variant>
        <vt:lpwstr>https://haveyoursay.mentalhealthcommission.gov.au/rito-lived-experience-summit-workshop-summary-report-2023</vt:lpwstr>
      </vt:variant>
      <vt:variant>
        <vt:lpwstr/>
      </vt:variant>
      <vt:variant>
        <vt:i4>7012402</vt:i4>
      </vt:variant>
      <vt:variant>
        <vt:i4>4018</vt:i4>
      </vt:variant>
      <vt:variant>
        <vt:i4>0</vt:i4>
      </vt:variant>
      <vt:variant>
        <vt:i4>5</vt:i4>
      </vt:variant>
      <vt:variant>
        <vt:lpwstr>https://rosesintheocean.com.au/wp-content/uploads/2022/09/LESEPI-Decision-Evaluation-Tools-V1.2.pdf</vt:lpwstr>
      </vt:variant>
      <vt:variant>
        <vt:lpwstr/>
      </vt:variant>
      <vt:variant>
        <vt:i4>3801133</vt:i4>
      </vt:variant>
      <vt:variant>
        <vt:i4>4015</vt:i4>
      </vt:variant>
      <vt:variant>
        <vt:i4>0</vt:i4>
      </vt:variant>
      <vt:variant>
        <vt:i4>5</vt:i4>
      </vt:variant>
      <vt:variant>
        <vt:lpwstr>https://iap2.org.au/resources/spectrum/</vt:lpwstr>
      </vt:variant>
      <vt:variant>
        <vt:lpwstr/>
      </vt:variant>
      <vt:variant>
        <vt:i4>6619177</vt:i4>
      </vt:variant>
      <vt:variant>
        <vt:i4>4012</vt:i4>
      </vt:variant>
      <vt:variant>
        <vt:i4>0</vt:i4>
      </vt:variant>
      <vt:variant>
        <vt:i4>5</vt:i4>
      </vt:variant>
      <vt:variant>
        <vt:lpwstr>https://www.health.gov.au/resources/publications/analysis-of-suicide-prevention-trials-evaluation-findings-discussion-paper?language=en</vt:lpwstr>
      </vt:variant>
      <vt:variant>
        <vt:lpwstr/>
      </vt:variant>
      <vt:variant>
        <vt:i4>3276900</vt:i4>
      </vt:variant>
      <vt:variant>
        <vt:i4>4009</vt:i4>
      </vt:variant>
      <vt:variant>
        <vt:i4>0</vt:i4>
      </vt:variant>
      <vt:variant>
        <vt:i4>5</vt:i4>
      </vt:variant>
      <vt:variant>
        <vt:lpwstr>https://www.health.gov.au/resources/publications/national-suicide-prevention-trial-final-evaluation-report?language=en</vt:lpwstr>
      </vt:variant>
      <vt:variant>
        <vt:lpwstr/>
      </vt:variant>
      <vt:variant>
        <vt:i4>5242969</vt:i4>
      </vt:variant>
      <vt:variant>
        <vt:i4>4006</vt:i4>
      </vt:variant>
      <vt:variant>
        <vt:i4>0</vt:i4>
      </vt:variant>
      <vt:variant>
        <vt:i4>5</vt:i4>
      </vt:variant>
      <vt:variant>
        <vt:lpwstr>https://www.health.gov.au/our-work/national-suicide-prevention-trial</vt:lpwstr>
      </vt:variant>
      <vt:variant>
        <vt:lpwstr/>
      </vt:variant>
      <vt:variant>
        <vt:i4>3997814</vt:i4>
      </vt:variant>
      <vt:variant>
        <vt:i4>4003</vt:i4>
      </vt:variant>
      <vt:variant>
        <vt:i4>0</vt:i4>
      </vt:variant>
      <vt:variant>
        <vt:i4>5</vt:i4>
      </vt:variant>
      <vt:variant>
        <vt:lpwstr>https://www.health.gov.au/resources/publications/analysis-of-suicide-prevention-trials-evaluation-findings-discussion-paper</vt:lpwstr>
      </vt:variant>
      <vt:variant>
        <vt:lpwstr/>
      </vt:variant>
      <vt:variant>
        <vt:i4>7143483</vt:i4>
      </vt:variant>
      <vt:variant>
        <vt:i4>4000</vt:i4>
      </vt:variant>
      <vt:variant>
        <vt:i4>0</vt:i4>
      </vt:variant>
      <vt:variant>
        <vt:i4>5</vt:i4>
      </vt:variant>
      <vt:variant>
        <vt:lpwstr>https://www.health.vic.gov.au/publications/victorian-suicide-prevention-framework-2016-2025</vt:lpwstr>
      </vt:variant>
      <vt:variant>
        <vt:lpwstr/>
      </vt:variant>
      <vt:variant>
        <vt:i4>6094864</vt:i4>
      </vt:variant>
      <vt:variant>
        <vt:i4>3997</vt:i4>
      </vt:variant>
      <vt:variant>
        <vt:i4>0</vt:i4>
      </vt:variant>
      <vt:variant>
        <vt:i4>5</vt:i4>
      </vt:variant>
      <vt:variant>
        <vt:lpwstr>https://www.qmhc.qld.gov.au/sites/default/files/every_life_the_queensland_suicide_prevention_plan_2019-2029_web.pdf</vt:lpwstr>
      </vt:variant>
      <vt:variant>
        <vt:lpwstr/>
      </vt:variant>
      <vt:variant>
        <vt:i4>7405690</vt:i4>
      </vt:variant>
      <vt:variant>
        <vt:i4>3994</vt:i4>
      </vt:variant>
      <vt:variant>
        <vt:i4>0</vt:i4>
      </vt:variant>
      <vt:variant>
        <vt:i4>5</vt:i4>
      </vt:variant>
      <vt:variant>
        <vt:lpwstr>https://www.health.tas.gov.au/publications/tasmanian-suicide-prevention-strategy-2023-2027</vt:lpwstr>
      </vt:variant>
      <vt:variant>
        <vt:lpwstr/>
      </vt:variant>
      <vt:variant>
        <vt:i4>3670052</vt:i4>
      </vt:variant>
      <vt:variant>
        <vt:i4>3991</vt:i4>
      </vt:variant>
      <vt:variant>
        <vt:i4>0</vt:i4>
      </vt:variant>
      <vt:variant>
        <vt:i4>5</vt:i4>
      </vt:variant>
      <vt:variant>
        <vt:lpwstr>https://nt.gov.au/wellbeing</vt:lpwstr>
      </vt:variant>
      <vt:variant>
        <vt:lpwstr/>
      </vt:variant>
      <vt:variant>
        <vt:i4>4587532</vt:i4>
      </vt:variant>
      <vt:variant>
        <vt:i4>3988</vt:i4>
      </vt:variant>
      <vt:variant>
        <vt:i4>0</vt:i4>
      </vt:variant>
      <vt:variant>
        <vt:i4>5</vt:i4>
      </vt:variant>
      <vt:variant>
        <vt:lpwstr>https://www.mhc.wa.gov.au/media/3505/wa-suicideprevention-a4-mk40-web-version.pdf</vt:lpwstr>
      </vt:variant>
      <vt:variant>
        <vt:lpwstr/>
      </vt:variant>
      <vt:variant>
        <vt:i4>4980821</vt:i4>
      </vt:variant>
      <vt:variant>
        <vt:i4>3985</vt:i4>
      </vt:variant>
      <vt:variant>
        <vt:i4>0</vt:i4>
      </vt:variant>
      <vt:variant>
        <vt:i4>5</vt:i4>
      </vt:variant>
      <vt:variant>
        <vt:lpwstr>https://www.health.nsw.gov.au/mentalhealth/Pages/suicide-prevention-strategic-framework.aspx</vt:lpwstr>
      </vt:variant>
      <vt:variant>
        <vt:lpwstr/>
      </vt:variant>
      <vt:variant>
        <vt:i4>917557</vt:i4>
      </vt:variant>
      <vt:variant>
        <vt:i4>3982</vt:i4>
      </vt:variant>
      <vt:variant>
        <vt:i4>0</vt:i4>
      </vt:variant>
      <vt:variant>
        <vt:i4>5</vt:i4>
      </vt:variant>
      <vt:variant>
        <vt:lpwstr>https://www.legislation.sa.gov.au/__legislation/lz/v/a/2021/suicide prevention act 2021_51/2021.51.un.pdf</vt:lpwstr>
      </vt:variant>
      <vt:variant>
        <vt:lpwstr/>
      </vt:variant>
      <vt:variant>
        <vt:i4>3014666</vt:i4>
      </vt:variant>
      <vt:variant>
        <vt:i4>3979</vt:i4>
      </vt:variant>
      <vt:variant>
        <vt:i4>0</vt:i4>
      </vt:variant>
      <vt:variant>
        <vt:i4>5</vt:i4>
      </vt:variant>
      <vt:variant>
        <vt:lpwstr>https://ssir.org/articles/entry/collective_impact/</vt:lpwstr>
      </vt:variant>
      <vt:variant>
        <vt:lpwstr/>
      </vt:variant>
      <vt:variant>
        <vt:i4>3604520</vt:i4>
      </vt:variant>
      <vt:variant>
        <vt:i4>3976</vt:i4>
      </vt:variant>
      <vt:variant>
        <vt:i4>0</vt:i4>
      </vt:variant>
      <vt:variant>
        <vt:i4>5</vt:i4>
      </vt:variant>
      <vt:variant>
        <vt:lpwstr>https://www.gov.uk/government/publications/suicide-prevention-strategy-for-england-2023-to-2028</vt:lpwstr>
      </vt:variant>
      <vt:variant>
        <vt:lpwstr/>
      </vt:variant>
      <vt:variant>
        <vt:i4>2949218</vt:i4>
      </vt:variant>
      <vt:variant>
        <vt:i4>3973</vt:i4>
      </vt:variant>
      <vt:variant>
        <vt:i4>0</vt:i4>
      </vt:variant>
      <vt:variant>
        <vt:i4>5</vt:i4>
      </vt:variant>
      <vt:variant>
        <vt:lpwstr>https://www.mentalhealthcommission.gov.au/getmedia/543d313c-5749-404d-b349-b08db3a7fd96/Connected-and-Compassionate</vt:lpwstr>
      </vt:variant>
      <vt:variant>
        <vt:lpwstr/>
      </vt:variant>
      <vt:variant>
        <vt:i4>1638470</vt:i4>
      </vt:variant>
      <vt:variant>
        <vt:i4>3970</vt:i4>
      </vt:variant>
      <vt:variant>
        <vt:i4>0</vt:i4>
      </vt:variant>
      <vt:variant>
        <vt:i4>5</vt:i4>
      </vt:variant>
      <vt:variant>
        <vt:lpwstr>https://www.who.int/publications/i/item/9789240026629</vt:lpwstr>
      </vt:variant>
      <vt:variant>
        <vt:lpwstr/>
      </vt:variant>
      <vt:variant>
        <vt:i4>6815846</vt:i4>
      </vt:variant>
      <vt:variant>
        <vt:i4>3967</vt:i4>
      </vt:variant>
      <vt:variant>
        <vt:i4>0</vt:i4>
      </vt:variant>
      <vt:variant>
        <vt:i4>5</vt:i4>
      </vt:variant>
      <vt:variant>
        <vt:lpwstr>https://nceph.anu.edu.au/research/tools-resources/breaking-silence-seminal-report-suicide-and-suicide-prevention-australia</vt:lpwstr>
      </vt:variant>
      <vt:variant>
        <vt:lpwstr/>
      </vt:variant>
      <vt:variant>
        <vt:i4>3801141</vt:i4>
      </vt:variant>
      <vt:variant>
        <vt:i4>3964</vt:i4>
      </vt:variant>
      <vt:variant>
        <vt:i4>0</vt:i4>
      </vt:variant>
      <vt:variant>
        <vt:i4>5</vt:i4>
      </vt:variant>
      <vt:variant>
        <vt:lpwstr>http://hdl.handle.net/11343/337092</vt:lpwstr>
      </vt:variant>
      <vt:variant>
        <vt:lpwstr/>
      </vt:variant>
      <vt:variant>
        <vt:i4>2883590</vt:i4>
      </vt:variant>
      <vt:variant>
        <vt:i4>3961</vt:i4>
      </vt:variant>
      <vt:variant>
        <vt:i4>0</vt:i4>
      </vt:variant>
      <vt:variant>
        <vt:i4>5</vt:i4>
      </vt:variant>
      <vt:variant>
        <vt:lpwstr>https://www.blackdoginstitute.org.au/wp-content/uploads/2020/04/delphi-guidelines-clinical-summary_web.pdf</vt:lpwstr>
      </vt:variant>
      <vt:variant>
        <vt:lpwstr/>
      </vt:variant>
      <vt:variant>
        <vt:i4>5242960</vt:i4>
      </vt:variant>
      <vt:variant>
        <vt:i4>3958</vt:i4>
      </vt:variant>
      <vt:variant>
        <vt:i4>0</vt:i4>
      </vt:variant>
      <vt:variant>
        <vt:i4>5</vt:i4>
      </vt:variant>
      <vt:variant>
        <vt:lpwstr>https://zerosuicide.edc.org/</vt:lpwstr>
      </vt:variant>
      <vt:variant>
        <vt:lpwstr/>
      </vt:variant>
      <vt:variant>
        <vt:i4>2752618</vt:i4>
      </vt:variant>
      <vt:variant>
        <vt:i4>3955</vt:i4>
      </vt:variant>
      <vt:variant>
        <vt:i4>0</vt:i4>
      </vt:variant>
      <vt:variant>
        <vt:i4>5</vt:i4>
      </vt:variant>
      <vt:variant>
        <vt:lpwstr>https://safesideprevention.com/approach/care-framework</vt:lpwstr>
      </vt:variant>
      <vt:variant>
        <vt:lpwstr/>
      </vt:variant>
      <vt:variant>
        <vt:i4>6946848</vt:i4>
      </vt:variant>
      <vt:variant>
        <vt:i4>3952</vt:i4>
      </vt:variant>
      <vt:variant>
        <vt:i4>0</vt:i4>
      </vt:variant>
      <vt:variant>
        <vt:i4>5</vt:i4>
      </vt:variant>
      <vt:variant>
        <vt:lpwstr>https://www.qcmhl.qld.edu.au/course/index.php?categoryid=4</vt:lpwstr>
      </vt:variant>
      <vt:variant>
        <vt:lpwstr/>
      </vt:variant>
      <vt:variant>
        <vt:i4>327782</vt:i4>
      </vt:variant>
      <vt:variant>
        <vt:i4>3949</vt:i4>
      </vt:variant>
      <vt:variant>
        <vt:i4>0</vt:i4>
      </vt:variant>
      <vt:variant>
        <vt:i4>5</vt:i4>
      </vt:variant>
      <vt:variant>
        <vt:lpwstr>https://www.health.gov.au/sites/default/files/2023-02/strengthening-medicare-taskforce-report_0.pdf</vt:lpwstr>
      </vt:variant>
      <vt:variant>
        <vt:lpwstr/>
      </vt:variant>
      <vt:variant>
        <vt:i4>3080298</vt:i4>
      </vt:variant>
      <vt:variant>
        <vt:i4>3946</vt:i4>
      </vt:variant>
      <vt:variant>
        <vt:i4>0</vt:i4>
      </vt:variant>
      <vt:variant>
        <vt:i4>5</vt:i4>
      </vt:variant>
      <vt:variant>
        <vt:lpwstr>https://www.countrysaphn.com.au/wp-content/uploads/2021/05/CSAPHN_Evaluation-Report_V4.pdf</vt:lpwstr>
      </vt:variant>
      <vt:variant>
        <vt:lpwstr/>
      </vt:variant>
      <vt:variant>
        <vt:i4>2293839</vt:i4>
      </vt:variant>
      <vt:variant>
        <vt:i4>3943</vt:i4>
      </vt:variant>
      <vt:variant>
        <vt:i4>0</vt:i4>
      </vt:variant>
      <vt:variant>
        <vt:i4>5</vt:i4>
      </vt:variant>
      <vt:variant>
        <vt:lpwstr>https://www.blackdoginstitute.org.au/wp-content/uploads/2020/09/What-Can-Be-Done-To-Decrease-Suicide-a-call-to-action_Black-Dog-Institute.pdf</vt:lpwstr>
      </vt:variant>
      <vt:variant>
        <vt:lpwstr/>
      </vt:variant>
      <vt:variant>
        <vt:i4>262170</vt:i4>
      </vt:variant>
      <vt:variant>
        <vt:i4>3940</vt:i4>
      </vt:variant>
      <vt:variant>
        <vt:i4>0</vt:i4>
      </vt:variant>
      <vt:variant>
        <vt:i4>5</vt:i4>
      </vt:variant>
      <vt:variant>
        <vt:lpwstr>https://www.beyondblue.org.au/docs/default-source/media-release-pdf/the-way-back-support-services-evaluation-final-evaluation-report.pdf</vt:lpwstr>
      </vt:variant>
      <vt:variant>
        <vt:lpwstr/>
      </vt:variant>
      <vt:variant>
        <vt:i4>1376343</vt:i4>
      </vt:variant>
      <vt:variant>
        <vt:i4>3937</vt:i4>
      </vt:variant>
      <vt:variant>
        <vt:i4>0</vt:i4>
      </vt:variant>
      <vt:variant>
        <vt:i4>5</vt:i4>
      </vt:variant>
      <vt:variant>
        <vt:lpwstr>https://www.aihw.gov.au/suicide-self-harm-monitoring/data/deaths-by-suicide-in-australia/prevalence-estimates-of-suicidal-behaviours</vt:lpwstr>
      </vt:variant>
      <vt:variant>
        <vt:lpwstr/>
      </vt:variant>
      <vt:variant>
        <vt:i4>7209040</vt:i4>
      </vt:variant>
      <vt:variant>
        <vt:i4>3934</vt:i4>
      </vt:variant>
      <vt:variant>
        <vt:i4>0</vt:i4>
      </vt:variant>
      <vt:variant>
        <vt:i4>5</vt:i4>
      </vt:variant>
      <vt:variant>
        <vt:lpwstr>https://www.saxinstitute.org.au/wp-content/uploads/2019_Suicide-Aftercare-Services-Report.pdf</vt:lpwstr>
      </vt:variant>
      <vt:variant>
        <vt:lpwstr/>
      </vt:variant>
      <vt:variant>
        <vt:i4>4390991</vt:i4>
      </vt:variant>
      <vt:variant>
        <vt:i4>3931</vt:i4>
      </vt:variant>
      <vt:variant>
        <vt:i4>0</vt:i4>
      </vt:variant>
      <vt:variant>
        <vt:i4>5</vt:i4>
      </vt:variant>
      <vt:variant>
        <vt:lpwstr>https://vuir.vu.edu.au/41956/1/nowhere-else-to-go-people-mental-illness-stuck-emergency-departments-report-mitchell-institute.pdf</vt:lpwstr>
      </vt:variant>
      <vt:variant>
        <vt:lpwstr/>
      </vt:variant>
      <vt:variant>
        <vt:i4>5111837</vt:i4>
      </vt:variant>
      <vt:variant>
        <vt:i4>3928</vt:i4>
      </vt:variant>
      <vt:variant>
        <vt:i4>0</vt:i4>
      </vt:variant>
      <vt:variant>
        <vt:i4>5</vt:i4>
      </vt:variant>
      <vt:variant>
        <vt:lpwstr>https://www.samhsa.gov/sites/default/files/national-guidelines-for-behavioral-health-crisis-care-02242020.pdf</vt:lpwstr>
      </vt:variant>
      <vt:variant>
        <vt:lpwstr/>
      </vt:variant>
      <vt:variant>
        <vt:i4>7995447</vt:i4>
      </vt:variant>
      <vt:variant>
        <vt:i4>3925</vt:i4>
      </vt:variant>
      <vt:variant>
        <vt:i4>0</vt:i4>
      </vt:variant>
      <vt:variant>
        <vt:i4>5</vt:i4>
      </vt:variant>
      <vt:variant>
        <vt:lpwstr>https://www.health.gov.au/resources/collections/national-guidelines-to-improve-coordination-of-treatment-and-supports-for-people-with-severe-and-complex-mental-illness</vt:lpwstr>
      </vt:variant>
      <vt:variant>
        <vt:lpwstr/>
      </vt:variant>
      <vt:variant>
        <vt:i4>1572933</vt:i4>
      </vt:variant>
      <vt:variant>
        <vt:i4>3922</vt:i4>
      </vt:variant>
      <vt:variant>
        <vt:i4>0</vt:i4>
      </vt:variant>
      <vt:variant>
        <vt:i4>5</vt:i4>
      </vt:variant>
      <vt:variant>
        <vt:lpwstr>https://www.emphn.org.au/images/uploads/files/EMHSCA-Care-Coordination-study-2019.pdf</vt:lpwstr>
      </vt:variant>
      <vt:variant>
        <vt:lpwstr/>
      </vt:variant>
      <vt:variant>
        <vt:i4>7340139</vt:i4>
      </vt:variant>
      <vt:variant>
        <vt:i4>3919</vt:i4>
      </vt:variant>
      <vt:variant>
        <vt:i4>0</vt:i4>
      </vt:variant>
      <vt:variant>
        <vt:i4>5</vt:i4>
      </vt:variant>
      <vt:variant>
        <vt:lpwstr>https://finalreport.rcvmhs.vic.gov.au/</vt:lpwstr>
      </vt:variant>
      <vt:variant>
        <vt:lpwstr/>
      </vt:variant>
      <vt:variant>
        <vt:i4>4325415</vt:i4>
      </vt:variant>
      <vt:variant>
        <vt:i4>3916</vt:i4>
      </vt:variant>
      <vt:variant>
        <vt:i4>0</vt:i4>
      </vt:variant>
      <vt:variant>
        <vt:i4>5</vt:i4>
      </vt:variant>
      <vt:variant>
        <vt:lpwstr>https://www.latrobe.edu.au/__data/assets/pdf_file/0009/1185885/Private-Lives-3.pdf</vt:lpwstr>
      </vt:variant>
      <vt:variant>
        <vt:lpwstr/>
      </vt:variant>
      <vt:variant>
        <vt:i4>3866671</vt:i4>
      </vt:variant>
      <vt:variant>
        <vt:i4>3913</vt:i4>
      </vt:variant>
      <vt:variant>
        <vt:i4>0</vt:i4>
      </vt:variant>
      <vt:variant>
        <vt:i4>5</vt:i4>
      </vt:variant>
      <vt:variant>
        <vt:lpwstr>https://gbvguidelines.org/wp/wp-content/uploads/2019/11/AAAQ-framework-Nov-2019-WEB.pdf</vt:lpwstr>
      </vt:variant>
      <vt:variant>
        <vt:lpwstr/>
      </vt:variant>
      <vt:variant>
        <vt:i4>1048640</vt:i4>
      </vt:variant>
      <vt:variant>
        <vt:i4>3910</vt:i4>
      </vt:variant>
      <vt:variant>
        <vt:i4>0</vt:i4>
      </vt:variant>
      <vt:variant>
        <vt:i4>5</vt:i4>
      </vt:variant>
      <vt:variant>
        <vt:lpwstr>https://www.ncbi.nlm.nih.gov/pmc/articles/PMC5077254/</vt:lpwstr>
      </vt:variant>
      <vt:variant>
        <vt:lpwstr/>
      </vt:variant>
      <vt:variant>
        <vt:i4>2687037</vt:i4>
      </vt:variant>
      <vt:variant>
        <vt:i4>3907</vt:i4>
      </vt:variant>
      <vt:variant>
        <vt:i4>0</vt:i4>
      </vt:variant>
      <vt:variant>
        <vt:i4>5</vt:i4>
      </vt:variant>
      <vt:variant>
        <vt:lpwstr>https://www.health.gov.au/resources/publications/main-report-evaluation-of-the-better-access-initiative?language=en</vt:lpwstr>
      </vt:variant>
      <vt:variant>
        <vt:lpwstr/>
      </vt:variant>
      <vt:variant>
        <vt:i4>5963870</vt:i4>
      </vt:variant>
      <vt:variant>
        <vt:i4>3904</vt:i4>
      </vt:variant>
      <vt:variant>
        <vt:i4>0</vt:i4>
      </vt:variant>
      <vt:variant>
        <vt:i4>5</vt:i4>
      </vt:variant>
      <vt:variant>
        <vt:lpwstr>https://doi.org/10.1377/hlthaff.2015.1672</vt:lpwstr>
      </vt:variant>
      <vt:variant>
        <vt:lpwstr/>
      </vt:variant>
      <vt:variant>
        <vt:i4>1114188</vt:i4>
      </vt:variant>
      <vt:variant>
        <vt:i4>3901</vt:i4>
      </vt:variant>
      <vt:variant>
        <vt:i4>0</vt:i4>
      </vt:variant>
      <vt:variant>
        <vt:i4>5</vt:i4>
      </vt:variant>
      <vt:variant>
        <vt:lpwstr>https://doi.org/10.1192/pb.bp.116.055699</vt:lpwstr>
      </vt:variant>
      <vt:variant>
        <vt:lpwstr/>
      </vt:variant>
      <vt:variant>
        <vt:i4>3670069</vt:i4>
      </vt:variant>
      <vt:variant>
        <vt:i4>3898</vt:i4>
      </vt:variant>
      <vt:variant>
        <vt:i4>0</vt:i4>
      </vt:variant>
      <vt:variant>
        <vt:i4>5</vt:i4>
      </vt:variant>
      <vt:variant>
        <vt:lpwstr>https://www.cec.health.nsw.gov.au/__data/assets/pdf_file/0008/891728/GUIDE-Co-developing-RJLC_Rev-1_-30_June-2023.pdf</vt:lpwstr>
      </vt:variant>
      <vt:variant>
        <vt:lpwstr/>
      </vt:variant>
      <vt:variant>
        <vt:i4>8323116</vt:i4>
      </vt:variant>
      <vt:variant>
        <vt:i4>3895</vt:i4>
      </vt:variant>
      <vt:variant>
        <vt:i4>0</vt:i4>
      </vt:variant>
      <vt:variant>
        <vt:i4>5</vt:i4>
      </vt:variant>
      <vt:variant>
        <vt:lpwstr>https://samhsa.gov/resource/dbhis/samhsas-concept-trauma-guidance-trauma-informed-approach</vt:lpwstr>
      </vt:variant>
      <vt:variant>
        <vt:lpwstr/>
      </vt:variant>
      <vt:variant>
        <vt:i4>5636212</vt:i4>
      </vt:variant>
      <vt:variant>
        <vt:i4>3892</vt:i4>
      </vt:variant>
      <vt:variant>
        <vt:i4>0</vt:i4>
      </vt:variant>
      <vt:variant>
        <vt:i4>5</vt:i4>
      </vt:variant>
      <vt:variant>
        <vt:lpwstr>https://eprints.batchelor.edu.au/id/eprint/611/1/Evaluation of Suicide Story FINAL REPORT_V1.3.pdf</vt:lpwstr>
      </vt:variant>
      <vt:variant>
        <vt:lpwstr/>
      </vt:variant>
      <vt:variant>
        <vt:i4>2293815</vt:i4>
      </vt:variant>
      <vt:variant>
        <vt:i4>3889</vt:i4>
      </vt:variant>
      <vt:variant>
        <vt:i4>0</vt:i4>
      </vt:variant>
      <vt:variant>
        <vt:i4>5</vt:i4>
      </vt:variant>
      <vt:variant>
        <vt:lpwstr>http://www.amsant.org.au/suicide-story/</vt:lpwstr>
      </vt:variant>
      <vt:variant>
        <vt:lpwstr/>
      </vt:variant>
      <vt:variant>
        <vt:i4>4128891</vt:i4>
      </vt:variant>
      <vt:variant>
        <vt:i4>3886</vt:i4>
      </vt:variant>
      <vt:variant>
        <vt:i4>0</vt:i4>
      </vt:variant>
      <vt:variant>
        <vt:i4>5</vt:i4>
      </vt:variant>
      <vt:variant>
        <vt:lpwstr>https://www.gov.scot/publications/evaluation-distress-brief-intervention-pilot-programme/documents/</vt:lpwstr>
      </vt:variant>
      <vt:variant>
        <vt:lpwstr/>
      </vt:variant>
      <vt:variant>
        <vt:i4>8257654</vt:i4>
      </vt:variant>
      <vt:variant>
        <vt:i4>3883</vt:i4>
      </vt:variant>
      <vt:variant>
        <vt:i4>0</vt:i4>
      </vt:variant>
      <vt:variant>
        <vt:i4>5</vt:i4>
      </vt:variant>
      <vt:variant>
        <vt:lpwstr>https://www.orygen.org.au/Orygen-Institute/Policy-Reports/Raising-the-bar-for-youth-suicide-prevention</vt:lpwstr>
      </vt:variant>
      <vt:variant>
        <vt:lpwstr>:~:text=Titled%20'Raising%20the%20bar%20for,partnership%20with%20young%20people%20themselves</vt:lpwstr>
      </vt:variant>
      <vt:variant>
        <vt:i4>3276810</vt:i4>
      </vt:variant>
      <vt:variant>
        <vt:i4>3880</vt:i4>
      </vt:variant>
      <vt:variant>
        <vt:i4>0</vt:i4>
      </vt:variant>
      <vt:variant>
        <vt:i4>5</vt:i4>
      </vt:variant>
      <vt:variant>
        <vt:lpwstr>https://www.aihw.gov.au/getmedia/3913189d-ee80-4dcb-bbf2-ed1cb2104e3a/NSSHMS-Evaluation_Final-report_UoM_280622.pdf.aspx</vt:lpwstr>
      </vt:variant>
      <vt:variant>
        <vt:lpwstr/>
      </vt:variant>
      <vt:variant>
        <vt:i4>327696</vt:i4>
      </vt:variant>
      <vt:variant>
        <vt:i4>3877</vt:i4>
      </vt:variant>
      <vt:variant>
        <vt:i4>0</vt:i4>
      </vt:variant>
      <vt:variant>
        <vt:i4>5</vt:i4>
      </vt:variant>
      <vt:variant>
        <vt:lpwstr>https://www.aihw.gov.au/suicide-self-harm-monitoring</vt:lpwstr>
      </vt:variant>
      <vt:variant>
        <vt:lpwstr/>
      </vt:variant>
      <vt:variant>
        <vt:i4>7143459</vt:i4>
      </vt:variant>
      <vt:variant>
        <vt:i4>3874</vt:i4>
      </vt:variant>
      <vt:variant>
        <vt:i4>0</vt:i4>
      </vt:variant>
      <vt:variant>
        <vt:i4>5</vt:i4>
      </vt:variant>
      <vt:variant>
        <vt:lpwstr>https://www.orygen.org.au/chatsafe</vt:lpwstr>
      </vt:variant>
      <vt:variant>
        <vt:lpwstr/>
      </vt:variant>
      <vt:variant>
        <vt:i4>1769538</vt:i4>
      </vt:variant>
      <vt:variant>
        <vt:i4>3871</vt:i4>
      </vt:variant>
      <vt:variant>
        <vt:i4>0</vt:i4>
      </vt:variant>
      <vt:variant>
        <vt:i4>5</vt:i4>
      </vt:variant>
      <vt:variant>
        <vt:lpwstr>https://www.who.int/publications/i/item/9789241564779</vt:lpwstr>
      </vt:variant>
      <vt:variant>
        <vt:lpwstr/>
      </vt:variant>
      <vt:variant>
        <vt:i4>1376327</vt:i4>
      </vt:variant>
      <vt:variant>
        <vt:i4>3868</vt:i4>
      </vt:variant>
      <vt:variant>
        <vt:i4>0</vt:i4>
      </vt:variant>
      <vt:variant>
        <vt:i4>5</vt:i4>
      </vt:variant>
      <vt:variant>
        <vt:lpwstr>https://mensoutreach.org.au/alive-kicking-goals/</vt:lpwstr>
      </vt:variant>
      <vt:variant>
        <vt:lpwstr/>
      </vt:variant>
      <vt:variant>
        <vt:i4>7209078</vt:i4>
      </vt:variant>
      <vt:variant>
        <vt:i4>3865</vt:i4>
      </vt:variant>
      <vt:variant>
        <vt:i4>0</vt:i4>
      </vt:variant>
      <vt:variant>
        <vt:i4>5</vt:i4>
      </vt:variant>
      <vt:variant>
        <vt:lpwstr>https://www.aph.gov.au/Parliamentary_Business/Tabled_Documents/7262</vt:lpwstr>
      </vt:variant>
      <vt:variant>
        <vt:lpwstr/>
      </vt:variant>
      <vt:variant>
        <vt:i4>5505147</vt:i4>
      </vt:variant>
      <vt:variant>
        <vt:i4>3862</vt:i4>
      </vt:variant>
      <vt:variant>
        <vt:i4>0</vt:i4>
      </vt:variant>
      <vt:variant>
        <vt:i4>5</vt:i4>
      </vt:variant>
      <vt:variant>
        <vt:lpwstr>https://nccc.georgetown.edu/documents/LGBT_Brief.pdf</vt:lpwstr>
      </vt:variant>
      <vt:variant>
        <vt:lpwstr/>
      </vt:variant>
      <vt:variant>
        <vt:i4>8257660</vt:i4>
      </vt:variant>
      <vt:variant>
        <vt:i4>3859</vt:i4>
      </vt:variant>
      <vt:variant>
        <vt:i4>0</vt:i4>
      </vt:variant>
      <vt:variant>
        <vt:i4>5</vt:i4>
      </vt:variant>
      <vt:variant>
        <vt:lpwstr>https://store.samhsa.gov/sites/default/files/d7/priv/pep14-lgbtkids.pdf</vt:lpwstr>
      </vt:variant>
      <vt:variant>
        <vt:lpwstr/>
      </vt:variant>
      <vt:variant>
        <vt:i4>3407933</vt:i4>
      </vt:variant>
      <vt:variant>
        <vt:i4>3856</vt:i4>
      </vt:variant>
      <vt:variant>
        <vt:i4>0</vt:i4>
      </vt:variant>
      <vt:variant>
        <vt:i4>5</vt:i4>
      </vt:variant>
      <vt:variant>
        <vt:lpwstr>https://www.aihw.gov.au/suicide-self-harm-monitoring/data/behaviours-risk-factors/psychosocial-risk-factors-suicide</vt:lpwstr>
      </vt:variant>
      <vt:variant>
        <vt:lpwstr/>
      </vt:variant>
      <vt:variant>
        <vt:i4>6946925</vt:i4>
      </vt:variant>
      <vt:variant>
        <vt:i4>3853</vt:i4>
      </vt:variant>
      <vt:variant>
        <vt:i4>0</vt:i4>
      </vt:variant>
      <vt:variant>
        <vt:i4>5</vt:i4>
      </vt:variant>
      <vt:variant>
        <vt:lpwstr>https://www.thetrevorproject.org/wp-content/uploads/2023/03/March-2023-Research-Brief-Final.pdf</vt:lpwstr>
      </vt:variant>
      <vt:variant>
        <vt:lpwstr/>
      </vt:variant>
      <vt:variant>
        <vt:i4>6684717</vt:i4>
      </vt:variant>
      <vt:variant>
        <vt:i4>3850</vt:i4>
      </vt:variant>
      <vt:variant>
        <vt:i4>0</vt:i4>
      </vt:variant>
      <vt:variant>
        <vt:i4>5</vt:i4>
      </vt:variant>
      <vt:variant>
        <vt:lpwstr>https://williamsinstitute.law.ucla.edu/publications/suicide-coming-out-sgm</vt:lpwstr>
      </vt:variant>
      <vt:variant>
        <vt:lpwstr/>
      </vt:variant>
      <vt:variant>
        <vt:i4>5046338</vt:i4>
      </vt:variant>
      <vt:variant>
        <vt:i4>3847</vt:i4>
      </vt:variant>
      <vt:variant>
        <vt:i4>0</vt:i4>
      </vt:variant>
      <vt:variant>
        <vt:i4>5</vt:i4>
      </vt:variant>
      <vt:variant>
        <vt:lpwstr>https://www.health.gov.au/sites/default/files/documents/2021/05/australian-government-response-to-the-final-report-of-the-royal-commission-into-aged-care-quality-and-safety.pdf</vt:lpwstr>
      </vt:variant>
      <vt:variant>
        <vt:lpwstr/>
      </vt:variant>
      <vt:variant>
        <vt:i4>3866685</vt:i4>
      </vt:variant>
      <vt:variant>
        <vt:i4>3844</vt:i4>
      </vt:variant>
      <vt:variant>
        <vt:i4>0</vt:i4>
      </vt:variant>
      <vt:variant>
        <vt:i4>5</vt:i4>
      </vt:variant>
      <vt:variant>
        <vt:lpwstr>https://www.y-a-m.org/</vt:lpwstr>
      </vt:variant>
      <vt:variant>
        <vt:lpwstr/>
      </vt:variant>
      <vt:variant>
        <vt:i4>1966108</vt:i4>
      </vt:variant>
      <vt:variant>
        <vt:i4>3841</vt:i4>
      </vt:variant>
      <vt:variant>
        <vt:i4>0</vt:i4>
      </vt:variant>
      <vt:variant>
        <vt:i4>5</vt:i4>
      </vt:variant>
      <vt:variant>
        <vt:lpwstr>https://www.royalcommission.gov.au/aged-care/final-report</vt:lpwstr>
      </vt:variant>
      <vt:variant>
        <vt:lpwstr/>
      </vt:variant>
      <vt:variant>
        <vt:i4>8126516</vt:i4>
      </vt:variant>
      <vt:variant>
        <vt:i4>3838</vt:i4>
      </vt:variant>
      <vt:variant>
        <vt:i4>0</vt:i4>
      </vt:variant>
      <vt:variant>
        <vt:i4>5</vt:i4>
      </vt:variant>
      <vt:variant>
        <vt:lpwstr>https://iris.who.int/handle/10665/70853</vt:lpwstr>
      </vt:variant>
      <vt:variant>
        <vt:lpwstr/>
      </vt:variant>
      <vt:variant>
        <vt:i4>5111899</vt:i4>
      </vt:variant>
      <vt:variant>
        <vt:i4>3835</vt:i4>
      </vt:variant>
      <vt:variant>
        <vt:i4>0</vt:i4>
      </vt:variant>
      <vt:variant>
        <vt:i4>5</vt:i4>
      </vt:variant>
      <vt:variant>
        <vt:lpwstr>https://www.who.int/activities/improving-the-mental-and-brain-health-of-children-and-adolescents</vt:lpwstr>
      </vt:variant>
      <vt:variant>
        <vt:lpwstr/>
      </vt:variant>
      <vt:variant>
        <vt:i4>7078006</vt:i4>
      </vt:variant>
      <vt:variant>
        <vt:i4>3832</vt:i4>
      </vt:variant>
      <vt:variant>
        <vt:i4>0</vt:i4>
      </vt:variant>
      <vt:variant>
        <vt:i4>5</vt:i4>
      </vt:variant>
      <vt:variant>
        <vt:lpwstr>https://www.dss.gov.au/families-and-children-programs-services/early-years-strategy</vt:lpwstr>
      </vt:variant>
      <vt:variant>
        <vt:lpwstr/>
      </vt:variant>
      <vt:variant>
        <vt:i4>2031706</vt:i4>
      </vt:variant>
      <vt:variant>
        <vt:i4>3829</vt:i4>
      </vt:variant>
      <vt:variant>
        <vt:i4>0</vt:i4>
      </vt:variant>
      <vt:variant>
        <vt:i4>5</vt:i4>
      </vt:variant>
      <vt:variant>
        <vt:lpwstr>https://www.mentalhealthcommission.gov.au/projects/childrens-strategy</vt:lpwstr>
      </vt:variant>
      <vt:variant>
        <vt:lpwstr/>
      </vt:variant>
      <vt:variant>
        <vt:i4>4456537</vt:i4>
      </vt:variant>
      <vt:variant>
        <vt:i4>3826</vt:i4>
      </vt:variant>
      <vt:variant>
        <vt:i4>0</vt:i4>
      </vt:variant>
      <vt:variant>
        <vt:i4>5</vt:i4>
      </vt:variant>
      <vt:variant>
        <vt:lpwstr>https://aifs.gov.au/tentomen/insights-report/insights-2-report-overview-and-key-findings</vt:lpwstr>
      </vt:variant>
      <vt:variant>
        <vt:lpwstr/>
      </vt:variant>
      <vt:variant>
        <vt:i4>917598</vt:i4>
      </vt:variant>
      <vt:variant>
        <vt:i4>3823</vt:i4>
      </vt:variant>
      <vt:variant>
        <vt:i4>0</vt:i4>
      </vt:variant>
      <vt:variant>
        <vt:i4>5</vt:i4>
      </vt:variant>
      <vt:variant>
        <vt:lpwstr>https://lonelinessawarenessweek.com.au/wp-content/uploads/2023/08/state-of-nation-social-connection-2023.pdf</vt:lpwstr>
      </vt:variant>
      <vt:variant>
        <vt:lpwstr/>
      </vt:variant>
      <vt:variant>
        <vt:i4>4849683</vt:i4>
      </vt:variant>
      <vt:variant>
        <vt:i4>3820</vt:i4>
      </vt:variant>
      <vt:variant>
        <vt:i4>0</vt:i4>
      </vt:variant>
      <vt:variant>
        <vt:i4>5</vt:i4>
      </vt:variant>
      <vt:variant>
        <vt:lpwstr>https://www.indigenousmhspc.gov.au/getattachment/72f9d6ff-14fe-4c3b-8705-dce479bce7bb/racism-and-indigenous-wellbeing.pdf?v=1569</vt:lpwstr>
      </vt:variant>
      <vt:variant>
        <vt:lpwstr/>
      </vt:variant>
      <vt:variant>
        <vt:i4>3866668</vt:i4>
      </vt:variant>
      <vt:variant>
        <vt:i4>3817</vt:i4>
      </vt:variant>
      <vt:variant>
        <vt:i4>0</vt:i4>
      </vt:variant>
      <vt:variant>
        <vt:i4>5</vt:i4>
      </vt:variant>
      <vt:variant>
        <vt:lpwstr>https://www.gilc.global/our-position-statements</vt:lpwstr>
      </vt:variant>
      <vt:variant>
        <vt:lpwstr/>
      </vt:variant>
      <vt:variant>
        <vt:i4>5898312</vt:i4>
      </vt:variant>
      <vt:variant>
        <vt:i4>3814</vt:i4>
      </vt:variant>
      <vt:variant>
        <vt:i4>0</vt:i4>
      </vt:variant>
      <vt:variant>
        <vt:i4>5</vt:i4>
      </vt:variant>
      <vt:variant>
        <vt:lpwstr>https://www.dss.gov.au/strong-and-resilient-communities-evaluation-report</vt:lpwstr>
      </vt:variant>
      <vt:variant>
        <vt:lpwstr/>
      </vt:variant>
      <vt:variant>
        <vt:i4>4128800</vt:i4>
      </vt:variant>
      <vt:variant>
        <vt:i4>3811</vt:i4>
      </vt:variant>
      <vt:variant>
        <vt:i4>0</vt:i4>
      </vt:variant>
      <vt:variant>
        <vt:i4>5</vt:i4>
      </vt:variant>
      <vt:variant>
        <vt:lpwstr>https://www.dss.gov.au/our-responsibilities-communities-and-vulnerable-people/strong-and-resilient-communities</vt:lpwstr>
      </vt:variant>
      <vt:variant>
        <vt:lpwstr/>
      </vt:variant>
      <vt:variant>
        <vt:i4>2949222</vt:i4>
      </vt:variant>
      <vt:variant>
        <vt:i4>3808</vt:i4>
      </vt:variant>
      <vt:variant>
        <vt:i4>0</vt:i4>
      </vt:variant>
      <vt:variant>
        <vt:i4>5</vt:i4>
      </vt:variant>
      <vt:variant>
        <vt:lpwstr>https://melbourneinstitute.unimelb.edu.au/hilda/publications/hilda-statistical-reports/past-reports</vt:lpwstr>
      </vt:variant>
      <vt:variant>
        <vt:lpwstr/>
      </vt:variant>
      <vt:variant>
        <vt:i4>7798899</vt:i4>
      </vt:variant>
      <vt:variant>
        <vt:i4>3805</vt:i4>
      </vt:variant>
      <vt:variant>
        <vt:i4>0</vt:i4>
      </vt:variant>
      <vt:variant>
        <vt:i4>5</vt:i4>
      </vt:variant>
      <vt:variant>
        <vt:lpwstr>https://doi.org/10.5694/mja2.51084</vt:lpwstr>
      </vt:variant>
      <vt:variant>
        <vt:lpwstr/>
      </vt:variant>
      <vt:variant>
        <vt:i4>6684772</vt:i4>
      </vt:variant>
      <vt:variant>
        <vt:i4>3802</vt:i4>
      </vt:variant>
      <vt:variant>
        <vt:i4>0</vt:i4>
      </vt:variant>
      <vt:variant>
        <vt:i4>5</vt:i4>
      </vt:variant>
      <vt:variant>
        <vt:lpwstr>https://www.americansurveycenter.org/commentary/american-men-suffer-a-friendship-recession/</vt:lpwstr>
      </vt:variant>
      <vt:variant>
        <vt:lpwstr/>
      </vt:variant>
      <vt:variant>
        <vt:i4>6225994</vt:i4>
      </vt:variant>
      <vt:variant>
        <vt:i4>3799</vt:i4>
      </vt:variant>
      <vt:variant>
        <vt:i4>0</vt:i4>
      </vt:variant>
      <vt:variant>
        <vt:i4>5</vt:i4>
      </vt:variant>
      <vt:variant>
        <vt:lpwstr>https://tentomen.org.au/research-findings/social-connectedness-among-australian-males</vt:lpwstr>
      </vt:variant>
      <vt:variant>
        <vt:lpwstr/>
      </vt:variant>
      <vt:variant>
        <vt:i4>3342436</vt:i4>
      </vt:variant>
      <vt:variant>
        <vt:i4>3796</vt:i4>
      </vt:variant>
      <vt:variant>
        <vt:i4>0</vt:i4>
      </vt:variant>
      <vt:variant>
        <vt:i4>5</vt:i4>
      </vt:variant>
      <vt:variant>
        <vt:lpwstr>https://treasury.gov.au/employment-whitepaper/final-report</vt:lpwstr>
      </vt:variant>
      <vt:variant>
        <vt:lpwstr/>
      </vt:variant>
      <vt:variant>
        <vt:i4>6094917</vt:i4>
      </vt:variant>
      <vt:variant>
        <vt:i4>3793</vt:i4>
      </vt:variant>
      <vt:variant>
        <vt:i4>0</vt:i4>
      </vt:variant>
      <vt:variant>
        <vt:i4>5</vt:i4>
      </vt:variant>
      <vt:variant>
        <vt:lpwstr>https://csrm.cass.anu.edu.au/research/publications/covid-19-jobkeeper-and-jobseeker-impacts-poverty-and-housing-stress-under</vt:lpwstr>
      </vt:variant>
      <vt:variant>
        <vt:lpwstr/>
      </vt:variant>
      <vt:variant>
        <vt:i4>2621567</vt:i4>
      </vt:variant>
      <vt:variant>
        <vt:i4>3790</vt:i4>
      </vt:variant>
      <vt:variant>
        <vt:i4>0</vt:i4>
      </vt:variant>
      <vt:variant>
        <vt:i4>5</vt:i4>
      </vt:variant>
      <vt:variant>
        <vt:lpwstr>https://www.aihw.gov.au/suicide-self-harm-monitoring/data/covid-19</vt:lpwstr>
      </vt:variant>
      <vt:variant>
        <vt:lpwstr/>
      </vt:variant>
      <vt:variant>
        <vt:i4>7340083</vt:i4>
      </vt:variant>
      <vt:variant>
        <vt:i4>3787</vt:i4>
      </vt:variant>
      <vt:variant>
        <vt:i4>0</vt:i4>
      </vt:variant>
      <vt:variant>
        <vt:i4>5</vt:i4>
      </vt:variant>
      <vt:variant>
        <vt:lpwstr>https://www.dss.gov.au/communities-and-vulnerable-people-publications-articles/the-countervailing-power-review-of-the-coordination-and-funding-for-financial-counselling-services-across-australia</vt:lpwstr>
      </vt:variant>
      <vt:variant>
        <vt:lpwstr/>
      </vt:variant>
      <vt:variant>
        <vt:i4>4063266</vt:i4>
      </vt:variant>
      <vt:variant>
        <vt:i4>3784</vt:i4>
      </vt:variant>
      <vt:variant>
        <vt:i4>0</vt:i4>
      </vt:variant>
      <vt:variant>
        <vt:i4>5</vt:i4>
      </vt:variant>
      <vt:variant>
        <vt:lpwstr>https://www.ahuri.edu.au/analysis/brief/what-mental-ill-health-issue-and-how-it-affects-housing</vt:lpwstr>
      </vt:variant>
      <vt:variant>
        <vt:lpwstr/>
      </vt:variant>
      <vt:variant>
        <vt:i4>5242892</vt:i4>
      </vt:variant>
      <vt:variant>
        <vt:i4>3781</vt:i4>
      </vt:variant>
      <vt:variant>
        <vt:i4>0</vt:i4>
      </vt:variant>
      <vt:variant>
        <vt:i4>5</vt:i4>
      </vt:variant>
      <vt:variant>
        <vt:lpwstr>https://www.aihw.gov.au/suicide-self-harm-monitoring/data/behaviours-risk-factors/social-factors-suicide</vt:lpwstr>
      </vt:variant>
      <vt:variant>
        <vt:lpwstr/>
      </vt:variant>
      <vt:variant>
        <vt:i4>5111886</vt:i4>
      </vt:variant>
      <vt:variant>
        <vt:i4>3778</vt:i4>
      </vt:variant>
      <vt:variant>
        <vt:i4>0</vt:i4>
      </vt:variant>
      <vt:variant>
        <vt:i4>5</vt:i4>
      </vt:variant>
      <vt:variant>
        <vt:lpwstr>https://doi.org/10.1016/j.joclim.2023.100240</vt:lpwstr>
      </vt:variant>
      <vt:variant>
        <vt:lpwstr/>
      </vt:variant>
      <vt:variant>
        <vt:i4>2752545</vt:i4>
      </vt:variant>
      <vt:variant>
        <vt:i4>3775</vt:i4>
      </vt:variant>
      <vt:variant>
        <vt:i4>0</vt:i4>
      </vt:variant>
      <vt:variant>
        <vt:i4>5</vt:i4>
      </vt:variant>
      <vt:variant>
        <vt:lpwstr>https://phidu.torrens.edu.au/social-health-atlases/graphs/remoteness-whole-population/remoteness-graphs-latest</vt:lpwstr>
      </vt:variant>
      <vt:variant>
        <vt:lpwstr>education</vt:lpwstr>
      </vt:variant>
      <vt:variant>
        <vt:i4>7077999</vt:i4>
      </vt:variant>
      <vt:variant>
        <vt:i4>3772</vt:i4>
      </vt:variant>
      <vt:variant>
        <vt:i4>0</vt:i4>
      </vt:variant>
      <vt:variant>
        <vt:i4>5</vt:i4>
      </vt:variant>
      <vt:variant>
        <vt:lpwstr>https://doi.org/10.1126/sciadv.adg3758</vt:lpwstr>
      </vt:variant>
      <vt:variant>
        <vt:lpwstr/>
      </vt:variant>
      <vt:variant>
        <vt:i4>1572869</vt:i4>
      </vt:variant>
      <vt:variant>
        <vt:i4>3769</vt:i4>
      </vt:variant>
      <vt:variant>
        <vt:i4>0</vt:i4>
      </vt:variant>
      <vt:variant>
        <vt:i4>5</vt:i4>
      </vt:variant>
      <vt:variant>
        <vt:lpwstr>https://www.aihw.gov.au/suicide-self-harm-monitoring/data/behaviours-risk-factors/suicide-by-socioeconomic-areas</vt:lpwstr>
      </vt:variant>
      <vt:variant>
        <vt:lpwstr/>
      </vt:variant>
      <vt:variant>
        <vt:i4>5505051</vt:i4>
      </vt:variant>
      <vt:variant>
        <vt:i4>3766</vt:i4>
      </vt:variant>
      <vt:variant>
        <vt:i4>0</vt:i4>
      </vt:variant>
      <vt:variant>
        <vt:i4>5</vt:i4>
      </vt:variant>
      <vt:variant>
        <vt:lpwstr>https://www.education.gov.au/review-inform-better-and-fairer-education-system/resources/expert-panels-report</vt:lpwstr>
      </vt:variant>
      <vt:variant>
        <vt:lpwstr/>
      </vt:variant>
      <vt:variant>
        <vt:i4>6160446</vt:i4>
      </vt:variant>
      <vt:variant>
        <vt:i4>3763</vt:i4>
      </vt:variant>
      <vt:variant>
        <vt:i4>0</vt:i4>
      </vt:variant>
      <vt:variant>
        <vt:i4>5</vt:i4>
      </vt:variant>
      <vt:variant>
        <vt:lpwstr>https://www.newcastle.edu.au/__data/assets/pdf_file/0009/816039/2022-1041-Greater-Bank-report-v241.pdf</vt:lpwstr>
      </vt:variant>
      <vt:variant>
        <vt:lpwstr/>
      </vt:variant>
      <vt:variant>
        <vt:i4>7143522</vt:i4>
      </vt:variant>
      <vt:variant>
        <vt:i4>3760</vt:i4>
      </vt:variant>
      <vt:variant>
        <vt:i4>0</vt:i4>
      </vt:variant>
      <vt:variant>
        <vt:i4>5</vt:i4>
      </vt:variant>
      <vt:variant>
        <vt:lpwstr>https://www.cdc.gov/suicide/risk-factors/?CDC_AAref_Val=https://www.cdc.gov/suicide/factors/index.html</vt:lpwstr>
      </vt:variant>
      <vt:variant>
        <vt:lpwstr/>
      </vt:variant>
      <vt:variant>
        <vt:i4>983130</vt:i4>
      </vt:variant>
      <vt:variant>
        <vt:i4>3757</vt:i4>
      </vt:variant>
      <vt:variant>
        <vt:i4>0</vt:i4>
      </vt:variant>
      <vt:variant>
        <vt:i4>5</vt:i4>
      </vt:variant>
      <vt:variant>
        <vt:lpwstr>https://www.aihw.gov.au/reports/australias-health/health-across-socioeconomic-groups</vt:lpwstr>
      </vt:variant>
      <vt:variant>
        <vt:lpwstr/>
      </vt:variant>
      <vt:variant>
        <vt:i4>2949216</vt:i4>
      </vt:variant>
      <vt:variant>
        <vt:i4>3754</vt:i4>
      </vt:variant>
      <vt:variant>
        <vt:i4>0</vt:i4>
      </vt:variant>
      <vt:variant>
        <vt:i4>5</vt:i4>
      </vt:variant>
      <vt:variant>
        <vt:lpwstr>https://www.aihw.gov.au/suicide-self-harm-monitoring/data/deaths-by-suicide-in-australia/suicide-deaths-over-time</vt:lpwstr>
      </vt:variant>
      <vt:variant>
        <vt:lpwstr>Impact%20of%20social%20and%20economic%20events</vt:lpwstr>
      </vt:variant>
      <vt:variant>
        <vt:i4>1</vt:i4>
      </vt:variant>
      <vt:variant>
        <vt:i4>3751</vt:i4>
      </vt:variant>
      <vt:variant>
        <vt:i4>0</vt:i4>
      </vt:variant>
      <vt:variant>
        <vt:i4>5</vt:i4>
      </vt:variant>
      <vt:variant>
        <vt:lpwstr>https://www.aihw.gov.au/suicide-self-harm-monitoring/data/deaths-by-suicide-in-australia/suicide-deaths-over-time</vt:lpwstr>
      </vt:variant>
      <vt:variant>
        <vt:lpwstr/>
      </vt:variant>
      <vt:variant>
        <vt:i4>1114213</vt:i4>
      </vt:variant>
      <vt:variant>
        <vt:i4>3748</vt:i4>
      </vt:variant>
      <vt:variant>
        <vt:i4>0</vt:i4>
      </vt:variant>
      <vt:variant>
        <vt:i4>5</vt:i4>
      </vt:variant>
      <vt:variant>
        <vt:lpwstr>https://parlinfo.aph.gov.au/parlInfo/download/committees/reportrep/RB000159/toc_pdf/Youwinsome,youlosemore.pdf</vt:lpwstr>
      </vt:variant>
      <vt:variant>
        <vt:lpwstr/>
      </vt:variant>
      <vt:variant>
        <vt:i4>5963819</vt:i4>
      </vt:variant>
      <vt:variant>
        <vt:i4>3745</vt:i4>
      </vt:variant>
      <vt:variant>
        <vt:i4>0</vt:i4>
      </vt:variant>
      <vt:variant>
        <vt:i4>5</vt:i4>
      </vt:variant>
      <vt:variant>
        <vt:lpwstr>https://www.suicidepreventionaust.org/wp-content/uploads/2022/02/Gambling-Report_2022.pdf</vt:lpwstr>
      </vt:variant>
      <vt:variant>
        <vt:lpwstr/>
      </vt:variant>
      <vt:variant>
        <vt:i4>4718682</vt:i4>
      </vt:variant>
      <vt:variant>
        <vt:i4>3742</vt:i4>
      </vt:variant>
      <vt:variant>
        <vt:i4>0</vt:i4>
      </vt:variant>
      <vt:variant>
        <vt:i4>5</vt:i4>
      </vt:variant>
      <vt:variant>
        <vt:lpwstr>https://www.pc.gov.au/inquiries/completed/mental-health/report/mental-health-volume1.pdf</vt:lpwstr>
      </vt:variant>
      <vt:variant>
        <vt:lpwstr/>
      </vt:variant>
      <vt:variant>
        <vt:i4>1572895</vt:i4>
      </vt:variant>
      <vt:variant>
        <vt:i4>3739</vt:i4>
      </vt:variant>
      <vt:variant>
        <vt:i4>0</vt:i4>
      </vt:variant>
      <vt:variant>
        <vt:i4>5</vt:i4>
      </vt:variant>
      <vt:variant>
        <vt:lpwstr>https://www.suicidepreventionaust.org/wp-content/uploads/2023/08/Submission-to-Inquiry-into-assessment-and-support-services-for-people-with-ADHD-Suicide-Prevention-Australia.pdf</vt:lpwstr>
      </vt:variant>
      <vt:variant>
        <vt:lpwstr/>
      </vt:variant>
      <vt:variant>
        <vt:i4>393281</vt:i4>
      </vt:variant>
      <vt:variant>
        <vt:i4>3736</vt:i4>
      </vt:variant>
      <vt:variant>
        <vt:i4>0</vt:i4>
      </vt:variant>
      <vt:variant>
        <vt:i4>5</vt:i4>
      </vt:variant>
      <vt:variant>
        <vt:lpwstr>https://engage.dss.gov.au/developing-the-national-autism-strategy/draft-strategy/</vt:lpwstr>
      </vt:variant>
      <vt:variant>
        <vt:lpwstr/>
      </vt:variant>
      <vt:variant>
        <vt:i4>1114172</vt:i4>
      </vt:variant>
      <vt:variant>
        <vt:i4>3733</vt:i4>
      </vt:variant>
      <vt:variant>
        <vt:i4>0</vt:i4>
      </vt:variant>
      <vt:variant>
        <vt:i4>5</vt:i4>
      </vt:variant>
      <vt:variant>
        <vt:lpwstr>https://www.aph.gov.au/Parliamentary_Business/Committees/Senate/Autism/autism/Report</vt:lpwstr>
      </vt:variant>
      <vt:variant>
        <vt:lpwstr/>
      </vt:variant>
      <vt:variant>
        <vt:i4>3801212</vt:i4>
      </vt:variant>
      <vt:variant>
        <vt:i4>3730</vt:i4>
      </vt:variant>
      <vt:variant>
        <vt:i4>0</vt:i4>
      </vt:variant>
      <vt:variant>
        <vt:i4>5</vt:i4>
      </vt:variant>
      <vt:variant>
        <vt:lpwstr>https://www.health.act.gov.au/news/guidance-support-gender-affirming-care-mental-health</vt:lpwstr>
      </vt:variant>
      <vt:variant>
        <vt:lpwstr/>
      </vt:variant>
      <vt:variant>
        <vt:i4>2490427</vt:i4>
      </vt:variant>
      <vt:variant>
        <vt:i4>3727</vt:i4>
      </vt:variant>
      <vt:variant>
        <vt:i4>0</vt:i4>
      </vt:variant>
      <vt:variant>
        <vt:i4>5</vt:i4>
      </vt:variant>
      <vt:variant>
        <vt:lpwstr>https://www.abs.gov.au/statistics/health/causes-death/causes-death-australia/2021</vt:lpwstr>
      </vt:variant>
      <vt:variant>
        <vt:lpwstr>risk-factors-for-intentional-self-harm-deaths-suicide-in-australia</vt:lpwstr>
      </vt:variant>
      <vt:variant>
        <vt:i4>3932205</vt:i4>
      </vt:variant>
      <vt:variant>
        <vt:i4>3724</vt:i4>
      </vt:variant>
      <vt:variant>
        <vt:i4>0</vt:i4>
      </vt:variant>
      <vt:variant>
        <vt:i4>5</vt:i4>
      </vt:variant>
      <vt:variant>
        <vt:lpwstr>https://www.aph.gov.au/Parliamentary_Business/Committees/House/Health_Aged_Care_and_Sport/SleepHealthAwareness/Government_Response</vt:lpwstr>
      </vt:variant>
      <vt:variant>
        <vt:lpwstr/>
      </vt:variant>
      <vt:variant>
        <vt:i4>1310761</vt:i4>
      </vt:variant>
      <vt:variant>
        <vt:i4>3721</vt:i4>
      </vt:variant>
      <vt:variant>
        <vt:i4>0</vt:i4>
      </vt:variant>
      <vt:variant>
        <vt:i4>5</vt:i4>
      </vt:variant>
      <vt:variant>
        <vt:lpwstr>https://www.health.gov.au/sites/default/files/documents/2021/12/national-preventive-health-strategy-2021-2030_1.pdf</vt:lpwstr>
      </vt:variant>
      <vt:variant>
        <vt:lpwstr/>
      </vt:variant>
      <vt:variant>
        <vt:i4>3145768</vt:i4>
      </vt:variant>
      <vt:variant>
        <vt:i4>3718</vt:i4>
      </vt:variant>
      <vt:variant>
        <vt:i4>0</vt:i4>
      </vt:variant>
      <vt:variant>
        <vt:i4>5</vt:i4>
      </vt:variant>
      <vt:variant>
        <vt:lpwstr>https://www.sydney.edu.au/content/dam/corporate/documents/matilda-centre/resources/reports/aod-and-suicidal-behaviour-.pdf</vt:lpwstr>
      </vt:variant>
      <vt:variant>
        <vt:lpwstr/>
      </vt:variant>
      <vt:variant>
        <vt:i4>8061032</vt:i4>
      </vt:variant>
      <vt:variant>
        <vt:i4>3715</vt:i4>
      </vt:variant>
      <vt:variant>
        <vt:i4>0</vt:i4>
      </vt:variant>
      <vt:variant>
        <vt:i4>5</vt:i4>
      </vt:variant>
      <vt:variant>
        <vt:lpwstr>https://www.aihw.gov.au/reports-data/australias-health</vt:lpwstr>
      </vt:variant>
      <vt:variant>
        <vt:lpwstr/>
      </vt:variant>
      <vt:variant>
        <vt:i4>2490414</vt:i4>
      </vt:variant>
      <vt:variant>
        <vt:i4>3712</vt:i4>
      </vt:variant>
      <vt:variant>
        <vt:i4>0</vt:i4>
      </vt:variant>
      <vt:variant>
        <vt:i4>5</vt:i4>
      </vt:variant>
      <vt:variant>
        <vt:lpwstr>https://www.aihw.gov.au/reports/food-nutrition/diet</vt:lpwstr>
      </vt:variant>
      <vt:variant>
        <vt:lpwstr/>
      </vt:variant>
      <vt:variant>
        <vt:i4>6094877</vt:i4>
      </vt:variant>
      <vt:variant>
        <vt:i4>3709</vt:i4>
      </vt:variant>
      <vt:variant>
        <vt:i4>0</vt:i4>
      </vt:variant>
      <vt:variant>
        <vt:i4>5</vt:i4>
      </vt:variant>
      <vt:variant>
        <vt:lpwstr>https://doi.org/10.1016/j.jad.2017.08.070</vt:lpwstr>
      </vt:variant>
      <vt:variant>
        <vt:lpwstr/>
      </vt:variant>
      <vt:variant>
        <vt:i4>8323179</vt:i4>
      </vt:variant>
      <vt:variant>
        <vt:i4>3706</vt:i4>
      </vt:variant>
      <vt:variant>
        <vt:i4>0</vt:i4>
      </vt:variant>
      <vt:variant>
        <vt:i4>5</vt:i4>
      </vt:variant>
      <vt:variant>
        <vt:lpwstr>https://www.ohchr.org/en/instruments-mechanisms/instruments/international-covenant-economic-social-and-cultural-rights</vt:lpwstr>
      </vt:variant>
      <vt:variant>
        <vt:lpwstr/>
      </vt:variant>
      <vt:variant>
        <vt:i4>2621553</vt:i4>
      </vt:variant>
      <vt:variant>
        <vt:i4>3703</vt:i4>
      </vt:variant>
      <vt:variant>
        <vt:i4>0</vt:i4>
      </vt:variant>
      <vt:variant>
        <vt:i4>5</vt:i4>
      </vt:variant>
      <vt:variant>
        <vt:lpwstr>https://disability.royalcommission.gov.au/publications/final-report</vt:lpwstr>
      </vt:variant>
      <vt:variant>
        <vt:lpwstr/>
      </vt:variant>
      <vt:variant>
        <vt:i4>3866741</vt:i4>
      </vt:variant>
      <vt:variant>
        <vt:i4>3700</vt:i4>
      </vt:variant>
      <vt:variant>
        <vt:i4>0</vt:i4>
      </vt:variant>
      <vt:variant>
        <vt:i4>5</vt:i4>
      </vt:variant>
      <vt:variant>
        <vt:lpwstr>https://www.dss.gov.au/disability-and-carers/australian-government-response-to-the-disability-royal-commission</vt:lpwstr>
      </vt:variant>
      <vt:variant>
        <vt:lpwstr/>
      </vt:variant>
      <vt:variant>
        <vt:i4>917521</vt:i4>
      </vt:variant>
      <vt:variant>
        <vt:i4>3697</vt:i4>
      </vt:variant>
      <vt:variant>
        <vt:i4>0</vt:i4>
      </vt:variant>
      <vt:variant>
        <vt:i4>5</vt:i4>
      </vt:variant>
      <vt:variant>
        <vt:lpwstr>https://nema.gov.au/sites/default/files/inline-files/28108 NEMA National Disaster Mental Health and Wellbeing Framework FA v4.pdf</vt:lpwstr>
      </vt:variant>
      <vt:variant>
        <vt:lpwstr/>
      </vt:variant>
      <vt:variant>
        <vt:i4>4456538</vt:i4>
      </vt:variant>
      <vt:variant>
        <vt:i4>3694</vt:i4>
      </vt:variant>
      <vt:variant>
        <vt:i4>0</vt:i4>
      </vt:variant>
      <vt:variant>
        <vt:i4>5</vt:i4>
      </vt:variant>
      <vt:variant>
        <vt:lpwstr>https://www.safeworkaustralia.gov.au/sites/default/files/2023-10/australian_whs_strategy_2023-33_october2023.pdf</vt:lpwstr>
      </vt:variant>
      <vt:variant>
        <vt:lpwstr/>
      </vt:variant>
      <vt:variant>
        <vt:i4>5505078</vt:i4>
      </vt:variant>
      <vt:variant>
        <vt:i4>3691</vt:i4>
      </vt:variant>
      <vt:variant>
        <vt:i4>0</vt:i4>
      </vt:variant>
      <vt:variant>
        <vt:i4>5</vt:i4>
      </vt:variant>
      <vt:variant>
        <vt:lpwstr>https://www.dss.gov.au/sites/default/files/documents/12_2021/dess5016-national-framework-protecting-childrenaccessible.pdf</vt:lpwstr>
      </vt:variant>
      <vt:variant>
        <vt:lpwstr/>
      </vt:variant>
      <vt:variant>
        <vt:i4>8192096</vt:i4>
      </vt:variant>
      <vt:variant>
        <vt:i4>3688</vt:i4>
      </vt:variant>
      <vt:variant>
        <vt:i4>0</vt:i4>
      </vt:variant>
      <vt:variant>
        <vt:i4>5</vt:i4>
      </vt:variant>
      <vt:variant>
        <vt:lpwstr>https://www.childsafety.gov.au/resources/national-strategy-prevent-and-respond-child-sexual-abuse-2021-2030</vt:lpwstr>
      </vt:variant>
      <vt:variant>
        <vt:lpwstr/>
      </vt:variant>
      <vt:variant>
        <vt:i4>4194384</vt:i4>
      </vt:variant>
      <vt:variant>
        <vt:i4>3685</vt:i4>
      </vt:variant>
      <vt:variant>
        <vt:i4>0</vt:i4>
      </vt:variant>
      <vt:variant>
        <vt:i4>5</vt:i4>
      </vt:variant>
      <vt:variant>
        <vt:lpwstr>https://www.facs.nsw.gov.au/domestic-violence-1/services-and-support0/programs/staying-home-leaving-violence</vt:lpwstr>
      </vt:variant>
      <vt:variant>
        <vt:lpwstr/>
      </vt:variant>
      <vt:variant>
        <vt:i4>1703966</vt:i4>
      </vt:variant>
      <vt:variant>
        <vt:i4>3682</vt:i4>
      </vt:variant>
      <vt:variant>
        <vt:i4>0</vt:i4>
      </vt:variant>
      <vt:variant>
        <vt:i4>5</vt:i4>
      </vt:variant>
      <vt:variant>
        <vt:lpwstr>https://www.aihw.gov.au/reports/domestic-violence/family-domestic-and-sexual-violence</vt:lpwstr>
      </vt:variant>
      <vt:variant>
        <vt:lpwstr/>
      </vt:variant>
      <vt:variant>
        <vt:i4>6946919</vt:i4>
      </vt:variant>
      <vt:variant>
        <vt:i4>3679</vt:i4>
      </vt:variant>
      <vt:variant>
        <vt:i4>0</vt:i4>
      </vt:variant>
      <vt:variant>
        <vt:i4>5</vt:i4>
      </vt:variant>
      <vt:variant>
        <vt:lpwstr>https://www.disabilitygateway.gov.au/document/3106</vt:lpwstr>
      </vt:variant>
      <vt:variant>
        <vt:lpwstr/>
      </vt:variant>
      <vt:variant>
        <vt:i4>1572881</vt:i4>
      </vt:variant>
      <vt:variant>
        <vt:i4>3676</vt:i4>
      </vt:variant>
      <vt:variant>
        <vt:i4>0</vt:i4>
      </vt:variant>
      <vt:variant>
        <vt:i4>5</vt:i4>
      </vt:variant>
      <vt:variant>
        <vt:lpwstr>https://www.mentalhealthcommission.gov.au/projects/national-disaster-response/disaster-framework</vt:lpwstr>
      </vt:variant>
      <vt:variant>
        <vt:lpwstr/>
      </vt:variant>
      <vt:variant>
        <vt:i4>5439519</vt:i4>
      </vt:variant>
      <vt:variant>
        <vt:i4>3673</vt:i4>
      </vt:variant>
      <vt:variant>
        <vt:i4>0</vt:i4>
      </vt:variant>
      <vt:variant>
        <vt:i4>5</vt:i4>
      </vt:variant>
      <vt:variant>
        <vt:lpwstr>https://www.comcare.gov.au/safe-healthy-work/prevent-harm/changes-to-whs-laws</vt:lpwstr>
      </vt:variant>
      <vt:variant>
        <vt:lpwstr/>
      </vt:variant>
      <vt:variant>
        <vt:i4>6750241</vt:i4>
      </vt:variant>
      <vt:variant>
        <vt:i4>3670</vt:i4>
      </vt:variant>
      <vt:variant>
        <vt:i4>0</vt:i4>
      </vt:variant>
      <vt:variant>
        <vt:i4>5</vt:i4>
      </vt:variant>
      <vt:variant>
        <vt:lpwstr>https://doi.org/10.3390/ijerph17041448</vt:lpwstr>
      </vt:variant>
      <vt:variant>
        <vt:lpwstr/>
      </vt:variant>
      <vt:variant>
        <vt:i4>2424940</vt:i4>
      </vt:variant>
      <vt:variant>
        <vt:i4>3667</vt:i4>
      </vt:variant>
      <vt:variant>
        <vt:i4>0</vt:i4>
      </vt:variant>
      <vt:variant>
        <vt:i4>5</vt:i4>
      </vt:variant>
      <vt:variant>
        <vt:lpwstr>https://doi.org/10.1177/070674371005500503</vt:lpwstr>
      </vt:variant>
      <vt:variant>
        <vt:lpwstr/>
      </vt:variant>
      <vt:variant>
        <vt:i4>6357044</vt:i4>
      </vt:variant>
      <vt:variant>
        <vt:i4>3664</vt:i4>
      </vt:variant>
      <vt:variant>
        <vt:i4>0</vt:i4>
      </vt:variant>
      <vt:variant>
        <vt:i4>5</vt:i4>
      </vt:variant>
      <vt:variant>
        <vt:lpwstr>https://www.abs.gov.au/statistics/people/people-and-communities/general-social-survey-summary-results-australia/latest-release</vt:lpwstr>
      </vt:variant>
      <vt:variant>
        <vt:lpwstr/>
      </vt:variant>
      <vt:variant>
        <vt:i4>7864437</vt:i4>
      </vt:variant>
      <vt:variant>
        <vt:i4>3661</vt:i4>
      </vt:variant>
      <vt:variant>
        <vt:i4>0</vt:i4>
      </vt:variant>
      <vt:variant>
        <vt:i4>5</vt:i4>
      </vt:variant>
      <vt:variant>
        <vt:lpwstr>https://www.abs.gov.au/statistics/people/crime-and-justice/personal-safety-australia/latest-release</vt:lpwstr>
      </vt:variant>
      <vt:variant>
        <vt:lpwstr/>
      </vt:variant>
      <vt:variant>
        <vt:i4>1114190</vt:i4>
      </vt:variant>
      <vt:variant>
        <vt:i4>3658</vt:i4>
      </vt:variant>
      <vt:variant>
        <vt:i4>0</vt:i4>
      </vt:variant>
      <vt:variant>
        <vt:i4>5</vt:i4>
      </vt:variant>
      <vt:variant>
        <vt:lpwstr>https://www.aihw.gov.au/getmedia/ce7f01c2-1979-4be5-b373-f65f1c9e4134/aihw-fdv-9.pdf.aspx</vt:lpwstr>
      </vt:variant>
      <vt:variant>
        <vt:lpwstr/>
      </vt:variant>
      <vt:variant>
        <vt:i4>1507419</vt:i4>
      </vt:variant>
      <vt:variant>
        <vt:i4>3655</vt:i4>
      </vt:variant>
      <vt:variant>
        <vt:i4>0</vt:i4>
      </vt:variant>
      <vt:variant>
        <vt:i4>5</vt:i4>
      </vt:variant>
      <vt:variant>
        <vt:lpwstr>https://aifs.gov.au/resources/short-articles/supportive-practices-young-people-out-home-care-who-are-risk-suicidality</vt:lpwstr>
      </vt:variant>
      <vt:variant>
        <vt:lpwstr/>
      </vt:variant>
      <vt:variant>
        <vt:i4>458768</vt:i4>
      </vt:variant>
      <vt:variant>
        <vt:i4>3652</vt:i4>
      </vt:variant>
      <vt:variant>
        <vt:i4>0</vt:i4>
      </vt:variant>
      <vt:variant>
        <vt:i4>5</vt:i4>
      </vt:variant>
      <vt:variant>
        <vt:lpwstr>http://www.acms.au/wp-content/uploads/2023/04/3846.1_ACMS_A4Report_C1_Digital-Near-final.pdf</vt:lpwstr>
      </vt:variant>
      <vt:variant>
        <vt:lpwstr/>
      </vt:variant>
      <vt:variant>
        <vt:i4>4653057</vt:i4>
      </vt:variant>
      <vt:variant>
        <vt:i4>3649</vt:i4>
      </vt:variant>
      <vt:variant>
        <vt:i4>0</vt:i4>
      </vt:variant>
      <vt:variant>
        <vt:i4>5</vt:i4>
      </vt:variant>
      <vt:variant>
        <vt:lpwstr>https://apo.org.au/node/31055</vt:lpwstr>
      </vt:variant>
      <vt:variant>
        <vt:lpwstr/>
      </vt:variant>
      <vt:variant>
        <vt:i4>3539052</vt:i4>
      </vt:variant>
      <vt:variant>
        <vt:i4>3646</vt:i4>
      </vt:variant>
      <vt:variant>
        <vt:i4>0</vt:i4>
      </vt:variant>
      <vt:variant>
        <vt:i4>5</vt:i4>
      </vt:variant>
      <vt:variant>
        <vt:lpwstr>https://www.closingthegap.gov.au/national-agreement/targets</vt:lpwstr>
      </vt:variant>
      <vt:variant>
        <vt:lpwstr/>
      </vt:variant>
      <vt:variant>
        <vt:i4>3145780</vt:i4>
      </vt:variant>
      <vt:variant>
        <vt:i4>3643</vt:i4>
      </vt:variant>
      <vt:variant>
        <vt:i4>0</vt:i4>
      </vt:variant>
      <vt:variant>
        <vt:i4>5</vt:i4>
      </vt:variant>
      <vt:variant>
        <vt:lpwstr>https://www.health.govt.nz/our-work/mental-health-and-addiction/suicide-prevention-new-zealand/suicide-prevention-strategy-and-action-plan</vt:lpwstr>
      </vt:variant>
      <vt:variant>
        <vt:lpwstr/>
      </vt:variant>
      <vt:variant>
        <vt:i4>7864419</vt:i4>
      </vt:variant>
      <vt:variant>
        <vt:i4>3640</vt:i4>
      </vt:variant>
      <vt:variant>
        <vt:i4>0</vt:i4>
      </vt:variant>
      <vt:variant>
        <vt:i4>5</vt:i4>
      </vt:variant>
      <vt:variant>
        <vt:lpwstr>https://www.gov.scot/publications/creating-hope-together-scotlands-suicide-prevention-action-plan-2022-2025/documents/</vt:lpwstr>
      </vt:variant>
      <vt:variant>
        <vt:lpwstr/>
      </vt:variant>
      <vt:variant>
        <vt:i4>5701640</vt:i4>
      </vt:variant>
      <vt:variant>
        <vt:i4>3637</vt:i4>
      </vt:variant>
      <vt:variant>
        <vt:i4>0</vt:i4>
      </vt:variant>
      <vt:variant>
        <vt:i4>5</vt:i4>
      </vt:variant>
      <vt:variant>
        <vt:lpwstr>https://www.aihw.gov.au/suicide-self-harm-monitoring/data/data-downloads</vt:lpwstr>
      </vt:variant>
      <vt:variant>
        <vt:lpwstr/>
      </vt:variant>
      <vt:variant>
        <vt:i4>196637</vt:i4>
      </vt:variant>
      <vt:variant>
        <vt:i4>3634</vt:i4>
      </vt:variant>
      <vt:variant>
        <vt:i4>0</vt:i4>
      </vt:variant>
      <vt:variant>
        <vt:i4>5</vt:i4>
      </vt:variant>
      <vt:variant>
        <vt:lpwstr>https://doi.org/10.1007/s00737-005-0080-1</vt:lpwstr>
      </vt:variant>
      <vt:variant>
        <vt:lpwstr/>
      </vt:variant>
      <vt:variant>
        <vt:i4>6094922</vt:i4>
      </vt:variant>
      <vt:variant>
        <vt:i4>3631</vt:i4>
      </vt:variant>
      <vt:variant>
        <vt:i4>0</vt:i4>
      </vt:variant>
      <vt:variant>
        <vt:i4>5</vt:i4>
      </vt:variant>
      <vt:variant>
        <vt:lpwstr>https://www.aihw.gov.au/suicide-self-harm-monitoring/data/behaviours-risk-factors/social-factors-suicide/longitudinal-analysis-of-income-uncertainty</vt:lpwstr>
      </vt:variant>
      <vt:variant>
        <vt:lpwstr/>
      </vt:variant>
      <vt:variant>
        <vt:i4>1114189</vt:i4>
      </vt:variant>
      <vt:variant>
        <vt:i4>3628</vt:i4>
      </vt:variant>
      <vt:variant>
        <vt:i4>0</vt:i4>
      </vt:variant>
      <vt:variant>
        <vt:i4>5</vt:i4>
      </vt:variant>
      <vt:variant>
        <vt:lpwstr>https://www.aihw.gov.au/suicide-self-harm-monitoring/data/behaviours-risk-factors/social-factors-suicide/regression-risk-models-selected-census-variables</vt:lpwstr>
      </vt:variant>
      <vt:variant>
        <vt:lpwstr/>
      </vt:variant>
      <vt:variant>
        <vt:i4>3997821</vt:i4>
      </vt:variant>
      <vt:variant>
        <vt:i4>3625</vt:i4>
      </vt:variant>
      <vt:variant>
        <vt:i4>0</vt:i4>
      </vt:variant>
      <vt:variant>
        <vt:i4>5</vt:i4>
      </vt:variant>
      <vt:variant>
        <vt:lpwstr>https://www.aihw.gov.au/reports/burden-of-disease/health-impact-suicide-self-inflicted-injuries-2019/contents/about</vt:lpwstr>
      </vt:variant>
      <vt:variant>
        <vt:lpwstr/>
      </vt:variant>
      <vt:variant>
        <vt:i4>5570646</vt:i4>
      </vt:variant>
      <vt:variant>
        <vt:i4>3622</vt:i4>
      </vt:variant>
      <vt:variant>
        <vt:i4>0</vt:i4>
      </vt:variant>
      <vt:variant>
        <vt:i4>5</vt:i4>
      </vt:variant>
      <vt:variant>
        <vt:lpwstr>https://www.ohchr.org/en/instruments-mechanisms/instruments/international-covenant-civil-and-political-rights</vt:lpwstr>
      </vt:variant>
      <vt:variant>
        <vt:lpwstr>article-6</vt:lpwstr>
      </vt:variant>
      <vt:variant>
        <vt:i4>5111834</vt:i4>
      </vt:variant>
      <vt:variant>
        <vt:i4>3619</vt:i4>
      </vt:variant>
      <vt:variant>
        <vt:i4>0</vt:i4>
      </vt:variant>
      <vt:variant>
        <vt:i4>5</vt:i4>
      </vt:variant>
      <vt:variant>
        <vt:lpwstr>https://www.health.gov.au/resources/publications/national-aboriginal-and-torres-strait-islander-health-plan-2021-2031</vt:lpwstr>
      </vt:variant>
      <vt:variant>
        <vt:lpwstr/>
      </vt:variant>
      <vt:variant>
        <vt:i4>2687087</vt:i4>
      </vt:variant>
      <vt:variant>
        <vt:i4>3616</vt:i4>
      </vt:variant>
      <vt:variant>
        <vt:i4>0</vt:i4>
      </vt:variant>
      <vt:variant>
        <vt:i4>5</vt:i4>
      </vt:variant>
      <vt:variant>
        <vt:lpwstr>https://research.bond.edu.au/en/publications/aboriginal-and-torres-strait-islander-social-and-emotional-wellbe</vt:lpwstr>
      </vt:variant>
      <vt:variant>
        <vt:lpwstr/>
      </vt:variant>
      <vt:variant>
        <vt:i4>2621451</vt:i4>
      </vt:variant>
      <vt:variant>
        <vt:i4>3613</vt:i4>
      </vt:variant>
      <vt:variant>
        <vt:i4>0</vt:i4>
      </vt:variant>
      <vt:variant>
        <vt:i4>5</vt:i4>
      </vt:variant>
      <vt:variant>
        <vt:lpwstr>https://www.dss.gov.au/sites/default/files/documents/10_2023/national-plan-end-violence-against-women-and-children-2022-2032.pdf</vt:lpwstr>
      </vt:variant>
      <vt:variant>
        <vt:lpwstr/>
      </vt:variant>
      <vt:variant>
        <vt:i4>2818105</vt:i4>
      </vt:variant>
      <vt:variant>
        <vt:i4>3610</vt:i4>
      </vt:variant>
      <vt:variant>
        <vt:i4>0</vt:i4>
      </vt:variant>
      <vt:variant>
        <vt:i4>5</vt:i4>
      </vt:variant>
      <vt:variant>
        <vt:lpwstr>https://www.dss.gov.au/housing-support-programs-services-housing/developing-the-national-housing-and-homelessness-plan</vt:lpwstr>
      </vt:variant>
      <vt:variant>
        <vt:lpwstr/>
      </vt:variant>
      <vt:variant>
        <vt:i4>7012475</vt:i4>
      </vt:variant>
      <vt:variant>
        <vt:i4>3607</vt:i4>
      </vt:variant>
      <vt:variant>
        <vt:i4>0</vt:i4>
      </vt:variant>
      <vt:variant>
        <vt:i4>5</vt:i4>
      </vt:variant>
      <vt:variant>
        <vt:lpwstr>https://www.closingthegap.gov.au/national-agreement</vt:lpwstr>
      </vt:variant>
      <vt:variant>
        <vt:lpwstr/>
      </vt:variant>
      <vt:variant>
        <vt:i4>4390944</vt:i4>
      </vt:variant>
      <vt:variant>
        <vt:i4>3604</vt:i4>
      </vt:variant>
      <vt:variant>
        <vt:i4>0</vt:i4>
      </vt:variant>
      <vt:variant>
        <vt:i4>5</vt:i4>
      </vt:variant>
      <vt:variant>
        <vt:lpwstr>https://www.atsispep.sis.uwa.edu.au/__data/assets/pdf_file/0006/2947299/ATSISPEP-Report-Final-Web.pdf</vt:lpwstr>
      </vt:variant>
      <vt:variant>
        <vt:lpwstr/>
      </vt:variant>
      <vt:variant>
        <vt:i4>4194375</vt:i4>
      </vt:variant>
      <vt:variant>
        <vt:i4>3601</vt:i4>
      </vt:variant>
      <vt:variant>
        <vt:i4>0</vt:i4>
      </vt:variant>
      <vt:variant>
        <vt:i4>5</vt:i4>
      </vt:variant>
      <vt:variant>
        <vt:lpwstr>https://www.mentalhealthcommission.gov.au/national-suicide-prevention-office/national-suicide-prevention-adviser-final-advice</vt:lpwstr>
      </vt:variant>
      <vt:variant>
        <vt:lpwstr/>
      </vt:variant>
      <vt:variant>
        <vt:i4>5505150</vt:i4>
      </vt:variant>
      <vt:variant>
        <vt:i4>3598</vt:i4>
      </vt:variant>
      <vt:variant>
        <vt:i4>0</vt:i4>
      </vt:variant>
      <vt:variant>
        <vt:i4>5</vt:i4>
      </vt:variant>
      <vt:variant>
        <vt:lpwstr>https://finalreport.rcvmhs.vic.gov.au/wp-content/uploads/2021/02/RCVMHS_FinalReport_ExecSummary_Accessible.pdf</vt:lpwstr>
      </vt:variant>
      <vt:variant>
        <vt:lpwstr/>
      </vt:variant>
      <vt:variant>
        <vt:i4>2687088</vt:i4>
      </vt:variant>
      <vt:variant>
        <vt:i4>3595</vt:i4>
      </vt:variant>
      <vt:variant>
        <vt:i4>0</vt:i4>
      </vt:variant>
      <vt:variant>
        <vt:i4>5</vt:i4>
      </vt:variant>
      <vt:variant>
        <vt:lpwstr>https://doi.org/10.1016/j.comppsych.2021.152261</vt:lpwstr>
      </vt:variant>
      <vt:variant>
        <vt:lpwstr/>
      </vt:variant>
      <vt:variant>
        <vt:i4>8061032</vt:i4>
      </vt:variant>
      <vt:variant>
        <vt:i4>3592</vt:i4>
      </vt:variant>
      <vt:variant>
        <vt:i4>0</vt:i4>
      </vt:variant>
      <vt:variant>
        <vt:i4>5</vt:i4>
      </vt:variant>
      <vt:variant>
        <vt:lpwstr>https://www.aihw.gov.au/reports/veterans/serving-exserving-adf-suicide-monitoring-2023/</vt:lpwstr>
      </vt:variant>
      <vt:variant>
        <vt:lpwstr/>
      </vt:variant>
      <vt:variant>
        <vt:i4>7471209</vt:i4>
      </vt:variant>
      <vt:variant>
        <vt:i4>3589</vt:i4>
      </vt:variant>
      <vt:variant>
        <vt:i4>0</vt:i4>
      </vt:variant>
      <vt:variant>
        <vt:i4>5</vt:i4>
      </vt:variant>
      <vt:variant>
        <vt:lpwstr>https://www.aihw.gov.au/suicide-self-harm-monitoring/data/populations-age-groups/deaths-by-suicide-among-people-who-used-disability</vt:lpwstr>
      </vt:variant>
      <vt:variant>
        <vt:lpwstr/>
      </vt:variant>
      <vt:variant>
        <vt:i4>917520</vt:i4>
      </vt:variant>
      <vt:variant>
        <vt:i4>3586</vt:i4>
      </vt:variant>
      <vt:variant>
        <vt:i4>0</vt:i4>
      </vt:variant>
      <vt:variant>
        <vt:i4>5</vt:i4>
      </vt:variant>
      <vt:variant>
        <vt:lpwstr>https://www.abs.gov.au/articles/cultural-diversity-australia</vt:lpwstr>
      </vt:variant>
      <vt:variant>
        <vt:lpwstr/>
      </vt:variant>
      <vt:variant>
        <vt:i4>3342444</vt:i4>
      </vt:variant>
      <vt:variant>
        <vt:i4>3583</vt:i4>
      </vt:variant>
      <vt:variant>
        <vt:i4>0</vt:i4>
      </vt:variant>
      <vt:variant>
        <vt:i4>5</vt:i4>
      </vt:variant>
      <vt:variant>
        <vt:lpwstr>https://www.aihw.gov.au/suicide-self-harm-monitoring/data/populations-age-groups/suicidal-and-self-harming-thoughts-and-behaviours</vt:lpwstr>
      </vt:variant>
      <vt:variant>
        <vt:lpwstr/>
      </vt:variant>
      <vt:variant>
        <vt:i4>327692</vt:i4>
      </vt:variant>
      <vt:variant>
        <vt:i4>3580</vt:i4>
      </vt:variant>
      <vt:variant>
        <vt:i4>0</vt:i4>
      </vt:variant>
      <vt:variant>
        <vt:i4>5</vt:i4>
      </vt:variant>
      <vt:variant>
        <vt:lpwstr>https://www.aihw.gov.au/suicide-self-harm-monitoring/data/ambulance-attendances/ambulance-attendances-for-suicidal-behaviours</vt:lpwstr>
      </vt:variant>
      <vt:variant>
        <vt:lpwstr/>
      </vt:variant>
      <vt:variant>
        <vt:i4>3080254</vt:i4>
      </vt:variant>
      <vt:variant>
        <vt:i4>3577</vt:i4>
      </vt:variant>
      <vt:variant>
        <vt:i4>0</vt:i4>
      </vt:variant>
      <vt:variant>
        <vt:i4>5</vt:i4>
      </vt:variant>
      <vt:variant>
        <vt:lpwstr>https://www.aihw.gov.au/suicide-self-harm-monitoring/data/intentional-self-harm-hospitalisations/intentional-self-harm-hospitalisations-by-age-sex</vt:lpwstr>
      </vt:variant>
      <vt:variant>
        <vt:lpwstr/>
      </vt:variant>
      <vt:variant>
        <vt:i4>4653138</vt:i4>
      </vt:variant>
      <vt:variant>
        <vt:i4>3574</vt:i4>
      </vt:variant>
      <vt:variant>
        <vt:i4>0</vt:i4>
      </vt:variant>
      <vt:variant>
        <vt:i4>5</vt:i4>
      </vt:variant>
      <vt:variant>
        <vt:lpwstr>https://www.niaa.gov.au/resource-centre/indigenous-affairs/national-strategic-framework-mental-health-social-emotional-wellbeing-2017-23</vt:lpwstr>
      </vt:variant>
      <vt:variant>
        <vt:lpwstr/>
      </vt:variant>
      <vt:variant>
        <vt:i4>1835076</vt:i4>
      </vt:variant>
      <vt:variant>
        <vt:i4>3571</vt:i4>
      </vt:variant>
      <vt:variant>
        <vt:i4>0</vt:i4>
      </vt:variant>
      <vt:variant>
        <vt:i4>5</vt:i4>
      </vt:variant>
      <vt:variant>
        <vt:lpwstr>https://www.health.gov.au/resources/publications/national-suicide-prevention-adviser-compassion-first-designing-our-national-approach-from-the-lived-experience-of-suicidal-behaviour</vt:lpwstr>
      </vt:variant>
      <vt:variant>
        <vt:lpwstr/>
      </vt:variant>
      <vt:variant>
        <vt:i4>3539053</vt:i4>
      </vt:variant>
      <vt:variant>
        <vt:i4>3568</vt:i4>
      </vt:variant>
      <vt:variant>
        <vt:i4>0</vt:i4>
      </vt:variant>
      <vt:variant>
        <vt:i4>5</vt:i4>
      </vt:variant>
      <vt:variant>
        <vt:lpwstr>https://www.pc.gov.au/inquiries/completed/mental-health/report</vt:lpwstr>
      </vt:variant>
      <vt:variant>
        <vt:lpwstr/>
      </vt:variant>
      <vt:variant>
        <vt:i4>2293884</vt:i4>
      </vt:variant>
      <vt:variant>
        <vt:i4>3565</vt:i4>
      </vt:variant>
      <vt:variant>
        <vt:i4>0</vt:i4>
      </vt:variant>
      <vt:variant>
        <vt:i4>5</vt:i4>
      </vt:variant>
      <vt:variant>
        <vt:lpwstr>https://doi.org/10.1002/ajim.23217</vt:lpwstr>
      </vt:variant>
      <vt:variant>
        <vt:lpwstr/>
      </vt:variant>
      <vt:variant>
        <vt:i4>8060973</vt:i4>
      </vt:variant>
      <vt:variant>
        <vt:i4>3562</vt:i4>
      </vt:variant>
      <vt:variant>
        <vt:i4>0</vt:i4>
      </vt:variant>
      <vt:variant>
        <vt:i4>5</vt:i4>
      </vt:variant>
      <vt:variant>
        <vt:lpwstr>https://www.abs.gov.au/statistics/health/mental-health/national-study-mental-health-and-wellbeing/2020-2022</vt:lpwstr>
      </vt:variant>
      <vt:variant>
        <vt:lpwstr/>
      </vt:variant>
      <vt:variant>
        <vt:i4>2621561</vt:i4>
      </vt:variant>
      <vt:variant>
        <vt:i4>3559</vt:i4>
      </vt:variant>
      <vt:variant>
        <vt:i4>0</vt:i4>
      </vt:variant>
      <vt:variant>
        <vt:i4>5</vt:i4>
      </vt:variant>
      <vt:variant>
        <vt:lpwstr>https://www.aihw.gov.au/suicide-self-harm-monitoring/data/behaviours-risk-factors/burden-of-disease-studies-suicide-self-inflicted</vt:lpwstr>
      </vt:variant>
      <vt:variant>
        <vt:lpwstr/>
      </vt:variant>
      <vt:variant>
        <vt:i4>1245262</vt:i4>
      </vt:variant>
      <vt:variant>
        <vt:i4>3556</vt:i4>
      </vt:variant>
      <vt:variant>
        <vt:i4>0</vt:i4>
      </vt:variant>
      <vt:variant>
        <vt:i4>5</vt:i4>
      </vt:variant>
      <vt:variant>
        <vt:lpwstr>https://www.abs.gov.au/statistics/health/causes-death/causes-death-australia/2022</vt:lpwstr>
      </vt:variant>
      <vt:variant>
        <vt:lpwstr/>
      </vt:variant>
      <vt:variant>
        <vt:i4>4325387</vt:i4>
      </vt:variant>
      <vt:variant>
        <vt:i4>3539</vt:i4>
      </vt:variant>
      <vt:variant>
        <vt:i4>0</vt:i4>
      </vt:variant>
      <vt:variant>
        <vt:i4>5</vt:i4>
      </vt:variant>
      <vt:variant>
        <vt:lpwstr/>
      </vt:variant>
      <vt:variant>
        <vt:lpwstr>_ENREF_33</vt:lpwstr>
      </vt:variant>
      <vt:variant>
        <vt:i4>4325387</vt:i4>
      </vt:variant>
      <vt:variant>
        <vt:i4>3533</vt:i4>
      </vt:variant>
      <vt:variant>
        <vt:i4>0</vt:i4>
      </vt:variant>
      <vt:variant>
        <vt:i4>5</vt:i4>
      </vt:variant>
      <vt:variant>
        <vt:lpwstr/>
      </vt:variant>
      <vt:variant>
        <vt:lpwstr>_ENREF_32</vt:lpwstr>
      </vt:variant>
      <vt:variant>
        <vt:i4>4325387</vt:i4>
      </vt:variant>
      <vt:variant>
        <vt:i4>3527</vt:i4>
      </vt:variant>
      <vt:variant>
        <vt:i4>0</vt:i4>
      </vt:variant>
      <vt:variant>
        <vt:i4>5</vt:i4>
      </vt:variant>
      <vt:variant>
        <vt:lpwstr/>
      </vt:variant>
      <vt:variant>
        <vt:lpwstr>_ENREF_31</vt:lpwstr>
      </vt:variant>
      <vt:variant>
        <vt:i4>7471160</vt:i4>
      </vt:variant>
      <vt:variant>
        <vt:i4>3521</vt:i4>
      </vt:variant>
      <vt:variant>
        <vt:i4>0</vt:i4>
      </vt:variant>
      <vt:variant>
        <vt:i4>5</vt:i4>
      </vt:variant>
      <vt:variant>
        <vt:lpwstr/>
      </vt:variant>
      <vt:variant>
        <vt:lpwstr>_ENREF_231</vt:lpwstr>
      </vt:variant>
      <vt:variant>
        <vt:i4>4194315</vt:i4>
      </vt:variant>
      <vt:variant>
        <vt:i4>3515</vt:i4>
      </vt:variant>
      <vt:variant>
        <vt:i4>0</vt:i4>
      </vt:variant>
      <vt:variant>
        <vt:i4>5</vt:i4>
      </vt:variant>
      <vt:variant>
        <vt:lpwstr/>
      </vt:variant>
      <vt:variant>
        <vt:lpwstr>_ENREF_10</vt:lpwstr>
      </vt:variant>
      <vt:variant>
        <vt:i4>4194315</vt:i4>
      </vt:variant>
      <vt:variant>
        <vt:i4>3503</vt:i4>
      </vt:variant>
      <vt:variant>
        <vt:i4>0</vt:i4>
      </vt:variant>
      <vt:variant>
        <vt:i4>5</vt:i4>
      </vt:variant>
      <vt:variant>
        <vt:lpwstr/>
      </vt:variant>
      <vt:variant>
        <vt:lpwstr>_ENREF_1</vt:lpwstr>
      </vt:variant>
      <vt:variant>
        <vt:i4>7733311</vt:i4>
      </vt:variant>
      <vt:variant>
        <vt:i4>3497</vt:i4>
      </vt:variant>
      <vt:variant>
        <vt:i4>0</vt:i4>
      </vt:variant>
      <vt:variant>
        <vt:i4>5</vt:i4>
      </vt:variant>
      <vt:variant>
        <vt:lpwstr/>
      </vt:variant>
      <vt:variant>
        <vt:lpwstr>_ENREF_344</vt:lpwstr>
      </vt:variant>
      <vt:variant>
        <vt:i4>4390923</vt:i4>
      </vt:variant>
      <vt:variant>
        <vt:i4>3491</vt:i4>
      </vt:variant>
      <vt:variant>
        <vt:i4>0</vt:i4>
      </vt:variant>
      <vt:variant>
        <vt:i4>5</vt:i4>
      </vt:variant>
      <vt:variant>
        <vt:lpwstr/>
      </vt:variant>
      <vt:variant>
        <vt:lpwstr>_ENREF_2</vt:lpwstr>
      </vt:variant>
      <vt:variant>
        <vt:i4>7536701</vt:i4>
      </vt:variant>
      <vt:variant>
        <vt:i4>3485</vt:i4>
      </vt:variant>
      <vt:variant>
        <vt:i4>0</vt:i4>
      </vt:variant>
      <vt:variant>
        <vt:i4>5</vt:i4>
      </vt:variant>
      <vt:variant>
        <vt:lpwstr/>
      </vt:variant>
      <vt:variant>
        <vt:lpwstr>_ENREF_361</vt:lpwstr>
      </vt:variant>
      <vt:variant>
        <vt:i4>4390923</vt:i4>
      </vt:variant>
      <vt:variant>
        <vt:i4>3479</vt:i4>
      </vt:variant>
      <vt:variant>
        <vt:i4>0</vt:i4>
      </vt:variant>
      <vt:variant>
        <vt:i4>5</vt:i4>
      </vt:variant>
      <vt:variant>
        <vt:lpwstr/>
      </vt:variant>
      <vt:variant>
        <vt:lpwstr>_ENREF_2</vt:lpwstr>
      </vt:variant>
      <vt:variant>
        <vt:i4>7471165</vt:i4>
      </vt:variant>
      <vt:variant>
        <vt:i4>3473</vt:i4>
      </vt:variant>
      <vt:variant>
        <vt:i4>0</vt:i4>
      </vt:variant>
      <vt:variant>
        <vt:i4>5</vt:i4>
      </vt:variant>
      <vt:variant>
        <vt:lpwstr/>
      </vt:variant>
      <vt:variant>
        <vt:lpwstr>_ENREF_360</vt:lpwstr>
      </vt:variant>
      <vt:variant>
        <vt:i4>8060990</vt:i4>
      </vt:variant>
      <vt:variant>
        <vt:i4>3467</vt:i4>
      </vt:variant>
      <vt:variant>
        <vt:i4>0</vt:i4>
      </vt:variant>
      <vt:variant>
        <vt:i4>5</vt:i4>
      </vt:variant>
      <vt:variant>
        <vt:lpwstr/>
      </vt:variant>
      <vt:variant>
        <vt:lpwstr>_ENREF_359</vt:lpwstr>
      </vt:variant>
      <vt:variant>
        <vt:i4>8060990</vt:i4>
      </vt:variant>
      <vt:variant>
        <vt:i4>3461</vt:i4>
      </vt:variant>
      <vt:variant>
        <vt:i4>0</vt:i4>
      </vt:variant>
      <vt:variant>
        <vt:i4>5</vt:i4>
      </vt:variant>
      <vt:variant>
        <vt:lpwstr/>
      </vt:variant>
      <vt:variant>
        <vt:lpwstr>_ENREF_359</vt:lpwstr>
      </vt:variant>
      <vt:variant>
        <vt:i4>7995454</vt:i4>
      </vt:variant>
      <vt:variant>
        <vt:i4>3455</vt:i4>
      </vt:variant>
      <vt:variant>
        <vt:i4>0</vt:i4>
      </vt:variant>
      <vt:variant>
        <vt:i4>5</vt:i4>
      </vt:variant>
      <vt:variant>
        <vt:lpwstr/>
      </vt:variant>
      <vt:variant>
        <vt:lpwstr>_ENREF_358</vt:lpwstr>
      </vt:variant>
      <vt:variant>
        <vt:i4>7667774</vt:i4>
      </vt:variant>
      <vt:variant>
        <vt:i4>3449</vt:i4>
      </vt:variant>
      <vt:variant>
        <vt:i4>0</vt:i4>
      </vt:variant>
      <vt:variant>
        <vt:i4>5</vt:i4>
      </vt:variant>
      <vt:variant>
        <vt:lpwstr/>
      </vt:variant>
      <vt:variant>
        <vt:lpwstr>_ENREF_357</vt:lpwstr>
      </vt:variant>
      <vt:variant>
        <vt:i4>7602238</vt:i4>
      </vt:variant>
      <vt:variant>
        <vt:i4>3443</vt:i4>
      </vt:variant>
      <vt:variant>
        <vt:i4>0</vt:i4>
      </vt:variant>
      <vt:variant>
        <vt:i4>5</vt:i4>
      </vt:variant>
      <vt:variant>
        <vt:lpwstr/>
      </vt:variant>
      <vt:variant>
        <vt:lpwstr>_ENREF_356</vt:lpwstr>
      </vt:variant>
      <vt:variant>
        <vt:i4>7798846</vt:i4>
      </vt:variant>
      <vt:variant>
        <vt:i4>3437</vt:i4>
      </vt:variant>
      <vt:variant>
        <vt:i4>0</vt:i4>
      </vt:variant>
      <vt:variant>
        <vt:i4>5</vt:i4>
      </vt:variant>
      <vt:variant>
        <vt:lpwstr/>
      </vt:variant>
      <vt:variant>
        <vt:lpwstr>_ENREF_355</vt:lpwstr>
      </vt:variant>
      <vt:variant>
        <vt:i4>7733310</vt:i4>
      </vt:variant>
      <vt:variant>
        <vt:i4>3431</vt:i4>
      </vt:variant>
      <vt:variant>
        <vt:i4>0</vt:i4>
      </vt:variant>
      <vt:variant>
        <vt:i4>5</vt:i4>
      </vt:variant>
      <vt:variant>
        <vt:lpwstr/>
      </vt:variant>
      <vt:variant>
        <vt:lpwstr>_ENREF_354</vt:lpwstr>
      </vt:variant>
      <vt:variant>
        <vt:i4>7405630</vt:i4>
      </vt:variant>
      <vt:variant>
        <vt:i4>3425</vt:i4>
      </vt:variant>
      <vt:variant>
        <vt:i4>0</vt:i4>
      </vt:variant>
      <vt:variant>
        <vt:i4>5</vt:i4>
      </vt:variant>
      <vt:variant>
        <vt:lpwstr/>
      </vt:variant>
      <vt:variant>
        <vt:lpwstr>_ENREF_353</vt:lpwstr>
      </vt:variant>
      <vt:variant>
        <vt:i4>7340094</vt:i4>
      </vt:variant>
      <vt:variant>
        <vt:i4>3413</vt:i4>
      </vt:variant>
      <vt:variant>
        <vt:i4>0</vt:i4>
      </vt:variant>
      <vt:variant>
        <vt:i4>5</vt:i4>
      </vt:variant>
      <vt:variant>
        <vt:lpwstr/>
      </vt:variant>
      <vt:variant>
        <vt:lpwstr>_ENREF_352</vt:lpwstr>
      </vt:variant>
      <vt:variant>
        <vt:i4>7536702</vt:i4>
      </vt:variant>
      <vt:variant>
        <vt:i4>3407</vt:i4>
      </vt:variant>
      <vt:variant>
        <vt:i4>0</vt:i4>
      </vt:variant>
      <vt:variant>
        <vt:i4>5</vt:i4>
      </vt:variant>
      <vt:variant>
        <vt:lpwstr/>
      </vt:variant>
      <vt:variant>
        <vt:lpwstr>_ENREF_351</vt:lpwstr>
      </vt:variant>
      <vt:variant>
        <vt:i4>7471166</vt:i4>
      </vt:variant>
      <vt:variant>
        <vt:i4>3401</vt:i4>
      </vt:variant>
      <vt:variant>
        <vt:i4>0</vt:i4>
      </vt:variant>
      <vt:variant>
        <vt:i4>5</vt:i4>
      </vt:variant>
      <vt:variant>
        <vt:lpwstr/>
      </vt:variant>
      <vt:variant>
        <vt:lpwstr>_ENREF_350</vt:lpwstr>
      </vt:variant>
      <vt:variant>
        <vt:i4>8060991</vt:i4>
      </vt:variant>
      <vt:variant>
        <vt:i4>3395</vt:i4>
      </vt:variant>
      <vt:variant>
        <vt:i4>0</vt:i4>
      </vt:variant>
      <vt:variant>
        <vt:i4>5</vt:i4>
      </vt:variant>
      <vt:variant>
        <vt:lpwstr/>
      </vt:variant>
      <vt:variant>
        <vt:lpwstr>_ENREF_349</vt:lpwstr>
      </vt:variant>
      <vt:variant>
        <vt:i4>7995455</vt:i4>
      </vt:variant>
      <vt:variant>
        <vt:i4>3389</vt:i4>
      </vt:variant>
      <vt:variant>
        <vt:i4>0</vt:i4>
      </vt:variant>
      <vt:variant>
        <vt:i4>5</vt:i4>
      </vt:variant>
      <vt:variant>
        <vt:lpwstr/>
      </vt:variant>
      <vt:variant>
        <vt:lpwstr>_ENREF_348</vt:lpwstr>
      </vt:variant>
      <vt:variant>
        <vt:i4>7667775</vt:i4>
      </vt:variant>
      <vt:variant>
        <vt:i4>3383</vt:i4>
      </vt:variant>
      <vt:variant>
        <vt:i4>0</vt:i4>
      </vt:variant>
      <vt:variant>
        <vt:i4>5</vt:i4>
      </vt:variant>
      <vt:variant>
        <vt:lpwstr/>
      </vt:variant>
      <vt:variant>
        <vt:lpwstr>_ENREF_347</vt:lpwstr>
      </vt:variant>
      <vt:variant>
        <vt:i4>7602239</vt:i4>
      </vt:variant>
      <vt:variant>
        <vt:i4>3377</vt:i4>
      </vt:variant>
      <vt:variant>
        <vt:i4>0</vt:i4>
      </vt:variant>
      <vt:variant>
        <vt:i4>5</vt:i4>
      </vt:variant>
      <vt:variant>
        <vt:lpwstr/>
      </vt:variant>
      <vt:variant>
        <vt:lpwstr>_ENREF_346</vt:lpwstr>
      </vt:variant>
      <vt:variant>
        <vt:i4>7798847</vt:i4>
      </vt:variant>
      <vt:variant>
        <vt:i4>3365</vt:i4>
      </vt:variant>
      <vt:variant>
        <vt:i4>0</vt:i4>
      </vt:variant>
      <vt:variant>
        <vt:i4>5</vt:i4>
      </vt:variant>
      <vt:variant>
        <vt:lpwstr/>
      </vt:variant>
      <vt:variant>
        <vt:lpwstr>_ENREF_345</vt:lpwstr>
      </vt:variant>
      <vt:variant>
        <vt:i4>7733311</vt:i4>
      </vt:variant>
      <vt:variant>
        <vt:i4>3359</vt:i4>
      </vt:variant>
      <vt:variant>
        <vt:i4>0</vt:i4>
      </vt:variant>
      <vt:variant>
        <vt:i4>5</vt:i4>
      </vt:variant>
      <vt:variant>
        <vt:lpwstr/>
      </vt:variant>
      <vt:variant>
        <vt:lpwstr>_ENREF_344</vt:lpwstr>
      </vt:variant>
      <vt:variant>
        <vt:i4>7536699</vt:i4>
      </vt:variant>
      <vt:variant>
        <vt:i4>3353</vt:i4>
      </vt:variant>
      <vt:variant>
        <vt:i4>0</vt:i4>
      </vt:variant>
      <vt:variant>
        <vt:i4>5</vt:i4>
      </vt:variant>
      <vt:variant>
        <vt:lpwstr/>
      </vt:variant>
      <vt:variant>
        <vt:lpwstr>_ENREF_200</vt:lpwstr>
      </vt:variant>
      <vt:variant>
        <vt:i4>7602239</vt:i4>
      </vt:variant>
      <vt:variant>
        <vt:i4>3347</vt:i4>
      </vt:variant>
      <vt:variant>
        <vt:i4>0</vt:i4>
      </vt:variant>
      <vt:variant>
        <vt:i4>5</vt:i4>
      </vt:variant>
      <vt:variant>
        <vt:lpwstr/>
      </vt:variant>
      <vt:variant>
        <vt:lpwstr>_ENREF_247</vt:lpwstr>
      </vt:variant>
      <vt:variant>
        <vt:i4>7995453</vt:i4>
      </vt:variant>
      <vt:variant>
        <vt:i4>3341</vt:i4>
      </vt:variant>
      <vt:variant>
        <vt:i4>0</vt:i4>
      </vt:variant>
      <vt:variant>
        <vt:i4>5</vt:i4>
      </vt:variant>
      <vt:variant>
        <vt:lpwstr/>
      </vt:variant>
      <vt:variant>
        <vt:lpwstr>_ENREF_269</vt:lpwstr>
      </vt:variant>
      <vt:variant>
        <vt:i4>7995453</vt:i4>
      </vt:variant>
      <vt:variant>
        <vt:i4>3335</vt:i4>
      </vt:variant>
      <vt:variant>
        <vt:i4>0</vt:i4>
      </vt:variant>
      <vt:variant>
        <vt:i4>5</vt:i4>
      </vt:variant>
      <vt:variant>
        <vt:lpwstr/>
      </vt:variant>
      <vt:variant>
        <vt:lpwstr>_ENREF_269</vt:lpwstr>
      </vt:variant>
      <vt:variant>
        <vt:i4>7405631</vt:i4>
      </vt:variant>
      <vt:variant>
        <vt:i4>3326</vt:i4>
      </vt:variant>
      <vt:variant>
        <vt:i4>0</vt:i4>
      </vt:variant>
      <vt:variant>
        <vt:i4>5</vt:i4>
      </vt:variant>
      <vt:variant>
        <vt:lpwstr/>
      </vt:variant>
      <vt:variant>
        <vt:lpwstr>_ENREF_343</vt:lpwstr>
      </vt:variant>
      <vt:variant>
        <vt:i4>7340095</vt:i4>
      </vt:variant>
      <vt:variant>
        <vt:i4>3320</vt:i4>
      </vt:variant>
      <vt:variant>
        <vt:i4>0</vt:i4>
      </vt:variant>
      <vt:variant>
        <vt:i4>5</vt:i4>
      </vt:variant>
      <vt:variant>
        <vt:lpwstr/>
      </vt:variant>
      <vt:variant>
        <vt:lpwstr>_ENREF_342</vt:lpwstr>
      </vt:variant>
      <vt:variant>
        <vt:i4>7340094</vt:i4>
      </vt:variant>
      <vt:variant>
        <vt:i4>3311</vt:i4>
      </vt:variant>
      <vt:variant>
        <vt:i4>0</vt:i4>
      </vt:variant>
      <vt:variant>
        <vt:i4>5</vt:i4>
      </vt:variant>
      <vt:variant>
        <vt:lpwstr/>
      </vt:variant>
      <vt:variant>
        <vt:lpwstr>_ENREF_253</vt:lpwstr>
      </vt:variant>
      <vt:variant>
        <vt:i4>7536703</vt:i4>
      </vt:variant>
      <vt:variant>
        <vt:i4>3305</vt:i4>
      </vt:variant>
      <vt:variant>
        <vt:i4>0</vt:i4>
      </vt:variant>
      <vt:variant>
        <vt:i4>5</vt:i4>
      </vt:variant>
      <vt:variant>
        <vt:lpwstr/>
      </vt:variant>
      <vt:variant>
        <vt:lpwstr>_ENREF_341</vt:lpwstr>
      </vt:variant>
      <vt:variant>
        <vt:i4>7471167</vt:i4>
      </vt:variant>
      <vt:variant>
        <vt:i4>3299</vt:i4>
      </vt:variant>
      <vt:variant>
        <vt:i4>0</vt:i4>
      </vt:variant>
      <vt:variant>
        <vt:i4>5</vt:i4>
      </vt:variant>
      <vt:variant>
        <vt:lpwstr/>
      </vt:variant>
      <vt:variant>
        <vt:lpwstr>_ENREF_340</vt:lpwstr>
      </vt:variant>
      <vt:variant>
        <vt:i4>8060984</vt:i4>
      </vt:variant>
      <vt:variant>
        <vt:i4>3293</vt:i4>
      </vt:variant>
      <vt:variant>
        <vt:i4>0</vt:i4>
      </vt:variant>
      <vt:variant>
        <vt:i4>5</vt:i4>
      </vt:variant>
      <vt:variant>
        <vt:lpwstr/>
      </vt:variant>
      <vt:variant>
        <vt:lpwstr>_ENREF_339</vt:lpwstr>
      </vt:variant>
      <vt:variant>
        <vt:i4>7995448</vt:i4>
      </vt:variant>
      <vt:variant>
        <vt:i4>3287</vt:i4>
      </vt:variant>
      <vt:variant>
        <vt:i4>0</vt:i4>
      </vt:variant>
      <vt:variant>
        <vt:i4>5</vt:i4>
      </vt:variant>
      <vt:variant>
        <vt:lpwstr/>
      </vt:variant>
      <vt:variant>
        <vt:lpwstr>_ENREF_338</vt:lpwstr>
      </vt:variant>
      <vt:variant>
        <vt:i4>7929906</vt:i4>
      </vt:variant>
      <vt:variant>
        <vt:i4>3281</vt:i4>
      </vt:variant>
      <vt:variant>
        <vt:i4>0</vt:i4>
      </vt:variant>
      <vt:variant>
        <vt:i4>5</vt:i4>
      </vt:variant>
      <vt:variant>
        <vt:lpwstr/>
      </vt:variant>
      <vt:variant>
        <vt:lpwstr>_ENREF_199</vt:lpwstr>
      </vt:variant>
      <vt:variant>
        <vt:i4>7667768</vt:i4>
      </vt:variant>
      <vt:variant>
        <vt:i4>3275</vt:i4>
      </vt:variant>
      <vt:variant>
        <vt:i4>0</vt:i4>
      </vt:variant>
      <vt:variant>
        <vt:i4>5</vt:i4>
      </vt:variant>
      <vt:variant>
        <vt:lpwstr/>
      </vt:variant>
      <vt:variant>
        <vt:lpwstr>_ENREF_337</vt:lpwstr>
      </vt:variant>
      <vt:variant>
        <vt:i4>7602232</vt:i4>
      </vt:variant>
      <vt:variant>
        <vt:i4>3269</vt:i4>
      </vt:variant>
      <vt:variant>
        <vt:i4>0</vt:i4>
      </vt:variant>
      <vt:variant>
        <vt:i4>5</vt:i4>
      </vt:variant>
      <vt:variant>
        <vt:lpwstr/>
      </vt:variant>
      <vt:variant>
        <vt:lpwstr>_ENREF_336</vt:lpwstr>
      </vt:variant>
      <vt:variant>
        <vt:i4>7798840</vt:i4>
      </vt:variant>
      <vt:variant>
        <vt:i4>3263</vt:i4>
      </vt:variant>
      <vt:variant>
        <vt:i4>0</vt:i4>
      </vt:variant>
      <vt:variant>
        <vt:i4>5</vt:i4>
      </vt:variant>
      <vt:variant>
        <vt:lpwstr/>
      </vt:variant>
      <vt:variant>
        <vt:lpwstr>_ENREF_335</vt:lpwstr>
      </vt:variant>
      <vt:variant>
        <vt:i4>7733304</vt:i4>
      </vt:variant>
      <vt:variant>
        <vt:i4>3251</vt:i4>
      </vt:variant>
      <vt:variant>
        <vt:i4>0</vt:i4>
      </vt:variant>
      <vt:variant>
        <vt:i4>5</vt:i4>
      </vt:variant>
      <vt:variant>
        <vt:lpwstr/>
      </vt:variant>
      <vt:variant>
        <vt:lpwstr>_ENREF_334</vt:lpwstr>
      </vt:variant>
      <vt:variant>
        <vt:i4>4194315</vt:i4>
      </vt:variant>
      <vt:variant>
        <vt:i4>3245</vt:i4>
      </vt:variant>
      <vt:variant>
        <vt:i4>0</vt:i4>
      </vt:variant>
      <vt:variant>
        <vt:i4>5</vt:i4>
      </vt:variant>
      <vt:variant>
        <vt:lpwstr/>
      </vt:variant>
      <vt:variant>
        <vt:lpwstr>_ENREF_10</vt:lpwstr>
      </vt:variant>
      <vt:variant>
        <vt:i4>7405624</vt:i4>
      </vt:variant>
      <vt:variant>
        <vt:i4>3233</vt:i4>
      </vt:variant>
      <vt:variant>
        <vt:i4>0</vt:i4>
      </vt:variant>
      <vt:variant>
        <vt:i4>5</vt:i4>
      </vt:variant>
      <vt:variant>
        <vt:lpwstr/>
      </vt:variant>
      <vt:variant>
        <vt:lpwstr>_ENREF_333</vt:lpwstr>
      </vt:variant>
      <vt:variant>
        <vt:i4>4325387</vt:i4>
      </vt:variant>
      <vt:variant>
        <vt:i4>3227</vt:i4>
      </vt:variant>
      <vt:variant>
        <vt:i4>0</vt:i4>
      </vt:variant>
      <vt:variant>
        <vt:i4>5</vt:i4>
      </vt:variant>
      <vt:variant>
        <vt:lpwstr/>
      </vt:variant>
      <vt:variant>
        <vt:lpwstr>_ENREF_33</vt:lpwstr>
      </vt:variant>
      <vt:variant>
        <vt:i4>7340088</vt:i4>
      </vt:variant>
      <vt:variant>
        <vt:i4>3221</vt:i4>
      </vt:variant>
      <vt:variant>
        <vt:i4>0</vt:i4>
      </vt:variant>
      <vt:variant>
        <vt:i4>5</vt:i4>
      </vt:variant>
      <vt:variant>
        <vt:lpwstr/>
      </vt:variant>
      <vt:variant>
        <vt:lpwstr>_ENREF_332</vt:lpwstr>
      </vt:variant>
      <vt:variant>
        <vt:i4>7536696</vt:i4>
      </vt:variant>
      <vt:variant>
        <vt:i4>3209</vt:i4>
      </vt:variant>
      <vt:variant>
        <vt:i4>0</vt:i4>
      </vt:variant>
      <vt:variant>
        <vt:i4>5</vt:i4>
      </vt:variant>
      <vt:variant>
        <vt:lpwstr/>
      </vt:variant>
      <vt:variant>
        <vt:lpwstr>_ENREF_331</vt:lpwstr>
      </vt:variant>
      <vt:variant>
        <vt:i4>7471160</vt:i4>
      </vt:variant>
      <vt:variant>
        <vt:i4>3203</vt:i4>
      </vt:variant>
      <vt:variant>
        <vt:i4>0</vt:i4>
      </vt:variant>
      <vt:variant>
        <vt:i4>5</vt:i4>
      </vt:variant>
      <vt:variant>
        <vt:lpwstr/>
      </vt:variant>
      <vt:variant>
        <vt:lpwstr>_ENREF_330</vt:lpwstr>
      </vt:variant>
      <vt:variant>
        <vt:i4>8060985</vt:i4>
      </vt:variant>
      <vt:variant>
        <vt:i4>3197</vt:i4>
      </vt:variant>
      <vt:variant>
        <vt:i4>0</vt:i4>
      </vt:variant>
      <vt:variant>
        <vt:i4>5</vt:i4>
      </vt:variant>
      <vt:variant>
        <vt:lpwstr/>
      </vt:variant>
      <vt:variant>
        <vt:lpwstr>_ENREF_329</vt:lpwstr>
      </vt:variant>
      <vt:variant>
        <vt:i4>7995449</vt:i4>
      </vt:variant>
      <vt:variant>
        <vt:i4>3191</vt:i4>
      </vt:variant>
      <vt:variant>
        <vt:i4>0</vt:i4>
      </vt:variant>
      <vt:variant>
        <vt:i4>5</vt:i4>
      </vt:variant>
      <vt:variant>
        <vt:lpwstr/>
      </vt:variant>
      <vt:variant>
        <vt:lpwstr>_ENREF_328</vt:lpwstr>
      </vt:variant>
      <vt:variant>
        <vt:i4>4194315</vt:i4>
      </vt:variant>
      <vt:variant>
        <vt:i4>3185</vt:i4>
      </vt:variant>
      <vt:variant>
        <vt:i4>0</vt:i4>
      </vt:variant>
      <vt:variant>
        <vt:i4>5</vt:i4>
      </vt:variant>
      <vt:variant>
        <vt:lpwstr/>
      </vt:variant>
      <vt:variant>
        <vt:lpwstr>_ENREF_10</vt:lpwstr>
      </vt:variant>
      <vt:variant>
        <vt:i4>7602226</vt:i4>
      </vt:variant>
      <vt:variant>
        <vt:i4>3179</vt:i4>
      </vt:variant>
      <vt:variant>
        <vt:i4>0</vt:i4>
      </vt:variant>
      <vt:variant>
        <vt:i4>5</vt:i4>
      </vt:variant>
      <vt:variant>
        <vt:lpwstr/>
      </vt:variant>
      <vt:variant>
        <vt:lpwstr>_ENREF_297</vt:lpwstr>
      </vt:variant>
      <vt:variant>
        <vt:i4>7667769</vt:i4>
      </vt:variant>
      <vt:variant>
        <vt:i4>3167</vt:i4>
      </vt:variant>
      <vt:variant>
        <vt:i4>0</vt:i4>
      </vt:variant>
      <vt:variant>
        <vt:i4>5</vt:i4>
      </vt:variant>
      <vt:variant>
        <vt:lpwstr/>
      </vt:variant>
      <vt:variant>
        <vt:lpwstr>_ENREF_327</vt:lpwstr>
      </vt:variant>
      <vt:variant>
        <vt:i4>4194315</vt:i4>
      </vt:variant>
      <vt:variant>
        <vt:i4>3161</vt:i4>
      </vt:variant>
      <vt:variant>
        <vt:i4>0</vt:i4>
      </vt:variant>
      <vt:variant>
        <vt:i4>5</vt:i4>
      </vt:variant>
      <vt:variant>
        <vt:lpwstr/>
      </vt:variant>
      <vt:variant>
        <vt:lpwstr>_ENREF_10</vt:lpwstr>
      </vt:variant>
      <vt:variant>
        <vt:i4>7602226</vt:i4>
      </vt:variant>
      <vt:variant>
        <vt:i4>3155</vt:i4>
      </vt:variant>
      <vt:variant>
        <vt:i4>0</vt:i4>
      </vt:variant>
      <vt:variant>
        <vt:i4>5</vt:i4>
      </vt:variant>
      <vt:variant>
        <vt:lpwstr/>
      </vt:variant>
      <vt:variant>
        <vt:lpwstr>_ENREF_297</vt:lpwstr>
      </vt:variant>
      <vt:variant>
        <vt:i4>7602233</vt:i4>
      </vt:variant>
      <vt:variant>
        <vt:i4>3149</vt:i4>
      </vt:variant>
      <vt:variant>
        <vt:i4>0</vt:i4>
      </vt:variant>
      <vt:variant>
        <vt:i4>5</vt:i4>
      </vt:variant>
      <vt:variant>
        <vt:lpwstr/>
      </vt:variant>
      <vt:variant>
        <vt:lpwstr>_ENREF_326</vt:lpwstr>
      </vt:variant>
      <vt:variant>
        <vt:i4>7798841</vt:i4>
      </vt:variant>
      <vt:variant>
        <vt:i4>3143</vt:i4>
      </vt:variant>
      <vt:variant>
        <vt:i4>0</vt:i4>
      </vt:variant>
      <vt:variant>
        <vt:i4>5</vt:i4>
      </vt:variant>
      <vt:variant>
        <vt:lpwstr/>
      </vt:variant>
      <vt:variant>
        <vt:lpwstr>_ENREF_325</vt:lpwstr>
      </vt:variant>
      <vt:variant>
        <vt:i4>7733305</vt:i4>
      </vt:variant>
      <vt:variant>
        <vt:i4>3137</vt:i4>
      </vt:variant>
      <vt:variant>
        <vt:i4>0</vt:i4>
      </vt:variant>
      <vt:variant>
        <vt:i4>5</vt:i4>
      </vt:variant>
      <vt:variant>
        <vt:lpwstr/>
      </vt:variant>
      <vt:variant>
        <vt:lpwstr>_ENREF_324</vt:lpwstr>
      </vt:variant>
      <vt:variant>
        <vt:i4>4194315</vt:i4>
      </vt:variant>
      <vt:variant>
        <vt:i4>3131</vt:i4>
      </vt:variant>
      <vt:variant>
        <vt:i4>0</vt:i4>
      </vt:variant>
      <vt:variant>
        <vt:i4>5</vt:i4>
      </vt:variant>
      <vt:variant>
        <vt:lpwstr/>
      </vt:variant>
      <vt:variant>
        <vt:lpwstr>_ENREF_10</vt:lpwstr>
      </vt:variant>
      <vt:variant>
        <vt:i4>4390923</vt:i4>
      </vt:variant>
      <vt:variant>
        <vt:i4>3125</vt:i4>
      </vt:variant>
      <vt:variant>
        <vt:i4>0</vt:i4>
      </vt:variant>
      <vt:variant>
        <vt:i4>5</vt:i4>
      </vt:variant>
      <vt:variant>
        <vt:lpwstr/>
      </vt:variant>
      <vt:variant>
        <vt:lpwstr>_ENREF_29</vt:lpwstr>
      </vt:variant>
      <vt:variant>
        <vt:i4>4390923</vt:i4>
      </vt:variant>
      <vt:variant>
        <vt:i4>3113</vt:i4>
      </vt:variant>
      <vt:variant>
        <vt:i4>0</vt:i4>
      </vt:variant>
      <vt:variant>
        <vt:i4>5</vt:i4>
      </vt:variant>
      <vt:variant>
        <vt:lpwstr/>
      </vt:variant>
      <vt:variant>
        <vt:lpwstr>_ENREF_29</vt:lpwstr>
      </vt:variant>
      <vt:variant>
        <vt:i4>4194315</vt:i4>
      </vt:variant>
      <vt:variant>
        <vt:i4>3107</vt:i4>
      </vt:variant>
      <vt:variant>
        <vt:i4>0</vt:i4>
      </vt:variant>
      <vt:variant>
        <vt:i4>5</vt:i4>
      </vt:variant>
      <vt:variant>
        <vt:lpwstr/>
      </vt:variant>
      <vt:variant>
        <vt:lpwstr>_ENREF_10</vt:lpwstr>
      </vt:variant>
      <vt:variant>
        <vt:i4>7733298</vt:i4>
      </vt:variant>
      <vt:variant>
        <vt:i4>3101</vt:i4>
      </vt:variant>
      <vt:variant>
        <vt:i4>0</vt:i4>
      </vt:variant>
      <vt:variant>
        <vt:i4>5</vt:i4>
      </vt:variant>
      <vt:variant>
        <vt:lpwstr/>
      </vt:variant>
      <vt:variant>
        <vt:lpwstr>_ENREF_196</vt:lpwstr>
      </vt:variant>
      <vt:variant>
        <vt:i4>7405625</vt:i4>
      </vt:variant>
      <vt:variant>
        <vt:i4>3095</vt:i4>
      </vt:variant>
      <vt:variant>
        <vt:i4>0</vt:i4>
      </vt:variant>
      <vt:variant>
        <vt:i4>5</vt:i4>
      </vt:variant>
      <vt:variant>
        <vt:lpwstr/>
      </vt:variant>
      <vt:variant>
        <vt:lpwstr>_ENREF_323</vt:lpwstr>
      </vt:variant>
      <vt:variant>
        <vt:i4>7667762</vt:i4>
      </vt:variant>
      <vt:variant>
        <vt:i4>3089</vt:i4>
      </vt:variant>
      <vt:variant>
        <vt:i4>0</vt:i4>
      </vt:variant>
      <vt:variant>
        <vt:i4>5</vt:i4>
      </vt:variant>
      <vt:variant>
        <vt:lpwstr/>
      </vt:variant>
      <vt:variant>
        <vt:lpwstr>_ENREF_195</vt:lpwstr>
      </vt:variant>
      <vt:variant>
        <vt:i4>7733298</vt:i4>
      </vt:variant>
      <vt:variant>
        <vt:i4>3083</vt:i4>
      </vt:variant>
      <vt:variant>
        <vt:i4>0</vt:i4>
      </vt:variant>
      <vt:variant>
        <vt:i4>5</vt:i4>
      </vt:variant>
      <vt:variant>
        <vt:lpwstr/>
      </vt:variant>
      <vt:variant>
        <vt:lpwstr>_ENREF_196</vt:lpwstr>
      </vt:variant>
      <vt:variant>
        <vt:i4>4194315</vt:i4>
      </vt:variant>
      <vt:variant>
        <vt:i4>3077</vt:i4>
      </vt:variant>
      <vt:variant>
        <vt:i4>0</vt:i4>
      </vt:variant>
      <vt:variant>
        <vt:i4>5</vt:i4>
      </vt:variant>
      <vt:variant>
        <vt:lpwstr/>
      </vt:variant>
      <vt:variant>
        <vt:lpwstr>_ENREF_10</vt:lpwstr>
      </vt:variant>
      <vt:variant>
        <vt:i4>7340089</vt:i4>
      </vt:variant>
      <vt:variant>
        <vt:i4>3065</vt:i4>
      </vt:variant>
      <vt:variant>
        <vt:i4>0</vt:i4>
      </vt:variant>
      <vt:variant>
        <vt:i4>5</vt:i4>
      </vt:variant>
      <vt:variant>
        <vt:lpwstr/>
      </vt:variant>
      <vt:variant>
        <vt:lpwstr>_ENREF_322</vt:lpwstr>
      </vt:variant>
      <vt:variant>
        <vt:i4>7536697</vt:i4>
      </vt:variant>
      <vt:variant>
        <vt:i4>3059</vt:i4>
      </vt:variant>
      <vt:variant>
        <vt:i4>0</vt:i4>
      </vt:variant>
      <vt:variant>
        <vt:i4>5</vt:i4>
      </vt:variant>
      <vt:variant>
        <vt:lpwstr/>
      </vt:variant>
      <vt:variant>
        <vt:lpwstr>_ENREF_321</vt:lpwstr>
      </vt:variant>
      <vt:variant>
        <vt:i4>7471161</vt:i4>
      </vt:variant>
      <vt:variant>
        <vt:i4>3053</vt:i4>
      </vt:variant>
      <vt:variant>
        <vt:i4>0</vt:i4>
      </vt:variant>
      <vt:variant>
        <vt:i4>5</vt:i4>
      </vt:variant>
      <vt:variant>
        <vt:lpwstr/>
      </vt:variant>
      <vt:variant>
        <vt:lpwstr>_ENREF_320</vt:lpwstr>
      </vt:variant>
      <vt:variant>
        <vt:i4>7667770</vt:i4>
      </vt:variant>
      <vt:variant>
        <vt:i4>3047</vt:i4>
      </vt:variant>
      <vt:variant>
        <vt:i4>0</vt:i4>
      </vt:variant>
      <vt:variant>
        <vt:i4>5</vt:i4>
      </vt:variant>
      <vt:variant>
        <vt:lpwstr/>
      </vt:variant>
      <vt:variant>
        <vt:lpwstr>_ENREF_317</vt:lpwstr>
      </vt:variant>
      <vt:variant>
        <vt:i4>7602234</vt:i4>
      </vt:variant>
      <vt:variant>
        <vt:i4>3041</vt:i4>
      </vt:variant>
      <vt:variant>
        <vt:i4>0</vt:i4>
      </vt:variant>
      <vt:variant>
        <vt:i4>5</vt:i4>
      </vt:variant>
      <vt:variant>
        <vt:lpwstr/>
      </vt:variant>
      <vt:variant>
        <vt:lpwstr>_ENREF_316</vt:lpwstr>
      </vt:variant>
      <vt:variant>
        <vt:i4>7667770</vt:i4>
      </vt:variant>
      <vt:variant>
        <vt:i4>3029</vt:i4>
      </vt:variant>
      <vt:variant>
        <vt:i4>0</vt:i4>
      </vt:variant>
      <vt:variant>
        <vt:i4>5</vt:i4>
      </vt:variant>
      <vt:variant>
        <vt:lpwstr/>
      </vt:variant>
      <vt:variant>
        <vt:lpwstr>_ENREF_317</vt:lpwstr>
      </vt:variant>
      <vt:variant>
        <vt:i4>8060986</vt:i4>
      </vt:variant>
      <vt:variant>
        <vt:i4>3023</vt:i4>
      </vt:variant>
      <vt:variant>
        <vt:i4>0</vt:i4>
      </vt:variant>
      <vt:variant>
        <vt:i4>5</vt:i4>
      </vt:variant>
      <vt:variant>
        <vt:lpwstr/>
      </vt:variant>
      <vt:variant>
        <vt:lpwstr>_ENREF_319</vt:lpwstr>
      </vt:variant>
      <vt:variant>
        <vt:i4>7995450</vt:i4>
      </vt:variant>
      <vt:variant>
        <vt:i4>3017</vt:i4>
      </vt:variant>
      <vt:variant>
        <vt:i4>0</vt:i4>
      </vt:variant>
      <vt:variant>
        <vt:i4>5</vt:i4>
      </vt:variant>
      <vt:variant>
        <vt:lpwstr/>
      </vt:variant>
      <vt:variant>
        <vt:lpwstr>_ENREF_318</vt:lpwstr>
      </vt:variant>
      <vt:variant>
        <vt:i4>7667770</vt:i4>
      </vt:variant>
      <vt:variant>
        <vt:i4>3011</vt:i4>
      </vt:variant>
      <vt:variant>
        <vt:i4>0</vt:i4>
      </vt:variant>
      <vt:variant>
        <vt:i4>5</vt:i4>
      </vt:variant>
      <vt:variant>
        <vt:lpwstr/>
      </vt:variant>
      <vt:variant>
        <vt:lpwstr>_ENREF_317</vt:lpwstr>
      </vt:variant>
      <vt:variant>
        <vt:i4>7667770</vt:i4>
      </vt:variant>
      <vt:variant>
        <vt:i4>3005</vt:i4>
      </vt:variant>
      <vt:variant>
        <vt:i4>0</vt:i4>
      </vt:variant>
      <vt:variant>
        <vt:i4>5</vt:i4>
      </vt:variant>
      <vt:variant>
        <vt:lpwstr/>
      </vt:variant>
      <vt:variant>
        <vt:lpwstr>_ENREF_317</vt:lpwstr>
      </vt:variant>
      <vt:variant>
        <vt:i4>7602234</vt:i4>
      </vt:variant>
      <vt:variant>
        <vt:i4>2999</vt:i4>
      </vt:variant>
      <vt:variant>
        <vt:i4>0</vt:i4>
      </vt:variant>
      <vt:variant>
        <vt:i4>5</vt:i4>
      </vt:variant>
      <vt:variant>
        <vt:lpwstr/>
      </vt:variant>
      <vt:variant>
        <vt:lpwstr>_ENREF_316</vt:lpwstr>
      </vt:variant>
      <vt:variant>
        <vt:i4>7798842</vt:i4>
      </vt:variant>
      <vt:variant>
        <vt:i4>2987</vt:i4>
      </vt:variant>
      <vt:variant>
        <vt:i4>0</vt:i4>
      </vt:variant>
      <vt:variant>
        <vt:i4>5</vt:i4>
      </vt:variant>
      <vt:variant>
        <vt:lpwstr/>
      </vt:variant>
      <vt:variant>
        <vt:lpwstr>_ENREF_315</vt:lpwstr>
      </vt:variant>
      <vt:variant>
        <vt:i4>7340093</vt:i4>
      </vt:variant>
      <vt:variant>
        <vt:i4>2981</vt:i4>
      </vt:variant>
      <vt:variant>
        <vt:i4>0</vt:i4>
      </vt:variant>
      <vt:variant>
        <vt:i4>5</vt:i4>
      </vt:variant>
      <vt:variant>
        <vt:lpwstr/>
      </vt:variant>
      <vt:variant>
        <vt:lpwstr>_ENREF_263</vt:lpwstr>
      </vt:variant>
      <vt:variant>
        <vt:i4>7405626</vt:i4>
      </vt:variant>
      <vt:variant>
        <vt:i4>2975</vt:i4>
      </vt:variant>
      <vt:variant>
        <vt:i4>0</vt:i4>
      </vt:variant>
      <vt:variant>
        <vt:i4>5</vt:i4>
      </vt:variant>
      <vt:variant>
        <vt:lpwstr/>
      </vt:variant>
      <vt:variant>
        <vt:lpwstr>_ENREF_313</vt:lpwstr>
      </vt:variant>
      <vt:variant>
        <vt:i4>3735610</vt:i4>
      </vt:variant>
      <vt:variant>
        <vt:i4>2972</vt:i4>
      </vt:variant>
      <vt:variant>
        <vt:i4>0</vt:i4>
      </vt:variant>
      <vt:variant>
        <vt:i4>5</vt:i4>
      </vt:variant>
      <vt:variant>
        <vt:lpwstr>C:\Users\MULLII\Downloads\www.iap2.org</vt:lpwstr>
      </vt:variant>
      <vt:variant>
        <vt:lpwstr/>
      </vt:variant>
      <vt:variant>
        <vt:i4>7733306</vt:i4>
      </vt:variant>
      <vt:variant>
        <vt:i4>2963</vt:i4>
      </vt:variant>
      <vt:variant>
        <vt:i4>0</vt:i4>
      </vt:variant>
      <vt:variant>
        <vt:i4>5</vt:i4>
      </vt:variant>
      <vt:variant>
        <vt:lpwstr/>
      </vt:variant>
      <vt:variant>
        <vt:lpwstr>_ENREF_314</vt:lpwstr>
      </vt:variant>
      <vt:variant>
        <vt:i4>7405626</vt:i4>
      </vt:variant>
      <vt:variant>
        <vt:i4>2957</vt:i4>
      </vt:variant>
      <vt:variant>
        <vt:i4>0</vt:i4>
      </vt:variant>
      <vt:variant>
        <vt:i4>5</vt:i4>
      </vt:variant>
      <vt:variant>
        <vt:lpwstr/>
      </vt:variant>
      <vt:variant>
        <vt:lpwstr>_ENREF_313</vt:lpwstr>
      </vt:variant>
      <vt:variant>
        <vt:i4>4390923</vt:i4>
      </vt:variant>
      <vt:variant>
        <vt:i4>2948</vt:i4>
      </vt:variant>
      <vt:variant>
        <vt:i4>0</vt:i4>
      </vt:variant>
      <vt:variant>
        <vt:i4>5</vt:i4>
      </vt:variant>
      <vt:variant>
        <vt:lpwstr/>
      </vt:variant>
      <vt:variant>
        <vt:lpwstr>_ENREF_29</vt:lpwstr>
      </vt:variant>
      <vt:variant>
        <vt:i4>7340090</vt:i4>
      </vt:variant>
      <vt:variant>
        <vt:i4>2936</vt:i4>
      </vt:variant>
      <vt:variant>
        <vt:i4>0</vt:i4>
      </vt:variant>
      <vt:variant>
        <vt:i4>5</vt:i4>
      </vt:variant>
      <vt:variant>
        <vt:lpwstr/>
      </vt:variant>
      <vt:variant>
        <vt:lpwstr>_ENREF_312</vt:lpwstr>
      </vt:variant>
      <vt:variant>
        <vt:i4>7536698</vt:i4>
      </vt:variant>
      <vt:variant>
        <vt:i4>2930</vt:i4>
      </vt:variant>
      <vt:variant>
        <vt:i4>0</vt:i4>
      </vt:variant>
      <vt:variant>
        <vt:i4>5</vt:i4>
      </vt:variant>
      <vt:variant>
        <vt:lpwstr/>
      </vt:variant>
      <vt:variant>
        <vt:lpwstr>_ENREF_311</vt:lpwstr>
      </vt:variant>
      <vt:variant>
        <vt:i4>7471162</vt:i4>
      </vt:variant>
      <vt:variant>
        <vt:i4>2924</vt:i4>
      </vt:variant>
      <vt:variant>
        <vt:i4>0</vt:i4>
      </vt:variant>
      <vt:variant>
        <vt:i4>5</vt:i4>
      </vt:variant>
      <vt:variant>
        <vt:lpwstr/>
      </vt:variant>
      <vt:variant>
        <vt:lpwstr>_ENREF_310</vt:lpwstr>
      </vt:variant>
      <vt:variant>
        <vt:i4>4325387</vt:i4>
      </vt:variant>
      <vt:variant>
        <vt:i4>2918</vt:i4>
      </vt:variant>
      <vt:variant>
        <vt:i4>0</vt:i4>
      </vt:variant>
      <vt:variant>
        <vt:i4>5</vt:i4>
      </vt:variant>
      <vt:variant>
        <vt:lpwstr/>
      </vt:variant>
      <vt:variant>
        <vt:lpwstr>_ENREF_33</vt:lpwstr>
      </vt:variant>
      <vt:variant>
        <vt:i4>8060987</vt:i4>
      </vt:variant>
      <vt:variant>
        <vt:i4>2912</vt:i4>
      </vt:variant>
      <vt:variant>
        <vt:i4>0</vt:i4>
      </vt:variant>
      <vt:variant>
        <vt:i4>5</vt:i4>
      </vt:variant>
      <vt:variant>
        <vt:lpwstr/>
      </vt:variant>
      <vt:variant>
        <vt:lpwstr>_ENREF_309</vt:lpwstr>
      </vt:variant>
      <vt:variant>
        <vt:i4>7995451</vt:i4>
      </vt:variant>
      <vt:variant>
        <vt:i4>2906</vt:i4>
      </vt:variant>
      <vt:variant>
        <vt:i4>0</vt:i4>
      </vt:variant>
      <vt:variant>
        <vt:i4>5</vt:i4>
      </vt:variant>
      <vt:variant>
        <vt:lpwstr/>
      </vt:variant>
      <vt:variant>
        <vt:lpwstr>_ENREF_308</vt:lpwstr>
      </vt:variant>
      <vt:variant>
        <vt:i4>4325387</vt:i4>
      </vt:variant>
      <vt:variant>
        <vt:i4>2894</vt:i4>
      </vt:variant>
      <vt:variant>
        <vt:i4>0</vt:i4>
      </vt:variant>
      <vt:variant>
        <vt:i4>5</vt:i4>
      </vt:variant>
      <vt:variant>
        <vt:lpwstr/>
      </vt:variant>
      <vt:variant>
        <vt:lpwstr>_ENREF_33</vt:lpwstr>
      </vt:variant>
      <vt:variant>
        <vt:i4>4325387</vt:i4>
      </vt:variant>
      <vt:variant>
        <vt:i4>2888</vt:i4>
      </vt:variant>
      <vt:variant>
        <vt:i4>0</vt:i4>
      </vt:variant>
      <vt:variant>
        <vt:i4>5</vt:i4>
      </vt:variant>
      <vt:variant>
        <vt:lpwstr/>
      </vt:variant>
      <vt:variant>
        <vt:lpwstr>_ENREF_33</vt:lpwstr>
      </vt:variant>
      <vt:variant>
        <vt:i4>4390923</vt:i4>
      </vt:variant>
      <vt:variant>
        <vt:i4>2882</vt:i4>
      </vt:variant>
      <vt:variant>
        <vt:i4>0</vt:i4>
      </vt:variant>
      <vt:variant>
        <vt:i4>5</vt:i4>
      </vt:variant>
      <vt:variant>
        <vt:lpwstr/>
      </vt:variant>
      <vt:variant>
        <vt:lpwstr>_ENREF_29</vt:lpwstr>
      </vt:variant>
      <vt:variant>
        <vt:i4>7667771</vt:i4>
      </vt:variant>
      <vt:variant>
        <vt:i4>2876</vt:i4>
      </vt:variant>
      <vt:variant>
        <vt:i4>0</vt:i4>
      </vt:variant>
      <vt:variant>
        <vt:i4>5</vt:i4>
      </vt:variant>
      <vt:variant>
        <vt:lpwstr/>
      </vt:variant>
      <vt:variant>
        <vt:lpwstr>_ENREF_307</vt:lpwstr>
      </vt:variant>
      <vt:variant>
        <vt:i4>7602235</vt:i4>
      </vt:variant>
      <vt:variant>
        <vt:i4>2870</vt:i4>
      </vt:variant>
      <vt:variant>
        <vt:i4>0</vt:i4>
      </vt:variant>
      <vt:variant>
        <vt:i4>5</vt:i4>
      </vt:variant>
      <vt:variant>
        <vt:lpwstr/>
      </vt:variant>
      <vt:variant>
        <vt:lpwstr>_ENREF_306</vt:lpwstr>
      </vt:variant>
      <vt:variant>
        <vt:i4>7798843</vt:i4>
      </vt:variant>
      <vt:variant>
        <vt:i4>2864</vt:i4>
      </vt:variant>
      <vt:variant>
        <vt:i4>0</vt:i4>
      </vt:variant>
      <vt:variant>
        <vt:i4>5</vt:i4>
      </vt:variant>
      <vt:variant>
        <vt:lpwstr/>
      </vt:variant>
      <vt:variant>
        <vt:lpwstr>_ENREF_305</vt:lpwstr>
      </vt:variant>
      <vt:variant>
        <vt:i4>7733307</vt:i4>
      </vt:variant>
      <vt:variant>
        <vt:i4>2858</vt:i4>
      </vt:variant>
      <vt:variant>
        <vt:i4>0</vt:i4>
      </vt:variant>
      <vt:variant>
        <vt:i4>5</vt:i4>
      </vt:variant>
      <vt:variant>
        <vt:lpwstr/>
      </vt:variant>
      <vt:variant>
        <vt:lpwstr>_ENREF_304</vt:lpwstr>
      </vt:variant>
      <vt:variant>
        <vt:i4>7405627</vt:i4>
      </vt:variant>
      <vt:variant>
        <vt:i4>2852</vt:i4>
      </vt:variant>
      <vt:variant>
        <vt:i4>0</vt:i4>
      </vt:variant>
      <vt:variant>
        <vt:i4>5</vt:i4>
      </vt:variant>
      <vt:variant>
        <vt:lpwstr/>
      </vt:variant>
      <vt:variant>
        <vt:lpwstr>_ENREF_303</vt:lpwstr>
      </vt:variant>
      <vt:variant>
        <vt:i4>7340091</vt:i4>
      </vt:variant>
      <vt:variant>
        <vt:i4>2846</vt:i4>
      </vt:variant>
      <vt:variant>
        <vt:i4>0</vt:i4>
      </vt:variant>
      <vt:variant>
        <vt:i4>5</vt:i4>
      </vt:variant>
      <vt:variant>
        <vt:lpwstr/>
      </vt:variant>
      <vt:variant>
        <vt:lpwstr>_ENREF_302</vt:lpwstr>
      </vt:variant>
      <vt:variant>
        <vt:i4>7536699</vt:i4>
      </vt:variant>
      <vt:variant>
        <vt:i4>2840</vt:i4>
      </vt:variant>
      <vt:variant>
        <vt:i4>0</vt:i4>
      </vt:variant>
      <vt:variant>
        <vt:i4>5</vt:i4>
      </vt:variant>
      <vt:variant>
        <vt:lpwstr/>
      </vt:variant>
      <vt:variant>
        <vt:lpwstr>_ENREF_301</vt:lpwstr>
      </vt:variant>
      <vt:variant>
        <vt:i4>7471163</vt:i4>
      </vt:variant>
      <vt:variant>
        <vt:i4>2828</vt:i4>
      </vt:variant>
      <vt:variant>
        <vt:i4>0</vt:i4>
      </vt:variant>
      <vt:variant>
        <vt:i4>5</vt:i4>
      </vt:variant>
      <vt:variant>
        <vt:lpwstr/>
      </vt:variant>
      <vt:variant>
        <vt:lpwstr>_ENREF_300</vt:lpwstr>
      </vt:variant>
      <vt:variant>
        <vt:i4>7471163</vt:i4>
      </vt:variant>
      <vt:variant>
        <vt:i4>2822</vt:i4>
      </vt:variant>
      <vt:variant>
        <vt:i4>0</vt:i4>
      </vt:variant>
      <vt:variant>
        <vt:i4>5</vt:i4>
      </vt:variant>
      <vt:variant>
        <vt:lpwstr/>
      </vt:variant>
      <vt:variant>
        <vt:lpwstr>_ENREF_300</vt:lpwstr>
      </vt:variant>
      <vt:variant>
        <vt:i4>4653067</vt:i4>
      </vt:variant>
      <vt:variant>
        <vt:i4>2816</vt:i4>
      </vt:variant>
      <vt:variant>
        <vt:i4>0</vt:i4>
      </vt:variant>
      <vt:variant>
        <vt:i4>5</vt:i4>
      </vt:variant>
      <vt:variant>
        <vt:lpwstr/>
      </vt:variant>
      <vt:variant>
        <vt:lpwstr>_ENREF_60</vt:lpwstr>
      </vt:variant>
      <vt:variant>
        <vt:i4>4456459</vt:i4>
      </vt:variant>
      <vt:variant>
        <vt:i4>2810</vt:i4>
      </vt:variant>
      <vt:variant>
        <vt:i4>0</vt:i4>
      </vt:variant>
      <vt:variant>
        <vt:i4>5</vt:i4>
      </vt:variant>
      <vt:variant>
        <vt:lpwstr/>
      </vt:variant>
      <vt:variant>
        <vt:lpwstr>_ENREF_57</vt:lpwstr>
      </vt:variant>
      <vt:variant>
        <vt:i4>4456459</vt:i4>
      </vt:variant>
      <vt:variant>
        <vt:i4>2804</vt:i4>
      </vt:variant>
      <vt:variant>
        <vt:i4>0</vt:i4>
      </vt:variant>
      <vt:variant>
        <vt:i4>5</vt:i4>
      </vt:variant>
      <vt:variant>
        <vt:lpwstr/>
      </vt:variant>
      <vt:variant>
        <vt:lpwstr>_ENREF_58</vt:lpwstr>
      </vt:variant>
      <vt:variant>
        <vt:i4>7995442</vt:i4>
      </vt:variant>
      <vt:variant>
        <vt:i4>2798</vt:i4>
      </vt:variant>
      <vt:variant>
        <vt:i4>0</vt:i4>
      </vt:variant>
      <vt:variant>
        <vt:i4>5</vt:i4>
      </vt:variant>
      <vt:variant>
        <vt:lpwstr/>
      </vt:variant>
      <vt:variant>
        <vt:lpwstr>_ENREF_299</vt:lpwstr>
      </vt:variant>
      <vt:variant>
        <vt:i4>8060978</vt:i4>
      </vt:variant>
      <vt:variant>
        <vt:i4>2792</vt:i4>
      </vt:variant>
      <vt:variant>
        <vt:i4>0</vt:i4>
      </vt:variant>
      <vt:variant>
        <vt:i4>5</vt:i4>
      </vt:variant>
      <vt:variant>
        <vt:lpwstr/>
      </vt:variant>
      <vt:variant>
        <vt:lpwstr>_ENREF_298</vt:lpwstr>
      </vt:variant>
      <vt:variant>
        <vt:i4>7602226</vt:i4>
      </vt:variant>
      <vt:variant>
        <vt:i4>2786</vt:i4>
      </vt:variant>
      <vt:variant>
        <vt:i4>0</vt:i4>
      </vt:variant>
      <vt:variant>
        <vt:i4>5</vt:i4>
      </vt:variant>
      <vt:variant>
        <vt:lpwstr/>
      </vt:variant>
      <vt:variant>
        <vt:lpwstr>_ENREF_297</vt:lpwstr>
      </vt:variant>
      <vt:variant>
        <vt:i4>7667762</vt:i4>
      </vt:variant>
      <vt:variant>
        <vt:i4>2780</vt:i4>
      </vt:variant>
      <vt:variant>
        <vt:i4>0</vt:i4>
      </vt:variant>
      <vt:variant>
        <vt:i4>5</vt:i4>
      </vt:variant>
      <vt:variant>
        <vt:lpwstr/>
      </vt:variant>
      <vt:variant>
        <vt:lpwstr>_ENREF_296</vt:lpwstr>
      </vt:variant>
      <vt:variant>
        <vt:i4>7733298</vt:i4>
      </vt:variant>
      <vt:variant>
        <vt:i4>2774</vt:i4>
      </vt:variant>
      <vt:variant>
        <vt:i4>0</vt:i4>
      </vt:variant>
      <vt:variant>
        <vt:i4>5</vt:i4>
      </vt:variant>
      <vt:variant>
        <vt:lpwstr/>
      </vt:variant>
      <vt:variant>
        <vt:lpwstr>_ENREF_295</vt:lpwstr>
      </vt:variant>
      <vt:variant>
        <vt:i4>7798834</vt:i4>
      </vt:variant>
      <vt:variant>
        <vt:i4>2768</vt:i4>
      </vt:variant>
      <vt:variant>
        <vt:i4>0</vt:i4>
      </vt:variant>
      <vt:variant>
        <vt:i4>5</vt:i4>
      </vt:variant>
      <vt:variant>
        <vt:lpwstr/>
      </vt:variant>
      <vt:variant>
        <vt:lpwstr>_ENREF_294</vt:lpwstr>
      </vt:variant>
      <vt:variant>
        <vt:i4>7340082</vt:i4>
      </vt:variant>
      <vt:variant>
        <vt:i4>2762</vt:i4>
      </vt:variant>
      <vt:variant>
        <vt:i4>0</vt:i4>
      </vt:variant>
      <vt:variant>
        <vt:i4>5</vt:i4>
      </vt:variant>
      <vt:variant>
        <vt:lpwstr/>
      </vt:variant>
      <vt:variant>
        <vt:lpwstr>_ENREF_293</vt:lpwstr>
      </vt:variant>
      <vt:variant>
        <vt:i4>7602227</vt:i4>
      </vt:variant>
      <vt:variant>
        <vt:i4>2744</vt:i4>
      </vt:variant>
      <vt:variant>
        <vt:i4>0</vt:i4>
      </vt:variant>
      <vt:variant>
        <vt:i4>5</vt:i4>
      </vt:variant>
      <vt:variant>
        <vt:lpwstr/>
      </vt:variant>
      <vt:variant>
        <vt:lpwstr>_ENREF_287</vt:lpwstr>
      </vt:variant>
      <vt:variant>
        <vt:i4>7667763</vt:i4>
      </vt:variant>
      <vt:variant>
        <vt:i4>2738</vt:i4>
      </vt:variant>
      <vt:variant>
        <vt:i4>0</vt:i4>
      </vt:variant>
      <vt:variant>
        <vt:i4>5</vt:i4>
      </vt:variant>
      <vt:variant>
        <vt:lpwstr/>
      </vt:variant>
      <vt:variant>
        <vt:lpwstr>_ENREF_286</vt:lpwstr>
      </vt:variant>
      <vt:variant>
        <vt:i4>7405618</vt:i4>
      </vt:variant>
      <vt:variant>
        <vt:i4>2732</vt:i4>
      </vt:variant>
      <vt:variant>
        <vt:i4>0</vt:i4>
      </vt:variant>
      <vt:variant>
        <vt:i4>5</vt:i4>
      </vt:variant>
      <vt:variant>
        <vt:lpwstr/>
      </vt:variant>
      <vt:variant>
        <vt:lpwstr>_ENREF_292</vt:lpwstr>
      </vt:variant>
      <vt:variant>
        <vt:i4>7471154</vt:i4>
      </vt:variant>
      <vt:variant>
        <vt:i4>2726</vt:i4>
      </vt:variant>
      <vt:variant>
        <vt:i4>0</vt:i4>
      </vt:variant>
      <vt:variant>
        <vt:i4>5</vt:i4>
      </vt:variant>
      <vt:variant>
        <vt:lpwstr/>
      </vt:variant>
      <vt:variant>
        <vt:lpwstr>_ENREF_291</vt:lpwstr>
      </vt:variant>
      <vt:variant>
        <vt:i4>7536690</vt:i4>
      </vt:variant>
      <vt:variant>
        <vt:i4>2720</vt:i4>
      </vt:variant>
      <vt:variant>
        <vt:i4>0</vt:i4>
      </vt:variant>
      <vt:variant>
        <vt:i4>5</vt:i4>
      </vt:variant>
      <vt:variant>
        <vt:lpwstr/>
      </vt:variant>
      <vt:variant>
        <vt:lpwstr>_ENREF_290</vt:lpwstr>
      </vt:variant>
      <vt:variant>
        <vt:i4>7995443</vt:i4>
      </vt:variant>
      <vt:variant>
        <vt:i4>2714</vt:i4>
      </vt:variant>
      <vt:variant>
        <vt:i4>0</vt:i4>
      </vt:variant>
      <vt:variant>
        <vt:i4>5</vt:i4>
      </vt:variant>
      <vt:variant>
        <vt:lpwstr/>
      </vt:variant>
      <vt:variant>
        <vt:lpwstr>_ENREF_289</vt:lpwstr>
      </vt:variant>
      <vt:variant>
        <vt:i4>8060979</vt:i4>
      </vt:variant>
      <vt:variant>
        <vt:i4>2708</vt:i4>
      </vt:variant>
      <vt:variant>
        <vt:i4>0</vt:i4>
      </vt:variant>
      <vt:variant>
        <vt:i4>5</vt:i4>
      </vt:variant>
      <vt:variant>
        <vt:lpwstr/>
      </vt:variant>
      <vt:variant>
        <vt:lpwstr>_ENREF_288</vt:lpwstr>
      </vt:variant>
      <vt:variant>
        <vt:i4>7405619</vt:i4>
      </vt:variant>
      <vt:variant>
        <vt:i4>2702</vt:i4>
      </vt:variant>
      <vt:variant>
        <vt:i4>0</vt:i4>
      </vt:variant>
      <vt:variant>
        <vt:i4>5</vt:i4>
      </vt:variant>
      <vt:variant>
        <vt:lpwstr/>
      </vt:variant>
      <vt:variant>
        <vt:lpwstr>_ENREF_282</vt:lpwstr>
      </vt:variant>
      <vt:variant>
        <vt:i4>7602227</vt:i4>
      </vt:variant>
      <vt:variant>
        <vt:i4>2696</vt:i4>
      </vt:variant>
      <vt:variant>
        <vt:i4>0</vt:i4>
      </vt:variant>
      <vt:variant>
        <vt:i4>5</vt:i4>
      </vt:variant>
      <vt:variant>
        <vt:lpwstr/>
      </vt:variant>
      <vt:variant>
        <vt:lpwstr>_ENREF_287</vt:lpwstr>
      </vt:variant>
      <vt:variant>
        <vt:i4>7667763</vt:i4>
      </vt:variant>
      <vt:variant>
        <vt:i4>2690</vt:i4>
      </vt:variant>
      <vt:variant>
        <vt:i4>0</vt:i4>
      </vt:variant>
      <vt:variant>
        <vt:i4>5</vt:i4>
      </vt:variant>
      <vt:variant>
        <vt:lpwstr/>
      </vt:variant>
      <vt:variant>
        <vt:lpwstr>_ENREF_286</vt:lpwstr>
      </vt:variant>
      <vt:variant>
        <vt:i4>7733299</vt:i4>
      </vt:variant>
      <vt:variant>
        <vt:i4>2684</vt:i4>
      </vt:variant>
      <vt:variant>
        <vt:i4>0</vt:i4>
      </vt:variant>
      <vt:variant>
        <vt:i4>5</vt:i4>
      </vt:variant>
      <vt:variant>
        <vt:lpwstr/>
      </vt:variant>
      <vt:variant>
        <vt:lpwstr>_ENREF_285</vt:lpwstr>
      </vt:variant>
      <vt:variant>
        <vt:i4>7798835</vt:i4>
      </vt:variant>
      <vt:variant>
        <vt:i4>2678</vt:i4>
      </vt:variant>
      <vt:variant>
        <vt:i4>0</vt:i4>
      </vt:variant>
      <vt:variant>
        <vt:i4>5</vt:i4>
      </vt:variant>
      <vt:variant>
        <vt:lpwstr/>
      </vt:variant>
      <vt:variant>
        <vt:lpwstr>_ENREF_284</vt:lpwstr>
      </vt:variant>
      <vt:variant>
        <vt:i4>7340083</vt:i4>
      </vt:variant>
      <vt:variant>
        <vt:i4>2672</vt:i4>
      </vt:variant>
      <vt:variant>
        <vt:i4>0</vt:i4>
      </vt:variant>
      <vt:variant>
        <vt:i4>5</vt:i4>
      </vt:variant>
      <vt:variant>
        <vt:lpwstr/>
      </vt:variant>
      <vt:variant>
        <vt:lpwstr>_ENREF_283</vt:lpwstr>
      </vt:variant>
      <vt:variant>
        <vt:i4>7405619</vt:i4>
      </vt:variant>
      <vt:variant>
        <vt:i4>2666</vt:i4>
      </vt:variant>
      <vt:variant>
        <vt:i4>0</vt:i4>
      </vt:variant>
      <vt:variant>
        <vt:i4>5</vt:i4>
      </vt:variant>
      <vt:variant>
        <vt:lpwstr/>
      </vt:variant>
      <vt:variant>
        <vt:lpwstr>_ENREF_282</vt:lpwstr>
      </vt:variant>
      <vt:variant>
        <vt:i4>7471155</vt:i4>
      </vt:variant>
      <vt:variant>
        <vt:i4>2660</vt:i4>
      </vt:variant>
      <vt:variant>
        <vt:i4>0</vt:i4>
      </vt:variant>
      <vt:variant>
        <vt:i4>5</vt:i4>
      </vt:variant>
      <vt:variant>
        <vt:lpwstr/>
      </vt:variant>
      <vt:variant>
        <vt:lpwstr>_ENREF_281</vt:lpwstr>
      </vt:variant>
      <vt:variant>
        <vt:i4>7536691</vt:i4>
      </vt:variant>
      <vt:variant>
        <vt:i4>2654</vt:i4>
      </vt:variant>
      <vt:variant>
        <vt:i4>0</vt:i4>
      </vt:variant>
      <vt:variant>
        <vt:i4>5</vt:i4>
      </vt:variant>
      <vt:variant>
        <vt:lpwstr/>
      </vt:variant>
      <vt:variant>
        <vt:lpwstr>_ENREF_280</vt:lpwstr>
      </vt:variant>
      <vt:variant>
        <vt:i4>7995452</vt:i4>
      </vt:variant>
      <vt:variant>
        <vt:i4>2648</vt:i4>
      </vt:variant>
      <vt:variant>
        <vt:i4>0</vt:i4>
      </vt:variant>
      <vt:variant>
        <vt:i4>5</vt:i4>
      </vt:variant>
      <vt:variant>
        <vt:lpwstr/>
      </vt:variant>
      <vt:variant>
        <vt:lpwstr>_ENREF_279</vt:lpwstr>
      </vt:variant>
      <vt:variant>
        <vt:i4>8060988</vt:i4>
      </vt:variant>
      <vt:variant>
        <vt:i4>2636</vt:i4>
      </vt:variant>
      <vt:variant>
        <vt:i4>0</vt:i4>
      </vt:variant>
      <vt:variant>
        <vt:i4>5</vt:i4>
      </vt:variant>
      <vt:variant>
        <vt:lpwstr/>
      </vt:variant>
      <vt:variant>
        <vt:lpwstr>_ENREF_278</vt:lpwstr>
      </vt:variant>
      <vt:variant>
        <vt:i4>7602236</vt:i4>
      </vt:variant>
      <vt:variant>
        <vt:i4>2630</vt:i4>
      </vt:variant>
      <vt:variant>
        <vt:i4>0</vt:i4>
      </vt:variant>
      <vt:variant>
        <vt:i4>5</vt:i4>
      </vt:variant>
      <vt:variant>
        <vt:lpwstr/>
      </vt:variant>
      <vt:variant>
        <vt:lpwstr>_ENREF_277</vt:lpwstr>
      </vt:variant>
      <vt:variant>
        <vt:i4>7667772</vt:i4>
      </vt:variant>
      <vt:variant>
        <vt:i4>2624</vt:i4>
      </vt:variant>
      <vt:variant>
        <vt:i4>0</vt:i4>
      </vt:variant>
      <vt:variant>
        <vt:i4>5</vt:i4>
      </vt:variant>
      <vt:variant>
        <vt:lpwstr/>
      </vt:variant>
      <vt:variant>
        <vt:lpwstr>_ENREF_276</vt:lpwstr>
      </vt:variant>
      <vt:variant>
        <vt:i4>4784139</vt:i4>
      </vt:variant>
      <vt:variant>
        <vt:i4>2618</vt:i4>
      </vt:variant>
      <vt:variant>
        <vt:i4>0</vt:i4>
      </vt:variant>
      <vt:variant>
        <vt:i4>5</vt:i4>
      </vt:variant>
      <vt:variant>
        <vt:lpwstr/>
      </vt:variant>
      <vt:variant>
        <vt:lpwstr>_ENREF_8</vt:lpwstr>
      </vt:variant>
      <vt:variant>
        <vt:i4>7798844</vt:i4>
      </vt:variant>
      <vt:variant>
        <vt:i4>2612</vt:i4>
      </vt:variant>
      <vt:variant>
        <vt:i4>0</vt:i4>
      </vt:variant>
      <vt:variant>
        <vt:i4>5</vt:i4>
      </vt:variant>
      <vt:variant>
        <vt:lpwstr/>
      </vt:variant>
      <vt:variant>
        <vt:lpwstr>_ENREF_274</vt:lpwstr>
      </vt:variant>
      <vt:variant>
        <vt:i4>7733308</vt:i4>
      </vt:variant>
      <vt:variant>
        <vt:i4>2606</vt:i4>
      </vt:variant>
      <vt:variant>
        <vt:i4>0</vt:i4>
      </vt:variant>
      <vt:variant>
        <vt:i4>5</vt:i4>
      </vt:variant>
      <vt:variant>
        <vt:lpwstr/>
      </vt:variant>
      <vt:variant>
        <vt:lpwstr>_ENREF_275</vt:lpwstr>
      </vt:variant>
      <vt:variant>
        <vt:i4>7798844</vt:i4>
      </vt:variant>
      <vt:variant>
        <vt:i4>2600</vt:i4>
      </vt:variant>
      <vt:variant>
        <vt:i4>0</vt:i4>
      </vt:variant>
      <vt:variant>
        <vt:i4>5</vt:i4>
      </vt:variant>
      <vt:variant>
        <vt:lpwstr/>
      </vt:variant>
      <vt:variant>
        <vt:lpwstr>_ENREF_274</vt:lpwstr>
      </vt:variant>
      <vt:variant>
        <vt:i4>7340092</vt:i4>
      </vt:variant>
      <vt:variant>
        <vt:i4>2594</vt:i4>
      </vt:variant>
      <vt:variant>
        <vt:i4>0</vt:i4>
      </vt:variant>
      <vt:variant>
        <vt:i4>5</vt:i4>
      </vt:variant>
      <vt:variant>
        <vt:lpwstr/>
      </vt:variant>
      <vt:variant>
        <vt:lpwstr>_ENREF_273</vt:lpwstr>
      </vt:variant>
      <vt:variant>
        <vt:i4>7405628</vt:i4>
      </vt:variant>
      <vt:variant>
        <vt:i4>2588</vt:i4>
      </vt:variant>
      <vt:variant>
        <vt:i4>0</vt:i4>
      </vt:variant>
      <vt:variant>
        <vt:i4>5</vt:i4>
      </vt:variant>
      <vt:variant>
        <vt:lpwstr/>
      </vt:variant>
      <vt:variant>
        <vt:lpwstr>_ENREF_272</vt:lpwstr>
      </vt:variant>
      <vt:variant>
        <vt:i4>4325387</vt:i4>
      </vt:variant>
      <vt:variant>
        <vt:i4>2582</vt:i4>
      </vt:variant>
      <vt:variant>
        <vt:i4>0</vt:i4>
      </vt:variant>
      <vt:variant>
        <vt:i4>5</vt:i4>
      </vt:variant>
      <vt:variant>
        <vt:lpwstr/>
      </vt:variant>
      <vt:variant>
        <vt:lpwstr>_ENREF_36</vt:lpwstr>
      </vt:variant>
      <vt:variant>
        <vt:i4>4521995</vt:i4>
      </vt:variant>
      <vt:variant>
        <vt:i4>2576</vt:i4>
      </vt:variant>
      <vt:variant>
        <vt:i4>0</vt:i4>
      </vt:variant>
      <vt:variant>
        <vt:i4>5</vt:i4>
      </vt:variant>
      <vt:variant>
        <vt:lpwstr/>
      </vt:variant>
      <vt:variant>
        <vt:lpwstr>_ENREF_41</vt:lpwstr>
      </vt:variant>
      <vt:variant>
        <vt:i4>4521995</vt:i4>
      </vt:variant>
      <vt:variant>
        <vt:i4>2570</vt:i4>
      </vt:variant>
      <vt:variant>
        <vt:i4>0</vt:i4>
      </vt:variant>
      <vt:variant>
        <vt:i4>5</vt:i4>
      </vt:variant>
      <vt:variant>
        <vt:lpwstr/>
      </vt:variant>
      <vt:variant>
        <vt:lpwstr>_ENREF_40</vt:lpwstr>
      </vt:variant>
      <vt:variant>
        <vt:i4>4325387</vt:i4>
      </vt:variant>
      <vt:variant>
        <vt:i4>2564</vt:i4>
      </vt:variant>
      <vt:variant>
        <vt:i4>0</vt:i4>
      </vt:variant>
      <vt:variant>
        <vt:i4>5</vt:i4>
      </vt:variant>
      <vt:variant>
        <vt:lpwstr/>
      </vt:variant>
      <vt:variant>
        <vt:lpwstr>_ENREF_39</vt:lpwstr>
      </vt:variant>
      <vt:variant>
        <vt:i4>7471164</vt:i4>
      </vt:variant>
      <vt:variant>
        <vt:i4>2555</vt:i4>
      </vt:variant>
      <vt:variant>
        <vt:i4>0</vt:i4>
      </vt:variant>
      <vt:variant>
        <vt:i4>5</vt:i4>
      </vt:variant>
      <vt:variant>
        <vt:lpwstr/>
      </vt:variant>
      <vt:variant>
        <vt:lpwstr>_ENREF_271</vt:lpwstr>
      </vt:variant>
      <vt:variant>
        <vt:i4>7995453</vt:i4>
      </vt:variant>
      <vt:variant>
        <vt:i4>2549</vt:i4>
      </vt:variant>
      <vt:variant>
        <vt:i4>0</vt:i4>
      </vt:variant>
      <vt:variant>
        <vt:i4>5</vt:i4>
      </vt:variant>
      <vt:variant>
        <vt:lpwstr/>
      </vt:variant>
      <vt:variant>
        <vt:lpwstr>_ENREF_269</vt:lpwstr>
      </vt:variant>
      <vt:variant>
        <vt:i4>7536699</vt:i4>
      </vt:variant>
      <vt:variant>
        <vt:i4>2540</vt:i4>
      </vt:variant>
      <vt:variant>
        <vt:i4>0</vt:i4>
      </vt:variant>
      <vt:variant>
        <vt:i4>5</vt:i4>
      </vt:variant>
      <vt:variant>
        <vt:lpwstr/>
      </vt:variant>
      <vt:variant>
        <vt:lpwstr>_ENREF_200</vt:lpwstr>
      </vt:variant>
      <vt:variant>
        <vt:i4>7536700</vt:i4>
      </vt:variant>
      <vt:variant>
        <vt:i4>2534</vt:i4>
      </vt:variant>
      <vt:variant>
        <vt:i4>0</vt:i4>
      </vt:variant>
      <vt:variant>
        <vt:i4>5</vt:i4>
      </vt:variant>
      <vt:variant>
        <vt:lpwstr/>
      </vt:variant>
      <vt:variant>
        <vt:lpwstr>_ENREF_270</vt:lpwstr>
      </vt:variant>
      <vt:variant>
        <vt:i4>7995453</vt:i4>
      </vt:variant>
      <vt:variant>
        <vt:i4>2528</vt:i4>
      </vt:variant>
      <vt:variant>
        <vt:i4>0</vt:i4>
      </vt:variant>
      <vt:variant>
        <vt:i4>5</vt:i4>
      </vt:variant>
      <vt:variant>
        <vt:lpwstr/>
      </vt:variant>
      <vt:variant>
        <vt:lpwstr>_ENREF_269</vt:lpwstr>
      </vt:variant>
      <vt:variant>
        <vt:i4>8060989</vt:i4>
      </vt:variant>
      <vt:variant>
        <vt:i4>2522</vt:i4>
      </vt:variant>
      <vt:variant>
        <vt:i4>0</vt:i4>
      </vt:variant>
      <vt:variant>
        <vt:i4>5</vt:i4>
      </vt:variant>
      <vt:variant>
        <vt:lpwstr/>
      </vt:variant>
      <vt:variant>
        <vt:lpwstr>_ENREF_268</vt:lpwstr>
      </vt:variant>
      <vt:variant>
        <vt:i4>7602237</vt:i4>
      </vt:variant>
      <vt:variant>
        <vt:i4>2516</vt:i4>
      </vt:variant>
      <vt:variant>
        <vt:i4>0</vt:i4>
      </vt:variant>
      <vt:variant>
        <vt:i4>5</vt:i4>
      </vt:variant>
      <vt:variant>
        <vt:lpwstr/>
      </vt:variant>
      <vt:variant>
        <vt:lpwstr>_ENREF_267</vt:lpwstr>
      </vt:variant>
      <vt:variant>
        <vt:i4>7667773</vt:i4>
      </vt:variant>
      <vt:variant>
        <vt:i4>2510</vt:i4>
      </vt:variant>
      <vt:variant>
        <vt:i4>0</vt:i4>
      </vt:variant>
      <vt:variant>
        <vt:i4>5</vt:i4>
      </vt:variant>
      <vt:variant>
        <vt:lpwstr/>
      </vt:variant>
      <vt:variant>
        <vt:lpwstr>_ENREF_266</vt:lpwstr>
      </vt:variant>
      <vt:variant>
        <vt:i4>7536699</vt:i4>
      </vt:variant>
      <vt:variant>
        <vt:i4>2504</vt:i4>
      </vt:variant>
      <vt:variant>
        <vt:i4>0</vt:i4>
      </vt:variant>
      <vt:variant>
        <vt:i4>5</vt:i4>
      </vt:variant>
      <vt:variant>
        <vt:lpwstr/>
      </vt:variant>
      <vt:variant>
        <vt:lpwstr>_ENREF_200</vt:lpwstr>
      </vt:variant>
      <vt:variant>
        <vt:i4>7733309</vt:i4>
      </vt:variant>
      <vt:variant>
        <vt:i4>2498</vt:i4>
      </vt:variant>
      <vt:variant>
        <vt:i4>0</vt:i4>
      </vt:variant>
      <vt:variant>
        <vt:i4>5</vt:i4>
      </vt:variant>
      <vt:variant>
        <vt:lpwstr/>
      </vt:variant>
      <vt:variant>
        <vt:lpwstr>_ENREF_265</vt:lpwstr>
      </vt:variant>
      <vt:variant>
        <vt:i4>7798845</vt:i4>
      </vt:variant>
      <vt:variant>
        <vt:i4>2492</vt:i4>
      </vt:variant>
      <vt:variant>
        <vt:i4>0</vt:i4>
      </vt:variant>
      <vt:variant>
        <vt:i4>5</vt:i4>
      </vt:variant>
      <vt:variant>
        <vt:lpwstr/>
      </vt:variant>
      <vt:variant>
        <vt:lpwstr>_ENREF_264</vt:lpwstr>
      </vt:variant>
      <vt:variant>
        <vt:i4>7340093</vt:i4>
      </vt:variant>
      <vt:variant>
        <vt:i4>2486</vt:i4>
      </vt:variant>
      <vt:variant>
        <vt:i4>0</vt:i4>
      </vt:variant>
      <vt:variant>
        <vt:i4>5</vt:i4>
      </vt:variant>
      <vt:variant>
        <vt:lpwstr/>
      </vt:variant>
      <vt:variant>
        <vt:lpwstr>_ENREF_263</vt:lpwstr>
      </vt:variant>
      <vt:variant>
        <vt:i4>7405629</vt:i4>
      </vt:variant>
      <vt:variant>
        <vt:i4>2480</vt:i4>
      </vt:variant>
      <vt:variant>
        <vt:i4>0</vt:i4>
      </vt:variant>
      <vt:variant>
        <vt:i4>5</vt:i4>
      </vt:variant>
      <vt:variant>
        <vt:lpwstr/>
      </vt:variant>
      <vt:variant>
        <vt:lpwstr>_ENREF_262</vt:lpwstr>
      </vt:variant>
      <vt:variant>
        <vt:i4>7471165</vt:i4>
      </vt:variant>
      <vt:variant>
        <vt:i4>2474</vt:i4>
      </vt:variant>
      <vt:variant>
        <vt:i4>0</vt:i4>
      </vt:variant>
      <vt:variant>
        <vt:i4>5</vt:i4>
      </vt:variant>
      <vt:variant>
        <vt:lpwstr/>
      </vt:variant>
      <vt:variant>
        <vt:lpwstr>_ENREF_261</vt:lpwstr>
      </vt:variant>
      <vt:variant>
        <vt:i4>7536701</vt:i4>
      </vt:variant>
      <vt:variant>
        <vt:i4>2468</vt:i4>
      </vt:variant>
      <vt:variant>
        <vt:i4>0</vt:i4>
      </vt:variant>
      <vt:variant>
        <vt:i4>5</vt:i4>
      </vt:variant>
      <vt:variant>
        <vt:lpwstr/>
      </vt:variant>
      <vt:variant>
        <vt:lpwstr>_ENREF_260</vt:lpwstr>
      </vt:variant>
      <vt:variant>
        <vt:i4>7995454</vt:i4>
      </vt:variant>
      <vt:variant>
        <vt:i4>2454</vt:i4>
      </vt:variant>
      <vt:variant>
        <vt:i4>0</vt:i4>
      </vt:variant>
      <vt:variant>
        <vt:i4>5</vt:i4>
      </vt:variant>
      <vt:variant>
        <vt:lpwstr/>
      </vt:variant>
      <vt:variant>
        <vt:lpwstr>_ENREF_259</vt:lpwstr>
      </vt:variant>
      <vt:variant>
        <vt:i4>8060990</vt:i4>
      </vt:variant>
      <vt:variant>
        <vt:i4>2442</vt:i4>
      </vt:variant>
      <vt:variant>
        <vt:i4>0</vt:i4>
      </vt:variant>
      <vt:variant>
        <vt:i4>5</vt:i4>
      </vt:variant>
      <vt:variant>
        <vt:lpwstr/>
      </vt:variant>
      <vt:variant>
        <vt:lpwstr>_ENREF_258</vt:lpwstr>
      </vt:variant>
      <vt:variant>
        <vt:i4>7602238</vt:i4>
      </vt:variant>
      <vt:variant>
        <vt:i4>2436</vt:i4>
      </vt:variant>
      <vt:variant>
        <vt:i4>0</vt:i4>
      </vt:variant>
      <vt:variant>
        <vt:i4>5</vt:i4>
      </vt:variant>
      <vt:variant>
        <vt:lpwstr/>
      </vt:variant>
      <vt:variant>
        <vt:lpwstr>_ENREF_257</vt:lpwstr>
      </vt:variant>
      <vt:variant>
        <vt:i4>7667774</vt:i4>
      </vt:variant>
      <vt:variant>
        <vt:i4>2430</vt:i4>
      </vt:variant>
      <vt:variant>
        <vt:i4>0</vt:i4>
      </vt:variant>
      <vt:variant>
        <vt:i4>5</vt:i4>
      </vt:variant>
      <vt:variant>
        <vt:lpwstr/>
      </vt:variant>
      <vt:variant>
        <vt:lpwstr>_ENREF_256</vt:lpwstr>
      </vt:variant>
      <vt:variant>
        <vt:i4>7733310</vt:i4>
      </vt:variant>
      <vt:variant>
        <vt:i4>2424</vt:i4>
      </vt:variant>
      <vt:variant>
        <vt:i4>0</vt:i4>
      </vt:variant>
      <vt:variant>
        <vt:i4>5</vt:i4>
      </vt:variant>
      <vt:variant>
        <vt:lpwstr/>
      </vt:variant>
      <vt:variant>
        <vt:lpwstr>_ENREF_255</vt:lpwstr>
      </vt:variant>
      <vt:variant>
        <vt:i4>7798846</vt:i4>
      </vt:variant>
      <vt:variant>
        <vt:i4>2418</vt:i4>
      </vt:variant>
      <vt:variant>
        <vt:i4>0</vt:i4>
      </vt:variant>
      <vt:variant>
        <vt:i4>5</vt:i4>
      </vt:variant>
      <vt:variant>
        <vt:lpwstr/>
      </vt:variant>
      <vt:variant>
        <vt:lpwstr>_ENREF_254</vt:lpwstr>
      </vt:variant>
      <vt:variant>
        <vt:i4>7536703</vt:i4>
      </vt:variant>
      <vt:variant>
        <vt:i4>2412</vt:i4>
      </vt:variant>
      <vt:variant>
        <vt:i4>0</vt:i4>
      </vt:variant>
      <vt:variant>
        <vt:i4>5</vt:i4>
      </vt:variant>
      <vt:variant>
        <vt:lpwstr/>
      </vt:variant>
      <vt:variant>
        <vt:lpwstr>_ENREF_240</vt:lpwstr>
      </vt:variant>
      <vt:variant>
        <vt:i4>7536697</vt:i4>
      </vt:variant>
      <vt:variant>
        <vt:i4>2406</vt:i4>
      </vt:variant>
      <vt:variant>
        <vt:i4>0</vt:i4>
      </vt:variant>
      <vt:variant>
        <vt:i4>5</vt:i4>
      </vt:variant>
      <vt:variant>
        <vt:lpwstr/>
      </vt:variant>
      <vt:variant>
        <vt:lpwstr>_ENREF_220</vt:lpwstr>
      </vt:variant>
      <vt:variant>
        <vt:i4>7798840</vt:i4>
      </vt:variant>
      <vt:variant>
        <vt:i4>2400</vt:i4>
      </vt:variant>
      <vt:variant>
        <vt:i4>0</vt:i4>
      </vt:variant>
      <vt:variant>
        <vt:i4>5</vt:i4>
      </vt:variant>
      <vt:variant>
        <vt:lpwstr/>
      </vt:variant>
      <vt:variant>
        <vt:lpwstr>_ENREF_234</vt:lpwstr>
      </vt:variant>
      <vt:variant>
        <vt:i4>7798840</vt:i4>
      </vt:variant>
      <vt:variant>
        <vt:i4>2388</vt:i4>
      </vt:variant>
      <vt:variant>
        <vt:i4>0</vt:i4>
      </vt:variant>
      <vt:variant>
        <vt:i4>5</vt:i4>
      </vt:variant>
      <vt:variant>
        <vt:lpwstr/>
      </vt:variant>
      <vt:variant>
        <vt:lpwstr>_ENREF_234</vt:lpwstr>
      </vt:variant>
      <vt:variant>
        <vt:i4>7340094</vt:i4>
      </vt:variant>
      <vt:variant>
        <vt:i4>2382</vt:i4>
      </vt:variant>
      <vt:variant>
        <vt:i4>0</vt:i4>
      </vt:variant>
      <vt:variant>
        <vt:i4>5</vt:i4>
      </vt:variant>
      <vt:variant>
        <vt:lpwstr/>
      </vt:variant>
      <vt:variant>
        <vt:lpwstr>_ENREF_253</vt:lpwstr>
      </vt:variant>
      <vt:variant>
        <vt:i4>7340088</vt:i4>
      </vt:variant>
      <vt:variant>
        <vt:i4>2376</vt:i4>
      </vt:variant>
      <vt:variant>
        <vt:i4>0</vt:i4>
      </vt:variant>
      <vt:variant>
        <vt:i4>5</vt:i4>
      </vt:variant>
      <vt:variant>
        <vt:lpwstr/>
      </vt:variant>
      <vt:variant>
        <vt:lpwstr>_ENREF_233</vt:lpwstr>
      </vt:variant>
      <vt:variant>
        <vt:i4>7405630</vt:i4>
      </vt:variant>
      <vt:variant>
        <vt:i4>2367</vt:i4>
      </vt:variant>
      <vt:variant>
        <vt:i4>0</vt:i4>
      </vt:variant>
      <vt:variant>
        <vt:i4>5</vt:i4>
      </vt:variant>
      <vt:variant>
        <vt:lpwstr/>
      </vt:variant>
      <vt:variant>
        <vt:lpwstr>_ENREF_252</vt:lpwstr>
      </vt:variant>
      <vt:variant>
        <vt:i4>7471166</vt:i4>
      </vt:variant>
      <vt:variant>
        <vt:i4>2361</vt:i4>
      </vt:variant>
      <vt:variant>
        <vt:i4>0</vt:i4>
      </vt:variant>
      <vt:variant>
        <vt:i4>5</vt:i4>
      </vt:variant>
      <vt:variant>
        <vt:lpwstr/>
      </vt:variant>
      <vt:variant>
        <vt:lpwstr>_ENREF_251</vt:lpwstr>
      </vt:variant>
      <vt:variant>
        <vt:i4>7536702</vt:i4>
      </vt:variant>
      <vt:variant>
        <vt:i4>2352</vt:i4>
      </vt:variant>
      <vt:variant>
        <vt:i4>0</vt:i4>
      </vt:variant>
      <vt:variant>
        <vt:i4>5</vt:i4>
      </vt:variant>
      <vt:variant>
        <vt:lpwstr/>
      </vt:variant>
      <vt:variant>
        <vt:lpwstr>_ENREF_250</vt:lpwstr>
      </vt:variant>
      <vt:variant>
        <vt:i4>7995455</vt:i4>
      </vt:variant>
      <vt:variant>
        <vt:i4>2344</vt:i4>
      </vt:variant>
      <vt:variant>
        <vt:i4>0</vt:i4>
      </vt:variant>
      <vt:variant>
        <vt:i4>5</vt:i4>
      </vt:variant>
      <vt:variant>
        <vt:lpwstr/>
      </vt:variant>
      <vt:variant>
        <vt:lpwstr>_ENREF_249</vt:lpwstr>
      </vt:variant>
      <vt:variant>
        <vt:i4>8060991</vt:i4>
      </vt:variant>
      <vt:variant>
        <vt:i4>2338</vt:i4>
      </vt:variant>
      <vt:variant>
        <vt:i4>0</vt:i4>
      </vt:variant>
      <vt:variant>
        <vt:i4>5</vt:i4>
      </vt:variant>
      <vt:variant>
        <vt:lpwstr/>
      </vt:variant>
      <vt:variant>
        <vt:lpwstr>_ENREF_248</vt:lpwstr>
      </vt:variant>
      <vt:variant>
        <vt:i4>7602239</vt:i4>
      </vt:variant>
      <vt:variant>
        <vt:i4>2332</vt:i4>
      </vt:variant>
      <vt:variant>
        <vt:i4>0</vt:i4>
      </vt:variant>
      <vt:variant>
        <vt:i4>5</vt:i4>
      </vt:variant>
      <vt:variant>
        <vt:lpwstr/>
      </vt:variant>
      <vt:variant>
        <vt:lpwstr>_ENREF_247</vt:lpwstr>
      </vt:variant>
      <vt:variant>
        <vt:i4>4194315</vt:i4>
      </vt:variant>
      <vt:variant>
        <vt:i4>2326</vt:i4>
      </vt:variant>
      <vt:variant>
        <vt:i4>0</vt:i4>
      </vt:variant>
      <vt:variant>
        <vt:i4>5</vt:i4>
      </vt:variant>
      <vt:variant>
        <vt:lpwstr/>
      </vt:variant>
      <vt:variant>
        <vt:lpwstr>_ENREF_10</vt:lpwstr>
      </vt:variant>
      <vt:variant>
        <vt:i4>7667775</vt:i4>
      </vt:variant>
      <vt:variant>
        <vt:i4>2320</vt:i4>
      </vt:variant>
      <vt:variant>
        <vt:i4>0</vt:i4>
      </vt:variant>
      <vt:variant>
        <vt:i4>5</vt:i4>
      </vt:variant>
      <vt:variant>
        <vt:lpwstr/>
      </vt:variant>
      <vt:variant>
        <vt:lpwstr>_ENREF_246</vt:lpwstr>
      </vt:variant>
      <vt:variant>
        <vt:i4>7733311</vt:i4>
      </vt:variant>
      <vt:variant>
        <vt:i4>2314</vt:i4>
      </vt:variant>
      <vt:variant>
        <vt:i4>0</vt:i4>
      </vt:variant>
      <vt:variant>
        <vt:i4>5</vt:i4>
      </vt:variant>
      <vt:variant>
        <vt:lpwstr/>
      </vt:variant>
      <vt:variant>
        <vt:lpwstr>_ENREF_245</vt:lpwstr>
      </vt:variant>
      <vt:variant>
        <vt:i4>7798840</vt:i4>
      </vt:variant>
      <vt:variant>
        <vt:i4>2308</vt:i4>
      </vt:variant>
      <vt:variant>
        <vt:i4>0</vt:i4>
      </vt:variant>
      <vt:variant>
        <vt:i4>5</vt:i4>
      </vt:variant>
      <vt:variant>
        <vt:lpwstr/>
      </vt:variant>
      <vt:variant>
        <vt:lpwstr>_ENREF_234</vt:lpwstr>
      </vt:variant>
      <vt:variant>
        <vt:i4>7995448</vt:i4>
      </vt:variant>
      <vt:variant>
        <vt:i4>2302</vt:i4>
      </vt:variant>
      <vt:variant>
        <vt:i4>0</vt:i4>
      </vt:variant>
      <vt:variant>
        <vt:i4>5</vt:i4>
      </vt:variant>
      <vt:variant>
        <vt:lpwstr/>
      </vt:variant>
      <vt:variant>
        <vt:lpwstr>_ENREF_239</vt:lpwstr>
      </vt:variant>
      <vt:variant>
        <vt:i4>7798847</vt:i4>
      </vt:variant>
      <vt:variant>
        <vt:i4>2290</vt:i4>
      </vt:variant>
      <vt:variant>
        <vt:i4>0</vt:i4>
      </vt:variant>
      <vt:variant>
        <vt:i4>5</vt:i4>
      </vt:variant>
      <vt:variant>
        <vt:lpwstr/>
      </vt:variant>
      <vt:variant>
        <vt:lpwstr>_ENREF_244</vt:lpwstr>
      </vt:variant>
      <vt:variant>
        <vt:i4>7340095</vt:i4>
      </vt:variant>
      <vt:variant>
        <vt:i4>2284</vt:i4>
      </vt:variant>
      <vt:variant>
        <vt:i4>0</vt:i4>
      </vt:variant>
      <vt:variant>
        <vt:i4>5</vt:i4>
      </vt:variant>
      <vt:variant>
        <vt:lpwstr/>
      </vt:variant>
      <vt:variant>
        <vt:lpwstr>_ENREF_243</vt:lpwstr>
      </vt:variant>
      <vt:variant>
        <vt:i4>7405631</vt:i4>
      </vt:variant>
      <vt:variant>
        <vt:i4>2278</vt:i4>
      </vt:variant>
      <vt:variant>
        <vt:i4>0</vt:i4>
      </vt:variant>
      <vt:variant>
        <vt:i4>5</vt:i4>
      </vt:variant>
      <vt:variant>
        <vt:lpwstr/>
      </vt:variant>
      <vt:variant>
        <vt:lpwstr>_ENREF_242</vt:lpwstr>
      </vt:variant>
      <vt:variant>
        <vt:i4>7471167</vt:i4>
      </vt:variant>
      <vt:variant>
        <vt:i4>2272</vt:i4>
      </vt:variant>
      <vt:variant>
        <vt:i4>0</vt:i4>
      </vt:variant>
      <vt:variant>
        <vt:i4>5</vt:i4>
      </vt:variant>
      <vt:variant>
        <vt:lpwstr/>
      </vt:variant>
      <vt:variant>
        <vt:lpwstr>_ENREF_241</vt:lpwstr>
      </vt:variant>
      <vt:variant>
        <vt:i4>7536703</vt:i4>
      </vt:variant>
      <vt:variant>
        <vt:i4>2266</vt:i4>
      </vt:variant>
      <vt:variant>
        <vt:i4>0</vt:i4>
      </vt:variant>
      <vt:variant>
        <vt:i4>5</vt:i4>
      </vt:variant>
      <vt:variant>
        <vt:lpwstr/>
      </vt:variant>
      <vt:variant>
        <vt:lpwstr>_ENREF_240</vt:lpwstr>
      </vt:variant>
      <vt:variant>
        <vt:i4>7995448</vt:i4>
      </vt:variant>
      <vt:variant>
        <vt:i4>2260</vt:i4>
      </vt:variant>
      <vt:variant>
        <vt:i4>0</vt:i4>
      </vt:variant>
      <vt:variant>
        <vt:i4>5</vt:i4>
      </vt:variant>
      <vt:variant>
        <vt:lpwstr/>
      </vt:variant>
      <vt:variant>
        <vt:lpwstr>_ENREF_239</vt:lpwstr>
      </vt:variant>
      <vt:variant>
        <vt:i4>7471161</vt:i4>
      </vt:variant>
      <vt:variant>
        <vt:i4>2254</vt:i4>
      </vt:variant>
      <vt:variant>
        <vt:i4>0</vt:i4>
      </vt:variant>
      <vt:variant>
        <vt:i4>5</vt:i4>
      </vt:variant>
      <vt:variant>
        <vt:lpwstr/>
      </vt:variant>
      <vt:variant>
        <vt:lpwstr>_ENREF_221</vt:lpwstr>
      </vt:variant>
      <vt:variant>
        <vt:i4>8060984</vt:i4>
      </vt:variant>
      <vt:variant>
        <vt:i4>2248</vt:i4>
      </vt:variant>
      <vt:variant>
        <vt:i4>0</vt:i4>
      </vt:variant>
      <vt:variant>
        <vt:i4>5</vt:i4>
      </vt:variant>
      <vt:variant>
        <vt:lpwstr/>
      </vt:variant>
      <vt:variant>
        <vt:lpwstr>_ENREF_238</vt:lpwstr>
      </vt:variant>
      <vt:variant>
        <vt:i4>7602232</vt:i4>
      </vt:variant>
      <vt:variant>
        <vt:i4>2242</vt:i4>
      </vt:variant>
      <vt:variant>
        <vt:i4>0</vt:i4>
      </vt:variant>
      <vt:variant>
        <vt:i4>5</vt:i4>
      </vt:variant>
      <vt:variant>
        <vt:lpwstr/>
      </vt:variant>
      <vt:variant>
        <vt:lpwstr>_ENREF_237</vt:lpwstr>
      </vt:variant>
      <vt:variant>
        <vt:i4>7667768</vt:i4>
      </vt:variant>
      <vt:variant>
        <vt:i4>2236</vt:i4>
      </vt:variant>
      <vt:variant>
        <vt:i4>0</vt:i4>
      </vt:variant>
      <vt:variant>
        <vt:i4>5</vt:i4>
      </vt:variant>
      <vt:variant>
        <vt:lpwstr/>
      </vt:variant>
      <vt:variant>
        <vt:lpwstr>_ENREF_236</vt:lpwstr>
      </vt:variant>
      <vt:variant>
        <vt:i4>7667768</vt:i4>
      </vt:variant>
      <vt:variant>
        <vt:i4>2230</vt:i4>
      </vt:variant>
      <vt:variant>
        <vt:i4>0</vt:i4>
      </vt:variant>
      <vt:variant>
        <vt:i4>5</vt:i4>
      </vt:variant>
      <vt:variant>
        <vt:lpwstr/>
      </vt:variant>
      <vt:variant>
        <vt:lpwstr>_ENREF_236</vt:lpwstr>
      </vt:variant>
      <vt:variant>
        <vt:i4>7733304</vt:i4>
      </vt:variant>
      <vt:variant>
        <vt:i4>2224</vt:i4>
      </vt:variant>
      <vt:variant>
        <vt:i4>0</vt:i4>
      </vt:variant>
      <vt:variant>
        <vt:i4>5</vt:i4>
      </vt:variant>
      <vt:variant>
        <vt:lpwstr/>
      </vt:variant>
      <vt:variant>
        <vt:lpwstr>_ENREF_235</vt:lpwstr>
      </vt:variant>
      <vt:variant>
        <vt:i4>7798840</vt:i4>
      </vt:variant>
      <vt:variant>
        <vt:i4>2218</vt:i4>
      </vt:variant>
      <vt:variant>
        <vt:i4>0</vt:i4>
      </vt:variant>
      <vt:variant>
        <vt:i4>5</vt:i4>
      </vt:variant>
      <vt:variant>
        <vt:lpwstr/>
      </vt:variant>
      <vt:variant>
        <vt:lpwstr>_ENREF_234</vt:lpwstr>
      </vt:variant>
      <vt:variant>
        <vt:i4>7798840</vt:i4>
      </vt:variant>
      <vt:variant>
        <vt:i4>2212</vt:i4>
      </vt:variant>
      <vt:variant>
        <vt:i4>0</vt:i4>
      </vt:variant>
      <vt:variant>
        <vt:i4>5</vt:i4>
      </vt:variant>
      <vt:variant>
        <vt:lpwstr/>
      </vt:variant>
      <vt:variant>
        <vt:lpwstr>_ENREF_234</vt:lpwstr>
      </vt:variant>
      <vt:variant>
        <vt:i4>7340088</vt:i4>
      </vt:variant>
      <vt:variant>
        <vt:i4>2206</vt:i4>
      </vt:variant>
      <vt:variant>
        <vt:i4>0</vt:i4>
      </vt:variant>
      <vt:variant>
        <vt:i4>5</vt:i4>
      </vt:variant>
      <vt:variant>
        <vt:lpwstr/>
      </vt:variant>
      <vt:variant>
        <vt:lpwstr>_ENREF_233</vt:lpwstr>
      </vt:variant>
      <vt:variant>
        <vt:i4>7405624</vt:i4>
      </vt:variant>
      <vt:variant>
        <vt:i4>2194</vt:i4>
      </vt:variant>
      <vt:variant>
        <vt:i4>0</vt:i4>
      </vt:variant>
      <vt:variant>
        <vt:i4>5</vt:i4>
      </vt:variant>
      <vt:variant>
        <vt:lpwstr/>
      </vt:variant>
      <vt:variant>
        <vt:lpwstr>_ENREF_232</vt:lpwstr>
      </vt:variant>
      <vt:variant>
        <vt:i4>4390923</vt:i4>
      </vt:variant>
      <vt:variant>
        <vt:i4>2188</vt:i4>
      </vt:variant>
      <vt:variant>
        <vt:i4>0</vt:i4>
      </vt:variant>
      <vt:variant>
        <vt:i4>5</vt:i4>
      </vt:variant>
      <vt:variant>
        <vt:lpwstr/>
      </vt:variant>
      <vt:variant>
        <vt:lpwstr>_ENREF_21</vt:lpwstr>
      </vt:variant>
      <vt:variant>
        <vt:i4>7471160</vt:i4>
      </vt:variant>
      <vt:variant>
        <vt:i4>2182</vt:i4>
      </vt:variant>
      <vt:variant>
        <vt:i4>0</vt:i4>
      </vt:variant>
      <vt:variant>
        <vt:i4>5</vt:i4>
      </vt:variant>
      <vt:variant>
        <vt:lpwstr/>
      </vt:variant>
      <vt:variant>
        <vt:lpwstr>_ENREF_231</vt:lpwstr>
      </vt:variant>
      <vt:variant>
        <vt:i4>7536696</vt:i4>
      </vt:variant>
      <vt:variant>
        <vt:i4>2176</vt:i4>
      </vt:variant>
      <vt:variant>
        <vt:i4>0</vt:i4>
      </vt:variant>
      <vt:variant>
        <vt:i4>5</vt:i4>
      </vt:variant>
      <vt:variant>
        <vt:lpwstr/>
      </vt:variant>
      <vt:variant>
        <vt:lpwstr>_ENREF_230</vt:lpwstr>
      </vt:variant>
      <vt:variant>
        <vt:i4>7995449</vt:i4>
      </vt:variant>
      <vt:variant>
        <vt:i4>2170</vt:i4>
      </vt:variant>
      <vt:variant>
        <vt:i4>0</vt:i4>
      </vt:variant>
      <vt:variant>
        <vt:i4>5</vt:i4>
      </vt:variant>
      <vt:variant>
        <vt:lpwstr/>
      </vt:variant>
      <vt:variant>
        <vt:lpwstr>_ENREF_229</vt:lpwstr>
      </vt:variant>
      <vt:variant>
        <vt:i4>8060985</vt:i4>
      </vt:variant>
      <vt:variant>
        <vt:i4>2164</vt:i4>
      </vt:variant>
      <vt:variant>
        <vt:i4>0</vt:i4>
      </vt:variant>
      <vt:variant>
        <vt:i4>5</vt:i4>
      </vt:variant>
      <vt:variant>
        <vt:lpwstr/>
      </vt:variant>
      <vt:variant>
        <vt:lpwstr>_ENREF_228</vt:lpwstr>
      </vt:variant>
      <vt:variant>
        <vt:i4>7602233</vt:i4>
      </vt:variant>
      <vt:variant>
        <vt:i4>2158</vt:i4>
      </vt:variant>
      <vt:variant>
        <vt:i4>0</vt:i4>
      </vt:variant>
      <vt:variant>
        <vt:i4>5</vt:i4>
      </vt:variant>
      <vt:variant>
        <vt:lpwstr/>
      </vt:variant>
      <vt:variant>
        <vt:lpwstr>_ENREF_227</vt:lpwstr>
      </vt:variant>
      <vt:variant>
        <vt:i4>7733306</vt:i4>
      </vt:variant>
      <vt:variant>
        <vt:i4>2152</vt:i4>
      </vt:variant>
      <vt:variant>
        <vt:i4>0</vt:i4>
      </vt:variant>
      <vt:variant>
        <vt:i4>5</vt:i4>
      </vt:variant>
      <vt:variant>
        <vt:lpwstr/>
      </vt:variant>
      <vt:variant>
        <vt:lpwstr>_ENREF_215</vt:lpwstr>
      </vt:variant>
      <vt:variant>
        <vt:i4>7667769</vt:i4>
      </vt:variant>
      <vt:variant>
        <vt:i4>2146</vt:i4>
      </vt:variant>
      <vt:variant>
        <vt:i4>0</vt:i4>
      </vt:variant>
      <vt:variant>
        <vt:i4>5</vt:i4>
      </vt:variant>
      <vt:variant>
        <vt:lpwstr/>
      </vt:variant>
      <vt:variant>
        <vt:lpwstr>_ENREF_226</vt:lpwstr>
      </vt:variant>
      <vt:variant>
        <vt:i4>7733306</vt:i4>
      </vt:variant>
      <vt:variant>
        <vt:i4>2140</vt:i4>
      </vt:variant>
      <vt:variant>
        <vt:i4>0</vt:i4>
      </vt:variant>
      <vt:variant>
        <vt:i4>5</vt:i4>
      </vt:variant>
      <vt:variant>
        <vt:lpwstr/>
      </vt:variant>
      <vt:variant>
        <vt:lpwstr>_ENREF_215</vt:lpwstr>
      </vt:variant>
      <vt:variant>
        <vt:i4>7733305</vt:i4>
      </vt:variant>
      <vt:variant>
        <vt:i4>2128</vt:i4>
      </vt:variant>
      <vt:variant>
        <vt:i4>0</vt:i4>
      </vt:variant>
      <vt:variant>
        <vt:i4>5</vt:i4>
      </vt:variant>
      <vt:variant>
        <vt:lpwstr/>
      </vt:variant>
      <vt:variant>
        <vt:lpwstr>_ENREF_225</vt:lpwstr>
      </vt:variant>
      <vt:variant>
        <vt:i4>7798841</vt:i4>
      </vt:variant>
      <vt:variant>
        <vt:i4>2122</vt:i4>
      </vt:variant>
      <vt:variant>
        <vt:i4>0</vt:i4>
      </vt:variant>
      <vt:variant>
        <vt:i4>5</vt:i4>
      </vt:variant>
      <vt:variant>
        <vt:lpwstr/>
      </vt:variant>
      <vt:variant>
        <vt:lpwstr>_ENREF_224</vt:lpwstr>
      </vt:variant>
      <vt:variant>
        <vt:i4>7340089</vt:i4>
      </vt:variant>
      <vt:variant>
        <vt:i4>2116</vt:i4>
      </vt:variant>
      <vt:variant>
        <vt:i4>0</vt:i4>
      </vt:variant>
      <vt:variant>
        <vt:i4>5</vt:i4>
      </vt:variant>
      <vt:variant>
        <vt:lpwstr/>
      </vt:variant>
      <vt:variant>
        <vt:lpwstr>_ENREF_223</vt:lpwstr>
      </vt:variant>
      <vt:variant>
        <vt:i4>7405625</vt:i4>
      </vt:variant>
      <vt:variant>
        <vt:i4>2110</vt:i4>
      </vt:variant>
      <vt:variant>
        <vt:i4>0</vt:i4>
      </vt:variant>
      <vt:variant>
        <vt:i4>5</vt:i4>
      </vt:variant>
      <vt:variant>
        <vt:lpwstr/>
      </vt:variant>
      <vt:variant>
        <vt:lpwstr>_ENREF_222</vt:lpwstr>
      </vt:variant>
      <vt:variant>
        <vt:i4>7667762</vt:i4>
      </vt:variant>
      <vt:variant>
        <vt:i4>2104</vt:i4>
      </vt:variant>
      <vt:variant>
        <vt:i4>0</vt:i4>
      </vt:variant>
      <vt:variant>
        <vt:i4>5</vt:i4>
      </vt:variant>
      <vt:variant>
        <vt:lpwstr/>
      </vt:variant>
      <vt:variant>
        <vt:lpwstr>_ENREF_195</vt:lpwstr>
      </vt:variant>
      <vt:variant>
        <vt:i4>7536699</vt:i4>
      </vt:variant>
      <vt:variant>
        <vt:i4>2098</vt:i4>
      </vt:variant>
      <vt:variant>
        <vt:i4>0</vt:i4>
      </vt:variant>
      <vt:variant>
        <vt:i4>5</vt:i4>
      </vt:variant>
      <vt:variant>
        <vt:lpwstr/>
      </vt:variant>
      <vt:variant>
        <vt:lpwstr>_ENREF_200</vt:lpwstr>
      </vt:variant>
      <vt:variant>
        <vt:i4>7471161</vt:i4>
      </vt:variant>
      <vt:variant>
        <vt:i4>2092</vt:i4>
      </vt:variant>
      <vt:variant>
        <vt:i4>0</vt:i4>
      </vt:variant>
      <vt:variant>
        <vt:i4>5</vt:i4>
      </vt:variant>
      <vt:variant>
        <vt:lpwstr/>
      </vt:variant>
      <vt:variant>
        <vt:lpwstr>_ENREF_221</vt:lpwstr>
      </vt:variant>
      <vt:variant>
        <vt:i4>7536697</vt:i4>
      </vt:variant>
      <vt:variant>
        <vt:i4>2086</vt:i4>
      </vt:variant>
      <vt:variant>
        <vt:i4>0</vt:i4>
      </vt:variant>
      <vt:variant>
        <vt:i4>5</vt:i4>
      </vt:variant>
      <vt:variant>
        <vt:lpwstr/>
      </vt:variant>
      <vt:variant>
        <vt:lpwstr>_ENREF_220</vt:lpwstr>
      </vt:variant>
      <vt:variant>
        <vt:i4>7995450</vt:i4>
      </vt:variant>
      <vt:variant>
        <vt:i4>2074</vt:i4>
      </vt:variant>
      <vt:variant>
        <vt:i4>0</vt:i4>
      </vt:variant>
      <vt:variant>
        <vt:i4>5</vt:i4>
      </vt:variant>
      <vt:variant>
        <vt:lpwstr/>
      </vt:variant>
      <vt:variant>
        <vt:lpwstr>_ENREF_219</vt:lpwstr>
      </vt:variant>
      <vt:variant>
        <vt:i4>8060986</vt:i4>
      </vt:variant>
      <vt:variant>
        <vt:i4>2068</vt:i4>
      </vt:variant>
      <vt:variant>
        <vt:i4>0</vt:i4>
      </vt:variant>
      <vt:variant>
        <vt:i4>5</vt:i4>
      </vt:variant>
      <vt:variant>
        <vt:lpwstr/>
      </vt:variant>
      <vt:variant>
        <vt:lpwstr>_ENREF_218</vt:lpwstr>
      </vt:variant>
      <vt:variant>
        <vt:i4>7602234</vt:i4>
      </vt:variant>
      <vt:variant>
        <vt:i4>2062</vt:i4>
      </vt:variant>
      <vt:variant>
        <vt:i4>0</vt:i4>
      </vt:variant>
      <vt:variant>
        <vt:i4>5</vt:i4>
      </vt:variant>
      <vt:variant>
        <vt:lpwstr/>
      </vt:variant>
      <vt:variant>
        <vt:lpwstr>_ENREF_217</vt:lpwstr>
      </vt:variant>
      <vt:variant>
        <vt:i4>7667770</vt:i4>
      </vt:variant>
      <vt:variant>
        <vt:i4>2056</vt:i4>
      </vt:variant>
      <vt:variant>
        <vt:i4>0</vt:i4>
      </vt:variant>
      <vt:variant>
        <vt:i4>5</vt:i4>
      </vt:variant>
      <vt:variant>
        <vt:lpwstr/>
      </vt:variant>
      <vt:variant>
        <vt:lpwstr>_ENREF_216</vt:lpwstr>
      </vt:variant>
      <vt:variant>
        <vt:i4>4194315</vt:i4>
      </vt:variant>
      <vt:variant>
        <vt:i4>2050</vt:i4>
      </vt:variant>
      <vt:variant>
        <vt:i4>0</vt:i4>
      </vt:variant>
      <vt:variant>
        <vt:i4>5</vt:i4>
      </vt:variant>
      <vt:variant>
        <vt:lpwstr/>
      </vt:variant>
      <vt:variant>
        <vt:lpwstr>_ENREF_10</vt:lpwstr>
      </vt:variant>
      <vt:variant>
        <vt:i4>7733306</vt:i4>
      </vt:variant>
      <vt:variant>
        <vt:i4>2044</vt:i4>
      </vt:variant>
      <vt:variant>
        <vt:i4>0</vt:i4>
      </vt:variant>
      <vt:variant>
        <vt:i4>5</vt:i4>
      </vt:variant>
      <vt:variant>
        <vt:lpwstr/>
      </vt:variant>
      <vt:variant>
        <vt:lpwstr>_ENREF_215</vt:lpwstr>
      </vt:variant>
      <vt:variant>
        <vt:i4>7798842</vt:i4>
      </vt:variant>
      <vt:variant>
        <vt:i4>2035</vt:i4>
      </vt:variant>
      <vt:variant>
        <vt:i4>0</vt:i4>
      </vt:variant>
      <vt:variant>
        <vt:i4>5</vt:i4>
      </vt:variant>
      <vt:variant>
        <vt:lpwstr/>
      </vt:variant>
      <vt:variant>
        <vt:lpwstr>_ENREF_214</vt:lpwstr>
      </vt:variant>
      <vt:variant>
        <vt:i4>7340090</vt:i4>
      </vt:variant>
      <vt:variant>
        <vt:i4>2029</vt:i4>
      </vt:variant>
      <vt:variant>
        <vt:i4>0</vt:i4>
      </vt:variant>
      <vt:variant>
        <vt:i4>5</vt:i4>
      </vt:variant>
      <vt:variant>
        <vt:lpwstr/>
      </vt:variant>
      <vt:variant>
        <vt:lpwstr>_ENREF_213</vt:lpwstr>
      </vt:variant>
      <vt:variant>
        <vt:i4>7405626</vt:i4>
      </vt:variant>
      <vt:variant>
        <vt:i4>2020</vt:i4>
      </vt:variant>
      <vt:variant>
        <vt:i4>0</vt:i4>
      </vt:variant>
      <vt:variant>
        <vt:i4>5</vt:i4>
      </vt:variant>
      <vt:variant>
        <vt:lpwstr/>
      </vt:variant>
      <vt:variant>
        <vt:lpwstr>_ENREF_212</vt:lpwstr>
      </vt:variant>
      <vt:variant>
        <vt:i4>7471162</vt:i4>
      </vt:variant>
      <vt:variant>
        <vt:i4>2014</vt:i4>
      </vt:variant>
      <vt:variant>
        <vt:i4>0</vt:i4>
      </vt:variant>
      <vt:variant>
        <vt:i4>5</vt:i4>
      </vt:variant>
      <vt:variant>
        <vt:lpwstr/>
      </vt:variant>
      <vt:variant>
        <vt:lpwstr>_ENREF_211</vt:lpwstr>
      </vt:variant>
      <vt:variant>
        <vt:i4>7536698</vt:i4>
      </vt:variant>
      <vt:variant>
        <vt:i4>2008</vt:i4>
      </vt:variant>
      <vt:variant>
        <vt:i4>0</vt:i4>
      </vt:variant>
      <vt:variant>
        <vt:i4>5</vt:i4>
      </vt:variant>
      <vt:variant>
        <vt:lpwstr/>
      </vt:variant>
      <vt:variant>
        <vt:lpwstr>_ENREF_210</vt:lpwstr>
      </vt:variant>
      <vt:variant>
        <vt:i4>7995451</vt:i4>
      </vt:variant>
      <vt:variant>
        <vt:i4>2002</vt:i4>
      </vt:variant>
      <vt:variant>
        <vt:i4>0</vt:i4>
      </vt:variant>
      <vt:variant>
        <vt:i4>5</vt:i4>
      </vt:variant>
      <vt:variant>
        <vt:lpwstr/>
      </vt:variant>
      <vt:variant>
        <vt:lpwstr>_ENREF_209</vt:lpwstr>
      </vt:variant>
      <vt:variant>
        <vt:i4>8060987</vt:i4>
      </vt:variant>
      <vt:variant>
        <vt:i4>1996</vt:i4>
      </vt:variant>
      <vt:variant>
        <vt:i4>0</vt:i4>
      </vt:variant>
      <vt:variant>
        <vt:i4>5</vt:i4>
      </vt:variant>
      <vt:variant>
        <vt:lpwstr/>
      </vt:variant>
      <vt:variant>
        <vt:lpwstr>_ENREF_208</vt:lpwstr>
      </vt:variant>
      <vt:variant>
        <vt:i4>7602235</vt:i4>
      </vt:variant>
      <vt:variant>
        <vt:i4>1990</vt:i4>
      </vt:variant>
      <vt:variant>
        <vt:i4>0</vt:i4>
      </vt:variant>
      <vt:variant>
        <vt:i4>5</vt:i4>
      </vt:variant>
      <vt:variant>
        <vt:lpwstr/>
      </vt:variant>
      <vt:variant>
        <vt:lpwstr>_ENREF_207</vt:lpwstr>
      </vt:variant>
      <vt:variant>
        <vt:i4>7667771</vt:i4>
      </vt:variant>
      <vt:variant>
        <vt:i4>1984</vt:i4>
      </vt:variant>
      <vt:variant>
        <vt:i4>0</vt:i4>
      </vt:variant>
      <vt:variant>
        <vt:i4>5</vt:i4>
      </vt:variant>
      <vt:variant>
        <vt:lpwstr/>
      </vt:variant>
      <vt:variant>
        <vt:lpwstr>_ENREF_206</vt:lpwstr>
      </vt:variant>
      <vt:variant>
        <vt:i4>4325387</vt:i4>
      </vt:variant>
      <vt:variant>
        <vt:i4>1978</vt:i4>
      </vt:variant>
      <vt:variant>
        <vt:i4>0</vt:i4>
      </vt:variant>
      <vt:variant>
        <vt:i4>5</vt:i4>
      </vt:variant>
      <vt:variant>
        <vt:lpwstr/>
      </vt:variant>
      <vt:variant>
        <vt:lpwstr>_ENREF_30</vt:lpwstr>
      </vt:variant>
      <vt:variant>
        <vt:i4>4194315</vt:i4>
      </vt:variant>
      <vt:variant>
        <vt:i4>1972</vt:i4>
      </vt:variant>
      <vt:variant>
        <vt:i4>0</vt:i4>
      </vt:variant>
      <vt:variant>
        <vt:i4>5</vt:i4>
      </vt:variant>
      <vt:variant>
        <vt:lpwstr/>
      </vt:variant>
      <vt:variant>
        <vt:lpwstr>_ENREF_11</vt:lpwstr>
      </vt:variant>
      <vt:variant>
        <vt:i4>7405626</vt:i4>
      </vt:variant>
      <vt:variant>
        <vt:i4>1966</vt:i4>
      </vt:variant>
      <vt:variant>
        <vt:i4>0</vt:i4>
      </vt:variant>
      <vt:variant>
        <vt:i4>5</vt:i4>
      </vt:variant>
      <vt:variant>
        <vt:lpwstr/>
      </vt:variant>
      <vt:variant>
        <vt:lpwstr>_ENREF_111</vt:lpwstr>
      </vt:variant>
      <vt:variant>
        <vt:i4>7733307</vt:i4>
      </vt:variant>
      <vt:variant>
        <vt:i4>1957</vt:i4>
      </vt:variant>
      <vt:variant>
        <vt:i4>0</vt:i4>
      </vt:variant>
      <vt:variant>
        <vt:i4>5</vt:i4>
      </vt:variant>
      <vt:variant>
        <vt:lpwstr/>
      </vt:variant>
      <vt:variant>
        <vt:lpwstr>_ENREF_205</vt:lpwstr>
      </vt:variant>
      <vt:variant>
        <vt:i4>7798843</vt:i4>
      </vt:variant>
      <vt:variant>
        <vt:i4>1951</vt:i4>
      </vt:variant>
      <vt:variant>
        <vt:i4>0</vt:i4>
      </vt:variant>
      <vt:variant>
        <vt:i4>5</vt:i4>
      </vt:variant>
      <vt:variant>
        <vt:lpwstr/>
      </vt:variant>
      <vt:variant>
        <vt:lpwstr>_ENREF_204</vt:lpwstr>
      </vt:variant>
      <vt:variant>
        <vt:i4>4390923</vt:i4>
      </vt:variant>
      <vt:variant>
        <vt:i4>1942</vt:i4>
      </vt:variant>
      <vt:variant>
        <vt:i4>0</vt:i4>
      </vt:variant>
      <vt:variant>
        <vt:i4>5</vt:i4>
      </vt:variant>
      <vt:variant>
        <vt:lpwstr/>
      </vt:variant>
      <vt:variant>
        <vt:lpwstr>_ENREF_29</vt:lpwstr>
      </vt:variant>
      <vt:variant>
        <vt:i4>7340091</vt:i4>
      </vt:variant>
      <vt:variant>
        <vt:i4>1936</vt:i4>
      </vt:variant>
      <vt:variant>
        <vt:i4>0</vt:i4>
      </vt:variant>
      <vt:variant>
        <vt:i4>5</vt:i4>
      </vt:variant>
      <vt:variant>
        <vt:lpwstr/>
      </vt:variant>
      <vt:variant>
        <vt:lpwstr>_ENREF_203</vt:lpwstr>
      </vt:variant>
      <vt:variant>
        <vt:i4>7405627</vt:i4>
      </vt:variant>
      <vt:variant>
        <vt:i4>1930</vt:i4>
      </vt:variant>
      <vt:variant>
        <vt:i4>0</vt:i4>
      </vt:variant>
      <vt:variant>
        <vt:i4>5</vt:i4>
      </vt:variant>
      <vt:variant>
        <vt:lpwstr/>
      </vt:variant>
      <vt:variant>
        <vt:lpwstr>_ENREF_202</vt:lpwstr>
      </vt:variant>
      <vt:variant>
        <vt:i4>7471163</vt:i4>
      </vt:variant>
      <vt:variant>
        <vt:i4>1924</vt:i4>
      </vt:variant>
      <vt:variant>
        <vt:i4>0</vt:i4>
      </vt:variant>
      <vt:variant>
        <vt:i4>5</vt:i4>
      </vt:variant>
      <vt:variant>
        <vt:lpwstr/>
      </vt:variant>
      <vt:variant>
        <vt:lpwstr>_ENREF_201</vt:lpwstr>
      </vt:variant>
      <vt:variant>
        <vt:i4>7536699</vt:i4>
      </vt:variant>
      <vt:variant>
        <vt:i4>1918</vt:i4>
      </vt:variant>
      <vt:variant>
        <vt:i4>0</vt:i4>
      </vt:variant>
      <vt:variant>
        <vt:i4>5</vt:i4>
      </vt:variant>
      <vt:variant>
        <vt:lpwstr/>
      </vt:variant>
      <vt:variant>
        <vt:lpwstr>_ENREF_200</vt:lpwstr>
      </vt:variant>
      <vt:variant>
        <vt:i4>7929906</vt:i4>
      </vt:variant>
      <vt:variant>
        <vt:i4>1912</vt:i4>
      </vt:variant>
      <vt:variant>
        <vt:i4>0</vt:i4>
      </vt:variant>
      <vt:variant>
        <vt:i4>5</vt:i4>
      </vt:variant>
      <vt:variant>
        <vt:lpwstr/>
      </vt:variant>
      <vt:variant>
        <vt:lpwstr>_ENREF_199</vt:lpwstr>
      </vt:variant>
      <vt:variant>
        <vt:i4>7864370</vt:i4>
      </vt:variant>
      <vt:variant>
        <vt:i4>1906</vt:i4>
      </vt:variant>
      <vt:variant>
        <vt:i4>0</vt:i4>
      </vt:variant>
      <vt:variant>
        <vt:i4>5</vt:i4>
      </vt:variant>
      <vt:variant>
        <vt:lpwstr/>
      </vt:variant>
      <vt:variant>
        <vt:lpwstr>_ENREF_198</vt:lpwstr>
      </vt:variant>
      <vt:variant>
        <vt:i4>7798834</vt:i4>
      </vt:variant>
      <vt:variant>
        <vt:i4>1900</vt:i4>
      </vt:variant>
      <vt:variant>
        <vt:i4>0</vt:i4>
      </vt:variant>
      <vt:variant>
        <vt:i4>5</vt:i4>
      </vt:variant>
      <vt:variant>
        <vt:lpwstr/>
      </vt:variant>
      <vt:variant>
        <vt:lpwstr>_ENREF_197</vt:lpwstr>
      </vt:variant>
      <vt:variant>
        <vt:i4>4194315</vt:i4>
      </vt:variant>
      <vt:variant>
        <vt:i4>1891</vt:i4>
      </vt:variant>
      <vt:variant>
        <vt:i4>0</vt:i4>
      </vt:variant>
      <vt:variant>
        <vt:i4>5</vt:i4>
      </vt:variant>
      <vt:variant>
        <vt:lpwstr/>
      </vt:variant>
      <vt:variant>
        <vt:lpwstr>_ENREF_1</vt:lpwstr>
      </vt:variant>
      <vt:variant>
        <vt:i4>7733298</vt:i4>
      </vt:variant>
      <vt:variant>
        <vt:i4>1882</vt:i4>
      </vt:variant>
      <vt:variant>
        <vt:i4>0</vt:i4>
      </vt:variant>
      <vt:variant>
        <vt:i4>5</vt:i4>
      </vt:variant>
      <vt:variant>
        <vt:lpwstr/>
      </vt:variant>
      <vt:variant>
        <vt:lpwstr>_ENREF_196</vt:lpwstr>
      </vt:variant>
      <vt:variant>
        <vt:i4>7405618</vt:i4>
      </vt:variant>
      <vt:variant>
        <vt:i4>1876</vt:i4>
      </vt:variant>
      <vt:variant>
        <vt:i4>0</vt:i4>
      </vt:variant>
      <vt:variant>
        <vt:i4>5</vt:i4>
      </vt:variant>
      <vt:variant>
        <vt:lpwstr/>
      </vt:variant>
      <vt:variant>
        <vt:lpwstr>_ENREF_191</vt:lpwstr>
      </vt:variant>
      <vt:variant>
        <vt:i4>7667762</vt:i4>
      </vt:variant>
      <vt:variant>
        <vt:i4>1870</vt:i4>
      </vt:variant>
      <vt:variant>
        <vt:i4>0</vt:i4>
      </vt:variant>
      <vt:variant>
        <vt:i4>5</vt:i4>
      </vt:variant>
      <vt:variant>
        <vt:lpwstr/>
      </vt:variant>
      <vt:variant>
        <vt:lpwstr>_ENREF_195</vt:lpwstr>
      </vt:variant>
      <vt:variant>
        <vt:i4>7602226</vt:i4>
      </vt:variant>
      <vt:variant>
        <vt:i4>1864</vt:i4>
      </vt:variant>
      <vt:variant>
        <vt:i4>0</vt:i4>
      </vt:variant>
      <vt:variant>
        <vt:i4>5</vt:i4>
      </vt:variant>
      <vt:variant>
        <vt:lpwstr/>
      </vt:variant>
      <vt:variant>
        <vt:lpwstr>_ENREF_194</vt:lpwstr>
      </vt:variant>
      <vt:variant>
        <vt:i4>4194315</vt:i4>
      </vt:variant>
      <vt:variant>
        <vt:i4>1858</vt:i4>
      </vt:variant>
      <vt:variant>
        <vt:i4>0</vt:i4>
      </vt:variant>
      <vt:variant>
        <vt:i4>5</vt:i4>
      </vt:variant>
      <vt:variant>
        <vt:lpwstr/>
      </vt:variant>
      <vt:variant>
        <vt:lpwstr>_ENREF_1</vt:lpwstr>
      </vt:variant>
      <vt:variant>
        <vt:i4>7536690</vt:i4>
      </vt:variant>
      <vt:variant>
        <vt:i4>1852</vt:i4>
      </vt:variant>
      <vt:variant>
        <vt:i4>0</vt:i4>
      </vt:variant>
      <vt:variant>
        <vt:i4>5</vt:i4>
      </vt:variant>
      <vt:variant>
        <vt:lpwstr/>
      </vt:variant>
      <vt:variant>
        <vt:lpwstr>_ENREF_193</vt:lpwstr>
      </vt:variant>
      <vt:variant>
        <vt:i4>7471154</vt:i4>
      </vt:variant>
      <vt:variant>
        <vt:i4>1846</vt:i4>
      </vt:variant>
      <vt:variant>
        <vt:i4>0</vt:i4>
      </vt:variant>
      <vt:variant>
        <vt:i4>5</vt:i4>
      </vt:variant>
      <vt:variant>
        <vt:lpwstr/>
      </vt:variant>
      <vt:variant>
        <vt:lpwstr>_ENREF_192</vt:lpwstr>
      </vt:variant>
      <vt:variant>
        <vt:i4>7471154</vt:i4>
      </vt:variant>
      <vt:variant>
        <vt:i4>1840</vt:i4>
      </vt:variant>
      <vt:variant>
        <vt:i4>0</vt:i4>
      </vt:variant>
      <vt:variant>
        <vt:i4>5</vt:i4>
      </vt:variant>
      <vt:variant>
        <vt:lpwstr/>
      </vt:variant>
      <vt:variant>
        <vt:lpwstr>_ENREF_192</vt:lpwstr>
      </vt:variant>
      <vt:variant>
        <vt:i4>7405618</vt:i4>
      </vt:variant>
      <vt:variant>
        <vt:i4>1834</vt:i4>
      </vt:variant>
      <vt:variant>
        <vt:i4>0</vt:i4>
      </vt:variant>
      <vt:variant>
        <vt:i4>5</vt:i4>
      </vt:variant>
      <vt:variant>
        <vt:lpwstr/>
      </vt:variant>
      <vt:variant>
        <vt:lpwstr>_ENREF_191</vt:lpwstr>
      </vt:variant>
      <vt:variant>
        <vt:i4>7340082</vt:i4>
      </vt:variant>
      <vt:variant>
        <vt:i4>1828</vt:i4>
      </vt:variant>
      <vt:variant>
        <vt:i4>0</vt:i4>
      </vt:variant>
      <vt:variant>
        <vt:i4>5</vt:i4>
      </vt:variant>
      <vt:variant>
        <vt:lpwstr/>
      </vt:variant>
      <vt:variant>
        <vt:lpwstr>_ENREF_190</vt:lpwstr>
      </vt:variant>
      <vt:variant>
        <vt:i4>7929907</vt:i4>
      </vt:variant>
      <vt:variant>
        <vt:i4>1822</vt:i4>
      </vt:variant>
      <vt:variant>
        <vt:i4>0</vt:i4>
      </vt:variant>
      <vt:variant>
        <vt:i4>5</vt:i4>
      </vt:variant>
      <vt:variant>
        <vt:lpwstr/>
      </vt:variant>
      <vt:variant>
        <vt:lpwstr>_ENREF_189</vt:lpwstr>
      </vt:variant>
      <vt:variant>
        <vt:i4>7864371</vt:i4>
      </vt:variant>
      <vt:variant>
        <vt:i4>1816</vt:i4>
      </vt:variant>
      <vt:variant>
        <vt:i4>0</vt:i4>
      </vt:variant>
      <vt:variant>
        <vt:i4>5</vt:i4>
      </vt:variant>
      <vt:variant>
        <vt:lpwstr/>
      </vt:variant>
      <vt:variant>
        <vt:lpwstr>_ENREF_188</vt:lpwstr>
      </vt:variant>
      <vt:variant>
        <vt:i4>7798835</vt:i4>
      </vt:variant>
      <vt:variant>
        <vt:i4>1810</vt:i4>
      </vt:variant>
      <vt:variant>
        <vt:i4>0</vt:i4>
      </vt:variant>
      <vt:variant>
        <vt:i4>5</vt:i4>
      </vt:variant>
      <vt:variant>
        <vt:lpwstr/>
      </vt:variant>
      <vt:variant>
        <vt:lpwstr>_ENREF_187</vt:lpwstr>
      </vt:variant>
      <vt:variant>
        <vt:i4>7733299</vt:i4>
      </vt:variant>
      <vt:variant>
        <vt:i4>1801</vt:i4>
      </vt:variant>
      <vt:variant>
        <vt:i4>0</vt:i4>
      </vt:variant>
      <vt:variant>
        <vt:i4>5</vt:i4>
      </vt:variant>
      <vt:variant>
        <vt:lpwstr/>
      </vt:variant>
      <vt:variant>
        <vt:lpwstr>_ENREF_186</vt:lpwstr>
      </vt:variant>
      <vt:variant>
        <vt:i4>7667763</vt:i4>
      </vt:variant>
      <vt:variant>
        <vt:i4>1792</vt:i4>
      </vt:variant>
      <vt:variant>
        <vt:i4>0</vt:i4>
      </vt:variant>
      <vt:variant>
        <vt:i4>5</vt:i4>
      </vt:variant>
      <vt:variant>
        <vt:lpwstr/>
      </vt:variant>
      <vt:variant>
        <vt:lpwstr>_ENREF_185</vt:lpwstr>
      </vt:variant>
      <vt:variant>
        <vt:i4>7602227</vt:i4>
      </vt:variant>
      <vt:variant>
        <vt:i4>1786</vt:i4>
      </vt:variant>
      <vt:variant>
        <vt:i4>0</vt:i4>
      </vt:variant>
      <vt:variant>
        <vt:i4>5</vt:i4>
      </vt:variant>
      <vt:variant>
        <vt:lpwstr/>
      </vt:variant>
      <vt:variant>
        <vt:lpwstr>_ENREF_184</vt:lpwstr>
      </vt:variant>
      <vt:variant>
        <vt:i4>7471155</vt:i4>
      </vt:variant>
      <vt:variant>
        <vt:i4>1780</vt:i4>
      </vt:variant>
      <vt:variant>
        <vt:i4>0</vt:i4>
      </vt:variant>
      <vt:variant>
        <vt:i4>5</vt:i4>
      </vt:variant>
      <vt:variant>
        <vt:lpwstr/>
      </vt:variant>
      <vt:variant>
        <vt:lpwstr>_ENREF_182</vt:lpwstr>
      </vt:variant>
      <vt:variant>
        <vt:i4>7405619</vt:i4>
      </vt:variant>
      <vt:variant>
        <vt:i4>1774</vt:i4>
      </vt:variant>
      <vt:variant>
        <vt:i4>0</vt:i4>
      </vt:variant>
      <vt:variant>
        <vt:i4>5</vt:i4>
      </vt:variant>
      <vt:variant>
        <vt:lpwstr/>
      </vt:variant>
      <vt:variant>
        <vt:lpwstr>_ENREF_181</vt:lpwstr>
      </vt:variant>
      <vt:variant>
        <vt:i4>7340083</vt:i4>
      </vt:variant>
      <vt:variant>
        <vt:i4>1768</vt:i4>
      </vt:variant>
      <vt:variant>
        <vt:i4>0</vt:i4>
      </vt:variant>
      <vt:variant>
        <vt:i4>5</vt:i4>
      </vt:variant>
      <vt:variant>
        <vt:lpwstr/>
      </vt:variant>
      <vt:variant>
        <vt:lpwstr>_ENREF_180</vt:lpwstr>
      </vt:variant>
      <vt:variant>
        <vt:i4>7536691</vt:i4>
      </vt:variant>
      <vt:variant>
        <vt:i4>1762</vt:i4>
      </vt:variant>
      <vt:variant>
        <vt:i4>0</vt:i4>
      </vt:variant>
      <vt:variant>
        <vt:i4>5</vt:i4>
      </vt:variant>
      <vt:variant>
        <vt:lpwstr/>
      </vt:variant>
      <vt:variant>
        <vt:lpwstr>_ENREF_183</vt:lpwstr>
      </vt:variant>
      <vt:variant>
        <vt:i4>7471155</vt:i4>
      </vt:variant>
      <vt:variant>
        <vt:i4>1756</vt:i4>
      </vt:variant>
      <vt:variant>
        <vt:i4>0</vt:i4>
      </vt:variant>
      <vt:variant>
        <vt:i4>5</vt:i4>
      </vt:variant>
      <vt:variant>
        <vt:lpwstr/>
      </vt:variant>
      <vt:variant>
        <vt:lpwstr>_ENREF_182</vt:lpwstr>
      </vt:variant>
      <vt:variant>
        <vt:i4>7405619</vt:i4>
      </vt:variant>
      <vt:variant>
        <vt:i4>1750</vt:i4>
      </vt:variant>
      <vt:variant>
        <vt:i4>0</vt:i4>
      </vt:variant>
      <vt:variant>
        <vt:i4>5</vt:i4>
      </vt:variant>
      <vt:variant>
        <vt:lpwstr/>
      </vt:variant>
      <vt:variant>
        <vt:lpwstr>_ENREF_181</vt:lpwstr>
      </vt:variant>
      <vt:variant>
        <vt:i4>7340083</vt:i4>
      </vt:variant>
      <vt:variant>
        <vt:i4>1744</vt:i4>
      </vt:variant>
      <vt:variant>
        <vt:i4>0</vt:i4>
      </vt:variant>
      <vt:variant>
        <vt:i4>5</vt:i4>
      </vt:variant>
      <vt:variant>
        <vt:lpwstr/>
      </vt:variant>
      <vt:variant>
        <vt:lpwstr>_ENREF_180</vt:lpwstr>
      </vt:variant>
      <vt:variant>
        <vt:i4>7929916</vt:i4>
      </vt:variant>
      <vt:variant>
        <vt:i4>1738</vt:i4>
      </vt:variant>
      <vt:variant>
        <vt:i4>0</vt:i4>
      </vt:variant>
      <vt:variant>
        <vt:i4>5</vt:i4>
      </vt:variant>
      <vt:variant>
        <vt:lpwstr/>
      </vt:variant>
      <vt:variant>
        <vt:lpwstr>_ENREF_179</vt:lpwstr>
      </vt:variant>
      <vt:variant>
        <vt:i4>7667772</vt:i4>
      </vt:variant>
      <vt:variant>
        <vt:i4>1732</vt:i4>
      </vt:variant>
      <vt:variant>
        <vt:i4>0</vt:i4>
      </vt:variant>
      <vt:variant>
        <vt:i4>5</vt:i4>
      </vt:variant>
      <vt:variant>
        <vt:lpwstr/>
      </vt:variant>
      <vt:variant>
        <vt:lpwstr>_ENREF_175</vt:lpwstr>
      </vt:variant>
      <vt:variant>
        <vt:i4>7667772</vt:i4>
      </vt:variant>
      <vt:variant>
        <vt:i4>1726</vt:i4>
      </vt:variant>
      <vt:variant>
        <vt:i4>0</vt:i4>
      </vt:variant>
      <vt:variant>
        <vt:i4>5</vt:i4>
      </vt:variant>
      <vt:variant>
        <vt:lpwstr/>
      </vt:variant>
      <vt:variant>
        <vt:lpwstr>_ENREF_175</vt:lpwstr>
      </vt:variant>
      <vt:variant>
        <vt:i4>7864380</vt:i4>
      </vt:variant>
      <vt:variant>
        <vt:i4>1720</vt:i4>
      </vt:variant>
      <vt:variant>
        <vt:i4>0</vt:i4>
      </vt:variant>
      <vt:variant>
        <vt:i4>5</vt:i4>
      </vt:variant>
      <vt:variant>
        <vt:lpwstr/>
      </vt:variant>
      <vt:variant>
        <vt:lpwstr>_ENREF_178</vt:lpwstr>
      </vt:variant>
      <vt:variant>
        <vt:i4>7798844</vt:i4>
      </vt:variant>
      <vt:variant>
        <vt:i4>1714</vt:i4>
      </vt:variant>
      <vt:variant>
        <vt:i4>0</vt:i4>
      </vt:variant>
      <vt:variant>
        <vt:i4>5</vt:i4>
      </vt:variant>
      <vt:variant>
        <vt:lpwstr/>
      </vt:variant>
      <vt:variant>
        <vt:lpwstr>_ENREF_177</vt:lpwstr>
      </vt:variant>
      <vt:variant>
        <vt:i4>7733308</vt:i4>
      </vt:variant>
      <vt:variant>
        <vt:i4>1708</vt:i4>
      </vt:variant>
      <vt:variant>
        <vt:i4>0</vt:i4>
      </vt:variant>
      <vt:variant>
        <vt:i4>5</vt:i4>
      </vt:variant>
      <vt:variant>
        <vt:lpwstr/>
      </vt:variant>
      <vt:variant>
        <vt:lpwstr>_ENREF_176</vt:lpwstr>
      </vt:variant>
      <vt:variant>
        <vt:i4>7667772</vt:i4>
      </vt:variant>
      <vt:variant>
        <vt:i4>1702</vt:i4>
      </vt:variant>
      <vt:variant>
        <vt:i4>0</vt:i4>
      </vt:variant>
      <vt:variant>
        <vt:i4>5</vt:i4>
      </vt:variant>
      <vt:variant>
        <vt:lpwstr/>
      </vt:variant>
      <vt:variant>
        <vt:lpwstr>_ENREF_175</vt:lpwstr>
      </vt:variant>
      <vt:variant>
        <vt:i4>7602236</vt:i4>
      </vt:variant>
      <vt:variant>
        <vt:i4>1696</vt:i4>
      </vt:variant>
      <vt:variant>
        <vt:i4>0</vt:i4>
      </vt:variant>
      <vt:variant>
        <vt:i4>5</vt:i4>
      </vt:variant>
      <vt:variant>
        <vt:lpwstr/>
      </vt:variant>
      <vt:variant>
        <vt:lpwstr>_ENREF_174</vt:lpwstr>
      </vt:variant>
      <vt:variant>
        <vt:i4>7536700</vt:i4>
      </vt:variant>
      <vt:variant>
        <vt:i4>1687</vt:i4>
      </vt:variant>
      <vt:variant>
        <vt:i4>0</vt:i4>
      </vt:variant>
      <vt:variant>
        <vt:i4>5</vt:i4>
      </vt:variant>
      <vt:variant>
        <vt:lpwstr/>
      </vt:variant>
      <vt:variant>
        <vt:lpwstr>_ENREF_173</vt:lpwstr>
      </vt:variant>
      <vt:variant>
        <vt:i4>7471164</vt:i4>
      </vt:variant>
      <vt:variant>
        <vt:i4>1681</vt:i4>
      </vt:variant>
      <vt:variant>
        <vt:i4>0</vt:i4>
      </vt:variant>
      <vt:variant>
        <vt:i4>5</vt:i4>
      </vt:variant>
      <vt:variant>
        <vt:lpwstr/>
      </vt:variant>
      <vt:variant>
        <vt:lpwstr>_ENREF_172</vt:lpwstr>
      </vt:variant>
      <vt:variant>
        <vt:i4>7405628</vt:i4>
      </vt:variant>
      <vt:variant>
        <vt:i4>1675</vt:i4>
      </vt:variant>
      <vt:variant>
        <vt:i4>0</vt:i4>
      </vt:variant>
      <vt:variant>
        <vt:i4>5</vt:i4>
      </vt:variant>
      <vt:variant>
        <vt:lpwstr/>
      </vt:variant>
      <vt:variant>
        <vt:lpwstr>_ENREF_171</vt:lpwstr>
      </vt:variant>
      <vt:variant>
        <vt:i4>4390923</vt:i4>
      </vt:variant>
      <vt:variant>
        <vt:i4>1666</vt:i4>
      </vt:variant>
      <vt:variant>
        <vt:i4>0</vt:i4>
      </vt:variant>
      <vt:variant>
        <vt:i4>5</vt:i4>
      </vt:variant>
      <vt:variant>
        <vt:lpwstr/>
      </vt:variant>
      <vt:variant>
        <vt:lpwstr>_ENREF_27</vt:lpwstr>
      </vt:variant>
      <vt:variant>
        <vt:i4>7340092</vt:i4>
      </vt:variant>
      <vt:variant>
        <vt:i4>1660</vt:i4>
      </vt:variant>
      <vt:variant>
        <vt:i4>0</vt:i4>
      </vt:variant>
      <vt:variant>
        <vt:i4>5</vt:i4>
      </vt:variant>
      <vt:variant>
        <vt:lpwstr/>
      </vt:variant>
      <vt:variant>
        <vt:lpwstr>_ENREF_170</vt:lpwstr>
      </vt:variant>
      <vt:variant>
        <vt:i4>7929917</vt:i4>
      </vt:variant>
      <vt:variant>
        <vt:i4>1654</vt:i4>
      </vt:variant>
      <vt:variant>
        <vt:i4>0</vt:i4>
      </vt:variant>
      <vt:variant>
        <vt:i4>5</vt:i4>
      </vt:variant>
      <vt:variant>
        <vt:lpwstr/>
      </vt:variant>
      <vt:variant>
        <vt:lpwstr>_ENREF_169</vt:lpwstr>
      </vt:variant>
      <vt:variant>
        <vt:i4>7864381</vt:i4>
      </vt:variant>
      <vt:variant>
        <vt:i4>1648</vt:i4>
      </vt:variant>
      <vt:variant>
        <vt:i4>0</vt:i4>
      </vt:variant>
      <vt:variant>
        <vt:i4>5</vt:i4>
      </vt:variant>
      <vt:variant>
        <vt:lpwstr/>
      </vt:variant>
      <vt:variant>
        <vt:lpwstr>_ENREF_168</vt:lpwstr>
      </vt:variant>
      <vt:variant>
        <vt:i4>7602238</vt:i4>
      </vt:variant>
      <vt:variant>
        <vt:i4>1642</vt:i4>
      </vt:variant>
      <vt:variant>
        <vt:i4>0</vt:i4>
      </vt:variant>
      <vt:variant>
        <vt:i4>5</vt:i4>
      </vt:variant>
      <vt:variant>
        <vt:lpwstr/>
      </vt:variant>
      <vt:variant>
        <vt:lpwstr>_ENREF_154</vt:lpwstr>
      </vt:variant>
      <vt:variant>
        <vt:i4>7798845</vt:i4>
      </vt:variant>
      <vt:variant>
        <vt:i4>1636</vt:i4>
      </vt:variant>
      <vt:variant>
        <vt:i4>0</vt:i4>
      </vt:variant>
      <vt:variant>
        <vt:i4>5</vt:i4>
      </vt:variant>
      <vt:variant>
        <vt:lpwstr/>
      </vt:variant>
      <vt:variant>
        <vt:lpwstr>_ENREF_167</vt:lpwstr>
      </vt:variant>
      <vt:variant>
        <vt:i4>7733309</vt:i4>
      </vt:variant>
      <vt:variant>
        <vt:i4>1630</vt:i4>
      </vt:variant>
      <vt:variant>
        <vt:i4>0</vt:i4>
      </vt:variant>
      <vt:variant>
        <vt:i4>5</vt:i4>
      </vt:variant>
      <vt:variant>
        <vt:lpwstr/>
      </vt:variant>
      <vt:variant>
        <vt:lpwstr>_ENREF_166</vt:lpwstr>
      </vt:variant>
      <vt:variant>
        <vt:i4>7667773</vt:i4>
      </vt:variant>
      <vt:variant>
        <vt:i4>1624</vt:i4>
      </vt:variant>
      <vt:variant>
        <vt:i4>0</vt:i4>
      </vt:variant>
      <vt:variant>
        <vt:i4>5</vt:i4>
      </vt:variant>
      <vt:variant>
        <vt:lpwstr/>
      </vt:variant>
      <vt:variant>
        <vt:lpwstr>_ENREF_165</vt:lpwstr>
      </vt:variant>
      <vt:variant>
        <vt:i4>7602237</vt:i4>
      </vt:variant>
      <vt:variant>
        <vt:i4>1618</vt:i4>
      </vt:variant>
      <vt:variant>
        <vt:i4>0</vt:i4>
      </vt:variant>
      <vt:variant>
        <vt:i4>5</vt:i4>
      </vt:variant>
      <vt:variant>
        <vt:lpwstr/>
      </vt:variant>
      <vt:variant>
        <vt:lpwstr>_ENREF_164</vt:lpwstr>
      </vt:variant>
      <vt:variant>
        <vt:i4>7405629</vt:i4>
      </vt:variant>
      <vt:variant>
        <vt:i4>1612</vt:i4>
      </vt:variant>
      <vt:variant>
        <vt:i4>0</vt:i4>
      </vt:variant>
      <vt:variant>
        <vt:i4>5</vt:i4>
      </vt:variant>
      <vt:variant>
        <vt:lpwstr/>
      </vt:variant>
      <vt:variant>
        <vt:lpwstr>_ENREF_161</vt:lpwstr>
      </vt:variant>
      <vt:variant>
        <vt:i4>4390923</vt:i4>
      </vt:variant>
      <vt:variant>
        <vt:i4>1606</vt:i4>
      </vt:variant>
      <vt:variant>
        <vt:i4>0</vt:i4>
      </vt:variant>
      <vt:variant>
        <vt:i4>5</vt:i4>
      </vt:variant>
      <vt:variant>
        <vt:lpwstr/>
      </vt:variant>
      <vt:variant>
        <vt:lpwstr>_ENREF_23</vt:lpwstr>
      </vt:variant>
      <vt:variant>
        <vt:i4>7536701</vt:i4>
      </vt:variant>
      <vt:variant>
        <vt:i4>1600</vt:i4>
      </vt:variant>
      <vt:variant>
        <vt:i4>0</vt:i4>
      </vt:variant>
      <vt:variant>
        <vt:i4>5</vt:i4>
      </vt:variant>
      <vt:variant>
        <vt:lpwstr/>
      </vt:variant>
      <vt:variant>
        <vt:lpwstr>_ENREF_163</vt:lpwstr>
      </vt:variant>
      <vt:variant>
        <vt:i4>7471165</vt:i4>
      </vt:variant>
      <vt:variant>
        <vt:i4>1594</vt:i4>
      </vt:variant>
      <vt:variant>
        <vt:i4>0</vt:i4>
      </vt:variant>
      <vt:variant>
        <vt:i4>5</vt:i4>
      </vt:variant>
      <vt:variant>
        <vt:lpwstr/>
      </vt:variant>
      <vt:variant>
        <vt:lpwstr>_ENREF_162</vt:lpwstr>
      </vt:variant>
      <vt:variant>
        <vt:i4>7471163</vt:i4>
      </vt:variant>
      <vt:variant>
        <vt:i4>1588</vt:i4>
      </vt:variant>
      <vt:variant>
        <vt:i4>0</vt:i4>
      </vt:variant>
      <vt:variant>
        <vt:i4>5</vt:i4>
      </vt:variant>
      <vt:variant>
        <vt:lpwstr/>
      </vt:variant>
      <vt:variant>
        <vt:lpwstr>_ENREF_102</vt:lpwstr>
      </vt:variant>
      <vt:variant>
        <vt:i4>7405629</vt:i4>
      </vt:variant>
      <vt:variant>
        <vt:i4>1582</vt:i4>
      </vt:variant>
      <vt:variant>
        <vt:i4>0</vt:i4>
      </vt:variant>
      <vt:variant>
        <vt:i4>5</vt:i4>
      </vt:variant>
      <vt:variant>
        <vt:lpwstr/>
      </vt:variant>
      <vt:variant>
        <vt:lpwstr>_ENREF_161</vt:lpwstr>
      </vt:variant>
      <vt:variant>
        <vt:i4>7340093</vt:i4>
      </vt:variant>
      <vt:variant>
        <vt:i4>1576</vt:i4>
      </vt:variant>
      <vt:variant>
        <vt:i4>0</vt:i4>
      </vt:variant>
      <vt:variant>
        <vt:i4>5</vt:i4>
      </vt:variant>
      <vt:variant>
        <vt:lpwstr/>
      </vt:variant>
      <vt:variant>
        <vt:lpwstr>_ENREF_160</vt:lpwstr>
      </vt:variant>
      <vt:variant>
        <vt:i4>4456459</vt:i4>
      </vt:variant>
      <vt:variant>
        <vt:i4>1570</vt:i4>
      </vt:variant>
      <vt:variant>
        <vt:i4>0</vt:i4>
      </vt:variant>
      <vt:variant>
        <vt:i4>5</vt:i4>
      </vt:variant>
      <vt:variant>
        <vt:lpwstr/>
      </vt:variant>
      <vt:variant>
        <vt:lpwstr>_ENREF_56</vt:lpwstr>
      </vt:variant>
      <vt:variant>
        <vt:i4>7929918</vt:i4>
      </vt:variant>
      <vt:variant>
        <vt:i4>1564</vt:i4>
      </vt:variant>
      <vt:variant>
        <vt:i4>0</vt:i4>
      </vt:variant>
      <vt:variant>
        <vt:i4>5</vt:i4>
      </vt:variant>
      <vt:variant>
        <vt:lpwstr/>
      </vt:variant>
      <vt:variant>
        <vt:lpwstr>_ENREF_159</vt:lpwstr>
      </vt:variant>
      <vt:variant>
        <vt:i4>7864382</vt:i4>
      </vt:variant>
      <vt:variant>
        <vt:i4>1558</vt:i4>
      </vt:variant>
      <vt:variant>
        <vt:i4>0</vt:i4>
      </vt:variant>
      <vt:variant>
        <vt:i4>5</vt:i4>
      </vt:variant>
      <vt:variant>
        <vt:lpwstr/>
      </vt:variant>
      <vt:variant>
        <vt:lpwstr>_ENREF_158</vt:lpwstr>
      </vt:variant>
      <vt:variant>
        <vt:i4>7798846</vt:i4>
      </vt:variant>
      <vt:variant>
        <vt:i4>1552</vt:i4>
      </vt:variant>
      <vt:variant>
        <vt:i4>0</vt:i4>
      </vt:variant>
      <vt:variant>
        <vt:i4>5</vt:i4>
      </vt:variant>
      <vt:variant>
        <vt:lpwstr/>
      </vt:variant>
      <vt:variant>
        <vt:lpwstr>_ENREF_157</vt:lpwstr>
      </vt:variant>
      <vt:variant>
        <vt:i4>4456459</vt:i4>
      </vt:variant>
      <vt:variant>
        <vt:i4>1546</vt:i4>
      </vt:variant>
      <vt:variant>
        <vt:i4>0</vt:i4>
      </vt:variant>
      <vt:variant>
        <vt:i4>5</vt:i4>
      </vt:variant>
      <vt:variant>
        <vt:lpwstr/>
      </vt:variant>
      <vt:variant>
        <vt:lpwstr>_ENREF_55</vt:lpwstr>
      </vt:variant>
      <vt:variant>
        <vt:i4>7733310</vt:i4>
      </vt:variant>
      <vt:variant>
        <vt:i4>1534</vt:i4>
      </vt:variant>
      <vt:variant>
        <vt:i4>0</vt:i4>
      </vt:variant>
      <vt:variant>
        <vt:i4>5</vt:i4>
      </vt:variant>
      <vt:variant>
        <vt:lpwstr/>
      </vt:variant>
      <vt:variant>
        <vt:lpwstr>_ENREF_156</vt:lpwstr>
      </vt:variant>
      <vt:variant>
        <vt:i4>7340094</vt:i4>
      </vt:variant>
      <vt:variant>
        <vt:i4>1528</vt:i4>
      </vt:variant>
      <vt:variant>
        <vt:i4>0</vt:i4>
      </vt:variant>
      <vt:variant>
        <vt:i4>5</vt:i4>
      </vt:variant>
      <vt:variant>
        <vt:lpwstr/>
      </vt:variant>
      <vt:variant>
        <vt:lpwstr>_ENREF_150</vt:lpwstr>
      </vt:variant>
      <vt:variant>
        <vt:i4>7667774</vt:i4>
      </vt:variant>
      <vt:variant>
        <vt:i4>1519</vt:i4>
      </vt:variant>
      <vt:variant>
        <vt:i4>0</vt:i4>
      </vt:variant>
      <vt:variant>
        <vt:i4>5</vt:i4>
      </vt:variant>
      <vt:variant>
        <vt:lpwstr/>
      </vt:variant>
      <vt:variant>
        <vt:lpwstr>_ENREF_155</vt:lpwstr>
      </vt:variant>
      <vt:variant>
        <vt:i4>7602238</vt:i4>
      </vt:variant>
      <vt:variant>
        <vt:i4>1510</vt:i4>
      </vt:variant>
      <vt:variant>
        <vt:i4>0</vt:i4>
      </vt:variant>
      <vt:variant>
        <vt:i4>5</vt:i4>
      </vt:variant>
      <vt:variant>
        <vt:lpwstr/>
      </vt:variant>
      <vt:variant>
        <vt:lpwstr>_ENREF_154</vt:lpwstr>
      </vt:variant>
      <vt:variant>
        <vt:i4>7536702</vt:i4>
      </vt:variant>
      <vt:variant>
        <vt:i4>1504</vt:i4>
      </vt:variant>
      <vt:variant>
        <vt:i4>0</vt:i4>
      </vt:variant>
      <vt:variant>
        <vt:i4>5</vt:i4>
      </vt:variant>
      <vt:variant>
        <vt:lpwstr/>
      </vt:variant>
      <vt:variant>
        <vt:lpwstr>_ENREF_153</vt:lpwstr>
      </vt:variant>
      <vt:variant>
        <vt:i4>7471166</vt:i4>
      </vt:variant>
      <vt:variant>
        <vt:i4>1498</vt:i4>
      </vt:variant>
      <vt:variant>
        <vt:i4>0</vt:i4>
      </vt:variant>
      <vt:variant>
        <vt:i4>5</vt:i4>
      </vt:variant>
      <vt:variant>
        <vt:lpwstr/>
      </vt:variant>
      <vt:variant>
        <vt:lpwstr>_ENREF_152</vt:lpwstr>
      </vt:variant>
      <vt:variant>
        <vt:i4>7340091</vt:i4>
      </vt:variant>
      <vt:variant>
        <vt:i4>1492</vt:i4>
      </vt:variant>
      <vt:variant>
        <vt:i4>0</vt:i4>
      </vt:variant>
      <vt:variant>
        <vt:i4>5</vt:i4>
      </vt:variant>
      <vt:variant>
        <vt:lpwstr/>
      </vt:variant>
      <vt:variant>
        <vt:lpwstr>_ENREF_100</vt:lpwstr>
      </vt:variant>
      <vt:variant>
        <vt:i4>4325387</vt:i4>
      </vt:variant>
      <vt:variant>
        <vt:i4>1486</vt:i4>
      </vt:variant>
      <vt:variant>
        <vt:i4>0</vt:i4>
      </vt:variant>
      <vt:variant>
        <vt:i4>5</vt:i4>
      </vt:variant>
      <vt:variant>
        <vt:lpwstr/>
      </vt:variant>
      <vt:variant>
        <vt:lpwstr>_ENREF_33</vt:lpwstr>
      </vt:variant>
      <vt:variant>
        <vt:i4>7405630</vt:i4>
      </vt:variant>
      <vt:variant>
        <vt:i4>1480</vt:i4>
      </vt:variant>
      <vt:variant>
        <vt:i4>0</vt:i4>
      </vt:variant>
      <vt:variant>
        <vt:i4>5</vt:i4>
      </vt:variant>
      <vt:variant>
        <vt:lpwstr/>
      </vt:variant>
      <vt:variant>
        <vt:lpwstr>_ENREF_151</vt:lpwstr>
      </vt:variant>
      <vt:variant>
        <vt:i4>7340094</vt:i4>
      </vt:variant>
      <vt:variant>
        <vt:i4>1474</vt:i4>
      </vt:variant>
      <vt:variant>
        <vt:i4>0</vt:i4>
      </vt:variant>
      <vt:variant>
        <vt:i4>5</vt:i4>
      </vt:variant>
      <vt:variant>
        <vt:lpwstr/>
      </vt:variant>
      <vt:variant>
        <vt:lpwstr>_ENREF_150</vt:lpwstr>
      </vt:variant>
      <vt:variant>
        <vt:i4>7340094</vt:i4>
      </vt:variant>
      <vt:variant>
        <vt:i4>1468</vt:i4>
      </vt:variant>
      <vt:variant>
        <vt:i4>0</vt:i4>
      </vt:variant>
      <vt:variant>
        <vt:i4>5</vt:i4>
      </vt:variant>
      <vt:variant>
        <vt:lpwstr/>
      </vt:variant>
      <vt:variant>
        <vt:lpwstr>_ENREF_150</vt:lpwstr>
      </vt:variant>
      <vt:variant>
        <vt:i4>7929919</vt:i4>
      </vt:variant>
      <vt:variant>
        <vt:i4>1459</vt:i4>
      </vt:variant>
      <vt:variant>
        <vt:i4>0</vt:i4>
      </vt:variant>
      <vt:variant>
        <vt:i4>5</vt:i4>
      </vt:variant>
      <vt:variant>
        <vt:lpwstr/>
      </vt:variant>
      <vt:variant>
        <vt:lpwstr>_ENREF_149</vt:lpwstr>
      </vt:variant>
      <vt:variant>
        <vt:i4>7864383</vt:i4>
      </vt:variant>
      <vt:variant>
        <vt:i4>1450</vt:i4>
      </vt:variant>
      <vt:variant>
        <vt:i4>0</vt:i4>
      </vt:variant>
      <vt:variant>
        <vt:i4>5</vt:i4>
      </vt:variant>
      <vt:variant>
        <vt:lpwstr/>
      </vt:variant>
      <vt:variant>
        <vt:lpwstr>_ENREF_148</vt:lpwstr>
      </vt:variant>
      <vt:variant>
        <vt:i4>7798847</vt:i4>
      </vt:variant>
      <vt:variant>
        <vt:i4>1444</vt:i4>
      </vt:variant>
      <vt:variant>
        <vt:i4>0</vt:i4>
      </vt:variant>
      <vt:variant>
        <vt:i4>5</vt:i4>
      </vt:variant>
      <vt:variant>
        <vt:lpwstr/>
      </vt:variant>
      <vt:variant>
        <vt:lpwstr>_ENREF_147</vt:lpwstr>
      </vt:variant>
      <vt:variant>
        <vt:i4>7733311</vt:i4>
      </vt:variant>
      <vt:variant>
        <vt:i4>1438</vt:i4>
      </vt:variant>
      <vt:variant>
        <vt:i4>0</vt:i4>
      </vt:variant>
      <vt:variant>
        <vt:i4>5</vt:i4>
      </vt:variant>
      <vt:variant>
        <vt:lpwstr/>
      </vt:variant>
      <vt:variant>
        <vt:lpwstr>_ENREF_146</vt:lpwstr>
      </vt:variant>
      <vt:variant>
        <vt:i4>4456459</vt:i4>
      </vt:variant>
      <vt:variant>
        <vt:i4>1432</vt:i4>
      </vt:variant>
      <vt:variant>
        <vt:i4>0</vt:i4>
      </vt:variant>
      <vt:variant>
        <vt:i4>5</vt:i4>
      </vt:variant>
      <vt:variant>
        <vt:lpwstr/>
      </vt:variant>
      <vt:variant>
        <vt:lpwstr>_ENREF_53</vt:lpwstr>
      </vt:variant>
      <vt:variant>
        <vt:i4>7667775</vt:i4>
      </vt:variant>
      <vt:variant>
        <vt:i4>1426</vt:i4>
      </vt:variant>
      <vt:variant>
        <vt:i4>0</vt:i4>
      </vt:variant>
      <vt:variant>
        <vt:i4>5</vt:i4>
      </vt:variant>
      <vt:variant>
        <vt:lpwstr/>
      </vt:variant>
      <vt:variant>
        <vt:lpwstr>_ENREF_145</vt:lpwstr>
      </vt:variant>
      <vt:variant>
        <vt:i4>7602239</vt:i4>
      </vt:variant>
      <vt:variant>
        <vt:i4>1420</vt:i4>
      </vt:variant>
      <vt:variant>
        <vt:i4>0</vt:i4>
      </vt:variant>
      <vt:variant>
        <vt:i4>5</vt:i4>
      </vt:variant>
      <vt:variant>
        <vt:lpwstr/>
      </vt:variant>
      <vt:variant>
        <vt:lpwstr>_ENREF_144</vt:lpwstr>
      </vt:variant>
      <vt:variant>
        <vt:i4>7536703</vt:i4>
      </vt:variant>
      <vt:variant>
        <vt:i4>1414</vt:i4>
      </vt:variant>
      <vt:variant>
        <vt:i4>0</vt:i4>
      </vt:variant>
      <vt:variant>
        <vt:i4>5</vt:i4>
      </vt:variant>
      <vt:variant>
        <vt:lpwstr/>
      </vt:variant>
      <vt:variant>
        <vt:lpwstr>_ENREF_143</vt:lpwstr>
      </vt:variant>
      <vt:variant>
        <vt:i4>7471167</vt:i4>
      </vt:variant>
      <vt:variant>
        <vt:i4>1408</vt:i4>
      </vt:variant>
      <vt:variant>
        <vt:i4>0</vt:i4>
      </vt:variant>
      <vt:variant>
        <vt:i4>5</vt:i4>
      </vt:variant>
      <vt:variant>
        <vt:lpwstr/>
      </vt:variant>
      <vt:variant>
        <vt:lpwstr>_ENREF_142</vt:lpwstr>
      </vt:variant>
      <vt:variant>
        <vt:i4>7405631</vt:i4>
      </vt:variant>
      <vt:variant>
        <vt:i4>1402</vt:i4>
      </vt:variant>
      <vt:variant>
        <vt:i4>0</vt:i4>
      </vt:variant>
      <vt:variant>
        <vt:i4>5</vt:i4>
      </vt:variant>
      <vt:variant>
        <vt:lpwstr/>
      </vt:variant>
      <vt:variant>
        <vt:lpwstr>_ENREF_141</vt:lpwstr>
      </vt:variant>
      <vt:variant>
        <vt:i4>7340095</vt:i4>
      </vt:variant>
      <vt:variant>
        <vt:i4>1393</vt:i4>
      </vt:variant>
      <vt:variant>
        <vt:i4>0</vt:i4>
      </vt:variant>
      <vt:variant>
        <vt:i4>5</vt:i4>
      </vt:variant>
      <vt:variant>
        <vt:lpwstr/>
      </vt:variant>
      <vt:variant>
        <vt:lpwstr>_ENREF_140</vt:lpwstr>
      </vt:variant>
      <vt:variant>
        <vt:i4>7929912</vt:i4>
      </vt:variant>
      <vt:variant>
        <vt:i4>1387</vt:i4>
      </vt:variant>
      <vt:variant>
        <vt:i4>0</vt:i4>
      </vt:variant>
      <vt:variant>
        <vt:i4>5</vt:i4>
      </vt:variant>
      <vt:variant>
        <vt:lpwstr/>
      </vt:variant>
      <vt:variant>
        <vt:lpwstr>_ENREF_139</vt:lpwstr>
      </vt:variant>
      <vt:variant>
        <vt:i4>7864376</vt:i4>
      </vt:variant>
      <vt:variant>
        <vt:i4>1378</vt:i4>
      </vt:variant>
      <vt:variant>
        <vt:i4>0</vt:i4>
      </vt:variant>
      <vt:variant>
        <vt:i4>5</vt:i4>
      </vt:variant>
      <vt:variant>
        <vt:lpwstr/>
      </vt:variant>
      <vt:variant>
        <vt:lpwstr>_ENREF_138</vt:lpwstr>
      </vt:variant>
      <vt:variant>
        <vt:i4>7798840</vt:i4>
      </vt:variant>
      <vt:variant>
        <vt:i4>1372</vt:i4>
      </vt:variant>
      <vt:variant>
        <vt:i4>0</vt:i4>
      </vt:variant>
      <vt:variant>
        <vt:i4>5</vt:i4>
      </vt:variant>
      <vt:variant>
        <vt:lpwstr/>
      </vt:variant>
      <vt:variant>
        <vt:lpwstr>_ENREF_137</vt:lpwstr>
      </vt:variant>
      <vt:variant>
        <vt:i4>7733304</vt:i4>
      </vt:variant>
      <vt:variant>
        <vt:i4>1366</vt:i4>
      </vt:variant>
      <vt:variant>
        <vt:i4>0</vt:i4>
      </vt:variant>
      <vt:variant>
        <vt:i4>5</vt:i4>
      </vt:variant>
      <vt:variant>
        <vt:lpwstr/>
      </vt:variant>
      <vt:variant>
        <vt:lpwstr>_ENREF_136</vt:lpwstr>
      </vt:variant>
      <vt:variant>
        <vt:i4>7667768</vt:i4>
      </vt:variant>
      <vt:variant>
        <vt:i4>1360</vt:i4>
      </vt:variant>
      <vt:variant>
        <vt:i4>0</vt:i4>
      </vt:variant>
      <vt:variant>
        <vt:i4>5</vt:i4>
      </vt:variant>
      <vt:variant>
        <vt:lpwstr/>
      </vt:variant>
      <vt:variant>
        <vt:lpwstr>_ENREF_135</vt:lpwstr>
      </vt:variant>
      <vt:variant>
        <vt:i4>7602232</vt:i4>
      </vt:variant>
      <vt:variant>
        <vt:i4>1354</vt:i4>
      </vt:variant>
      <vt:variant>
        <vt:i4>0</vt:i4>
      </vt:variant>
      <vt:variant>
        <vt:i4>5</vt:i4>
      </vt:variant>
      <vt:variant>
        <vt:lpwstr/>
      </vt:variant>
      <vt:variant>
        <vt:lpwstr>_ENREF_134</vt:lpwstr>
      </vt:variant>
      <vt:variant>
        <vt:i4>4653067</vt:i4>
      </vt:variant>
      <vt:variant>
        <vt:i4>1348</vt:i4>
      </vt:variant>
      <vt:variant>
        <vt:i4>0</vt:i4>
      </vt:variant>
      <vt:variant>
        <vt:i4>5</vt:i4>
      </vt:variant>
      <vt:variant>
        <vt:lpwstr/>
      </vt:variant>
      <vt:variant>
        <vt:lpwstr>_ENREF_68</vt:lpwstr>
      </vt:variant>
      <vt:variant>
        <vt:i4>4521995</vt:i4>
      </vt:variant>
      <vt:variant>
        <vt:i4>1342</vt:i4>
      </vt:variant>
      <vt:variant>
        <vt:i4>0</vt:i4>
      </vt:variant>
      <vt:variant>
        <vt:i4>5</vt:i4>
      </vt:variant>
      <vt:variant>
        <vt:lpwstr/>
      </vt:variant>
      <vt:variant>
        <vt:lpwstr>_ENREF_40</vt:lpwstr>
      </vt:variant>
      <vt:variant>
        <vt:i4>7536696</vt:i4>
      </vt:variant>
      <vt:variant>
        <vt:i4>1336</vt:i4>
      </vt:variant>
      <vt:variant>
        <vt:i4>0</vt:i4>
      </vt:variant>
      <vt:variant>
        <vt:i4>5</vt:i4>
      </vt:variant>
      <vt:variant>
        <vt:lpwstr/>
      </vt:variant>
      <vt:variant>
        <vt:lpwstr>_ENREF_133</vt:lpwstr>
      </vt:variant>
      <vt:variant>
        <vt:i4>4194315</vt:i4>
      </vt:variant>
      <vt:variant>
        <vt:i4>1325</vt:i4>
      </vt:variant>
      <vt:variant>
        <vt:i4>0</vt:i4>
      </vt:variant>
      <vt:variant>
        <vt:i4>5</vt:i4>
      </vt:variant>
      <vt:variant>
        <vt:lpwstr/>
      </vt:variant>
      <vt:variant>
        <vt:lpwstr>_ENREF_15</vt:lpwstr>
      </vt:variant>
      <vt:variant>
        <vt:i4>4194315</vt:i4>
      </vt:variant>
      <vt:variant>
        <vt:i4>1319</vt:i4>
      </vt:variant>
      <vt:variant>
        <vt:i4>0</vt:i4>
      </vt:variant>
      <vt:variant>
        <vt:i4>5</vt:i4>
      </vt:variant>
      <vt:variant>
        <vt:lpwstr/>
      </vt:variant>
      <vt:variant>
        <vt:lpwstr>_ENREF_14</vt:lpwstr>
      </vt:variant>
      <vt:variant>
        <vt:i4>7471160</vt:i4>
      </vt:variant>
      <vt:variant>
        <vt:i4>1313</vt:i4>
      </vt:variant>
      <vt:variant>
        <vt:i4>0</vt:i4>
      </vt:variant>
      <vt:variant>
        <vt:i4>5</vt:i4>
      </vt:variant>
      <vt:variant>
        <vt:lpwstr/>
      </vt:variant>
      <vt:variant>
        <vt:lpwstr>_ENREF_132</vt:lpwstr>
      </vt:variant>
      <vt:variant>
        <vt:i4>7405624</vt:i4>
      </vt:variant>
      <vt:variant>
        <vt:i4>1307</vt:i4>
      </vt:variant>
      <vt:variant>
        <vt:i4>0</vt:i4>
      </vt:variant>
      <vt:variant>
        <vt:i4>5</vt:i4>
      </vt:variant>
      <vt:variant>
        <vt:lpwstr/>
      </vt:variant>
      <vt:variant>
        <vt:lpwstr>_ENREF_131</vt:lpwstr>
      </vt:variant>
      <vt:variant>
        <vt:i4>7340088</vt:i4>
      </vt:variant>
      <vt:variant>
        <vt:i4>1298</vt:i4>
      </vt:variant>
      <vt:variant>
        <vt:i4>0</vt:i4>
      </vt:variant>
      <vt:variant>
        <vt:i4>5</vt:i4>
      </vt:variant>
      <vt:variant>
        <vt:lpwstr/>
      </vt:variant>
      <vt:variant>
        <vt:lpwstr>_ENREF_130</vt:lpwstr>
      </vt:variant>
      <vt:variant>
        <vt:i4>4325387</vt:i4>
      </vt:variant>
      <vt:variant>
        <vt:i4>1292</vt:i4>
      </vt:variant>
      <vt:variant>
        <vt:i4>0</vt:i4>
      </vt:variant>
      <vt:variant>
        <vt:i4>5</vt:i4>
      </vt:variant>
      <vt:variant>
        <vt:lpwstr/>
      </vt:variant>
      <vt:variant>
        <vt:lpwstr>_ENREF_36</vt:lpwstr>
      </vt:variant>
      <vt:variant>
        <vt:i4>7929913</vt:i4>
      </vt:variant>
      <vt:variant>
        <vt:i4>1286</vt:i4>
      </vt:variant>
      <vt:variant>
        <vt:i4>0</vt:i4>
      </vt:variant>
      <vt:variant>
        <vt:i4>5</vt:i4>
      </vt:variant>
      <vt:variant>
        <vt:lpwstr/>
      </vt:variant>
      <vt:variant>
        <vt:lpwstr>_ENREF_129</vt:lpwstr>
      </vt:variant>
      <vt:variant>
        <vt:i4>7471163</vt:i4>
      </vt:variant>
      <vt:variant>
        <vt:i4>1280</vt:i4>
      </vt:variant>
      <vt:variant>
        <vt:i4>0</vt:i4>
      </vt:variant>
      <vt:variant>
        <vt:i4>5</vt:i4>
      </vt:variant>
      <vt:variant>
        <vt:lpwstr/>
      </vt:variant>
      <vt:variant>
        <vt:lpwstr>_ENREF_102</vt:lpwstr>
      </vt:variant>
      <vt:variant>
        <vt:i4>7864377</vt:i4>
      </vt:variant>
      <vt:variant>
        <vt:i4>1274</vt:i4>
      </vt:variant>
      <vt:variant>
        <vt:i4>0</vt:i4>
      </vt:variant>
      <vt:variant>
        <vt:i4>5</vt:i4>
      </vt:variant>
      <vt:variant>
        <vt:lpwstr/>
      </vt:variant>
      <vt:variant>
        <vt:lpwstr>_ENREF_128</vt:lpwstr>
      </vt:variant>
      <vt:variant>
        <vt:i4>4456459</vt:i4>
      </vt:variant>
      <vt:variant>
        <vt:i4>1268</vt:i4>
      </vt:variant>
      <vt:variant>
        <vt:i4>0</vt:i4>
      </vt:variant>
      <vt:variant>
        <vt:i4>5</vt:i4>
      </vt:variant>
      <vt:variant>
        <vt:lpwstr/>
      </vt:variant>
      <vt:variant>
        <vt:lpwstr>_ENREF_50</vt:lpwstr>
      </vt:variant>
      <vt:variant>
        <vt:i4>7798841</vt:i4>
      </vt:variant>
      <vt:variant>
        <vt:i4>1262</vt:i4>
      </vt:variant>
      <vt:variant>
        <vt:i4>0</vt:i4>
      </vt:variant>
      <vt:variant>
        <vt:i4>5</vt:i4>
      </vt:variant>
      <vt:variant>
        <vt:lpwstr/>
      </vt:variant>
      <vt:variant>
        <vt:lpwstr>_ENREF_127</vt:lpwstr>
      </vt:variant>
      <vt:variant>
        <vt:i4>7733305</vt:i4>
      </vt:variant>
      <vt:variant>
        <vt:i4>1256</vt:i4>
      </vt:variant>
      <vt:variant>
        <vt:i4>0</vt:i4>
      </vt:variant>
      <vt:variant>
        <vt:i4>5</vt:i4>
      </vt:variant>
      <vt:variant>
        <vt:lpwstr/>
      </vt:variant>
      <vt:variant>
        <vt:lpwstr>_ENREF_126</vt:lpwstr>
      </vt:variant>
      <vt:variant>
        <vt:i4>7667769</vt:i4>
      </vt:variant>
      <vt:variant>
        <vt:i4>1250</vt:i4>
      </vt:variant>
      <vt:variant>
        <vt:i4>0</vt:i4>
      </vt:variant>
      <vt:variant>
        <vt:i4>5</vt:i4>
      </vt:variant>
      <vt:variant>
        <vt:lpwstr/>
      </vt:variant>
      <vt:variant>
        <vt:lpwstr>_ENREF_125</vt:lpwstr>
      </vt:variant>
      <vt:variant>
        <vt:i4>7667769</vt:i4>
      </vt:variant>
      <vt:variant>
        <vt:i4>1244</vt:i4>
      </vt:variant>
      <vt:variant>
        <vt:i4>0</vt:i4>
      </vt:variant>
      <vt:variant>
        <vt:i4>5</vt:i4>
      </vt:variant>
      <vt:variant>
        <vt:lpwstr/>
      </vt:variant>
      <vt:variant>
        <vt:lpwstr>_ENREF_125</vt:lpwstr>
      </vt:variant>
      <vt:variant>
        <vt:i4>4456459</vt:i4>
      </vt:variant>
      <vt:variant>
        <vt:i4>1238</vt:i4>
      </vt:variant>
      <vt:variant>
        <vt:i4>0</vt:i4>
      </vt:variant>
      <vt:variant>
        <vt:i4>5</vt:i4>
      </vt:variant>
      <vt:variant>
        <vt:lpwstr/>
      </vt:variant>
      <vt:variant>
        <vt:lpwstr>_ENREF_50</vt:lpwstr>
      </vt:variant>
      <vt:variant>
        <vt:i4>7602233</vt:i4>
      </vt:variant>
      <vt:variant>
        <vt:i4>1226</vt:i4>
      </vt:variant>
      <vt:variant>
        <vt:i4>0</vt:i4>
      </vt:variant>
      <vt:variant>
        <vt:i4>5</vt:i4>
      </vt:variant>
      <vt:variant>
        <vt:lpwstr/>
      </vt:variant>
      <vt:variant>
        <vt:lpwstr>_ENREF_124</vt:lpwstr>
      </vt:variant>
      <vt:variant>
        <vt:i4>7536697</vt:i4>
      </vt:variant>
      <vt:variant>
        <vt:i4>1220</vt:i4>
      </vt:variant>
      <vt:variant>
        <vt:i4>0</vt:i4>
      </vt:variant>
      <vt:variant>
        <vt:i4>5</vt:i4>
      </vt:variant>
      <vt:variant>
        <vt:lpwstr/>
      </vt:variant>
      <vt:variant>
        <vt:lpwstr>_ENREF_123</vt:lpwstr>
      </vt:variant>
      <vt:variant>
        <vt:i4>7471161</vt:i4>
      </vt:variant>
      <vt:variant>
        <vt:i4>1214</vt:i4>
      </vt:variant>
      <vt:variant>
        <vt:i4>0</vt:i4>
      </vt:variant>
      <vt:variant>
        <vt:i4>5</vt:i4>
      </vt:variant>
      <vt:variant>
        <vt:lpwstr/>
      </vt:variant>
      <vt:variant>
        <vt:lpwstr>_ENREF_122</vt:lpwstr>
      </vt:variant>
      <vt:variant>
        <vt:i4>7405625</vt:i4>
      </vt:variant>
      <vt:variant>
        <vt:i4>1202</vt:i4>
      </vt:variant>
      <vt:variant>
        <vt:i4>0</vt:i4>
      </vt:variant>
      <vt:variant>
        <vt:i4>5</vt:i4>
      </vt:variant>
      <vt:variant>
        <vt:lpwstr/>
      </vt:variant>
      <vt:variant>
        <vt:lpwstr>_ENREF_121</vt:lpwstr>
      </vt:variant>
      <vt:variant>
        <vt:i4>7340089</vt:i4>
      </vt:variant>
      <vt:variant>
        <vt:i4>1196</vt:i4>
      </vt:variant>
      <vt:variant>
        <vt:i4>0</vt:i4>
      </vt:variant>
      <vt:variant>
        <vt:i4>5</vt:i4>
      </vt:variant>
      <vt:variant>
        <vt:lpwstr/>
      </vt:variant>
      <vt:variant>
        <vt:lpwstr>_ENREF_120</vt:lpwstr>
      </vt:variant>
      <vt:variant>
        <vt:i4>7929914</vt:i4>
      </vt:variant>
      <vt:variant>
        <vt:i4>1190</vt:i4>
      </vt:variant>
      <vt:variant>
        <vt:i4>0</vt:i4>
      </vt:variant>
      <vt:variant>
        <vt:i4>5</vt:i4>
      </vt:variant>
      <vt:variant>
        <vt:lpwstr/>
      </vt:variant>
      <vt:variant>
        <vt:lpwstr>_ENREF_119</vt:lpwstr>
      </vt:variant>
      <vt:variant>
        <vt:i4>7864378</vt:i4>
      </vt:variant>
      <vt:variant>
        <vt:i4>1184</vt:i4>
      </vt:variant>
      <vt:variant>
        <vt:i4>0</vt:i4>
      </vt:variant>
      <vt:variant>
        <vt:i4>5</vt:i4>
      </vt:variant>
      <vt:variant>
        <vt:lpwstr/>
      </vt:variant>
      <vt:variant>
        <vt:lpwstr>_ENREF_118</vt:lpwstr>
      </vt:variant>
      <vt:variant>
        <vt:i4>7798842</vt:i4>
      </vt:variant>
      <vt:variant>
        <vt:i4>1178</vt:i4>
      </vt:variant>
      <vt:variant>
        <vt:i4>0</vt:i4>
      </vt:variant>
      <vt:variant>
        <vt:i4>5</vt:i4>
      </vt:variant>
      <vt:variant>
        <vt:lpwstr/>
      </vt:variant>
      <vt:variant>
        <vt:lpwstr>_ENREF_117</vt:lpwstr>
      </vt:variant>
      <vt:variant>
        <vt:i4>7733306</vt:i4>
      </vt:variant>
      <vt:variant>
        <vt:i4>1172</vt:i4>
      </vt:variant>
      <vt:variant>
        <vt:i4>0</vt:i4>
      </vt:variant>
      <vt:variant>
        <vt:i4>5</vt:i4>
      </vt:variant>
      <vt:variant>
        <vt:lpwstr/>
      </vt:variant>
      <vt:variant>
        <vt:lpwstr>_ENREF_116</vt:lpwstr>
      </vt:variant>
      <vt:variant>
        <vt:i4>7667770</vt:i4>
      </vt:variant>
      <vt:variant>
        <vt:i4>1166</vt:i4>
      </vt:variant>
      <vt:variant>
        <vt:i4>0</vt:i4>
      </vt:variant>
      <vt:variant>
        <vt:i4>5</vt:i4>
      </vt:variant>
      <vt:variant>
        <vt:lpwstr/>
      </vt:variant>
      <vt:variant>
        <vt:lpwstr>_ENREF_115</vt:lpwstr>
      </vt:variant>
      <vt:variant>
        <vt:i4>7602234</vt:i4>
      </vt:variant>
      <vt:variant>
        <vt:i4>1160</vt:i4>
      </vt:variant>
      <vt:variant>
        <vt:i4>0</vt:i4>
      </vt:variant>
      <vt:variant>
        <vt:i4>5</vt:i4>
      </vt:variant>
      <vt:variant>
        <vt:lpwstr/>
      </vt:variant>
      <vt:variant>
        <vt:lpwstr>_ENREF_114</vt:lpwstr>
      </vt:variant>
      <vt:variant>
        <vt:i4>7536698</vt:i4>
      </vt:variant>
      <vt:variant>
        <vt:i4>1154</vt:i4>
      </vt:variant>
      <vt:variant>
        <vt:i4>0</vt:i4>
      </vt:variant>
      <vt:variant>
        <vt:i4>5</vt:i4>
      </vt:variant>
      <vt:variant>
        <vt:lpwstr/>
      </vt:variant>
      <vt:variant>
        <vt:lpwstr>_ENREF_113</vt:lpwstr>
      </vt:variant>
      <vt:variant>
        <vt:i4>7471162</vt:i4>
      </vt:variant>
      <vt:variant>
        <vt:i4>1142</vt:i4>
      </vt:variant>
      <vt:variant>
        <vt:i4>0</vt:i4>
      </vt:variant>
      <vt:variant>
        <vt:i4>5</vt:i4>
      </vt:variant>
      <vt:variant>
        <vt:lpwstr/>
      </vt:variant>
      <vt:variant>
        <vt:lpwstr>_ENREF_112</vt:lpwstr>
      </vt:variant>
      <vt:variant>
        <vt:i4>7405626</vt:i4>
      </vt:variant>
      <vt:variant>
        <vt:i4>1136</vt:i4>
      </vt:variant>
      <vt:variant>
        <vt:i4>0</vt:i4>
      </vt:variant>
      <vt:variant>
        <vt:i4>5</vt:i4>
      </vt:variant>
      <vt:variant>
        <vt:lpwstr/>
      </vt:variant>
      <vt:variant>
        <vt:lpwstr>_ENREF_111</vt:lpwstr>
      </vt:variant>
      <vt:variant>
        <vt:i4>7340090</vt:i4>
      </vt:variant>
      <vt:variant>
        <vt:i4>1130</vt:i4>
      </vt:variant>
      <vt:variant>
        <vt:i4>0</vt:i4>
      </vt:variant>
      <vt:variant>
        <vt:i4>5</vt:i4>
      </vt:variant>
      <vt:variant>
        <vt:lpwstr/>
      </vt:variant>
      <vt:variant>
        <vt:lpwstr>_ENREF_110</vt:lpwstr>
      </vt:variant>
      <vt:variant>
        <vt:i4>7471163</vt:i4>
      </vt:variant>
      <vt:variant>
        <vt:i4>1124</vt:i4>
      </vt:variant>
      <vt:variant>
        <vt:i4>0</vt:i4>
      </vt:variant>
      <vt:variant>
        <vt:i4>5</vt:i4>
      </vt:variant>
      <vt:variant>
        <vt:lpwstr/>
      </vt:variant>
      <vt:variant>
        <vt:lpwstr>_ENREF_102</vt:lpwstr>
      </vt:variant>
      <vt:variant>
        <vt:i4>7471163</vt:i4>
      </vt:variant>
      <vt:variant>
        <vt:i4>1118</vt:i4>
      </vt:variant>
      <vt:variant>
        <vt:i4>0</vt:i4>
      </vt:variant>
      <vt:variant>
        <vt:i4>5</vt:i4>
      </vt:variant>
      <vt:variant>
        <vt:lpwstr/>
      </vt:variant>
      <vt:variant>
        <vt:lpwstr>_ENREF_102</vt:lpwstr>
      </vt:variant>
      <vt:variant>
        <vt:i4>7929915</vt:i4>
      </vt:variant>
      <vt:variant>
        <vt:i4>1110</vt:i4>
      </vt:variant>
      <vt:variant>
        <vt:i4>0</vt:i4>
      </vt:variant>
      <vt:variant>
        <vt:i4>5</vt:i4>
      </vt:variant>
      <vt:variant>
        <vt:lpwstr/>
      </vt:variant>
      <vt:variant>
        <vt:lpwstr>_ENREF_109</vt:lpwstr>
      </vt:variant>
      <vt:variant>
        <vt:i4>7864379</vt:i4>
      </vt:variant>
      <vt:variant>
        <vt:i4>1104</vt:i4>
      </vt:variant>
      <vt:variant>
        <vt:i4>0</vt:i4>
      </vt:variant>
      <vt:variant>
        <vt:i4>5</vt:i4>
      </vt:variant>
      <vt:variant>
        <vt:lpwstr/>
      </vt:variant>
      <vt:variant>
        <vt:lpwstr>_ENREF_108</vt:lpwstr>
      </vt:variant>
      <vt:variant>
        <vt:i4>4653067</vt:i4>
      </vt:variant>
      <vt:variant>
        <vt:i4>1098</vt:i4>
      </vt:variant>
      <vt:variant>
        <vt:i4>0</vt:i4>
      </vt:variant>
      <vt:variant>
        <vt:i4>5</vt:i4>
      </vt:variant>
      <vt:variant>
        <vt:lpwstr/>
      </vt:variant>
      <vt:variant>
        <vt:lpwstr>_ENREF_69</vt:lpwstr>
      </vt:variant>
      <vt:variant>
        <vt:i4>7798843</vt:i4>
      </vt:variant>
      <vt:variant>
        <vt:i4>1092</vt:i4>
      </vt:variant>
      <vt:variant>
        <vt:i4>0</vt:i4>
      </vt:variant>
      <vt:variant>
        <vt:i4>5</vt:i4>
      </vt:variant>
      <vt:variant>
        <vt:lpwstr/>
      </vt:variant>
      <vt:variant>
        <vt:lpwstr>_ENREF_107</vt:lpwstr>
      </vt:variant>
      <vt:variant>
        <vt:i4>7733307</vt:i4>
      </vt:variant>
      <vt:variant>
        <vt:i4>1086</vt:i4>
      </vt:variant>
      <vt:variant>
        <vt:i4>0</vt:i4>
      </vt:variant>
      <vt:variant>
        <vt:i4>5</vt:i4>
      </vt:variant>
      <vt:variant>
        <vt:lpwstr/>
      </vt:variant>
      <vt:variant>
        <vt:lpwstr>_ENREF_106</vt:lpwstr>
      </vt:variant>
      <vt:variant>
        <vt:i4>7667771</vt:i4>
      </vt:variant>
      <vt:variant>
        <vt:i4>1080</vt:i4>
      </vt:variant>
      <vt:variant>
        <vt:i4>0</vt:i4>
      </vt:variant>
      <vt:variant>
        <vt:i4>5</vt:i4>
      </vt:variant>
      <vt:variant>
        <vt:lpwstr/>
      </vt:variant>
      <vt:variant>
        <vt:lpwstr>_ENREF_105</vt:lpwstr>
      </vt:variant>
      <vt:variant>
        <vt:i4>7602235</vt:i4>
      </vt:variant>
      <vt:variant>
        <vt:i4>1074</vt:i4>
      </vt:variant>
      <vt:variant>
        <vt:i4>0</vt:i4>
      </vt:variant>
      <vt:variant>
        <vt:i4>5</vt:i4>
      </vt:variant>
      <vt:variant>
        <vt:lpwstr/>
      </vt:variant>
      <vt:variant>
        <vt:lpwstr>_ENREF_104</vt:lpwstr>
      </vt:variant>
      <vt:variant>
        <vt:i4>7536699</vt:i4>
      </vt:variant>
      <vt:variant>
        <vt:i4>1068</vt:i4>
      </vt:variant>
      <vt:variant>
        <vt:i4>0</vt:i4>
      </vt:variant>
      <vt:variant>
        <vt:i4>5</vt:i4>
      </vt:variant>
      <vt:variant>
        <vt:lpwstr/>
      </vt:variant>
      <vt:variant>
        <vt:lpwstr>_ENREF_103</vt:lpwstr>
      </vt:variant>
      <vt:variant>
        <vt:i4>7471163</vt:i4>
      </vt:variant>
      <vt:variant>
        <vt:i4>1062</vt:i4>
      </vt:variant>
      <vt:variant>
        <vt:i4>0</vt:i4>
      </vt:variant>
      <vt:variant>
        <vt:i4>5</vt:i4>
      </vt:variant>
      <vt:variant>
        <vt:lpwstr/>
      </vt:variant>
      <vt:variant>
        <vt:lpwstr>_ENREF_102</vt:lpwstr>
      </vt:variant>
      <vt:variant>
        <vt:i4>4390923</vt:i4>
      </vt:variant>
      <vt:variant>
        <vt:i4>1056</vt:i4>
      </vt:variant>
      <vt:variant>
        <vt:i4>0</vt:i4>
      </vt:variant>
      <vt:variant>
        <vt:i4>5</vt:i4>
      </vt:variant>
      <vt:variant>
        <vt:lpwstr/>
      </vt:variant>
      <vt:variant>
        <vt:lpwstr>_ENREF_29</vt:lpwstr>
      </vt:variant>
      <vt:variant>
        <vt:i4>4390923</vt:i4>
      </vt:variant>
      <vt:variant>
        <vt:i4>1050</vt:i4>
      </vt:variant>
      <vt:variant>
        <vt:i4>0</vt:i4>
      </vt:variant>
      <vt:variant>
        <vt:i4>5</vt:i4>
      </vt:variant>
      <vt:variant>
        <vt:lpwstr/>
      </vt:variant>
      <vt:variant>
        <vt:lpwstr>_ENREF_2</vt:lpwstr>
      </vt:variant>
      <vt:variant>
        <vt:i4>7405627</vt:i4>
      </vt:variant>
      <vt:variant>
        <vt:i4>1038</vt:i4>
      </vt:variant>
      <vt:variant>
        <vt:i4>0</vt:i4>
      </vt:variant>
      <vt:variant>
        <vt:i4>5</vt:i4>
      </vt:variant>
      <vt:variant>
        <vt:lpwstr/>
      </vt:variant>
      <vt:variant>
        <vt:lpwstr>_ENREF_101</vt:lpwstr>
      </vt:variant>
      <vt:variant>
        <vt:i4>7340091</vt:i4>
      </vt:variant>
      <vt:variant>
        <vt:i4>1032</vt:i4>
      </vt:variant>
      <vt:variant>
        <vt:i4>0</vt:i4>
      </vt:variant>
      <vt:variant>
        <vt:i4>5</vt:i4>
      </vt:variant>
      <vt:variant>
        <vt:lpwstr/>
      </vt:variant>
      <vt:variant>
        <vt:lpwstr>_ENREF_100</vt:lpwstr>
      </vt:variant>
      <vt:variant>
        <vt:i4>4718603</vt:i4>
      </vt:variant>
      <vt:variant>
        <vt:i4>1026</vt:i4>
      </vt:variant>
      <vt:variant>
        <vt:i4>0</vt:i4>
      </vt:variant>
      <vt:variant>
        <vt:i4>5</vt:i4>
      </vt:variant>
      <vt:variant>
        <vt:lpwstr/>
      </vt:variant>
      <vt:variant>
        <vt:lpwstr>_ENREF_99</vt:lpwstr>
      </vt:variant>
      <vt:variant>
        <vt:i4>4718603</vt:i4>
      </vt:variant>
      <vt:variant>
        <vt:i4>1020</vt:i4>
      </vt:variant>
      <vt:variant>
        <vt:i4>0</vt:i4>
      </vt:variant>
      <vt:variant>
        <vt:i4>5</vt:i4>
      </vt:variant>
      <vt:variant>
        <vt:lpwstr/>
      </vt:variant>
      <vt:variant>
        <vt:lpwstr>_ENREF_98</vt:lpwstr>
      </vt:variant>
      <vt:variant>
        <vt:i4>4718603</vt:i4>
      </vt:variant>
      <vt:variant>
        <vt:i4>1014</vt:i4>
      </vt:variant>
      <vt:variant>
        <vt:i4>0</vt:i4>
      </vt:variant>
      <vt:variant>
        <vt:i4>5</vt:i4>
      </vt:variant>
      <vt:variant>
        <vt:lpwstr/>
      </vt:variant>
      <vt:variant>
        <vt:lpwstr>_ENREF_97</vt:lpwstr>
      </vt:variant>
      <vt:variant>
        <vt:i4>4718603</vt:i4>
      </vt:variant>
      <vt:variant>
        <vt:i4>1008</vt:i4>
      </vt:variant>
      <vt:variant>
        <vt:i4>0</vt:i4>
      </vt:variant>
      <vt:variant>
        <vt:i4>5</vt:i4>
      </vt:variant>
      <vt:variant>
        <vt:lpwstr/>
      </vt:variant>
      <vt:variant>
        <vt:lpwstr>_ENREF_96</vt:lpwstr>
      </vt:variant>
      <vt:variant>
        <vt:i4>4718603</vt:i4>
      </vt:variant>
      <vt:variant>
        <vt:i4>1002</vt:i4>
      </vt:variant>
      <vt:variant>
        <vt:i4>0</vt:i4>
      </vt:variant>
      <vt:variant>
        <vt:i4>5</vt:i4>
      </vt:variant>
      <vt:variant>
        <vt:lpwstr/>
      </vt:variant>
      <vt:variant>
        <vt:lpwstr>_ENREF_95</vt:lpwstr>
      </vt:variant>
      <vt:variant>
        <vt:i4>4718603</vt:i4>
      </vt:variant>
      <vt:variant>
        <vt:i4>996</vt:i4>
      </vt:variant>
      <vt:variant>
        <vt:i4>0</vt:i4>
      </vt:variant>
      <vt:variant>
        <vt:i4>5</vt:i4>
      </vt:variant>
      <vt:variant>
        <vt:lpwstr/>
      </vt:variant>
      <vt:variant>
        <vt:lpwstr>_ENREF_94</vt:lpwstr>
      </vt:variant>
      <vt:variant>
        <vt:i4>4718603</vt:i4>
      </vt:variant>
      <vt:variant>
        <vt:i4>990</vt:i4>
      </vt:variant>
      <vt:variant>
        <vt:i4>0</vt:i4>
      </vt:variant>
      <vt:variant>
        <vt:i4>5</vt:i4>
      </vt:variant>
      <vt:variant>
        <vt:lpwstr/>
      </vt:variant>
      <vt:variant>
        <vt:lpwstr>_ENREF_93</vt:lpwstr>
      </vt:variant>
      <vt:variant>
        <vt:i4>4718603</vt:i4>
      </vt:variant>
      <vt:variant>
        <vt:i4>984</vt:i4>
      </vt:variant>
      <vt:variant>
        <vt:i4>0</vt:i4>
      </vt:variant>
      <vt:variant>
        <vt:i4>5</vt:i4>
      </vt:variant>
      <vt:variant>
        <vt:lpwstr/>
      </vt:variant>
      <vt:variant>
        <vt:lpwstr>_ENREF_92</vt:lpwstr>
      </vt:variant>
      <vt:variant>
        <vt:i4>4653067</vt:i4>
      </vt:variant>
      <vt:variant>
        <vt:i4>978</vt:i4>
      </vt:variant>
      <vt:variant>
        <vt:i4>0</vt:i4>
      </vt:variant>
      <vt:variant>
        <vt:i4>5</vt:i4>
      </vt:variant>
      <vt:variant>
        <vt:lpwstr/>
      </vt:variant>
      <vt:variant>
        <vt:lpwstr>_ENREF_60</vt:lpwstr>
      </vt:variant>
      <vt:variant>
        <vt:i4>4718603</vt:i4>
      </vt:variant>
      <vt:variant>
        <vt:i4>972</vt:i4>
      </vt:variant>
      <vt:variant>
        <vt:i4>0</vt:i4>
      </vt:variant>
      <vt:variant>
        <vt:i4>5</vt:i4>
      </vt:variant>
      <vt:variant>
        <vt:lpwstr/>
      </vt:variant>
      <vt:variant>
        <vt:lpwstr>_ENREF_91</vt:lpwstr>
      </vt:variant>
      <vt:variant>
        <vt:i4>4718603</vt:i4>
      </vt:variant>
      <vt:variant>
        <vt:i4>966</vt:i4>
      </vt:variant>
      <vt:variant>
        <vt:i4>0</vt:i4>
      </vt:variant>
      <vt:variant>
        <vt:i4>5</vt:i4>
      </vt:variant>
      <vt:variant>
        <vt:lpwstr/>
      </vt:variant>
      <vt:variant>
        <vt:lpwstr>_ENREF_90</vt:lpwstr>
      </vt:variant>
      <vt:variant>
        <vt:i4>4784139</vt:i4>
      </vt:variant>
      <vt:variant>
        <vt:i4>960</vt:i4>
      </vt:variant>
      <vt:variant>
        <vt:i4>0</vt:i4>
      </vt:variant>
      <vt:variant>
        <vt:i4>5</vt:i4>
      </vt:variant>
      <vt:variant>
        <vt:lpwstr/>
      </vt:variant>
      <vt:variant>
        <vt:lpwstr>_ENREF_89</vt:lpwstr>
      </vt:variant>
      <vt:variant>
        <vt:i4>4784139</vt:i4>
      </vt:variant>
      <vt:variant>
        <vt:i4>954</vt:i4>
      </vt:variant>
      <vt:variant>
        <vt:i4>0</vt:i4>
      </vt:variant>
      <vt:variant>
        <vt:i4>5</vt:i4>
      </vt:variant>
      <vt:variant>
        <vt:lpwstr/>
      </vt:variant>
      <vt:variant>
        <vt:lpwstr>_ENREF_88</vt:lpwstr>
      </vt:variant>
      <vt:variant>
        <vt:i4>4784139</vt:i4>
      </vt:variant>
      <vt:variant>
        <vt:i4>948</vt:i4>
      </vt:variant>
      <vt:variant>
        <vt:i4>0</vt:i4>
      </vt:variant>
      <vt:variant>
        <vt:i4>5</vt:i4>
      </vt:variant>
      <vt:variant>
        <vt:lpwstr/>
      </vt:variant>
      <vt:variant>
        <vt:lpwstr>_ENREF_80</vt:lpwstr>
      </vt:variant>
      <vt:variant>
        <vt:i4>4784139</vt:i4>
      </vt:variant>
      <vt:variant>
        <vt:i4>942</vt:i4>
      </vt:variant>
      <vt:variant>
        <vt:i4>0</vt:i4>
      </vt:variant>
      <vt:variant>
        <vt:i4>5</vt:i4>
      </vt:variant>
      <vt:variant>
        <vt:lpwstr/>
      </vt:variant>
      <vt:variant>
        <vt:lpwstr>_ENREF_87</vt:lpwstr>
      </vt:variant>
      <vt:variant>
        <vt:i4>4784139</vt:i4>
      </vt:variant>
      <vt:variant>
        <vt:i4>936</vt:i4>
      </vt:variant>
      <vt:variant>
        <vt:i4>0</vt:i4>
      </vt:variant>
      <vt:variant>
        <vt:i4>5</vt:i4>
      </vt:variant>
      <vt:variant>
        <vt:lpwstr/>
      </vt:variant>
      <vt:variant>
        <vt:lpwstr>_ENREF_86</vt:lpwstr>
      </vt:variant>
      <vt:variant>
        <vt:i4>4325387</vt:i4>
      </vt:variant>
      <vt:variant>
        <vt:i4>930</vt:i4>
      </vt:variant>
      <vt:variant>
        <vt:i4>0</vt:i4>
      </vt:variant>
      <vt:variant>
        <vt:i4>5</vt:i4>
      </vt:variant>
      <vt:variant>
        <vt:lpwstr/>
      </vt:variant>
      <vt:variant>
        <vt:lpwstr>_ENREF_35</vt:lpwstr>
      </vt:variant>
      <vt:variant>
        <vt:i4>4784139</vt:i4>
      </vt:variant>
      <vt:variant>
        <vt:i4>924</vt:i4>
      </vt:variant>
      <vt:variant>
        <vt:i4>0</vt:i4>
      </vt:variant>
      <vt:variant>
        <vt:i4>5</vt:i4>
      </vt:variant>
      <vt:variant>
        <vt:lpwstr/>
      </vt:variant>
      <vt:variant>
        <vt:lpwstr>_ENREF_85</vt:lpwstr>
      </vt:variant>
      <vt:variant>
        <vt:i4>4784139</vt:i4>
      </vt:variant>
      <vt:variant>
        <vt:i4>918</vt:i4>
      </vt:variant>
      <vt:variant>
        <vt:i4>0</vt:i4>
      </vt:variant>
      <vt:variant>
        <vt:i4>5</vt:i4>
      </vt:variant>
      <vt:variant>
        <vt:lpwstr/>
      </vt:variant>
      <vt:variant>
        <vt:lpwstr>_ENREF_84</vt:lpwstr>
      </vt:variant>
      <vt:variant>
        <vt:i4>4784139</vt:i4>
      </vt:variant>
      <vt:variant>
        <vt:i4>909</vt:i4>
      </vt:variant>
      <vt:variant>
        <vt:i4>0</vt:i4>
      </vt:variant>
      <vt:variant>
        <vt:i4>5</vt:i4>
      </vt:variant>
      <vt:variant>
        <vt:lpwstr/>
      </vt:variant>
      <vt:variant>
        <vt:lpwstr>_ENREF_83</vt:lpwstr>
      </vt:variant>
      <vt:variant>
        <vt:i4>4784139</vt:i4>
      </vt:variant>
      <vt:variant>
        <vt:i4>900</vt:i4>
      </vt:variant>
      <vt:variant>
        <vt:i4>0</vt:i4>
      </vt:variant>
      <vt:variant>
        <vt:i4>5</vt:i4>
      </vt:variant>
      <vt:variant>
        <vt:lpwstr/>
      </vt:variant>
      <vt:variant>
        <vt:lpwstr>_ENREF_82</vt:lpwstr>
      </vt:variant>
      <vt:variant>
        <vt:i4>4784139</vt:i4>
      </vt:variant>
      <vt:variant>
        <vt:i4>894</vt:i4>
      </vt:variant>
      <vt:variant>
        <vt:i4>0</vt:i4>
      </vt:variant>
      <vt:variant>
        <vt:i4>5</vt:i4>
      </vt:variant>
      <vt:variant>
        <vt:lpwstr/>
      </vt:variant>
      <vt:variant>
        <vt:lpwstr>_ENREF_81</vt:lpwstr>
      </vt:variant>
      <vt:variant>
        <vt:i4>4784139</vt:i4>
      </vt:variant>
      <vt:variant>
        <vt:i4>888</vt:i4>
      </vt:variant>
      <vt:variant>
        <vt:i4>0</vt:i4>
      </vt:variant>
      <vt:variant>
        <vt:i4>5</vt:i4>
      </vt:variant>
      <vt:variant>
        <vt:lpwstr/>
      </vt:variant>
      <vt:variant>
        <vt:lpwstr>_ENREF_80</vt:lpwstr>
      </vt:variant>
      <vt:variant>
        <vt:i4>4390923</vt:i4>
      </vt:variant>
      <vt:variant>
        <vt:i4>882</vt:i4>
      </vt:variant>
      <vt:variant>
        <vt:i4>0</vt:i4>
      </vt:variant>
      <vt:variant>
        <vt:i4>5</vt:i4>
      </vt:variant>
      <vt:variant>
        <vt:lpwstr/>
      </vt:variant>
      <vt:variant>
        <vt:lpwstr>_ENREF_2</vt:lpwstr>
      </vt:variant>
      <vt:variant>
        <vt:i4>4587531</vt:i4>
      </vt:variant>
      <vt:variant>
        <vt:i4>876</vt:i4>
      </vt:variant>
      <vt:variant>
        <vt:i4>0</vt:i4>
      </vt:variant>
      <vt:variant>
        <vt:i4>5</vt:i4>
      </vt:variant>
      <vt:variant>
        <vt:lpwstr/>
      </vt:variant>
      <vt:variant>
        <vt:lpwstr>_ENREF_79</vt:lpwstr>
      </vt:variant>
      <vt:variant>
        <vt:i4>4587531</vt:i4>
      </vt:variant>
      <vt:variant>
        <vt:i4>870</vt:i4>
      </vt:variant>
      <vt:variant>
        <vt:i4>0</vt:i4>
      </vt:variant>
      <vt:variant>
        <vt:i4>5</vt:i4>
      </vt:variant>
      <vt:variant>
        <vt:lpwstr/>
      </vt:variant>
      <vt:variant>
        <vt:lpwstr>_ENREF_78</vt:lpwstr>
      </vt:variant>
      <vt:variant>
        <vt:i4>4587531</vt:i4>
      </vt:variant>
      <vt:variant>
        <vt:i4>864</vt:i4>
      </vt:variant>
      <vt:variant>
        <vt:i4>0</vt:i4>
      </vt:variant>
      <vt:variant>
        <vt:i4>5</vt:i4>
      </vt:variant>
      <vt:variant>
        <vt:lpwstr/>
      </vt:variant>
      <vt:variant>
        <vt:lpwstr>_ENREF_77</vt:lpwstr>
      </vt:variant>
      <vt:variant>
        <vt:i4>4587531</vt:i4>
      </vt:variant>
      <vt:variant>
        <vt:i4>858</vt:i4>
      </vt:variant>
      <vt:variant>
        <vt:i4>0</vt:i4>
      </vt:variant>
      <vt:variant>
        <vt:i4>5</vt:i4>
      </vt:variant>
      <vt:variant>
        <vt:lpwstr/>
      </vt:variant>
      <vt:variant>
        <vt:lpwstr>_ENREF_76</vt:lpwstr>
      </vt:variant>
      <vt:variant>
        <vt:i4>4587531</vt:i4>
      </vt:variant>
      <vt:variant>
        <vt:i4>852</vt:i4>
      </vt:variant>
      <vt:variant>
        <vt:i4>0</vt:i4>
      </vt:variant>
      <vt:variant>
        <vt:i4>5</vt:i4>
      </vt:variant>
      <vt:variant>
        <vt:lpwstr/>
      </vt:variant>
      <vt:variant>
        <vt:lpwstr>_ENREF_75</vt:lpwstr>
      </vt:variant>
      <vt:variant>
        <vt:i4>4587531</vt:i4>
      </vt:variant>
      <vt:variant>
        <vt:i4>846</vt:i4>
      </vt:variant>
      <vt:variant>
        <vt:i4>0</vt:i4>
      </vt:variant>
      <vt:variant>
        <vt:i4>5</vt:i4>
      </vt:variant>
      <vt:variant>
        <vt:lpwstr/>
      </vt:variant>
      <vt:variant>
        <vt:lpwstr>_ENREF_74</vt:lpwstr>
      </vt:variant>
      <vt:variant>
        <vt:i4>4587531</vt:i4>
      </vt:variant>
      <vt:variant>
        <vt:i4>840</vt:i4>
      </vt:variant>
      <vt:variant>
        <vt:i4>0</vt:i4>
      </vt:variant>
      <vt:variant>
        <vt:i4>5</vt:i4>
      </vt:variant>
      <vt:variant>
        <vt:lpwstr/>
      </vt:variant>
      <vt:variant>
        <vt:lpwstr>_ENREF_73</vt:lpwstr>
      </vt:variant>
      <vt:variant>
        <vt:i4>4587531</vt:i4>
      </vt:variant>
      <vt:variant>
        <vt:i4>834</vt:i4>
      </vt:variant>
      <vt:variant>
        <vt:i4>0</vt:i4>
      </vt:variant>
      <vt:variant>
        <vt:i4>5</vt:i4>
      </vt:variant>
      <vt:variant>
        <vt:lpwstr/>
      </vt:variant>
      <vt:variant>
        <vt:lpwstr>_ENREF_72</vt:lpwstr>
      </vt:variant>
      <vt:variant>
        <vt:i4>4587531</vt:i4>
      </vt:variant>
      <vt:variant>
        <vt:i4>828</vt:i4>
      </vt:variant>
      <vt:variant>
        <vt:i4>0</vt:i4>
      </vt:variant>
      <vt:variant>
        <vt:i4>5</vt:i4>
      </vt:variant>
      <vt:variant>
        <vt:lpwstr/>
      </vt:variant>
      <vt:variant>
        <vt:lpwstr>_ENREF_71</vt:lpwstr>
      </vt:variant>
      <vt:variant>
        <vt:i4>4587531</vt:i4>
      </vt:variant>
      <vt:variant>
        <vt:i4>822</vt:i4>
      </vt:variant>
      <vt:variant>
        <vt:i4>0</vt:i4>
      </vt:variant>
      <vt:variant>
        <vt:i4>5</vt:i4>
      </vt:variant>
      <vt:variant>
        <vt:lpwstr/>
      </vt:variant>
      <vt:variant>
        <vt:lpwstr>_ENREF_70</vt:lpwstr>
      </vt:variant>
      <vt:variant>
        <vt:i4>4456459</vt:i4>
      </vt:variant>
      <vt:variant>
        <vt:i4>816</vt:i4>
      </vt:variant>
      <vt:variant>
        <vt:i4>0</vt:i4>
      </vt:variant>
      <vt:variant>
        <vt:i4>5</vt:i4>
      </vt:variant>
      <vt:variant>
        <vt:lpwstr/>
      </vt:variant>
      <vt:variant>
        <vt:lpwstr>_ENREF_52</vt:lpwstr>
      </vt:variant>
      <vt:variant>
        <vt:i4>4653067</vt:i4>
      </vt:variant>
      <vt:variant>
        <vt:i4>810</vt:i4>
      </vt:variant>
      <vt:variant>
        <vt:i4>0</vt:i4>
      </vt:variant>
      <vt:variant>
        <vt:i4>5</vt:i4>
      </vt:variant>
      <vt:variant>
        <vt:lpwstr/>
      </vt:variant>
      <vt:variant>
        <vt:lpwstr>_ENREF_69</vt:lpwstr>
      </vt:variant>
      <vt:variant>
        <vt:i4>4653067</vt:i4>
      </vt:variant>
      <vt:variant>
        <vt:i4>804</vt:i4>
      </vt:variant>
      <vt:variant>
        <vt:i4>0</vt:i4>
      </vt:variant>
      <vt:variant>
        <vt:i4>5</vt:i4>
      </vt:variant>
      <vt:variant>
        <vt:lpwstr/>
      </vt:variant>
      <vt:variant>
        <vt:lpwstr>_ENREF_68</vt:lpwstr>
      </vt:variant>
      <vt:variant>
        <vt:i4>4653067</vt:i4>
      </vt:variant>
      <vt:variant>
        <vt:i4>798</vt:i4>
      </vt:variant>
      <vt:variant>
        <vt:i4>0</vt:i4>
      </vt:variant>
      <vt:variant>
        <vt:i4>5</vt:i4>
      </vt:variant>
      <vt:variant>
        <vt:lpwstr/>
      </vt:variant>
      <vt:variant>
        <vt:lpwstr>_ENREF_68</vt:lpwstr>
      </vt:variant>
      <vt:variant>
        <vt:i4>4653067</vt:i4>
      </vt:variant>
      <vt:variant>
        <vt:i4>792</vt:i4>
      </vt:variant>
      <vt:variant>
        <vt:i4>0</vt:i4>
      </vt:variant>
      <vt:variant>
        <vt:i4>5</vt:i4>
      </vt:variant>
      <vt:variant>
        <vt:lpwstr/>
      </vt:variant>
      <vt:variant>
        <vt:lpwstr>_ENREF_67</vt:lpwstr>
      </vt:variant>
      <vt:variant>
        <vt:i4>4653067</vt:i4>
      </vt:variant>
      <vt:variant>
        <vt:i4>786</vt:i4>
      </vt:variant>
      <vt:variant>
        <vt:i4>0</vt:i4>
      </vt:variant>
      <vt:variant>
        <vt:i4>5</vt:i4>
      </vt:variant>
      <vt:variant>
        <vt:lpwstr/>
      </vt:variant>
      <vt:variant>
        <vt:lpwstr>_ENREF_66</vt:lpwstr>
      </vt:variant>
      <vt:variant>
        <vt:i4>4653067</vt:i4>
      </vt:variant>
      <vt:variant>
        <vt:i4>780</vt:i4>
      </vt:variant>
      <vt:variant>
        <vt:i4>0</vt:i4>
      </vt:variant>
      <vt:variant>
        <vt:i4>5</vt:i4>
      </vt:variant>
      <vt:variant>
        <vt:lpwstr/>
      </vt:variant>
      <vt:variant>
        <vt:lpwstr>_ENREF_65</vt:lpwstr>
      </vt:variant>
      <vt:variant>
        <vt:i4>4653067</vt:i4>
      </vt:variant>
      <vt:variant>
        <vt:i4>774</vt:i4>
      </vt:variant>
      <vt:variant>
        <vt:i4>0</vt:i4>
      </vt:variant>
      <vt:variant>
        <vt:i4>5</vt:i4>
      </vt:variant>
      <vt:variant>
        <vt:lpwstr/>
      </vt:variant>
      <vt:variant>
        <vt:lpwstr>_ENREF_64</vt:lpwstr>
      </vt:variant>
      <vt:variant>
        <vt:i4>4653067</vt:i4>
      </vt:variant>
      <vt:variant>
        <vt:i4>768</vt:i4>
      </vt:variant>
      <vt:variant>
        <vt:i4>0</vt:i4>
      </vt:variant>
      <vt:variant>
        <vt:i4>5</vt:i4>
      </vt:variant>
      <vt:variant>
        <vt:lpwstr/>
      </vt:variant>
      <vt:variant>
        <vt:lpwstr>_ENREF_63</vt:lpwstr>
      </vt:variant>
      <vt:variant>
        <vt:i4>4653067</vt:i4>
      </vt:variant>
      <vt:variant>
        <vt:i4>762</vt:i4>
      </vt:variant>
      <vt:variant>
        <vt:i4>0</vt:i4>
      </vt:variant>
      <vt:variant>
        <vt:i4>5</vt:i4>
      </vt:variant>
      <vt:variant>
        <vt:lpwstr/>
      </vt:variant>
      <vt:variant>
        <vt:lpwstr>_ENREF_63</vt:lpwstr>
      </vt:variant>
      <vt:variant>
        <vt:i4>4521995</vt:i4>
      </vt:variant>
      <vt:variant>
        <vt:i4>756</vt:i4>
      </vt:variant>
      <vt:variant>
        <vt:i4>0</vt:i4>
      </vt:variant>
      <vt:variant>
        <vt:i4>5</vt:i4>
      </vt:variant>
      <vt:variant>
        <vt:lpwstr/>
      </vt:variant>
      <vt:variant>
        <vt:lpwstr>_ENREF_49</vt:lpwstr>
      </vt:variant>
      <vt:variant>
        <vt:i4>4653067</vt:i4>
      </vt:variant>
      <vt:variant>
        <vt:i4>750</vt:i4>
      </vt:variant>
      <vt:variant>
        <vt:i4>0</vt:i4>
      </vt:variant>
      <vt:variant>
        <vt:i4>5</vt:i4>
      </vt:variant>
      <vt:variant>
        <vt:lpwstr/>
      </vt:variant>
      <vt:variant>
        <vt:lpwstr>_ENREF_62</vt:lpwstr>
      </vt:variant>
      <vt:variant>
        <vt:i4>4653067</vt:i4>
      </vt:variant>
      <vt:variant>
        <vt:i4>732</vt:i4>
      </vt:variant>
      <vt:variant>
        <vt:i4>0</vt:i4>
      </vt:variant>
      <vt:variant>
        <vt:i4>5</vt:i4>
      </vt:variant>
      <vt:variant>
        <vt:lpwstr/>
      </vt:variant>
      <vt:variant>
        <vt:lpwstr>_ENREF_61</vt:lpwstr>
      </vt:variant>
      <vt:variant>
        <vt:i4>4653067</vt:i4>
      </vt:variant>
      <vt:variant>
        <vt:i4>726</vt:i4>
      </vt:variant>
      <vt:variant>
        <vt:i4>0</vt:i4>
      </vt:variant>
      <vt:variant>
        <vt:i4>5</vt:i4>
      </vt:variant>
      <vt:variant>
        <vt:lpwstr/>
      </vt:variant>
      <vt:variant>
        <vt:lpwstr>_ENREF_60</vt:lpwstr>
      </vt:variant>
      <vt:variant>
        <vt:i4>4456459</vt:i4>
      </vt:variant>
      <vt:variant>
        <vt:i4>720</vt:i4>
      </vt:variant>
      <vt:variant>
        <vt:i4>0</vt:i4>
      </vt:variant>
      <vt:variant>
        <vt:i4>5</vt:i4>
      </vt:variant>
      <vt:variant>
        <vt:lpwstr/>
      </vt:variant>
      <vt:variant>
        <vt:lpwstr>_ENREF_59</vt:lpwstr>
      </vt:variant>
      <vt:variant>
        <vt:i4>4456459</vt:i4>
      </vt:variant>
      <vt:variant>
        <vt:i4>714</vt:i4>
      </vt:variant>
      <vt:variant>
        <vt:i4>0</vt:i4>
      </vt:variant>
      <vt:variant>
        <vt:i4>5</vt:i4>
      </vt:variant>
      <vt:variant>
        <vt:lpwstr/>
      </vt:variant>
      <vt:variant>
        <vt:lpwstr>_ENREF_58</vt:lpwstr>
      </vt:variant>
      <vt:variant>
        <vt:i4>4456459</vt:i4>
      </vt:variant>
      <vt:variant>
        <vt:i4>708</vt:i4>
      </vt:variant>
      <vt:variant>
        <vt:i4>0</vt:i4>
      </vt:variant>
      <vt:variant>
        <vt:i4>5</vt:i4>
      </vt:variant>
      <vt:variant>
        <vt:lpwstr/>
      </vt:variant>
      <vt:variant>
        <vt:lpwstr>_ENREF_57</vt:lpwstr>
      </vt:variant>
      <vt:variant>
        <vt:i4>4390923</vt:i4>
      </vt:variant>
      <vt:variant>
        <vt:i4>702</vt:i4>
      </vt:variant>
      <vt:variant>
        <vt:i4>0</vt:i4>
      </vt:variant>
      <vt:variant>
        <vt:i4>5</vt:i4>
      </vt:variant>
      <vt:variant>
        <vt:lpwstr/>
      </vt:variant>
      <vt:variant>
        <vt:lpwstr>_ENREF_27</vt:lpwstr>
      </vt:variant>
      <vt:variant>
        <vt:i4>4456459</vt:i4>
      </vt:variant>
      <vt:variant>
        <vt:i4>696</vt:i4>
      </vt:variant>
      <vt:variant>
        <vt:i4>0</vt:i4>
      </vt:variant>
      <vt:variant>
        <vt:i4>5</vt:i4>
      </vt:variant>
      <vt:variant>
        <vt:lpwstr/>
      </vt:variant>
      <vt:variant>
        <vt:lpwstr>_ENREF_56</vt:lpwstr>
      </vt:variant>
      <vt:variant>
        <vt:i4>4456459</vt:i4>
      </vt:variant>
      <vt:variant>
        <vt:i4>690</vt:i4>
      </vt:variant>
      <vt:variant>
        <vt:i4>0</vt:i4>
      </vt:variant>
      <vt:variant>
        <vt:i4>5</vt:i4>
      </vt:variant>
      <vt:variant>
        <vt:lpwstr/>
      </vt:variant>
      <vt:variant>
        <vt:lpwstr>_ENREF_55</vt:lpwstr>
      </vt:variant>
      <vt:variant>
        <vt:i4>4456459</vt:i4>
      </vt:variant>
      <vt:variant>
        <vt:i4>684</vt:i4>
      </vt:variant>
      <vt:variant>
        <vt:i4>0</vt:i4>
      </vt:variant>
      <vt:variant>
        <vt:i4>5</vt:i4>
      </vt:variant>
      <vt:variant>
        <vt:lpwstr/>
      </vt:variant>
      <vt:variant>
        <vt:lpwstr>_ENREF_50</vt:lpwstr>
      </vt:variant>
      <vt:variant>
        <vt:i4>4456459</vt:i4>
      </vt:variant>
      <vt:variant>
        <vt:i4>678</vt:i4>
      </vt:variant>
      <vt:variant>
        <vt:i4>0</vt:i4>
      </vt:variant>
      <vt:variant>
        <vt:i4>5</vt:i4>
      </vt:variant>
      <vt:variant>
        <vt:lpwstr/>
      </vt:variant>
      <vt:variant>
        <vt:lpwstr>_ENREF_54</vt:lpwstr>
      </vt:variant>
      <vt:variant>
        <vt:i4>4456459</vt:i4>
      </vt:variant>
      <vt:variant>
        <vt:i4>672</vt:i4>
      </vt:variant>
      <vt:variant>
        <vt:i4>0</vt:i4>
      </vt:variant>
      <vt:variant>
        <vt:i4>5</vt:i4>
      </vt:variant>
      <vt:variant>
        <vt:lpwstr/>
      </vt:variant>
      <vt:variant>
        <vt:lpwstr>_ENREF_53</vt:lpwstr>
      </vt:variant>
      <vt:variant>
        <vt:i4>4456459</vt:i4>
      </vt:variant>
      <vt:variant>
        <vt:i4>666</vt:i4>
      </vt:variant>
      <vt:variant>
        <vt:i4>0</vt:i4>
      </vt:variant>
      <vt:variant>
        <vt:i4>5</vt:i4>
      </vt:variant>
      <vt:variant>
        <vt:lpwstr/>
      </vt:variant>
      <vt:variant>
        <vt:lpwstr>_ENREF_52</vt:lpwstr>
      </vt:variant>
      <vt:variant>
        <vt:i4>4390923</vt:i4>
      </vt:variant>
      <vt:variant>
        <vt:i4>660</vt:i4>
      </vt:variant>
      <vt:variant>
        <vt:i4>0</vt:i4>
      </vt:variant>
      <vt:variant>
        <vt:i4>5</vt:i4>
      </vt:variant>
      <vt:variant>
        <vt:lpwstr/>
      </vt:variant>
      <vt:variant>
        <vt:lpwstr>_ENREF_2</vt:lpwstr>
      </vt:variant>
      <vt:variant>
        <vt:i4>4456459</vt:i4>
      </vt:variant>
      <vt:variant>
        <vt:i4>654</vt:i4>
      </vt:variant>
      <vt:variant>
        <vt:i4>0</vt:i4>
      </vt:variant>
      <vt:variant>
        <vt:i4>5</vt:i4>
      </vt:variant>
      <vt:variant>
        <vt:lpwstr/>
      </vt:variant>
      <vt:variant>
        <vt:lpwstr>_ENREF_51</vt:lpwstr>
      </vt:variant>
      <vt:variant>
        <vt:i4>4456459</vt:i4>
      </vt:variant>
      <vt:variant>
        <vt:i4>648</vt:i4>
      </vt:variant>
      <vt:variant>
        <vt:i4>0</vt:i4>
      </vt:variant>
      <vt:variant>
        <vt:i4>5</vt:i4>
      </vt:variant>
      <vt:variant>
        <vt:lpwstr/>
      </vt:variant>
      <vt:variant>
        <vt:lpwstr>_ENREF_50</vt:lpwstr>
      </vt:variant>
      <vt:variant>
        <vt:i4>4521995</vt:i4>
      </vt:variant>
      <vt:variant>
        <vt:i4>642</vt:i4>
      </vt:variant>
      <vt:variant>
        <vt:i4>0</vt:i4>
      </vt:variant>
      <vt:variant>
        <vt:i4>5</vt:i4>
      </vt:variant>
      <vt:variant>
        <vt:lpwstr/>
      </vt:variant>
      <vt:variant>
        <vt:lpwstr>_ENREF_49</vt:lpwstr>
      </vt:variant>
      <vt:variant>
        <vt:i4>4521995</vt:i4>
      </vt:variant>
      <vt:variant>
        <vt:i4>636</vt:i4>
      </vt:variant>
      <vt:variant>
        <vt:i4>0</vt:i4>
      </vt:variant>
      <vt:variant>
        <vt:i4>5</vt:i4>
      </vt:variant>
      <vt:variant>
        <vt:lpwstr/>
      </vt:variant>
      <vt:variant>
        <vt:lpwstr>_ENREF_48</vt:lpwstr>
      </vt:variant>
      <vt:variant>
        <vt:i4>4521995</vt:i4>
      </vt:variant>
      <vt:variant>
        <vt:i4>630</vt:i4>
      </vt:variant>
      <vt:variant>
        <vt:i4>0</vt:i4>
      </vt:variant>
      <vt:variant>
        <vt:i4>5</vt:i4>
      </vt:variant>
      <vt:variant>
        <vt:lpwstr/>
      </vt:variant>
      <vt:variant>
        <vt:lpwstr>_ENREF_47</vt:lpwstr>
      </vt:variant>
      <vt:variant>
        <vt:i4>4521995</vt:i4>
      </vt:variant>
      <vt:variant>
        <vt:i4>624</vt:i4>
      </vt:variant>
      <vt:variant>
        <vt:i4>0</vt:i4>
      </vt:variant>
      <vt:variant>
        <vt:i4>5</vt:i4>
      </vt:variant>
      <vt:variant>
        <vt:lpwstr/>
      </vt:variant>
      <vt:variant>
        <vt:lpwstr>_ENREF_46</vt:lpwstr>
      </vt:variant>
      <vt:variant>
        <vt:i4>4521995</vt:i4>
      </vt:variant>
      <vt:variant>
        <vt:i4>618</vt:i4>
      </vt:variant>
      <vt:variant>
        <vt:i4>0</vt:i4>
      </vt:variant>
      <vt:variant>
        <vt:i4>5</vt:i4>
      </vt:variant>
      <vt:variant>
        <vt:lpwstr/>
      </vt:variant>
      <vt:variant>
        <vt:lpwstr>_ENREF_45</vt:lpwstr>
      </vt:variant>
      <vt:variant>
        <vt:i4>4521995</vt:i4>
      </vt:variant>
      <vt:variant>
        <vt:i4>612</vt:i4>
      </vt:variant>
      <vt:variant>
        <vt:i4>0</vt:i4>
      </vt:variant>
      <vt:variant>
        <vt:i4>5</vt:i4>
      </vt:variant>
      <vt:variant>
        <vt:lpwstr/>
      </vt:variant>
      <vt:variant>
        <vt:lpwstr>_ENREF_44</vt:lpwstr>
      </vt:variant>
      <vt:variant>
        <vt:i4>4521995</vt:i4>
      </vt:variant>
      <vt:variant>
        <vt:i4>606</vt:i4>
      </vt:variant>
      <vt:variant>
        <vt:i4>0</vt:i4>
      </vt:variant>
      <vt:variant>
        <vt:i4>5</vt:i4>
      </vt:variant>
      <vt:variant>
        <vt:lpwstr/>
      </vt:variant>
      <vt:variant>
        <vt:lpwstr>_ENREF_43</vt:lpwstr>
      </vt:variant>
      <vt:variant>
        <vt:i4>4521995</vt:i4>
      </vt:variant>
      <vt:variant>
        <vt:i4>600</vt:i4>
      </vt:variant>
      <vt:variant>
        <vt:i4>0</vt:i4>
      </vt:variant>
      <vt:variant>
        <vt:i4>5</vt:i4>
      </vt:variant>
      <vt:variant>
        <vt:lpwstr/>
      </vt:variant>
      <vt:variant>
        <vt:lpwstr>_ENREF_42</vt:lpwstr>
      </vt:variant>
      <vt:variant>
        <vt:i4>4325387</vt:i4>
      </vt:variant>
      <vt:variant>
        <vt:i4>594</vt:i4>
      </vt:variant>
      <vt:variant>
        <vt:i4>0</vt:i4>
      </vt:variant>
      <vt:variant>
        <vt:i4>5</vt:i4>
      </vt:variant>
      <vt:variant>
        <vt:lpwstr/>
      </vt:variant>
      <vt:variant>
        <vt:lpwstr>_ENREF_36</vt:lpwstr>
      </vt:variant>
      <vt:variant>
        <vt:i4>4521995</vt:i4>
      </vt:variant>
      <vt:variant>
        <vt:i4>588</vt:i4>
      </vt:variant>
      <vt:variant>
        <vt:i4>0</vt:i4>
      </vt:variant>
      <vt:variant>
        <vt:i4>5</vt:i4>
      </vt:variant>
      <vt:variant>
        <vt:lpwstr/>
      </vt:variant>
      <vt:variant>
        <vt:lpwstr>_ENREF_41</vt:lpwstr>
      </vt:variant>
      <vt:variant>
        <vt:i4>4521995</vt:i4>
      </vt:variant>
      <vt:variant>
        <vt:i4>582</vt:i4>
      </vt:variant>
      <vt:variant>
        <vt:i4>0</vt:i4>
      </vt:variant>
      <vt:variant>
        <vt:i4>5</vt:i4>
      </vt:variant>
      <vt:variant>
        <vt:lpwstr/>
      </vt:variant>
      <vt:variant>
        <vt:lpwstr>_ENREF_40</vt:lpwstr>
      </vt:variant>
      <vt:variant>
        <vt:i4>4325387</vt:i4>
      </vt:variant>
      <vt:variant>
        <vt:i4>576</vt:i4>
      </vt:variant>
      <vt:variant>
        <vt:i4>0</vt:i4>
      </vt:variant>
      <vt:variant>
        <vt:i4>5</vt:i4>
      </vt:variant>
      <vt:variant>
        <vt:lpwstr/>
      </vt:variant>
      <vt:variant>
        <vt:lpwstr>_ENREF_39</vt:lpwstr>
      </vt:variant>
      <vt:variant>
        <vt:i4>4325387</vt:i4>
      </vt:variant>
      <vt:variant>
        <vt:i4>570</vt:i4>
      </vt:variant>
      <vt:variant>
        <vt:i4>0</vt:i4>
      </vt:variant>
      <vt:variant>
        <vt:i4>5</vt:i4>
      </vt:variant>
      <vt:variant>
        <vt:lpwstr/>
      </vt:variant>
      <vt:variant>
        <vt:lpwstr>_ENREF_38</vt:lpwstr>
      </vt:variant>
      <vt:variant>
        <vt:i4>4325387</vt:i4>
      </vt:variant>
      <vt:variant>
        <vt:i4>564</vt:i4>
      </vt:variant>
      <vt:variant>
        <vt:i4>0</vt:i4>
      </vt:variant>
      <vt:variant>
        <vt:i4>5</vt:i4>
      </vt:variant>
      <vt:variant>
        <vt:lpwstr/>
      </vt:variant>
      <vt:variant>
        <vt:lpwstr>_ENREF_37</vt:lpwstr>
      </vt:variant>
      <vt:variant>
        <vt:i4>4325387</vt:i4>
      </vt:variant>
      <vt:variant>
        <vt:i4>558</vt:i4>
      </vt:variant>
      <vt:variant>
        <vt:i4>0</vt:i4>
      </vt:variant>
      <vt:variant>
        <vt:i4>5</vt:i4>
      </vt:variant>
      <vt:variant>
        <vt:lpwstr/>
      </vt:variant>
      <vt:variant>
        <vt:lpwstr>_ENREF_36</vt:lpwstr>
      </vt:variant>
      <vt:variant>
        <vt:i4>4325387</vt:i4>
      </vt:variant>
      <vt:variant>
        <vt:i4>543</vt:i4>
      </vt:variant>
      <vt:variant>
        <vt:i4>0</vt:i4>
      </vt:variant>
      <vt:variant>
        <vt:i4>5</vt:i4>
      </vt:variant>
      <vt:variant>
        <vt:lpwstr/>
      </vt:variant>
      <vt:variant>
        <vt:lpwstr>_ENREF_35</vt:lpwstr>
      </vt:variant>
      <vt:variant>
        <vt:i4>4325387</vt:i4>
      </vt:variant>
      <vt:variant>
        <vt:i4>537</vt:i4>
      </vt:variant>
      <vt:variant>
        <vt:i4>0</vt:i4>
      </vt:variant>
      <vt:variant>
        <vt:i4>5</vt:i4>
      </vt:variant>
      <vt:variant>
        <vt:lpwstr/>
      </vt:variant>
      <vt:variant>
        <vt:lpwstr>_ENREF_34</vt:lpwstr>
      </vt:variant>
      <vt:variant>
        <vt:i4>4325387</vt:i4>
      </vt:variant>
      <vt:variant>
        <vt:i4>525</vt:i4>
      </vt:variant>
      <vt:variant>
        <vt:i4>0</vt:i4>
      </vt:variant>
      <vt:variant>
        <vt:i4>5</vt:i4>
      </vt:variant>
      <vt:variant>
        <vt:lpwstr/>
      </vt:variant>
      <vt:variant>
        <vt:lpwstr>_ENREF_33</vt:lpwstr>
      </vt:variant>
      <vt:variant>
        <vt:i4>4325387</vt:i4>
      </vt:variant>
      <vt:variant>
        <vt:i4>519</vt:i4>
      </vt:variant>
      <vt:variant>
        <vt:i4>0</vt:i4>
      </vt:variant>
      <vt:variant>
        <vt:i4>5</vt:i4>
      </vt:variant>
      <vt:variant>
        <vt:lpwstr/>
      </vt:variant>
      <vt:variant>
        <vt:lpwstr>_ENREF_32</vt:lpwstr>
      </vt:variant>
      <vt:variant>
        <vt:i4>4325387</vt:i4>
      </vt:variant>
      <vt:variant>
        <vt:i4>513</vt:i4>
      </vt:variant>
      <vt:variant>
        <vt:i4>0</vt:i4>
      </vt:variant>
      <vt:variant>
        <vt:i4>5</vt:i4>
      </vt:variant>
      <vt:variant>
        <vt:lpwstr/>
      </vt:variant>
      <vt:variant>
        <vt:lpwstr>_ENREF_31</vt:lpwstr>
      </vt:variant>
      <vt:variant>
        <vt:i4>4325387</vt:i4>
      </vt:variant>
      <vt:variant>
        <vt:i4>507</vt:i4>
      </vt:variant>
      <vt:variant>
        <vt:i4>0</vt:i4>
      </vt:variant>
      <vt:variant>
        <vt:i4>5</vt:i4>
      </vt:variant>
      <vt:variant>
        <vt:lpwstr/>
      </vt:variant>
      <vt:variant>
        <vt:lpwstr>_ENREF_30</vt:lpwstr>
      </vt:variant>
      <vt:variant>
        <vt:i4>4194315</vt:i4>
      </vt:variant>
      <vt:variant>
        <vt:i4>501</vt:i4>
      </vt:variant>
      <vt:variant>
        <vt:i4>0</vt:i4>
      </vt:variant>
      <vt:variant>
        <vt:i4>5</vt:i4>
      </vt:variant>
      <vt:variant>
        <vt:lpwstr/>
      </vt:variant>
      <vt:variant>
        <vt:lpwstr>_ENREF_10</vt:lpwstr>
      </vt:variant>
      <vt:variant>
        <vt:i4>4390923</vt:i4>
      </vt:variant>
      <vt:variant>
        <vt:i4>495</vt:i4>
      </vt:variant>
      <vt:variant>
        <vt:i4>0</vt:i4>
      </vt:variant>
      <vt:variant>
        <vt:i4>5</vt:i4>
      </vt:variant>
      <vt:variant>
        <vt:lpwstr/>
      </vt:variant>
      <vt:variant>
        <vt:lpwstr>_ENREF_29</vt:lpwstr>
      </vt:variant>
      <vt:variant>
        <vt:i4>4390923</vt:i4>
      </vt:variant>
      <vt:variant>
        <vt:i4>489</vt:i4>
      </vt:variant>
      <vt:variant>
        <vt:i4>0</vt:i4>
      </vt:variant>
      <vt:variant>
        <vt:i4>5</vt:i4>
      </vt:variant>
      <vt:variant>
        <vt:lpwstr/>
      </vt:variant>
      <vt:variant>
        <vt:lpwstr>_ENREF_28</vt:lpwstr>
      </vt:variant>
      <vt:variant>
        <vt:i4>4390923</vt:i4>
      </vt:variant>
      <vt:variant>
        <vt:i4>483</vt:i4>
      </vt:variant>
      <vt:variant>
        <vt:i4>0</vt:i4>
      </vt:variant>
      <vt:variant>
        <vt:i4>5</vt:i4>
      </vt:variant>
      <vt:variant>
        <vt:lpwstr/>
      </vt:variant>
      <vt:variant>
        <vt:lpwstr>_ENREF_27</vt:lpwstr>
      </vt:variant>
      <vt:variant>
        <vt:i4>4390923</vt:i4>
      </vt:variant>
      <vt:variant>
        <vt:i4>477</vt:i4>
      </vt:variant>
      <vt:variant>
        <vt:i4>0</vt:i4>
      </vt:variant>
      <vt:variant>
        <vt:i4>5</vt:i4>
      </vt:variant>
      <vt:variant>
        <vt:lpwstr/>
      </vt:variant>
      <vt:variant>
        <vt:lpwstr>_ENREF_26</vt:lpwstr>
      </vt:variant>
      <vt:variant>
        <vt:i4>4784139</vt:i4>
      </vt:variant>
      <vt:variant>
        <vt:i4>471</vt:i4>
      </vt:variant>
      <vt:variant>
        <vt:i4>0</vt:i4>
      </vt:variant>
      <vt:variant>
        <vt:i4>5</vt:i4>
      </vt:variant>
      <vt:variant>
        <vt:lpwstr/>
      </vt:variant>
      <vt:variant>
        <vt:lpwstr>_ENREF_8</vt:lpwstr>
      </vt:variant>
      <vt:variant>
        <vt:i4>4521995</vt:i4>
      </vt:variant>
      <vt:variant>
        <vt:i4>465</vt:i4>
      </vt:variant>
      <vt:variant>
        <vt:i4>0</vt:i4>
      </vt:variant>
      <vt:variant>
        <vt:i4>5</vt:i4>
      </vt:variant>
      <vt:variant>
        <vt:lpwstr/>
      </vt:variant>
      <vt:variant>
        <vt:lpwstr>_ENREF_4</vt:lpwstr>
      </vt:variant>
      <vt:variant>
        <vt:i4>4390923</vt:i4>
      </vt:variant>
      <vt:variant>
        <vt:i4>459</vt:i4>
      </vt:variant>
      <vt:variant>
        <vt:i4>0</vt:i4>
      </vt:variant>
      <vt:variant>
        <vt:i4>5</vt:i4>
      </vt:variant>
      <vt:variant>
        <vt:lpwstr/>
      </vt:variant>
      <vt:variant>
        <vt:lpwstr>_ENREF_25</vt:lpwstr>
      </vt:variant>
      <vt:variant>
        <vt:i4>4390923</vt:i4>
      </vt:variant>
      <vt:variant>
        <vt:i4>453</vt:i4>
      </vt:variant>
      <vt:variant>
        <vt:i4>0</vt:i4>
      </vt:variant>
      <vt:variant>
        <vt:i4>5</vt:i4>
      </vt:variant>
      <vt:variant>
        <vt:lpwstr/>
      </vt:variant>
      <vt:variant>
        <vt:lpwstr>_ENREF_25</vt:lpwstr>
      </vt:variant>
      <vt:variant>
        <vt:i4>4390923</vt:i4>
      </vt:variant>
      <vt:variant>
        <vt:i4>447</vt:i4>
      </vt:variant>
      <vt:variant>
        <vt:i4>0</vt:i4>
      </vt:variant>
      <vt:variant>
        <vt:i4>5</vt:i4>
      </vt:variant>
      <vt:variant>
        <vt:lpwstr/>
      </vt:variant>
      <vt:variant>
        <vt:lpwstr>_ENREF_24</vt:lpwstr>
      </vt:variant>
      <vt:variant>
        <vt:i4>4390923</vt:i4>
      </vt:variant>
      <vt:variant>
        <vt:i4>441</vt:i4>
      </vt:variant>
      <vt:variant>
        <vt:i4>0</vt:i4>
      </vt:variant>
      <vt:variant>
        <vt:i4>5</vt:i4>
      </vt:variant>
      <vt:variant>
        <vt:lpwstr/>
      </vt:variant>
      <vt:variant>
        <vt:lpwstr>_ENREF_2</vt:lpwstr>
      </vt:variant>
      <vt:variant>
        <vt:i4>4390923</vt:i4>
      </vt:variant>
      <vt:variant>
        <vt:i4>435</vt:i4>
      </vt:variant>
      <vt:variant>
        <vt:i4>0</vt:i4>
      </vt:variant>
      <vt:variant>
        <vt:i4>5</vt:i4>
      </vt:variant>
      <vt:variant>
        <vt:lpwstr/>
      </vt:variant>
      <vt:variant>
        <vt:lpwstr>_ENREF_23</vt:lpwstr>
      </vt:variant>
      <vt:variant>
        <vt:i4>4390923</vt:i4>
      </vt:variant>
      <vt:variant>
        <vt:i4>429</vt:i4>
      </vt:variant>
      <vt:variant>
        <vt:i4>0</vt:i4>
      </vt:variant>
      <vt:variant>
        <vt:i4>5</vt:i4>
      </vt:variant>
      <vt:variant>
        <vt:lpwstr/>
      </vt:variant>
      <vt:variant>
        <vt:lpwstr>_ENREF_23</vt:lpwstr>
      </vt:variant>
      <vt:variant>
        <vt:i4>4390923</vt:i4>
      </vt:variant>
      <vt:variant>
        <vt:i4>423</vt:i4>
      </vt:variant>
      <vt:variant>
        <vt:i4>0</vt:i4>
      </vt:variant>
      <vt:variant>
        <vt:i4>5</vt:i4>
      </vt:variant>
      <vt:variant>
        <vt:lpwstr/>
      </vt:variant>
      <vt:variant>
        <vt:lpwstr>_ENREF_23</vt:lpwstr>
      </vt:variant>
      <vt:variant>
        <vt:i4>4390923</vt:i4>
      </vt:variant>
      <vt:variant>
        <vt:i4>417</vt:i4>
      </vt:variant>
      <vt:variant>
        <vt:i4>0</vt:i4>
      </vt:variant>
      <vt:variant>
        <vt:i4>5</vt:i4>
      </vt:variant>
      <vt:variant>
        <vt:lpwstr/>
      </vt:variant>
      <vt:variant>
        <vt:lpwstr>_ENREF_22</vt:lpwstr>
      </vt:variant>
      <vt:variant>
        <vt:i4>4390923</vt:i4>
      </vt:variant>
      <vt:variant>
        <vt:i4>411</vt:i4>
      </vt:variant>
      <vt:variant>
        <vt:i4>0</vt:i4>
      </vt:variant>
      <vt:variant>
        <vt:i4>5</vt:i4>
      </vt:variant>
      <vt:variant>
        <vt:lpwstr/>
      </vt:variant>
      <vt:variant>
        <vt:lpwstr>_ENREF_22</vt:lpwstr>
      </vt:variant>
      <vt:variant>
        <vt:i4>4390923</vt:i4>
      </vt:variant>
      <vt:variant>
        <vt:i4>405</vt:i4>
      </vt:variant>
      <vt:variant>
        <vt:i4>0</vt:i4>
      </vt:variant>
      <vt:variant>
        <vt:i4>5</vt:i4>
      </vt:variant>
      <vt:variant>
        <vt:lpwstr/>
      </vt:variant>
      <vt:variant>
        <vt:lpwstr>_ENREF_21</vt:lpwstr>
      </vt:variant>
      <vt:variant>
        <vt:i4>4390923</vt:i4>
      </vt:variant>
      <vt:variant>
        <vt:i4>399</vt:i4>
      </vt:variant>
      <vt:variant>
        <vt:i4>0</vt:i4>
      </vt:variant>
      <vt:variant>
        <vt:i4>5</vt:i4>
      </vt:variant>
      <vt:variant>
        <vt:lpwstr/>
      </vt:variant>
      <vt:variant>
        <vt:lpwstr>_ENREF_20</vt:lpwstr>
      </vt:variant>
      <vt:variant>
        <vt:i4>4194315</vt:i4>
      </vt:variant>
      <vt:variant>
        <vt:i4>393</vt:i4>
      </vt:variant>
      <vt:variant>
        <vt:i4>0</vt:i4>
      </vt:variant>
      <vt:variant>
        <vt:i4>5</vt:i4>
      </vt:variant>
      <vt:variant>
        <vt:lpwstr/>
      </vt:variant>
      <vt:variant>
        <vt:lpwstr>_ENREF_19</vt:lpwstr>
      </vt:variant>
      <vt:variant>
        <vt:i4>4194315</vt:i4>
      </vt:variant>
      <vt:variant>
        <vt:i4>387</vt:i4>
      </vt:variant>
      <vt:variant>
        <vt:i4>0</vt:i4>
      </vt:variant>
      <vt:variant>
        <vt:i4>5</vt:i4>
      </vt:variant>
      <vt:variant>
        <vt:lpwstr/>
      </vt:variant>
      <vt:variant>
        <vt:lpwstr>_ENREF_18</vt:lpwstr>
      </vt:variant>
      <vt:variant>
        <vt:i4>4390923</vt:i4>
      </vt:variant>
      <vt:variant>
        <vt:i4>381</vt:i4>
      </vt:variant>
      <vt:variant>
        <vt:i4>0</vt:i4>
      </vt:variant>
      <vt:variant>
        <vt:i4>5</vt:i4>
      </vt:variant>
      <vt:variant>
        <vt:lpwstr/>
      </vt:variant>
      <vt:variant>
        <vt:lpwstr>_ENREF_2</vt:lpwstr>
      </vt:variant>
      <vt:variant>
        <vt:i4>4390923</vt:i4>
      </vt:variant>
      <vt:variant>
        <vt:i4>375</vt:i4>
      </vt:variant>
      <vt:variant>
        <vt:i4>0</vt:i4>
      </vt:variant>
      <vt:variant>
        <vt:i4>5</vt:i4>
      </vt:variant>
      <vt:variant>
        <vt:lpwstr/>
      </vt:variant>
      <vt:variant>
        <vt:lpwstr>_ENREF_2</vt:lpwstr>
      </vt:variant>
      <vt:variant>
        <vt:i4>4390923</vt:i4>
      </vt:variant>
      <vt:variant>
        <vt:i4>369</vt:i4>
      </vt:variant>
      <vt:variant>
        <vt:i4>0</vt:i4>
      </vt:variant>
      <vt:variant>
        <vt:i4>5</vt:i4>
      </vt:variant>
      <vt:variant>
        <vt:lpwstr/>
      </vt:variant>
      <vt:variant>
        <vt:lpwstr>_ENREF_2</vt:lpwstr>
      </vt:variant>
      <vt:variant>
        <vt:i4>4390923</vt:i4>
      </vt:variant>
      <vt:variant>
        <vt:i4>363</vt:i4>
      </vt:variant>
      <vt:variant>
        <vt:i4>0</vt:i4>
      </vt:variant>
      <vt:variant>
        <vt:i4>5</vt:i4>
      </vt:variant>
      <vt:variant>
        <vt:lpwstr/>
      </vt:variant>
      <vt:variant>
        <vt:lpwstr>_ENREF_2</vt:lpwstr>
      </vt:variant>
      <vt:variant>
        <vt:i4>4390923</vt:i4>
      </vt:variant>
      <vt:variant>
        <vt:i4>357</vt:i4>
      </vt:variant>
      <vt:variant>
        <vt:i4>0</vt:i4>
      </vt:variant>
      <vt:variant>
        <vt:i4>5</vt:i4>
      </vt:variant>
      <vt:variant>
        <vt:lpwstr/>
      </vt:variant>
      <vt:variant>
        <vt:lpwstr>_ENREF_2</vt:lpwstr>
      </vt:variant>
      <vt:variant>
        <vt:i4>4390923</vt:i4>
      </vt:variant>
      <vt:variant>
        <vt:i4>351</vt:i4>
      </vt:variant>
      <vt:variant>
        <vt:i4>0</vt:i4>
      </vt:variant>
      <vt:variant>
        <vt:i4>5</vt:i4>
      </vt:variant>
      <vt:variant>
        <vt:lpwstr/>
      </vt:variant>
      <vt:variant>
        <vt:lpwstr>_ENREF_2</vt:lpwstr>
      </vt:variant>
      <vt:variant>
        <vt:i4>4194315</vt:i4>
      </vt:variant>
      <vt:variant>
        <vt:i4>345</vt:i4>
      </vt:variant>
      <vt:variant>
        <vt:i4>0</vt:i4>
      </vt:variant>
      <vt:variant>
        <vt:i4>5</vt:i4>
      </vt:variant>
      <vt:variant>
        <vt:lpwstr/>
      </vt:variant>
      <vt:variant>
        <vt:lpwstr>_ENREF_17</vt:lpwstr>
      </vt:variant>
      <vt:variant>
        <vt:i4>4194315</vt:i4>
      </vt:variant>
      <vt:variant>
        <vt:i4>339</vt:i4>
      </vt:variant>
      <vt:variant>
        <vt:i4>0</vt:i4>
      </vt:variant>
      <vt:variant>
        <vt:i4>5</vt:i4>
      </vt:variant>
      <vt:variant>
        <vt:lpwstr/>
      </vt:variant>
      <vt:variant>
        <vt:lpwstr>_ENREF_16</vt:lpwstr>
      </vt:variant>
      <vt:variant>
        <vt:i4>4390923</vt:i4>
      </vt:variant>
      <vt:variant>
        <vt:i4>333</vt:i4>
      </vt:variant>
      <vt:variant>
        <vt:i4>0</vt:i4>
      </vt:variant>
      <vt:variant>
        <vt:i4>5</vt:i4>
      </vt:variant>
      <vt:variant>
        <vt:lpwstr/>
      </vt:variant>
      <vt:variant>
        <vt:lpwstr>_ENREF_2</vt:lpwstr>
      </vt:variant>
      <vt:variant>
        <vt:i4>4390923</vt:i4>
      </vt:variant>
      <vt:variant>
        <vt:i4>327</vt:i4>
      </vt:variant>
      <vt:variant>
        <vt:i4>0</vt:i4>
      </vt:variant>
      <vt:variant>
        <vt:i4>5</vt:i4>
      </vt:variant>
      <vt:variant>
        <vt:lpwstr/>
      </vt:variant>
      <vt:variant>
        <vt:lpwstr>_ENREF_2</vt:lpwstr>
      </vt:variant>
      <vt:variant>
        <vt:i4>4194315</vt:i4>
      </vt:variant>
      <vt:variant>
        <vt:i4>316</vt:i4>
      </vt:variant>
      <vt:variant>
        <vt:i4>0</vt:i4>
      </vt:variant>
      <vt:variant>
        <vt:i4>5</vt:i4>
      </vt:variant>
      <vt:variant>
        <vt:lpwstr/>
      </vt:variant>
      <vt:variant>
        <vt:lpwstr>_ENREF_15</vt:lpwstr>
      </vt:variant>
      <vt:variant>
        <vt:i4>4194315</vt:i4>
      </vt:variant>
      <vt:variant>
        <vt:i4>310</vt:i4>
      </vt:variant>
      <vt:variant>
        <vt:i4>0</vt:i4>
      </vt:variant>
      <vt:variant>
        <vt:i4>5</vt:i4>
      </vt:variant>
      <vt:variant>
        <vt:lpwstr/>
      </vt:variant>
      <vt:variant>
        <vt:lpwstr>_ENREF_14</vt:lpwstr>
      </vt:variant>
      <vt:variant>
        <vt:i4>4194315</vt:i4>
      </vt:variant>
      <vt:variant>
        <vt:i4>302</vt:i4>
      </vt:variant>
      <vt:variant>
        <vt:i4>0</vt:i4>
      </vt:variant>
      <vt:variant>
        <vt:i4>5</vt:i4>
      </vt:variant>
      <vt:variant>
        <vt:lpwstr/>
      </vt:variant>
      <vt:variant>
        <vt:lpwstr>_ENREF_13</vt:lpwstr>
      </vt:variant>
      <vt:variant>
        <vt:i4>4390923</vt:i4>
      </vt:variant>
      <vt:variant>
        <vt:i4>296</vt:i4>
      </vt:variant>
      <vt:variant>
        <vt:i4>0</vt:i4>
      </vt:variant>
      <vt:variant>
        <vt:i4>5</vt:i4>
      </vt:variant>
      <vt:variant>
        <vt:lpwstr/>
      </vt:variant>
      <vt:variant>
        <vt:lpwstr>_ENREF_2</vt:lpwstr>
      </vt:variant>
      <vt:variant>
        <vt:i4>4194315</vt:i4>
      </vt:variant>
      <vt:variant>
        <vt:i4>288</vt:i4>
      </vt:variant>
      <vt:variant>
        <vt:i4>0</vt:i4>
      </vt:variant>
      <vt:variant>
        <vt:i4>5</vt:i4>
      </vt:variant>
      <vt:variant>
        <vt:lpwstr/>
      </vt:variant>
      <vt:variant>
        <vt:lpwstr>_ENREF_13</vt:lpwstr>
      </vt:variant>
      <vt:variant>
        <vt:i4>4390923</vt:i4>
      </vt:variant>
      <vt:variant>
        <vt:i4>282</vt:i4>
      </vt:variant>
      <vt:variant>
        <vt:i4>0</vt:i4>
      </vt:variant>
      <vt:variant>
        <vt:i4>5</vt:i4>
      </vt:variant>
      <vt:variant>
        <vt:lpwstr/>
      </vt:variant>
      <vt:variant>
        <vt:lpwstr>_ENREF_2</vt:lpwstr>
      </vt:variant>
      <vt:variant>
        <vt:i4>4194315</vt:i4>
      </vt:variant>
      <vt:variant>
        <vt:i4>276</vt:i4>
      </vt:variant>
      <vt:variant>
        <vt:i4>0</vt:i4>
      </vt:variant>
      <vt:variant>
        <vt:i4>5</vt:i4>
      </vt:variant>
      <vt:variant>
        <vt:lpwstr/>
      </vt:variant>
      <vt:variant>
        <vt:lpwstr>_ENREF_12</vt:lpwstr>
      </vt:variant>
      <vt:variant>
        <vt:i4>4194315</vt:i4>
      </vt:variant>
      <vt:variant>
        <vt:i4>270</vt:i4>
      </vt:variant>
      <vt:variant>
        <vt:i4>0</vt:i4>
      </vt:variant>
      <vt:variant>
        <vt:i4>5</vt:i4>
      </vt:variant>
      <vt:variant>
        <vt:lpwstr/>
      </vt:variant>
      <vt:variant>
        <vt:lpwstr>_ENREF_11</vt:lpwstr>
      </vt:variant>
      <vt:variant>
        <vt:i4>4390923</vt:i4>
      </vt:variant>
      <vt:variant>
        <vt:i4>264</vt:i4>
      </vt:variant>
      <vt:variant>
        <vt:i4>0</vt:i4>
      </vt:variant>
      <vt:variant>
        <vt:i4>5</vt:i4>
      </vt:variant>
      <vt:variant>
        <vt:lpwstr/>
      </vt:variant>
      <vt:variant>
        <vt:lpwstr>_ENREF_2</vt:lpwstr>
      </vt:variant>
      <vt:variant>
        <vt:i4>4194315</vt:i4>
      </vt:variant>
      <vt:variant>
        <vt:i4>252</vt:i4>
      </vt:variant>
      <vt:variant>
        <vt:i4>0</vt:i4>
      </vt:variant>
      <vt:variant>
        <vt:i4>5</vt:i4>
      </vt:variant>
      <vt:variant>
        <vt:lpwstr/>
      </vt:variant>
      <vt:variant>
        <vt:lpwstr>_ENREF_10</vt:lpwstr>
      </vt:variant>
      <vt:variant>
        <vt:i4>4718603</vt:i4>
      </vt:variant>
      <vt:variant>
        <vt:i4>246</vt:i4>
      </vt:variant>
      <vt:variant>
        <vt:i4>0</vt:i4>
      </vt:variant>
      <vt:variant>
        <vt:i4>5</vt:i4>
      </vt:variant>
      <vt:variant>
        <vt:lpwstr/>
      </vt:variant>
      <vt:variant>
        <vt:lpwstr>_ENREF_9</vt:lpwstr>
      </vt:variant>
      <vt:variant>
        <vt:i4>4784139</vt:i4>
      </vt:variant>
      <vt:variant>
        <vt:i4>240</vt:i4>
      </vt:variant>
      <vt:variant>
        <vt:i4>0</vt:i4>
      </vt:variant>
      <vt:variant>
        <vt:i4>5</vt:i4>
      </vt:variant>
      <vt:variant>
        <vt:lpwstr/>
      </vt:variant>
      <vt:variant>
        <vt:lpwstr>_ENREF_8</vt:lpwstr>
      </vt:variant>
      <vt:variant>
        <vt:i4>4587531</vt:i4>
      </vt:variant>
      <vt:variant>
        <vt:i4>234</vt:i4>
      </vt:variant>
      <vt:variant>
        <vt:i4>0</vt:i4>
      </vt:variant>
      <vt:variant>
        <vt:i4>5</vt:i4>
      </vt:variant>
      <vt:variant>
        <vt:lpwstr/>
      </vt:variant>
      <vt:variant>
        <vt:lpwstr>_ENREF_7</vt:lpwstr>
      </vt:variant>
      <vt:variant>
        <vt:i4>4653067</vt:i4>
      </vt:variant>
      <vt:variant>
        <vt:i4>228</vt:i4>
      </vt:variant>
      <vt:variant>
        <vt:i4>0</vt:i4>
      </vt:variant>
      <vt:variant>
        <vt:i4>5</vt:i4>
      </vt:variant>
      <vt:variant>
        <vt:lpwstr/>
      </vt:variant>
      <vt:variant>
        <vt:lpwstr>_ENREF_6</vt:lpwstr>
      </vt:variant>
      <vt:variant>
        <vt:i4>4456459</vt:i4>
      </vt:variant>
      <vt:variant>
        <vt:i4>222</vt:i4>
      </vt:variant>
      <vt:variant>
        <vt:i4>0</vt:i4>
      </vt:variant>
      <vt:variant>
        <vt:i4>5</vt:i4>
      </vt:variant>
      <vt:variant>
        <vt:lpwstr/>
      </vt:variant>
      <vt:variant>
        <vt:lpwstr>_ENREF_5</vt:lpwstr>
      </vt:variant>
      <vt:variant>
        <vt:i4>4521995</vt:i4>
      </vt:variant>
      <vt:variant>
        <vt:i4>216</vt:i4>
      </vt:variant>
      <vt:variant>
        <vt:i4>0</vt:i4>
      </vt:variant>
      <vt:variant>
        <vt:i4>5</vt:i4>
      </vt:variant>
      <vt:variant>
        <vt:lpwstr/>
      </vt:variant>
      <vt:variant>
        <vt:lpwstr>_ENREF_4</vt:lpwstr>
      </vt:variant>
      <vt:variant>
        <vt:i4>4521995</vt:i4>
      </vt:variant>
      <vt:variant>
        <vt:i4>210</vt:i4>
      </vt:variant>
      <vt:variant>
        <vt:i4>0</vt:i4>
      </vt:variant>
      <vt:variant>
        <vt:i4>5</vt:i4>
      </vt:variant>
      <vt:variant>
        <vt:lpwstr/>
      </vt:variant>
      <vt:variant>
        <vt:lpwstr>_ENREF_4</vt:lpwstr>
      </vt:variant>
      <vt:variant>
        <vt:i4>4325387</vt:i4>
      </vt:variant>
      <vt:variant>
        <vt:i4>204</vt:i4>
      </vt:variant>
      <vt:variant>
        <vt:i4>0</vt:i4>
      </vt:variant>
      <vt:variant>
        <vt:i4>5</vt:i4>
      </vt:variant>
      <vt:variant>
        <vt:lpwstr/>
      </vt:variant>
      <vt:variant>
        <vt:lpwstr>_ENREF_3</vt:lpwstr>
      </vt:variant>
      <vt:variant>
        <vt:i4>4390923</vt:i4>
      </vt:variant>
      <vt:variant>
        <vt:i4>198</vt:i4>
      </vt:variant>
      <vt:variant>
        <vt:i4>0</vt:i4>
      </vt:variant>
      <vt:variant>
        <vt:i4>5</vt:i4>
      </vt:variant>
      <vt:variant>
        <vt:lpwstr/>
      </vt:variant>
      <vt:variant>
        <vt:lpwstr>_ENREF_2</vt:lpwstr>
      </vt:variant>
      <vt:variant>
        <vt:i4>4390923</vt:i4>
      </vt:variant>
      <vt:variant>
        <vt:i4>192</vt:i4>
      </vt:variant>
      <vt:variant>
        <vt:i4>0</vt:i4>
      </vt:variant>
      <vt:variant>
        <vt:i4>5</vt:i4>
      </vt:variant>
      <vt:variant>
        <vt:lpwstr/>
      </vt:variant>
      <vt:variant>
        <vt:lpwstr>_ENREF_2</vt:lpwstr>
      </vt:variant>
      <vt:variant>
        <vt:i4>1638453</vt:i4>
      </vt:variant>
      <vt:variant>
        <vt:i4>185</vt:i4>
      </vt:variant>
      <vt:variant>
        <vt:i4>0</vt:i4>
      </vt:variant>
      <vt:variant>
        <vt:i4>5</vt:i4>
      </vt:variant>
      <vt:variant>
        <vt:lpwstr/>
      </vt:variant>
      <vt:variant>
        <vt:lpwstr>_Toc171459044</vt:lpwstr>
      </vt:variant>
      <vt:variant>
        <vt:i4>1638453</vt:i4>
      </vt:variant>
      <vt:variant>
        <vt:i4>179</vt:i4>
      </vt:variant>
      <vt:variant>
        <vt:i4>0</vt:i4>
      </vt:variant>
      <vt:variant>
        <vt:i4>5</vt:i4>
      </vt:variant>
      <vt:variant>
        <vt:lpwstr/>
      </vt:variant>
      <vt:variant>
        <vt:lpwstr>_Toc171459043</vt:lpwstr>
      </vt:variant>
      <vt:variant>
        <vt:i4>1638453</vt:i4>
      </vt:variant>
      <vt:variant>
        <vt:i4>173</vt:i4>
      </vt:variant>
      <vt:variant>
        <vt:i4>0</vt:i4>
      </vt:variant>
      <vt:variant>
        <vt:i4>5</vt:i4>
      </vt:variant>
      <vt:variant>
        <vt:lpwstr/>
      </vt:variant>
      <vt:variant>
        <vt:lpwstr>_Toc171459042</vt:lpwstr>
      </vt:variant>
      <vt:variant>
        <vt:i4>1638453</vt:i4>
      </vt:variant>
      <vt:variant>
        <vt:i4>167</vt:i4>
      </vt:variant>
      <vt:variant>
        <vt:i4>0</vt:i4>
      </vt:variant>
      <vt:variant>
        <vt:i4>5</vt:i4>
      </vt:variant>
      <vt:variant>
        <vt:lpwstr/>
      </vt:variant>
      <vt:variant>
        <vt:lpwstr>_Toc171459041</vt:lpwstr>
      </vt:variant>
      <vt:variant>
        <vt:i4>1638453</vt:i4>
      </vt:variant>
      <vt:variant>
        <vt:i4>161</vt:i4>
      </vt:variant>
      <vt:variant>
        <vt:i4>0</vt:i4>
      </vt:variant>
      <vt:variant>
        <vt:i4>5</vt:i4>
      </vt:variant>
      <vt:variant>
        <vt:lpwstr/>
      </vt:variant>
      <vt:variant>
        <vt:lpwstr>_Toc171459040</vt:lpwstr>
      </vt:variant>
      <vt:variant>
        <vt:i4>1966133</vt:i4>
      </vt:variant>
      <vt:variant>
        <vt:i4>155</vt:i4>
      </vt:variant>
      <vt:variant>
        <vt:i4>0</vt:i4>
      </vt:variant>
      <vt:variant>
        <vt:i4>5</vt:i4>
      </vt:variant>
      <vt:variant>
        <vt:lpwstr/>
      </vt:variant>
      <vt:variant>
        <vt:lpwstr>_Toc171459039</vt:lpwstr>
      </vt:variant>
      <vt:variant>
        <vt:i4>1966133</vt:i4>
      </vt:variant>
      <vt:variant>
        <vt:i4>149</vt:i4>
      </vt:variant>
      <vt:variant>
        <vt:i4>0</vt:i4>
      </vt:variant>
      <vt:variant>
        <vt:i4>5</vt:i4>
      </vt:variant>
      <vt:variant>
        <vt:lpwstr/>
      </vt:variant>
      <vt:variant>
        <vt:lpwstr>_Toc171459038</vt:lpwstr>
      </vt:variant>
      <vt:variant>
        <vt:i4>1966133</vt:i4>
      </vt:variant>
      <vt:variant>
        <vt:i4>143</vt:i4>
      </vt:variant>
      <vt:variant>
        <vt:i4>0</vt:i4>
      </vt:variant>
      <vt:variant>
        <vt:i4>5</vt:i4>
      </vt:variant>
      <vt:variant>
        <vt:lpwstr/>
      </vt:variant>
      <vt:variant>
        <vt:lpwstr>_Toc171459037</vt:lpwstr>
      </vt:variant>
      <vt:variant>
        <vt:i4>1966133</vt:i4>
      </vt:variant>
      <vt:variant>
        <vt:i4>137</vt:i4>
      </vt:variant>
      <vt:variant>
        <vt:i4>0</vt:i4>
      </vt:variant>
      <vt:variant>
        <vt:i4>5</vt:i4>
      </vt:variant>
      <vt:variant>
        <vt:lpwstr/>
      </vt:variant>
      <vt:variant>
        <vt:lpwstr>_Toc171459036</vt:lpwstr>
      </vt:variant>
      <vt:variant>
        <vt:i4>1966133</vt:i4>
      </vt:variant>
      <vt:variant>
        <vt:i4>131</vt:i4>
      </vt:variant>
      <vt:variant>
        <vt:i4>0</vt:i4>
      </vt:variant>
      <vt:variant>
        <vt:i4>5</vt:i4>
      </vt:variant>
      <vt:variant>
        <vt:lpwstr/>
      </vt:variant>
      <vt:variant>
        <vt:lpwstr>_Toc171459035</vt:lpwstr>
      </vt:variant>
      <vt:variant>
        <vt:i4>1966133</vt:i4>
      </vt:variant>
      <vt:variant>
        <vt:i4>125</vt:i4>
      </vt:variant>
      <vt:variant>
        <vt:i4>0</vt:i4>
      </vt:variant>
      <vt:variant>
        <vt:i4>5</vt:i4>
      </vt:variant>
      <vt:variant>
        <vt:lpwstr/>
      </vt:variant>
      <vt:variant>
        <vt:lpwstr>_Toc171459034</vt:lpwstr>
      </vt:variant>
      <vt:variant>
        <vt:i4>1966133</vt:i4>
      </vt:variant>
      <vt:variant>
        <vt:i4>119</vt:i4>
      </vt:variant>
      <vt:variant>
        <vt:i4>0</vt:i4>
      </vt:variant>
      <vt:variant>
        <vt:i4>5</vt:i4>
      </vt:variant>
      <vt:variant>
        <vt:lpwstr/>
      </vt:variant>
      <vt:variant>
        <vt:lpwstr>_Toc171459033</vt:lpwstr>
      </vt:variant>
      <vt:variant>
        <vt:i4>1966133</vt:i4>
      </vt:variant>
      <vt:variant>
        <vt:i4>113</vt:i4>
      </vt:variant>
      <vt:variant>
        <vt:i4>0</vt:i4>
      </vt:variant>
      <vt:variant>
        <vt:i4>5</vt:i4>
      </vt:variant>
      <vt:variant>
        <vt:lpwstr/>
      </vt:variant>
      <vt:variant>
        <vt:lpwstr>_Toc171459032</vt:lpwstr>
      </vt:variant>
      <vt:variant>
        <vt:i4>1966133</vt:i4>
      </vt:variant>
      <vt:variant>
        <vt:i4>107</vt:i4>
      </vt:variant>
      <vt:variant>
        <vt:i4>0</vt:i4>
      </vt:variant>
      <vt:variant>
        <vt:i4>5</vt:i4>
      </vt:variant>
      <vt:variant>
        <vt:lpwstr/>
      </vt:variant>
      <vt:variant>
        <vt:lpwstr>_Toc171459031</vt:lpwstr>
      </vt:variant>
      <vt:variant>
        <vt:i4>1966133</vt:i4>
      </vt:variant>
      <vt:variant>
        <vt:i4>101</vt:i4>
      </vt:variant>
      <vt:variant>
        <vt:i4>0</vt:i4>
      </vt:variant>
      <vt:variant>
        <vt:i4>5</vt:i4>
      </vt:variant>
      <vt:variant>
        <vt:lpwstr/>
      </vt:variant>
      <vt:variant>
        <vt:lpwstr>_Toc171459030</vt:lpwstr>
      </vt:variant>
      <vt:variant>
        <vt:i4>2031669</vt:i4>
      </vt:variant>
      <vt:variant>
        <vt:i4>95</vt:i4>
      </vt:variant>
      <vt:variant>
        <vt:i4>0</vt:i4>
      </vt:variant>
      <vt:variant>
        <vt:i4>5</vt:i4>
      </vt:variant>
      <vt:variant>
        <vt:lpwstr/>
      </vt:variant>
      <vt:variant>
        <vt:lpwstr>_Toc171459029</vt:lpwstr>
      </vt:variant>
      <vt:variant>
        <vt:i4>2031669</vt:i4>
      </vt:variant>
      <vt:variant>
        <vt:i4>89</vt:i4>
      </vt:variant>
      <vt:variant>
        <vt:i4>0</vt:i4>
      </vt:variant>
      <vt:variant>
        <vt:i4>5</vt:i4>
      </vt:variant>
      <vt:variant>
        <vt:lpwstr/>
      </vt:variant>
      <vt:variant>
        <vt:lpwstr>_Toc171459028</vt:lpwstr>
      </vt:variant>
      <vt:variant>
        <vt:i4>2031669</vt:i4>
      </vt:variant>
      <vt:variant>
        <vt:i4>83</vt:i4>
      </vt:variant>
      <vt:variant>
        <vt:i4>0</vt:i4>
      </vt:variant>
      <vt:variant>
        <vt:i4>5</vt:i4>
      </vt:variant>
      <vt:variant>
        <vt:lpwstr/>
      </vt:variant>
      <vt:variant>
        <vt:lpwstr>_Toc171459027</vt:lpwstr>
      </vt:variant>
      <vt:variant>
        <vt:i4>2031669</vt:i4>
      </vt:variant>
      <vt:variant>
        <vt:i4>77</vt:i4>
      </vt:variant>
      <vt:variant>
        <vt:i4>0</vt:i4>
      </vt:variant>
      <vt:variant>
        <vt:i4>5</vt:i4>
      </vt:variant>
      <vt:variant>
        <vt:lpwstr/>
      </vt:variant>
      <vt:variant>
        <vt:lpwstr>_Toc171459026</vt:lpwstr>
      </vt:variant>
      <vt:variant>
        <vt:i4>2031669</vt:i4>
      </vt:variant>
      <vt:variant>
        <vt:i4>71</vt:i4>
      </vt:variant>
      <vt:variant>
        <vt:i4>0</vt:i4>
      </vt:variant>
      <vt:variant>
        <vt:i4>5</vt:i4>
      </vt:variant>
      <vt:variant>
        <vt:lpwstr/>
      </vt:variant>
      <vt:variant>
        <vt:lpwstr>_Toc171459025</vt:lpwstr>
      </vt:variant>
      <vt:variant>
        <vt:i4>2031669</vt:i4>
      </vt:variant>
      <vt:variant>
        <vt:i4>65</vt:i4>
      </vt:variant>
      <vt:variant>
        <vt:i4>0</vt:i4>
      </vt:variant>
      <vt:variant>
        <vt:i4>5</vt:i4>
      </vt:variant>
      <vt:variant>
        <vt:lpwstr/>
      </vt:variant>
      <vt:variant>
        <vt:lpwstr>_Toc171459024</vt:lpwstr>
      </vt:variant>
      <vt:variant>
        <vt:i4>2031669</vt:i4>
      </vt:variant>
      <vt:variant>
        <vt:i4>59</vt:i4>
      </vt:variant>
      <vt:variant>
        <vt:i4>0</vt:i4>
      </vt:variant>
      <vt:variant>
        <vt:i4>5</vt:i4>
      </vt:variant>
      <vt:variant>
        <vt:lpwstr/>
      </vt:variant>
      <vt:variant>
        <vt:lpwstr>_Toc171459023</vt:lpwstr>
      </vt:variant>
      <vt:variant>
        <vt:i4>2031669</vt:i4>
      </vt:variant>
      <vt:variant>
        <vt:i4>53</vt:i4>
      </vt:variant>
      <vt:variant>
        <vt:i4>0</vt:i4>
      </vt:variant>
      <vt:variant>
        <vt:i4>5</vt:i4>
      </vt:variant>
      <vt:variant>
        <vt:lpwstr/>
      </vt:variant>
      <vt:variant>
        <vt:lpwstr>_Toc171459022</vt:lpwstr>
      </vt:variant>
      <vt:variant>
        <vt:i4>2031669</vt:i4>
      </vt:variant>
      <vt:variant>
        <vt:i4>47</vt:i4>
      </vt:variant>
      <vt:variant>
        <vt:i4>0</vt:i4>
      </vt:variant>
      <vt:variant>
        <vt:i4>5</vt:i4>
      </vt:variant>
      <vt:variant>
        <vt:lpwstr/>
      </vt:variant>
      <vt:variant>
        <vt:lpwstr>_Toc171459021</vt:lpwstr>
      </vt:variant>
      <vt:variant>
        <vt:i4>6881317</vt:i4>
      </vt:variant>
      <vt:variant>
        <vt:i4>42</vt:i4>
      </vt:variant>
      <vt:variant>
        <vt:i4>0</vt:i4>
      </vt:variant>
      <vt:variant>
        <vt:i4>5</vt:i4>
      </vt:variant>
      <vt:variant>
        <vt:lpwstr>https://www.beyondblue.org.au/</vt:lpwstr>
      </vt:variant>
      <vt:variant>
        <vt:lpwstr/>
      </vt:variant>
      <vt:variant>
        <vt:i4>7667766</vt:i4>
      </vt:variant>
      <vt:variant>
        <vt:i4>39</vt:i4>
      </vt:variant>
      <vt:variant>
        <vt:i4>0</vt:i4>
      </vt:variant>
      <vt:variant>
        <vt:i4>5</vt:i4>
      </vt:variant>
      <vt:variant>
        <vt:lpwstr>https://embracementalhealth.org.au/</vt:lpwstr>
      </vt:variant>
      <vt:variant>
        <vt:lpwstr/>
      </vt:variant>
      <vt:variant>
        <vt:i4>4259843</vt:i4>
      </vt:variant>
      <vt:variant>
        <vt:i4>36</vt:i4>
      </vt:variant>
      <vt:variant>
        <vt:i4>0</vt:i4>
      </vt:variant>
      <vt:variant>
        <vt:i4>5</vt:i4>
      </vt:variant>
      <vt:variant>
        <vt:lpwstr>https://govteams.sharepoint.com/sites/nspo/Shared Documents/Key Projects/National Suicide Prevention Strategy/Content (E23-231307)/Draft Strategy (E24-62914)/Edits from the editor - 01-03-2024/openarms.gov.au</vt:lpwstr>
      </vt:variant>
      <vt:variant>
        <vt:lpwstr/>
      </vt:variant>
      <vt:variant>
        <vt:i4>4849676</vt:i4>
      </vt:variant>
      <vt:variant>
        <vt:i4>33</vt:i4>
      </vt:variant>
      <vt:variant>
        <vt:i4>0</vt:i4>
      </vt:variant>
      <vt:variant>
        <vt:i4>5</vt:i4>
      </vt:variant>
      <vt:variant>
        <vt:lpwstr>https://govteams.sharepoint.com/sites/nspo/Shared Documents/Key Projects/National Suicide Prevention Strategy/Content (E23-231307)/Draft Strategy (E24-62914)/Edits from the editor - 01-03-2024/headspace.org.au</vt:lpwstr>
      </vt:variant>
      <vt:variant>
        <vt:lpwstr/>
      </vt:variant>
      <vt:variant>
        <vt:i4>1572954</vt:i4>
      </vt:variant>
      <vt:variant>
        <vt:i4>30</vt:i4>
      </vt:variant>
      <vt:variant>
        <vt:i4>0</vt:i4>
      </vt:variant>
      <vt:variant>
        <vt:i4>5</vt:i4>
      </vt:variant>
      <vt:variant>
        <vt:lpwstr>https://www.headtohealth.gov.au/</vt:lpwstr>
      </vt:variant>
      <vt:variant>
        <vt:lpwstr/>
      </vt:variant>
      <vt:variant>
        <vt:i4>5374035</vt:i4>
      </vt:variant>
      <vt:variant>
        <vt:i4>27</vt:i4>
      </vt:variant>
      <vt:variant>
        <vt:i4>0</vt:i4>
      </vt:variant>
      <vt:variant>
        <vt:i4>5</vt:i4>
      </vt:variant>
      <vt:variant>
        <vt:lpwstr>https://kidshelpline.com.au/</vt:lpwstr>
      </vt:variant>
      <vt:variant>
        <vt:lpwstr/>
      </vt:variant>
      <vt:variant>
        <vt:i4>1835092</vt:i4>
      </vt:variant>
      <vt:variant>
        <vt:i4>24</vt:i4>
      </vt:variant>
      <vt:variant>
        <vt:i4>0</vt:i4>
      </vt:variant>
      <vt:variant>
        <vt:i4>5</vt:i4>
      </vt:variant>
      <vt:variant>
        <vt:lpwstr>https://qlife.org.au/</vt:lpwstr>
      </vt:variant>
      <vt:variant>
        <vt:lpwstr/>
      </vt:variant>
      <vt:variant>
        <vt:i4>4718665</vt:i4>
      </vt:variant>
      <vt:variant>
        <vt:i4>21</vt:i4>
      </vt:variant>
      <vt:variant>
        <vt:i4>0</vt:i4>
      </vt:variant>
      <vt:variant>
        <vt:i4>5</vt:i4>
      </vt:variant>
      <vt:variant>
        <vt:lpwstr>https://healthinfonet.ecu.edu.au/</vt:lpwstr>
      </vt:variant>
      <vt:variant>
        <vt:lpwstr/>
      </vt:variant>
      <vt:variant>
        <vt:i4>262172</vt:i4>
      </vt:variant>
      <vt:variant>
        <vt:i4>18</vt:i4>
      </vt:variant>
      <vt:variant>
        <vt:i4>0</vt:i4>
      </vt:variant>
      <vt:variant>
        <vt:i4>5</vt:i4>
      </vt:variant>
      <vt:variant>
        <vt:lpwstr>https://au.reachout.com/</vt:lpwstr>
      </vt:variant>
      <vt:variant>
        <vt:lpwstr/>
      </vt:variant>
      <vt:variant>
        <vt:i4>5046342</vt:i4>
      </vt:variant>
      <vt:variant>
        <vt:i4>15</vt:i4>
      </vt:variant>
      <vt:variant>
        <vt:i4>0</vt:i4>
      </vt:variant>
      <vt:variant>
        <vt:i4>5</vt:i4>
      </vt:variant>
      <vt:variant>
        <vt:lpwstr>https://mensline.org.au/</vt:lpwstr>
      </vt:variant>
      <vt:variant>
        <vt:lpwstr/>
      </vt:variant>
      <vt:variant>
        <vt:i4>2359335</vt:i4>
      </vt:variant>
      <vt:variant>
        <vt:i4>12</vt:i4>
      </vt:variant>
      <vt:variant>
        <vt:i4>0</vt:i4>
      </vt:variant>
      <vt:variant>
        <vt:i4>5</vt:i4>
      </vt:variant>
      <vt:variant>
        <vt:lpwstr>http://0.0.7.8/</vt:lpwstr>
      </vt:variant>
      <vt:variant>
        <vt:lpwstr/>
      </vt:variant>
      <vt:variant>
        <vt:i4>8323110</vt:i4>
      </vt:variant>
      <vt:variant>
        <vt:i4>9</vt:i4>
      </vt:variant>
      <vt:variant>
        <vt:i4>0</vt:i4>
      </vt:variant>
      <vt:variant>
        <vt:i4>5</vt:i4>
      </vt:variant>
      <vt:variant>
        <vt:lpwstr>https://www.suicidecallbackservice.org.au/</vt:lpwstr>
      </vt:variant>
      <vt:variant>
        <vt:lpwstr/>
      </vt:variant>
      <vt:variant>
        <vt:i4>2359353</vt:i4>
      </vt:variant>
      <vt:variant>
        <vt:i4>6</vt:i4>
      </vt:variant>
      <vt:variant>
        <vt:i4>0</vt:i4>
      </vt:variant>
      <vt:variant>
        <vt:i4>5</vt:i4>
      </vt:variant>
      <vt:variant>
        <vt:lpwstr>http://www.lifeline.org.au/</vt:lpwstr>
      </vt:variant>
      <vt:variant>
        <vt:lpwstr/>
      </vt:variant>
      <vt:variant>
        <vt:i4>4194315</vt:i4>
      </vt:variant>
      <vt:variant>
        <vt:i4>0</vt:i4>
      </vt:variant>
      <vt:variant>
        <vt:i4>0</vt:i4>
      </vt:variant>
      <vt:variant>
        <vt:i4>5</vt:i4>
      </vt:variant>
      <vt:variant>
        <vt:lpwstr/>
      </vt:variant>
      <vt:variant>
        <vt:lpwstr>_ENREF_1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Advice on the National Suicide Prevention Strategy (consultation draft)</dc:title>
  <dc:subject/>
  <dc:creator>HOWARTH, Bill</dc:creator>
  <cp:keywords/>
  <dc:description/>
  <cp:lastModifiedBy>GARDNER, Michael</cp:lastModifiedBy>
  <cp:revision>153</cp:revision>
  <cp:lastPrinted>2024-09-05T11:14:00Z</cp:lastPrinted>
  <dcterms:created xsi:type="dcterms:W3CDTF">2024-08-29T04:20:00Z</dcterms:created>
  <dcterms:modified xsi:type="dcterms:W3CDTF">2024-09-09T23:47:00Z</dcterms:modified>
  <cp:category>Month 2023</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0x010100DE605DE2F02CD64C92B085DFF1AD0A76</vt:lpwstr>
  </property>
  <property fmtid="{D5CDD505-2E9C-101B-9397-08002B2CF9AE}" pid="3" name="MediaServiceImageTags">
    <vt:lpwstr/>
  </property>
</Properties>
</file>