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CA5" w14:textId="77777777" w:rsidR="00647ACB" w:rsidRPr="00A8471A" w:rsidRDefault="00647ACB" w:rsidP="00647ACB"/>
    <w:p w14:paraId="24E57662" w14:textId="77777777" w:rsidR="00647ACB" w:rsidRPr="00A8471A" w:rsidRDefault="00647ACB" w:rsidP="00647ACB"/>
    <w:p w14:paraId="11FB602B" w14:textId="015A678F" w:rsidR="00647ACB" w:rsidRPr="00A8471A" w:rsidRDefault="00161DDB" w:rsidP="00647ACB">
      <w:pPr>
        <w:jc w:val="center"/>
      </w:pPr>
      <w:r w:rsidRPr="00A8471A">
        <w:rPr>
          <w:noProof/>
        </w:rPr>
        <w:drawing>
          <wp:inline distT="0" distB="0" distL="0" distR="0" wp14:anchorId="044392A6" wp14:editId="03932FF1">
            <wp:extent cx="1732788" cy="14935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788" cy="1493520"/>
                    </a:xfrm>
                    <a:prstGeom prst="rect">
                      <a:avLst/>
                    </a:prstGeom>
                  </pic:spPr>
                </pic:pic>
              </a:graphicData>
            </a:graphic>
          </wp:inline>
        </w:drawing>
      </w:r>
    </w:p>
    <w:p w14:paraId="73A4FC4A" w14:textId="77777777" w:rsidR="00647ACB" w:rsidRPr="00A8471A" w:rsidRDefault="00647ACB" w:rsidP="00647ACB">
      <w:pPr>
        <w:jc w:val="center"/>
        <w:rPr>
          <w:rFonts w:ascii="Calibri" w:hAnsi="Calibri" w:cs="Calibri"/>
          <w:sz w:val="40"/>
          <w:szCs w:val="40"/>
        </w:rPr>
      </w:pPr>
      <w:r w:rsidRPr="00A8471A">
        <w:rPr>
          <w:rFonts w:ascii="Calibri" w:hAnsi="Calibri" w:cs="Calibri"/>
          <w:sz w:val="40"/>
          <w:szCs w:val="40"/>
        </w:rPr>
        <w:t>Australian Government</w:t>
      </w:r>
    </w:p>
    <w:p w14:paraId="1B6FA0F4" w14:textId="77777777" w:rsidR="00647ACB" w:rsidRPr="00A8471A" w:rsidRDefault="00647ACB" w:rsidP="00647ACB">
      <w:pPr>
        <w:jc w:val="center"/>
        <w:rPr>
          <w:rFonts w:ascii="Calibri" w:hAnsi="Calibri" w:cs="Calibri"/>
          <w:sz w:val="40"/>
          <w:szCs w:val="40"/>
        </w:rPr>
      </w:pPr>
      <w:r w:rsidRPr="00A8471A">
        <w:rPr>
          <w:rFonts w:ascii="Calibri" w:hAnsi="Calibri" w:cs="Calibri"/>
          <w:sz w:val="40"/>
          <w:szCs w:val="40"/>
        </w:rPr>
        <w:t>Department of Health and Aged Care</w:t>
      </w:r>
    </w:p>
    <w:p w14:paraId="247E6877" w14:textId="77777777" w:rsidR="00647ACB" w:rsidRPr="00A8471A" w:rsidRDefault="00647ACB" w:rsidP="00647ACB"/>
    <w:p w14:paraId="207A5D12" w14:textId="77777777" w:rsidR="00647ACB" w:rsidRPr="00A8471A" w:rsidRDefault="00647ACB" w:rsidP="00647ACB"/>
    <w:p w14:paraId="11514C17" w14:textId="77777777" w:rsidR="00647ACB" w:rsidRPr="00A8471A" w:rsidRDefault="00647ACB" w:rsidP="00647ACB"/>
    <w:p w14:paraId="28FCE898" w14:textId="77777777" w:rsidR="00647ACB" w:rsidRPr="00A8471A" w:rsidRDefault="00647ACB" w:rsidP="00647ACB">
      <w:pPr>
        <w:jc w:val="center"/>
        <w:rPr>
          <w:rFonts w:asciiTheme="minorHAnsi" w:hAnsiTheme="minorHAnsi" w:cstheme="minorHAnsi"/>
          <w:b/>
          <w:bCs/>
          <w:sz w:val="40"/>
          <w:szCs w:val="40"/>
        </w:rPr>
      </w:pPr>
      <w:r w:rsidRPr="00A8471A">
        <w:rPr>
          <w:rFonts w:asciiTheme="minorHAnsi" w:hAnsiTheme="minorHAnsi" w:cstheme="minorHAnsi"/>
          <w:b/>
          <w:bCs/>
          <w:sz w:val="40"/>
          <w:szCs w:val="40"/>
        </w:rPr>
        <w:t>Memorandum of Understanding</w:t>
      </w:r>
    </w:p>
    <w:p w14:paraId="0973D56E" w14:textId="77777777" w:rsidR="00647ACB" w:rsidRPr="00A8471A" w:rsidRDefault="00647ACB" w:rsidP="00647ACB">
      <w:pPr>
        <w:jc w:val="center"/>
        <w:rPr>
          <w:rFonts w:asciiTheme="minorHAnsi" w:hAnsiTheme="minorHAnsi" w:cstheme="minorHAnsi"/>
          <w:sz w:val="40"/>
          <w:szCs w:val="40"/>
        </w:rPr>
      </w:pPr>
    </w:p>
    <w:p w14:paraId="3BCF9801" w14:textId="77777777" w:rsidR="00647ACB" w:rsidRPr="00A8471A" w:rsidRDefault="00647ACB" w:rsidP="00647ACB">
      <w:pPr>
        <w:jc w:val="center"/>
        <w:rPr>
          <w:rFonts w:asciiTheme="minorHAnsi" w:hAnsiTheme="minorHAnsi" w:cstheme="minorHAnsi"/>
          <w:sz w:val="40"/>
          <w:szCs w:val="40"/>
        </w:rPr>
      </w:pPr>
      <w:r w:rsidRPr="00A8471A">
        <w:rPr>
          <w:rFonts w:asciiTheme="minorHAnsi" w:hAnsiTheme="minorHAnsi" w:cstheme="minorHAnsi"/>
          <w:sz w:val="40"/>
          <w:szCs w:val="40"/>
        </w:rPr>
        <w:t>between</w:t>
      </w:r>
    </w:p>
    <w:p w14:paraId="26073D4D" w14:textId="77777777" w:rsidR="00647ACB" w:rsidRPr="00A8471A" w:rsidRDefault="00647ACB" w:rsidP="00647ACB">
      <w:pPr>
        <w:jc w:val="center"/>
        <w:rPr>
          <w:rFonts w:asciiTheme="minorHAnsi" w:hAnsiTheme="minorHAnsi" w:cstheme="minorHAnsi"/>
          <w:sz w:val="40"/>
          <w:szCs w:val="40"/>
        </w:rPr>
      </w:pPr>
    </w:p>
    <w:p w14:paraId="437E3244" w14:textId="77777777" w:rsidR="00647ACB" w:rsidRPr="00A8471A" w:rsidRDefault="00647ACB" w:rsidP="00647ACB">
      <w:pPr>
        <w:jc w:val="center"/>
        <w:rPr>
          <w:rFonts w:asciiTheme="minorHAnsi" w:hAnsiTheme="minorHAnsi" w:cstheme="minorHAnsi"/>
          <w:sz w:val="40"/>
          <w:szCs w:val="40"/>
        </w:rPr>
      </w:pPr>
      <w:r w:rsidRPr="00A8471A">
        <w:rPr>
          <w:rFonts w:asciiTheme="minorHAnsi" w:hAnsiTheme="minorHAnsi" w:cstheme="minorHAnsi"/>
          <w:sz w:val="40"/>
          <w:szCs w:val="40"/>
        </w:rPr>
        <w:t>Department of Health and Aged Care</w:t>
      </w:r>
    </w:p>
    <w:p w14:paraId="5B5B427A" w14:textId="58FE2DBF" w:rsidR="00647ACB" w:rsidRPr="00A8471A" w:rsidRDefault="00647ACB" w:rsidP="00647ACB">
      <w:pPr>
        <w:jc w:val="center"/>
        <w:rPr>
          <w:rFonts w:asciiTheme="minorHAnsi" w:hAnsiTheme="minorHAnsi" w:cstheme="minorHAnsi"/>
          <w:sz w:val="40"/>
          <w:szCs w:val="40"/>
        </w:rPr>
      </w:pPr>
      <w:r w:rsidRPr="00A8471A">
        <w:rPr>
          <w:rFonts w:asciiTheme="minorHAnsi" w:hAnsiTheme="minorHAnsi" w:cstheme="minorHAnsi"/>
          <w:sz w:val="40"/>
          <w:szCs w:val="40"/>
        </w:rPr>
        <w:t>and</w:t>
      </w:r>
    </w:p>
    <w:p w14:paraId="5712321D" w14:textId="77777777" w:rsidR="00647ACB" w:rsidRPr="00A8471A" w:rsidRDefault="00647ACB" w:rsidP="00647ACB">
      <w:pPr>
        <w:jc w:val="center"/>
        <w:rPr>
          <w:rFonts w:asciiTheme="minorHAnsi" w:hAnsiTheme="minorHAnsi" w:cstheme="minorHAnsi"/>
          <w:sz w:val="40"/>
          <w:szCs w:val="40"/>
        </w:rPr>
      </w:pPr>
      <w:r w:rsidRPr="00A8471A">
        <w:rPr>
          <w:rFonts w:asciiTheme="minorHAnsi" w:hAnsiTheme="minorHAnsi" w:cstheme="minorHAnsi"/>
          <w:sz w:val="40"/>
          <w:szCs w:val="40"/>
        </w:rPr>
        <w:t>Aged Care Quality and Safety Commission</w:t>
      </w:r>
    </w:p>
    <w:p w14:paraId="70195CAC" w14:textId="77777777" w:rsidR="00647ACB" w:rsidRPr="00A8471A" w:rsidRDefault="00647ACB" w:rsidP="00647ACB"/>
    <w:p w14:paraId="18052008" w14:textId="77777777" w:rsidR="00647ACB" w:rsidRPr="00A8471A" w:rsidRDefault="00647ACB" w:rsidP="00647ACB"/>
    <w:p w14:paraId="17AA9BF7" w14:textId="77777777" w:rsidR="00647ACB" w:rsidRPr="00A8471A" w:rsidRDefault="00647ACB" w:rsidP="00647ACB"/>
    <w:p w14:paraId="072E0A08" w14:textId="2A2DF0CC" w:rsidR="00647ACB" w:rsidRPr="00A8471A" w:rsidRDefault="00647ACB" w:rsidP="00647ACB">
      <w:pPr>
        <w:jc w:val="center"/>
        <w:rPr>
          <w:rFonts w:asciiTheme="minorHAnsi" w:hAnsiTheme="minorHAnsi" w:cstheme="minorHAnsi"/>
          <w:sz w:val="28"/>
          <w:szCs w:val="28"/>
        </w:rPr>
      </w:pPr>
      <w:r w:rsidRPr="00A8471A">
        <w:rPr>
          <w:rFonts w:asciiTheme="minorHAnsi" w:hAnsiTheme="minorHAnsi" w:cstheme="minorHAnsi"/>
          <w:sz w:val="28"/>
          <w:szCs w:val="28"/>
        </w:rPr>
        <w:t>June 2024</w:t>
      </w:r>
    </w:p>
    <w:p w14:paraId="038231CF" w14:textId="70EE9544" w:rsidR="00647ACB" w:rsidRPr="00A8471A" w:rsidRDefault="00647ACB"/>
    <w:p w14:paraId="772E24AD" w14:textId="77777777" w:rsidR="00AD3F5A" w:rsidRPr="00A8471A" w:rsidRDefault="00AD3F5A" w:rsidP="00647ACB">
      <w:pPr>
        <w:rPr>
          <w:rFonts w:asciiTheme="minorHAnsi" w:hAnsiTheme="minorHAnsi" w:cstheme="minorHAnsi"/>
        </w:rPr>
      </w:pPr>
    </w:p>
    <w:p w14:paraId="0C438A55" w14:textId="3F7B97FA" w:rsidR="00647ACB" w:rsidRPr="00A8471A" w:rsidRDefault="00647ACB" w:rsidP="00647ACB">
      <w:r w:rsidRPr="00A8471A">
        <w:rPr>
          <w:rFonts w:asciiTheme="minorHAnsi" w:hAnsiTheme="minorHAnsi" w:cstheme="minorHAnsi"/>
        </w:rPr>
        <w:t>Contents</w:t>
      </w:r>
    </w:p>
    <w:p w14:paraId="547E5DBB" w14:textId="3853570C" w:rsidR="00A97283" w:rsidRPr="00A8471A" w:rsidRDefault="00B2705A">
      <w:pPr>
        <w:pStyle w:val="TOC1"/>
        <w:rPr>
          <w:rFonts w:asciiTheme="minorHAnsi" w:eastAsiaTheme="minorEastAsia" w:hAnsiTheme="minorHAnsi" w:cstheme="minorHAnsi"/>
          <w:noProof/>
          <w:sz w:val="22"/>
          <w:szCs w:val="22"/>
          <w:lang w:eastAsia="en-AU"/>
        </w:rPr>
      </w:pPr>
      <w:r w:rsidRPr="00A8471A">
        <w:rPr>
          <w:rFonts w:asciiTheme="minorHAnsi" w:hAnsiTheme="minorHAnsi" w:cstheme="minorHAnsi"/>
          <w:sz w:val="22"/>
          <w:szCs w:val="22"/>
        </w:rPr>
        <w:fldChar w:fldCharType="begin"/>
      </w:r>
      <w:r w:rsidRPr="00A8471A">
        <w:rPr>
          <w:rFonts w:asciiTheme="minorHAnsi" w:hAnsiTheme="minorHAnsi" w:cstheme="minorHAnsi"/>
          <w:sz w:val="22"/>
          <w:szCs w:val="22"/>
        </w:rPr>
        <w:instrText xml:space="preserve"> TOC \o "1-1" \h \z \u </w:instrText>
      </w:r>
      <w:r w:rsidRPr="00A8471A">
        <w:rPr>
          <w:rFonts w:asciiTheme="minorHAnsi" w:hAnsiTheme="minorHAnsi" w:cstheme="minorHAnsi"/>
          <w:sz w:val="22"/>
          <w:szCs w:val="22"/>
        </w:rPr>
        <w:fldChar w:fldCharType="separate"/>
      </w:r>
      <w:hyperlink w:anchor="_Toc168585003" w:history="1">
        <w:r w:rsidR="00A97283" w:rsidRPr="00A8471A">
          <w:rPr>
            <w:rStyle w:val="Hyperlink"/>
            <w:rFonts w:asciiTheme="minorHAnsi" w:hAnsiTheme="minorHAnsi" w:cstheme="minorHAnsi"/>
            <w:noProof/>
            <w:color w:val="auto"/>
            <w:sz w:val="22"/>
            <w:szCs w:val="22"/>
          </w:rPr>
          <w:t>1.</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Introduction</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_Toc168585003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3</w:t>
        </w:r>
        <w:r w:rsidR="00A97283" w:rsidRPr="00A8471A">
          <w:rPr>
            <w:rFonts w:asciiTheme="minorHAnsi" w:hAnsiTheme="minorHAnsi" w:cstheme="minorHAnsi"/>
            <w:noProof/>
            <w:webHidden/>
            <w:sz w:val="22"/>
            <w:szCs w:val="22"/>
          </w:rPr>
          <w:fldChar w:fldCharType="end"/>
        </w:r>
      </w:hyperlink>
    </w:p>
    <w:p w14:paraId="0EDEB37E" w14:textId="2C5EF27B" w:rsidR="00A97283" w:rsidRPr="00A8471A" w:rsidRDefault="00807C82">
      <w:pPr>
        <w:pStyle w:val="TOC1"/>
        <w:rPr>
          <w:rFonts w:asciiTheme="minorHAnsi" w:eastAsiaTheme="minorEastAsia" w:hAnsiTheme="minorHAnsi" w:cstheme="minorHAnsi"/>
          <w:noProof/>
          <w:sz w:val="22"/>
          <w:szCs w:val="22"/>
          <w:lang w:eastAsia="en-AU"/>
        </w:rPr>
      </w:pPr>
      <w:hyperlink w:anchor="_Toc168585004" w:history="1">
        <w:r w:rsidR="00A97283" w:rsidRPr="00A8471A">
          <w:rPr>
            <w:rStyle w:val="Hyperlink"/>
            <w:rFonts w:asciiTheme="minorHAnsi" w:hAnsiTheme="minorHAnsi" w:cstheme="minorHAnsi"/>
            <w:noProof/>
            <w:color w:val="auto"/>
            <w:sz w:val="22"/>
            <w:szCs w:val="22"/>
          </w:rPr>
          <w:t>2.</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Structure</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_Toc168585004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4</w:t>
        </w:r>
        <w:r w:rsidR="00A97283" w:rsidRPr="00A8471A">
          <w:rPr>
            <w:rFonts w:asciiTheme="minorHAnsi" w:hAnsiTheme="minorHAnsi" w:cstheme="minorHAnsi"/>
            <w:noProof/>
            <w:webHidden/>
            <w:sz w:val="22"/>
            <w:szCs w:val="22"/>
          </w:rPr>
          <w:fldChar w:fldCharType="end"/>
        </w:r>
      </w:hyperlink>
    </w:p>
    <w:p w14:paraId="1098931C" w14:textId="1797CE07" w:rsidR="00A97283" w:rsidRPr="00A8471A" w:rsidRDefault="00807C82">
      <w:pPr>
        <w:pStyle w:val="TOC1"/>
        <w:rPr>
          <w:rFonts w:asciiTheme="minorHAnsi" w:eastAsiaTheme="minorEastAsia" w:hAnsiTheme="minorHAnsi" w:cstheme="minorHAnsi"/>
          <w:noProof/>
          <w:sz w:val="22"/>
          <w:szCs w:val="22"/>
          <w:lang w:eastAsia="en-AU"/>
        </w:rPr>
      </w:pPr>
      <w:hyperlink w:anchor="_Toc168585005" w:history="1">
        <w:r w:rsidR="00A97283" w:rsidRPr="00A8471A">
          <w:rPr>
            <w:rStyle w:val="Hyperlink"/>
            <w:rFonts w:asciiTheme="minorHAnsi" w:hAnsiTheme="minorHAnsi" w:cstheme="minorHAnsi"/>
            <w:noProof/>
            <w:color w:val="auto"/>
            <w:sz w:val="22"/>
            <w:szCs w:val="22"/>
          </w:rPr>
          <w:t>3.</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Objectives and Guiding Principles</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_Toc168585005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5</w:t>
        </w:r>
        <w:r w:rsidR="00A97283" w:rsidRPr="00A8471A">
          <w:rPr>
            <w:rFonts w:asciiTheme="minorHAnsi" w:hAnsiTheme="minorHAnsi" w:cstheme="minorHAnsi"/>
            <w:noProof/>
            <w:webHidden/>
            <w:sz w:val="22"/>
            <w:szCs w:val="22"/>
          </w:rPr>
          <w:fldChar w:fldCharType="end"/>
        </w:r>
      </w:hyperlink>
    </w:p>
    <w:p w14:paraId="485064B3" w14:textId="45238BDE" w:rsidR="00A97283" w:rsidRPr="00A8471A" w:rsidRDefault="00807C82">
      <w:pPr>
        <w:pStyle w:val="TOC1"/>
        <w:rPr>
          <w:rFonts w:asciiTheme="minorHAnsi" w:eastAsiaTheme="minorEastAsia" w:hAnsiTheme="minorHAnsi" w:cstheme="minorHAnsi"/>
          <w:noProof/>
          <w:sz w:val="22"/>
          <w:szCs w:val="22"/>
          <w:lang w:eastAsia="en-AU"/>
        </w:rPr>
      </w:pPr>
      <w:hyperlink w:anchor="_Toc168585006" w:history="1">
        <w:r w:rsidR="00A97283" w:rsidRPr="00A8471A">
          <w:rPr>
            <w:rStyle w:val="Hyperlink"/>
            <w:rFonts w:asciiTheme="minorHAnsi" w:hAnsiTheme="minorHAnsi" w:cstheme="minorHAnsi"/>
            <w:noProof/>
            <w:color w:val="auto"/>
            <w:sz w:val="22"/>
            <w:szCs w:val="22"/>
          </w:rPr>
          <w:t>4.</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The Agreement</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_Toc168585006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6</w:t>
        </w:r>
        <w:r w:rsidR="00A97283" w:rsidRPr="00A8471A">
          <w:rPr>
            <w:rFonts w:asciiTheme="minorHAnsi" w:hAnsiTheme="minorHAnsi" w:cstheme="minorHAnsi"/>
            <w:noProof/>
            <w:webHidden/>
            <w:sz w:val="22"/>
            <w:szCs w:val="22"/>
          </w:rPr>
          <w:fldChar w:fldCharType="end"/>
        </w:r>
      </w:hyperlink>
    </w:p>
    <w:p w14:paraId="4F340476" w14:textId="0EBED761" w:rsidR="00A97283" w:rsidRPr="00A8471A" w:rsidRDefault="00807C82">
      <w:pPr>
        <w:pStyle w:val="TOC1"/>
        <w:rPr>
          <w:rFonts w:asciiTheme="minorHAnsi" w:eastAsiaTheme="minorEastAsia" w:hAnsiTheme="minorHAnsi" w:cstheme="minorHAnsi"/>
          <w:noProof/>
          <w:sz w:val="22"/>
          <w:szCs w:val="22"/>
          <w:lang w:eastAsia="en-AU"/>
        </w:rPr>
      </w:pPr>
      <w:hyperlink w:anchor="_Toc168585007" w:history="1">
        <w:r w:rsidR="00A97283" w:rsidRPr="00A8471A">
          <w:rPr>
            <w:rStyle w:val="Hyperlink"/>
            <w:rFonts w:asciiTheme="minorHAnsi" w:hAnsiTheme="minorHAnsi" w:cstheme="minorHAnsi"/>
            <w:noProof/>
            <w:color w:val="auto"/>
            <w:sz w:val="22"/>
            <w:szCs w:val="22"/>
          </w:rPr>
          <w:t>5.</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Protocols for Communication</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_Toc168585007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6</w:t>
        </w:r>
        <w:r w:rsidR="00A97283" w:rsidRPr="00A8471A">
          <w:rPr>
            <w:rFonts w:asciiTheme="minorHAnsi" w:hAnsiTheme="minorHAnsi" w:cstheme="minorHAnsi"/>
            <w:noProof/>
            <w:webHidden/>
            <w:sz w:val="22"/>
            <w:szCs w:val="22"/>
          </w:rPr>
          <w:fldChar w:fldCharType="end"/>
        </w:r>
      </w:hyperlink>
    </w:p>
    <w:p w14:paraId="199C101E" w14:textId="60E2D503" w:rsidR="00A97283" w:rsidRPr="00A8471A" w:rsidRDefault="00807C82">
      <w:pPr>
        <w:pStyle w:val="TOC1"/>
        <w:rPr>
          <w:rFonts w:asciiTheme="minorHAnsi" w:eastAsiaTheme="minorEastAsia" w:hAnsiTheme="minorHAnsi" w:cstheme="minorHAnsi"/>
          <w:noProof/>
          <w:sz w:val="22"/>
          <w:szCs w:val="22"/>
          <w:lang w:eastAsia="en-AU"/>
        </w:rPr>
      </w:pPr>
      <w:hyperlink w:anchor="_Toc168585008" w:history="1">
        <w:r w:rsidR="00A97283" w:rsidRPr="00A8471A">
          <w:rPr>
            <w:rStyle w:val="Hyperlink"/>
            <w:rFonts w:asciiTheme="minorHAnsi" w:hAnsiTheme="minorHAnsi" w:cstheme="minorHAnsi"/>
            <w:noProof/>
            <w:color w:val="auto"/>
            <w:sz w:val="22"/>
            <w:szCs w:val="22"/>
          </w:rPr>
          <w:t>6.</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Protocols for the Exchange of Information and Data</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_Toc168585008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7</w:t>
        </w:r>
        <w:r w:rsidR="00A97283" w:rsidRPr="00A8471A">
          <w:rPr>
            <w:rFonts w:asciiTheme="minorHAnsi" w:hAnsiTheme="minorHAnsi" w:cstheme="minorHAnsi"/>
            <w:noProof/>
            <w:webHidden/>
            <w:sz w:val="22"/>
            <w:szCs w:val="22"/>
          </w:rPr>
          <w:fldChar w:fldCharType="end"/>
        </w:r>
      </w:hyperlink>
    </w:p>
    <w:p w14:paraId="1322FBEF" w14:textId="5FD1F0A9" w:rsidR="00A97283" w:rsidRPr="00A8471A" w:rsidRDefault="00807C82">
      <w:pPr>
        <w:pStyle w:val="TOC1"/>
        <w:rPr>
          <w:rFonts w:asciiTheme="minorHAnsi" w:eastAsiaTheme="minorEastAsia" w:hAnsiTheme="minorHAnsi" w:cstheme="minorHAnsi"/>
          <w:noProof/>
          <w:sz w:val="22"/>
          <w:szCs w:val="22"/>
          <w:lang w:eastAsia="en-AU"/>
        </w:rPr>
      </w:pPr>
      <w:hyperlink w:anchor="_Toc168585009" w:history="1">
        <w:r w:rsidR="00A97283" w:rsidRPr="00A8471A">
          <w:rPr>
            <w:rStyle w:val="Hyperlink"/>
            <w:rFonts w:asciiTheme="minorHAnsi" w:hAnsiTheme="minorHAnsi" w:cstheme="minorHAnsi"/>
            <w:noProof/>
            <w:color w:val="auto"/>
            <w:sz w:val="22"/>
            <w:szCs w:val="22"/>
          </w:rPr>
          <w:t>7.</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Roles and Functions of the Department and Commission</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_Toc168585009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7</w:t>
        </w:r>
        <w:r w:rsidR="00A97283" w:rsidRPr="00A8471A">
          <w:rPr>
            <w:rFonts w:asciiTheme="minorHAnsi" w:hAnsiTheme="minorHAnsi" w:cstheme="minorHAnsi"/>
            <w:noProof/>
            <w:webHidden/>
            <w:sz w:val="22"/>
            <w:szCs w:val="22"/>
          </w:rPr>
          <w:fldChar w:fldCharType="end"/>
        </w:r>
      </w:hyperlink>
    </w:p>
    <w:p w14:paraId="4027B9AB" w14:textId="70A6EA6D" w:rsidR="00A97283" w:rsidRPr="00A8471A" w:rsidRDefault="00807C82">
      <w:pPr>
        <w:pStyle w:val="TOC1"/>
        <w:rPr>
          <w:rFonts w:asciiTheme="minorHAnsi" w:eastAsiaTheme="minorEastAsia" w:hAnsiTheme="minorHAnsi" w:cstheme="minorHAnsi"/>
          <w:noProof/>
          <w:sz w:val="22"/>
          <w:szCs w:val="22"/>
          <w:lang w:eastAsia="en-AU"/>
        </w:rPr>
      </w:pPr>
      <w:hyperlink w:anchor="_Toc168585010" w:history="1">
        <w:r w:rsidR="00A97283" w:rsidRPr="00A8471A">
          <w:rPr>
            <w:rStyle w:val="Hyperlink"/>
            <w:rFonts w:asciiTheme="minorHAnsi" w:hAnsiTheme="minorHAnsi" w:cstheme="minorHAnsi"/>
            <w:noProof/>
            <w:color w:val="auto"/>
            <w:sz w:val="22"/>
            <w:szCs w:val="22"/>
          </w:rPr>
          <w:t>8.</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Schedules to this Agreement</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_Toc168585010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9</w:t>
        </w:r>
        <w:r w:rsidR="00A97283" w:rsidRPr="00A8471A">
          <w:rPr>
            <w:rFonts w:asciiTheme="minorHAnsi" w:hAnsiTheme="minorHAnsi" w:cstheme="minorHAnsi"/>
            <w:noProof/>
            <w:webHidden/>
            <w:sz w:val="22"/>
            <w:szCs w:val="22"/>
          </w:rPr>
          <w:fldChar w:fldCharType="end"/>
        </w:r>
      </w:hyperlink>
    </w:p>
    <w:p w14:paraId="4F0AB7A7" w14:textId="11CB7609" w:rsidR="00A97283" w:rsidRPr="00A8471A" w:rsidRDefault="00807C82">
      <w:pPr>
        <w:pStyle w:val="TOC1"/>
        <w:rPr>
          <w:rFonts w:asciiTheme="minorHAnsi" w:eastAsiaTheme="minorEastAsia" w:hAnsiTheme="minorHAnsi" w:cstheme="minorHAnsi"/>
          <w:noProof/>
          <w:sz w:val="22"/>
          <w:szCs w:val="22"/>
          <w:lang w:eastAsia="en-AU"/>
        </w:rPr>
      </w:pPr>
      <w:hyperlink w:anchor="_Toc168585011" w:history="1">
        <w:r w:rsidR="00A97283" w:rsidRPr="00A8471A">
          <w:rPr>
            <w:rStyle w:val="Hyperlink"/>
            <w:rFonts w:asciiTheme="minorHAnsi" w:hAnsiTheme="minorHAnsi" w:cstheme="minorHAnsi"/>
            <w:noProof/>
            <w:color w:val="auto"/>
            <w:sz w:val="22"/>
            <w:szCs w:val="22"/>
          </w:rPr>
          <w:t>9.</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Application of this MoU</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_Toc168585011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9</w:t>
        </w:r>
        <w:r w:rsidR="00A97283" w:rsidRPr="00A8471A">
          <w:rPr>
            <w:rFonts w:asciiTheme="minorHAnsi" w:hAnsiTheme="minorHAnsi" w:cstheme="minorHAnsi"/>
            <w:noProof/>
            <w:webHidden/>
            <w:sz w:val="22"/>
            <w:szCs w:val="22"/>
          </w:rPr>
          <w:fldChar w:fldCharType="end"/>
        </w:r>
      </w:hyperlink>
    </w:p>
    <w:p w14:paraId="69345609" w14:textId="3EAFCA23" w:rsidR="00A97283" w:rsidRPr="00A8471A" w:rsidRDefault="00807C82">
      <w:pPr>
        <w:pStyle w:val="TOC1"/>
        <w:rPr>
          <w:rFonts w:asciiTheme="minorHAnsi" w:eastAsiaTheme="minorEastAsia" w:hAnsiTheme="minorHAnsi" w:cstheme="minorHAnsi"/>
          <w:noProof/>
          <w:sz w:val="22"/>
          <w:szCs w:val="22"/>
          <w:lang w:eastAsia="en-AU"/>
        </w:rPr>
      </w:pPr>
      <w:hyperlink w:anchor="_Toc168585012" w:history="1">
        <w:r w:rsidR="00A97283" w:rsidRPr="00A8471A">
          <w:rPr>
            <w:rStyle w:val="Hyperlink"/>
            <w:rFonts w:asciiTheme="minorHAnsi" w:hAnsiTheme="minorHAnsi" w:cstheme="minorHAnsi"/>
            <w:noProof/>
            <w:color w:val="auto"/>
            <w:sz w:val="22"/>
            <w:szCs w:val="22"/>
          </w:rPr>
          <w:t>10.</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Variation or Review of General Agreement or a Schedule</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_Toc168585012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9</w:t>
        </w:r>
        <w:r w:rsidR="00A97283" w:rsidRPr="00A8471A">
          <w:rPr>
            <w:rFonts w:asciiTheme="minorHAnsi" w:hAnsiTheme="minorHAnsi" w:cstheme="minorHAnsi"/>
            <w:noProof/>
            <w:webHidden/>
            <w:sz w:val="22"/>
            <w:szCs w:val="22"/>
          </w:rPr>
          <w:fldChar w:fldCharType="end"/>
        </w:r>
      </w:hyperlink>
    </w:p>
    <w:p w14:paraId="17D58558" w14:textId="53FCA752" w:rsidR="00A97283" w:rsidRPr="00A8471A" w:rsidRDefault="00807C82">
      <w:pPr>
        <w:pStyle w:val="TOC1"/>
        <w:rPr>
          <w:rFonts w:asciiTheme="minorHAnsi" w:eastAsiaTheme="minorEastAsia" w:hAnsiTheme="minorHAnsi" w:cstheme="minorHAnsi"/>
          <w:noProof/>
          <w:sz w:val="22"/>
          <w:szCs w:val="22"/>
          <w:lang w:eastAsia="en-AU"/>
        </w:rPr>
      </w:pPr>
      <w:hyperlink w:anchor="_Toc168585013" w:history="1">
        <w:r w:rsidR="00A97283" w:rsidRPr="00A8471A">
          <w:rPr>
            <w:rStyle w:val="Hyperlink"/>
            <w:rFonts w:asciiTheme="minorHAnsi" w:hAnsiTheme="minorHAnsi" w:cstheme="minorHAnsi"/>
            <w:noProof/>
            <w:color w:val="auto"/>
            <w:sz w:val="22"/>
            <w:szCs w:val="22"/>
          </w:rPr>
          <w:t>11.</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Issues Resolution</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_Toc168585013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10</w:t>
        </w:r>
        <w:r w:rsidR="00A97283" w:rsidRPr="00A8471A">
          <w:rPr>
            <w:rFonts w:asciiTheme="minorHAnsi" w:hAnsiTheme="minorHAnsi" w:cstheme="minorHAnsi"/>
            <w:noProof/>
            <w:webHidden/>
            <w:sz w:val="22"/>
            <w:szCs w:val="22"/>
          </w:rPr>
          <w:fldChar w:fldCharType="end"/>
        </w:r>
      </w:hyperlink>
    </w:p>
    <w:p w14:paraId="75692DEC" w14:textId="41DD743F" w:rsidR="00A97283" w:rsidRPr="00A8471A" w:rsidRDefault="00807C82">
      <w:pPr>
        <w:pStyle w:val="TOC1"/>
        <w:rPr>
          <w:rFonts w:asciiTheme="minorHAnsi" w:eastAsiaTheme="minorEastAsia" w:hAnsiTheme="minorHAnsi" w:cstheme="minorHAnsi"/>
          <w:noProof/>
          <w:sz w:val="22"/>
          <w:szCs w:val="22"/>
          <w:lang w:eastAsia="en-AU"/>
        </w:rPr>
      </w:pPr>
      <w:hyperlink w:anchor="_Toc168585014" w:history="1">
        <w:r w:rsidR="00A97283" w:rsidRPr="00A8471A">
          <w:rPr>
            <w:rStyle w:val="Hyperlink"/>
            <w:rFonts w:asciiTheme="minorHAnsi" w:hAnsiTheme="minorHAnsi" w:cstheme="minorHAnsi"/>
            <w:noProof/>
            <w:color w:val="auto"/>
            <w:sz w:val="22"/>
            <w:szCs w:val="22"/>
          </w:rPr>
          <w:t>12.</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Term of MoU</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_Toc168585014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10</w:t>
        </w:r>
        <w:r w:rsidR="00A97283" w:rsidRPr="00A8471A">
          <w:rPr>
            <w:rFonts w:asciiTheme="minorHAnsi" w:hAnsiTheme="minorHAnsi" w:cstheme="minorHAnsi"/>
            <w:noProof/>
            <w:webHidden/>
            <w:sz w:val="22"/>
            <w:szCs w:val="22"/>
          </w:rPr>
          <w:fldChar w:fldCharType="end"/>
        </w:r>
      </w:hyperlink>
    </w:p>
    <w:p w14:paraId="5F13B656" w14:textId="7F914BF8" w:rsidR="00A97283" w:rsidRPr="00A8471A" w:rsidRDefault="00807C82">
      <w:pPr>
        <w:pStyle w:val="TOC1"/>
        <w:rPr>
          <w:rFonts w:asciiTheme="minorHAnsi" w:eastAsiaTheme="minorEastAsia" w:hAnsiTheme="minorHAnsi" w:cstheme="minorHAnsi"/>
          <w:noProof/>
          <w:sz w:val="22"/>
          <w:szCs w:val="22"/>
          <w:lang w:eastAsia="en-AU"/>
        </w:rPr>
      </w:pPr>
      <w:hyperlink w:anchor="_Toc168585015" w:history="1">
        <w:r w:rsidR="00A97283" w:rsidRPr="00A8471A">
          <w:rPr>
            <w:rStyle w:val="Hyperlink"/>
            <w:rFonts w:asciiTheme="minorHAnsi" w:hAnsiTheme="minorHAnsi" w:cstheme="minorHAnsi"/>
            <w:noProof/>
            <w:color w:val="auto"/>
            <w:sz w:val="22"/>
            <w:szCs w:val="22"/>
          </w:rPr>
          <w:t>13.</w:t>
        </w:r>
        <w:r w:rsidR="00A97283" w:rsidRPr="00A8471A">
          <w:rPr>
            <w:rFonts w:asciiTheme="minorHAnsi" w:eastAsiaTheme="minorEastAsia" w:hAnsiTheme="minorHAnsi" w:cstheme="minorHAnsi"/>
            <w:noProof/>
            <w:sz w:val="22"/>
            <w:szCs w:val="22"/>
            <w:lang w:eastAsia="en-AU"/>
          </w:rPr>
          <w:tab/>
        </w:r>
        <w:r w:rsidR="00A97283" w:rsidRPr="00A8471A">
          <w:rPr>
            <w:rStyle w:val="Hyperlink"/>
            <w:rFonts w:asciiTheme="minorHAnsi" w:hAnsiTheme="minorHAnsi" w:cstheme="minorHAnsi"/>
            <w:noProof/>
            <w:color w:val="auto"/>
            <w:sz w:val="22"/>
            <w:szCs w:val="22"/>
          </w:rPr>
          <w:t>Signatories</w:t>
        </w:r>
        <w:r w:rsidR="00A97283" w:rsidRPr="00A8471A">
          <w:rPr>
            <w:rFonts w:asciiTheme="minorHAnsi" w:hAnsiTheme="minorHAnsi" w:cstheme="minorHAnsi"/>
            <w:noProof/>
            <w:webHidden/>
            <w:sz w:val="22"/>
            <w:szCs w:val="22"/>
          </w:rPr>
          <w:tab/>
        </w:r>
        <w:r w:rsidR="00A97283" w:rsidRPr="00A8471A">
          <w:rPr>
            <w:rFonts w:asciiTheme="minorHAnsi" w:hAnsiTheme="minorHAnsi" w:cstheme="minorHAnsi"/>
            <w:noProof/>
            <w:webHidden/>
            <w:sz w:val="22"/>
            <w:szCs w:val="22"/>
          </w:rPr>
          <w:fldChar w:fldCharType="begin"/>
        </w:r>
        <w:r w:rsidR="00A97283" w:rsidRPr="00A8471A">
          <w:rPr>
            <w:rFonts w:asciiTheme="minorHAnsi" w:hAnsiTheme="minorHAnsi" w:cstheme="minorHAnsi"/>
            <w:noProof/>
            <w:webHidden/>
            <w:sz w:val="22"/>
            <w:szCs w:val="22"/>
          </w:rPr>
          <w:instrText xml:space="preserve"> PAGEREF _Toc168585015 \h </w:instrText>
        </w:r>
        <w:r w:rsidR="00A97283" w:rsidRPr="00A8471A">
          <w:rPr>
            <w:rFonts w:asciiTheme="minorHAnsi" w:hAnsiTheme="minorHAnsi" w:cstheme="minorHAnsi"/>
            <w:noProof/>
            <w:webHidden/>
            <w:sz w:val="22"/>
            <w:szCs w:val="22"/>
          </w:rPr>
        </w:r>
        <w:r w:rsidR="00A97283" w:rsidRPr="00A8471A">
          <w:rPr>
            <w:rFonts w:asciiTheme="minorHAnsi" w:hAnsiTheme="minorHAnsi" w:cstheme="minorHAnsi"/>
            <w:noProof/>
            <w:webHidden/>
            <w:sz w:val="22"/>
            <w:szCs w:val="22"/>
          </w:rPr>
          <w:fldChar w:fldCharType="separate"/>
        </w:r>
        <w:r w:rsidR="001F01E2">
          <w:rPr>
            <w:rFonts w:asciiTheme="minorHAnsi" w:hAnsiTheme="minorHAnsi" w:cstheme="minorHAnsi"/>
            <w:noProof/>
            <w:webHidden/>
            <w:sz w:val="22"/>
            <w:szCs w:val="22"/>
          </w:rPr>
          <w:t>11</w:t>
        </w:r>
        <w:r w:rsidR="00A97283" w:rsidRPr="00A8471A">
          <w:rPr>
            <w:rFonts w:asciiTheme="minorHAnsi" w:hAnsiTheme="minorHAnsi" w:cstheme="minorHAnsi"/>
            <w:noProof/>
            <w:webHidden/>
            <w:sz w:val="22"/>
            <w:szCs w:val="22"/>
          </w:rPr>
          <w:fldChar w:fldCharType="end"/>
        </w:r>
      </w:hyperlink>
    </w:p>
    <w:p w14:paraId="161EA5EA" w14:textId="1246E7F9" w:rsidR="00647ACB" w:rsidRPr="00A8471A" w:rsidRDefault="00B2705A" w:rsidP="00647ACB">
      <w:pPr>
        <w:rPr>
          <w:rFonts w:asciiTheme="minorHAnsi" w:hAnsiTheme="minorHAnsi" w:cstheme="minorHAnsi"/>
          <w:sz w:val="22"/>
          <w:szCs w:val="22"/>
        </w:rPr>
      </w:pPr>
      <w:r w:rsidRPr="00A8471A">
        <w:rPr>
          <w:rFonts w:asciiTheme="minorHAnsi" w:hAnsiTheme="minorHAnsi" w:cstheme="minorHAnsi"/>
          <w:sz w:val="22"/>
          <w:szCs w:val="22"/>
        </w:rPr>
        <w:fldChar w:fldCharType="end"/>
      </w:r>
    </w:p>
    <w:p w14:paraId="2C919ACA" w14:textId="1E4FEEEE" w:rsidR="00647ACB" w:rsidRPr="00A8471A" w:rsidRDefault="00647ACB" w:rsidP="00647ACB">
      <w:r w:rsidRPr="00A8471A">
        <w:br w:type="page"/>
      </w:r>
    </w:p>
    <w:p w14:paraId="3F07FB4D" w14:textId="3BC28EE6" w:rsidR="00647ACB" w:rsidRPr="00A8471A" w:rsidRDefault="00647ACB" w:rsidP="00AD3F5A">
      <w:pPr>
        <w:spacing w:after="0" w:line="360" w:lineRule="auto"/>
        <w:rPr>
          <w:rFonts w:asciiTheme="minorHAnsi" w:hAnsiTheme="minorHAnsi" w:cstheme="minorBidi"/>
          <w:b/>
          <w:bCs/>
          <w:sz w:val="22"/>
          <w:szCs w:val="22"/>
        </w:rPr>
      </w:pPr>
      <w:r w:rsidRPr="00A8471A">
        <w:rPr>
          <w:rFonts w:asciiTheme="minorHAnsi" w:hAnsiTheme="minorHAnsi" w:cstheme="minorBidi"/>
          <w:b/>
          <w:bCs/>
          <w:sz w:val="22"/>
          <w:szCs w:val="22"/>
        </w:rPr>
        <w:t>PART 1 – GENERAL A</w:t>
      </w:r>
      <w:r w:rsidR="0A3E4E12" w:rsidRPr="00A8471A">
        <w:rPr>
          <w:rFonts w:asciiTheme="minorHAnsi" w:hAnsiTheme="minorHAnsi" w:cstheme="minorBidi"/>
          <w:b/>
          <w:bCs/>
          <w:sz w:val="22"/>
          <w:szCs w:val="22"/>
        </w:rPr>
        <w:t>GREEMENT</w:t>
      </w:r>
    </w:p>
    <w:p w14:paraId="2A3E7D4C" w14:textId="77777777" w:rsidR="00AD3F5A" w:rsidRPr="00A8471A" w:rsidRDefault="00AD3F5A" w:rsidP="00AD3F5A">
      <w:pPr>
        <w:spacing w:after="0" w:line="360" w:lineRule="auto"/>
        <w:rPr>
          <w:rFonts w:asciiTheme="minorHAnsi" w:hAnsiTheme="minorHAnsi" w:cstheme="minorBidi"/>
          <w:b/>
          <w:bCs/>
          <w:sz w:val="22"/>
          <w:szCs w:val="22"/>
        </w:rPr>
      </w:pPr>
    </w:p>
    <w:p w14:paraId="30407DD5" w14:textId="0D421702" w:rsidR="00647ACB" w:rsidRPr="00A8471A" w:rsidRDefault="00647ACB" w:rsidP="00AD3F5A">
      <w:pPr>
        <w:pStyle w:val="Heading1"/>
        <w:numPr>
          <w:ilvl w:val="0"/>
          <w:numId w:val="33"/>
        </w:numPr>
        <w:spacing w:before="0" w:line="360" w:lineRule="auto"/>
        <w:rPr>
          <w:color w:val="auto"/>
        </w:rPr>
      </w:pPr>
      <w:bookmarkStart w:id="0" w:name="_Toc168585003"/>
      <w:r w:rsidRPr="00A8471A">
        <w:rPr>
          <w:color w:val="auto"/>
        </w:rPr>
        <w:t>Introduction</w:t>
      </w:r>
      <w:bookmarkEnd w:id="0"/>
    </w:p>
    <w:p w14:paraId="611790CD" w14:textId="137D214D"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This Memorandum of Understanding (MoU) has been jointly developed and endorsed by the Department of Health and Aged Care’s (the Department) Ageing and Aged Care Group and the Aged Care Quality and Safety Commission (the Commission). It recognises and supports both the separate roles and responsibilities of each </w:t>
      </w:r>
      <w:r w:rsidR="00AD3F5A" w:rsidRPr="00A8471A">
        <w:rPr>
          <w:rFonts w:asciiTheme="minorHAnsi" w:hAnsiTheme="minorHAnsi" w:cstheme="minorHAnsi"/>
          <w:sz w:val="22"/>
          <w:szCs w:val="22"/>
        </w:rPr>
        <w:t>agency</w:t>
      </w:r>
      <w:r w:rsidRPr="00A8471A">
        <w:rPr>
          <w:rFonts w:asciiTheme="minorHAnsi" w:hAnsiTheme="minorHAnsi" w:cstheme="minorHAnsi"/>
          <w:sz w:val="22"/>
          <w:szCs w:val="22"/>
        </w:rPr>
        <w:t>, and the many linked functions and responsibilities</w:t>
      </w:r>
      <w:r w:rsidR="00356416" w:rsidRPr="00A8471A">
        <w:rPr>
          <w:rFonts w:asciiTheme="minorHAnsi" w:hAnsiTheme="minorHAnsi" w:cstheme="minorHAnsi"/>
          <w:sz w:val="22"/>
          <w:szCs w:val="22"/>
        </w:rPr>
        <w:t xml:space="preserve"> of both agencies</w:t>
      </w:r>
      <w:r w:rsidRPr="00A8471A">
        <w:rPr>
          <w:rFonts w:asciiTheme="minorHAnsi" w:hAnsiTheme="minorHAnsi" w:cstheme="minorHAnsi"/>
          <w:sz w:val="22"/>
          <w:szCs w:val="22"/>
        </w:rPr>
        <w:t>.</w:t>
      </w:r>
    </w:p>
    <w:p w14:paraId="02324B32" w14:textId="4ED486C6"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The purpose of this MoU is to support both agencies working together to advance the Australian Government’s aims relating to the aged care portfolio with a shared objective and purpose.</w:t>
      </w:r>
    </w:p>
    <w:p w14:paraId="40C83350" w14:textId="240F387E" w:rsidR="00647ACB" w:rsidRPr="00A8471A" w:rsidRDefault="00647ACB" w:rsidP="19932371">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success of this MoU will be evidenced through improved collaboration and improved clarity in relation to </w:t>
      </w:r>
      <w:r w:rsidR="008E0992" w:rsidRPr="00A8471A">
        <w:rPr>
          <w:rFonts w:asciiTheme="minorHAnsi" w:hAnsiTheme="minorHAnsi" w:cstheme="minorBidi"/>
          <w:sz w:val="22"/>
          <w:szCs w:val="22"/>
        </w:rPr>
        <w:t xml:space="preserve">individual and </w:t>
      </w:r>
      <w:r w:rsidRPr="00A8471A">
        <w:rPr>
          <w:rFonts w:asciiTheme="minorHAnsi" w:hAnsiTheme="minorHAnsi" w:cstheme="minorBidi"/>
          <w:sz w:val="22"/>
          <w:szCs w:val="22"/>
        </w:rPr>
        <w:t>shared responsibilities.</w:t>
      </w:r>
    </w:p>
    <w:p w14:paraId="5AADBA24" w14:textId="37C3FC7A"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The Department has policy and program management responsibility for aged care. This includes developing and supporting the legislative and regulatory framework</w:t>
      </w:r>
      <w:r w:rsidR="00A11177">
        <w:rPr>
          <w:rFonts w:asciiTheme="minorHAnsi" w:hAnsiTheme="minorHAnsi" w:cstheme="minorBidi"/>
          <w:sz w:val="22"/>
          <w:szCs w:val="22"/>
        </w:rPr>
        <w:t>,</w:t>
      </w:r>
      <w:r w:rsidRPr="00A8471A">
        <w:rPr>
          <w:rFonts w:asciiTheme="minorHAnsi" w:hAnsiTheme="minorHAnsi" w:cstheme="minorBidi"/>
          <w:sz w:val="22"/>
          <w:szCs w:val="22"/>
        </w:rPr>
        <w:t xml:space="preserve"> and supporting funding arrangements </w:t>
      </w:r>
      <w:r w:rsidR="4EFAFE2F" w:rsidRPr="00A8471A">
        <w:rPr>
          <w:rFonts w:asciiTheme="minorHAnsi" w:hAnsiTheme="minorHAnsi" w:cstheme="minorBidi"/>
          <w:sz w:val="22"/>
          <w:szCs w:val="22"/>
        </w:rPr>
        <w:t>(and proper use of funds by provider</w:t>
      </w:r>
      <w:r w:rsidR="00A11177">
        <w:rPr>
          <w:rFonts w:asciiTheme="minorHAnsi" w:hAnsiTheme="minorHAnsi" w:cstheme="minorBidi"/>
          <w:sz w:val="22"/>
          <w:szCs w:val="22"/>
        </w:rPr>
        <w:t>s</w:t>
      </w:r>
      <w:r w:rsidR="4EFAFE2F" w:rsidRPr="00A8471A">
        <w:rPr>
          <w:rFonts w:asciiTheme="minorHAnsi" w:hAnsiTheme="minorHAnsi" w:cstheme="minorBidi"/>
          <w:sz w:val="22"/>
          <w:szCs w:val="22"/>
        </w:rPr>
        <w:t xml:space="preserve">) </w:t>
      </w:r>
      <w:r w:rsidRPr="00A8471A">
        <w:rPr>
          <w:rFonts w:asciiTheme="minorHAnsi" w:hAnsiTheme="minorHAnsi" w:cstheme="minorBidi"/>
          <w:sz w:val="22"/>
          <w:szCs w:val="22"/>
        </w:rPr>
        <w:t>for Commonwealth funded aged care services.</w:t>
      </w:r>
      <w:r w:rsidR="00F255B4" w:rsidRPr="00A8471A">
        <w:rPr>
          <w:rFonts w:asciiTheme="minorHAnsi" w:hAnsiTheme="minorHAnsi" w:cstheme="minorBidi"/>
          <w:sz w:val="22"/>
          <w:szCs w:val="22"/>
        </w:rPr>
        <w:t xml:space="preserve"> </w:t>
      </w:r>
      <w:r w:rsidR="0082013A" w:rsidRPr="00A8471A">
        <w:rPr>
          <w:rFonts w:asciiTheme="minorHAnsi" w:hAnsiTheme="minorHAnsi" w:cstheme="minorBidi"/>
          <w:sz w:val="22"/>
          <w:szCs w:val="22"/>
        </w:rPr>
        <w:t>The Department</w:t>
      </w:r>
      <w:r w:rsidR="00DB4C8E" w:rsidRPr="00A8471A">
        <w:rPr>
          <w:rFonts w:asciiTheme="minorHAnsi" w:hAnsiTheme="minorHAnsi" w:cstheme="minorBidi"/>
          <w:sz w:val="22"/>
          <w:szCs w:val="22"/>
        </w:rPr>
        <w:t xml:space="preserve"> also</w:t>
      </w:r>
      <w:r w:rsidR="0082013A" w:rsidRPr="00A8471A">
        <w:rPr>
          <w:rFonts w:asciiTheme="minorHAnsi" w:hAnsiTheme="minorHAnsi" w:cstheme="minorBidi"/>
          <w:sz w:val="22"/>
          <w:szCs w:val="22"/>
        </w:rPr>
        <w:t xml:space="preserve"> supports</w:t>
      </w:r>
      <w:r w:rsidR="00210B98" w:rsidRPr="00A8471A">
        <w:rPr>
          <w:rFonts w:asciiTheme="minorHAnsi" w:hAnsiTheme="minorHAnsi" w:cstheme="minorBidi"/>
          <w:sz w:val="22"/>
          <w:szCs w:val="22"/>
        </w:rPr>
        <w:t xml:space="preserve"> the</w:t>
      </w:r>
      <w:r w:rsidR="0082013A" w:rsidRPr="00A8471A">
        <w:rPr>
          <w:rFonts w:asciiTheme="minorHAnsi" w:hAnsiTheme="minorHAnsi" w:cstheme="minorBidi"/>
          <w:sz w:val="22"/>
          <w:szCs w:val="22"/>
        </w:rPr>
        <w:t xml:space="preserve"> </w:t>
      </w:r>
      <w:r w:rsidR="00DB4C8E" w:rsidRPr="00A8471A">
        <w:rPr>
          <w:rFonts w:asciiTheme="minorHAnsi" w:hAnsiTheme="minorHAnsi" w:cstheme="minorBidi"/>
          <w:sz w:val="22"/>
          <w:szCs w:val="22"/>
        </w:rPr>
        <w:t>stewardship and delivery of aged care and health programs</w:t>
      </w:r>
      <w:r w:rsidR="0082013A" w:rsidRPr="00A8471A">
        <w:rPr>
          <w:rFonts w:asciiTheme="minorHAnsi" w:hAnsiTheme="minorHAnsi" w:cstheme="minorBidi"/>
          <w:sz w:val="22"/>
          <w:szCs w:val="22"/>
        </w:rPr>
        <w:t xml:space="preserve"> through a strong</w:t>
      </w:r>
      <w:r w:rsidR="00DB4C8E" w:rsidRPr="00A8471A">
        <w:rPr>
          <w:rFonts w:asciiTheme="minorHAnsi" w:hAnsiTheme="minorHAnsi" w:cstheme="minorBidi"/>
          <w:sz w:val="22"/>
          <w:szCs w:val="22"/>
        </w:rPr>
        <w:t xml:space="preserve"> network of</w:t>
      </w:r>
      <w:r w:rsidR="0082013A" w:rsidRPr="00A8471A">
        <w:rPr>
          <w:rFonts w:asciiTheme="minorHAnsi" w:hAnsiTheme="minorHAnsi" w:cstheme="minorBidi"/>
          <w:sz w:val="22"/>
          <w:szCs w:val="22"/>
        </w:rPr>
        <w:t xml:space="preserve"> regional</w:t>
      </w:r>
      <w:r w:rsidR="00DB4C8E" w:rsidRPr="00A8471A">
        <w:rPr>
          <w:rFonts w:asciiTheme="minorHAnsi" w:hAnsiTheme="minorHAnsi" w:cstheme="minorBidi"/>
          <w:sz w:val="22"/>
          <w:szCs w:val="22"/>
        </w:rPr>
        <w:t xml:space="preserve"> offices. </w:t>
      </w:r>
    </w:p>
    <w:p w14:paraId="55CADB8E" w14:textId="77C058FA"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Commission is an independent statutory agency </w:t>
      </w:r>
      <w:r w:rsidR="2149BC37" w:rsidRPr="00A8471A">
        <w:rPr>
          <w:rFonts w:asciiTheme="minorHAnsi" w:hAnsiTheme="minorHAnsi" w:cstheme="minorBidi"/>
          <w:sz w:val="22"/>
          <w:szCs w:val="22"/>
        </w:rPr>
        <w:t xml:space="preserve">pursuant to </w:t>
      </w:r>
      <w:r w:rsidRPr="00A8471A">
        <w:rPr>
          <w:rFonts w:asciiTheme="minorHAnsi" w:hAnsiTheme="minorHAnsi" w:cstheme="minorBidi"/>
          <w:sz w:val="22"/>
          <w:szCs w:val="22"/>
        </w:rPr>
        <w:t xml:space="preserve">the </w:t>
      </w:r>
      <w:r w:rsidRPr="00A8471A">
        <w:rPr>
          <w:rFonts w:asciiTheme="minorHAnsi" w:hAnsiTheme="minorHAnsi" w:cstheme="minorBidi"/>
          <w:i/>
          <w:iCs/>
          <w:sz w:val="22"/>
          <w:szCs w:val="22"/>
        </w:rPr>
        <w:t>Aged Care Quality and Safety Commission Act 2018</w:t>
      </w:r>
      <w:r w:rsidR="00593399" w:rsidRPr="00A8471A">
        <w:rPr>
          <w:rFonts w:asciiTheme="minorHAnsi" w:hAnsiTheme="minorHAnsi" w:cstheme="minorBidi"/>
          <w:i/>
          <w:iCs/>
          <w:sz w:val="22"/>
          <w:szCs w:val="22"/>
        </w:rPr>
        <w:t xml:space="preserve"> </w:t>
      </w:r>
      <w:r w:rsidR="00593399" w:rsidRPr="00A8471A">
        <w:rPr>
          <w:rFonts w:asciiTheme="minorHAnsi" w:hAnsiTheme="minorHAnsi" w:cstheme="minorBidi"/>
          <w:sz w:val="22"/>
          <w:szCs w:val="22"/>
        </w:rPr>
        <w:t>(the Commission Act)</w:t>
      </w:r>
      <w:r w:rsidR="1EDB3EC6" w:rsidRPr="00A8471A">
        <w:rPr>
          <w:rFonts w:asciiTheme="minorHAnsi" w:hAnsiTheme="minorHAnsi" w:cstheme="minorBidi"/>
          <w:sz w:val="22"/>
          <w:szCs w:val="22"/>
        </w:rPr>
        <w:t xml:space="preserve"> and </w:t>
      </w:r>
      <w:r w:rsidR="1EDB3EC6" w:rsidRPr="00A8471A">
        <w:rPr>
          <w:rFonts w:asciiTheme="minorHAnsi" w:hAnsiTheme="minorHAnsi" w:cstheme="minorBidi"/>
          <w:i/>
          <w:iCs/>
          <w:sz w:val="22"/>
          <w:szCs w:val="22"/>
        </w:rPr>
        <w:t>Public Governance, Performance and Accountability Act 2013</w:t>
      </w:r>
      <w:r w:rsidR="1EDB3EC6" w:rsidRPr="00A8471A">
        <w:rPr>
          <w:rFonts w:asciiTheme="minorHAnsi" w:hAnsiTheme="minorHAnsi" w:cstheme="minorBidi"/>
          <w:sz w:val="22"/>
          <w:szCs w:val="22"/>
        </w:rPr>
        <w:t xml:space="preserve"> (PGPA Act).</w:t>
      </w:r>
      <w:r w:rsidRPr="00A8471A">
        <w:rPr>
          <w:rFonts w:asciiTheme="minorHAnsi" w:hAnsiTheme="minorHAnsi" w:cstheme="minorBidi"/>
          <w:sz w:val="22"/>
          <w:szCs w:val="22"/>
        </w:rPr>
        <w:t xml:space="preserve"> The primary role of the Commission is to protect and enhance the safety, health, well-being and quality of life of people receiving aged care. To do this, the Commission is responsible for:</w:t>
      </w:r>
    </w:p>
    <w:p w14:paraId="6063C415" w14:textId="4C3DB3FE" w:rsidR="00185661" w:rsidRPr="00A8471A" w:rsidRDefault="00B949B2" w:rsidP="00AD3F5A">
      <w:pPr>
        <w:pStyle w:val="ListParagraph"/>
        <w:numPr>
          <w:ilvl w:val="0"/>
          <w:numId w:val="23"/>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informing </w:t>
      </w:r>
      <w:r w:rsidR="006C0FE9" w:rsidRPr="00A8471A">
        <w:rPr>
          <w:rFonts w:asciiTheme="minorHAnsi" w:hAnsiTheme="minorHAnsi" w:cstheme="minorBidi"/>
          <w:sz w:val="22"/>
          <w:szCs w:val="22"/>
        </w:rPr>
        <w:t xml:space="preserve">older </w:t>
      </w:r>
      <w:r w:rsidR="47F850A6" w:rsidRPr="00A8471A">
        <w:rPr>
          <w:rFonts w:asciiTheme="minorHAnsi" w:hAnsiTheme="minorHAnsi" w:cstheme="minorBidi"/>
          <w:sz w:val="22"/>
          <w:szCs w:val="22"/>
        </w:rPr>
        <w:t xml:space="preserve">people in </w:t>
      </w:r>
      <w:r w:rsidR="006C0FE9" w:rsidRPr="00A8471A">
        <w:rPr>
          <w:rFonts w:asciiTheme="minorHAnsi" w:hAnsiTheme="minorHAnsi" w:cstheme="minorBidi"/>
          <w:sz w:val="22"/>
          <w:szCs w:val="22"/>
        </w:rPr>
        <w:t xml:space="preserve">Australia accessing aged care and their representatives </w:t>
      </w:r>
      <w:r w:rsidR="00F83838" w:rsidRPr="00A8471A">
        <w:rPr>
          <w:rFonts w:asciiTheme="minorHAnsi" w:hAnsiTheme="minorHAnsi" w:cstheme="minorBidi"/>
          <w:sz w:val="22"/>
          <w:szCs w:val="22"/>
        </w:rPr>
        <w:t xml:space="preserve">about their right to </w:t>
      </w:r>
      <w:r w:rsidR="00113D5A" w:rsidRPr="00A8471A">
        <w:rPr>
          <w:rFonts w:asciiTheme="minorHAnsi" w:hAnsiTheme="minorHAnsi" w:cstheme="minorBidi"/>
          <w:sz w:val="22"/>
          <w:szCs w:val="22"/>
        </w:rPr>
        <w:t>quality and safe care and services</w:t>
      </w:r>
    </w:p>
    <w:p w14:paraId="1E01B603" w14:textId="3F83921A" w:rsidR="00224C0B" w:rsidRPr="00A8471A" w:rsidRDefault="00224C0B"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educating providers on their responsibilities to deliver safe and quality care and services</w:t>
      </w:r>
    </w:p>
    <w:p w14:paraId="61064FB2" w14:textId="63698797" w:rsidR="009F705D" w:rsidRPr="00A8471A" w:rsidRDefault="009F705D"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educating and guiding providers on their obligations under the Prudential Standards in relation to liquidity, records, governance and disclosure </w:t>
      </w:r>
    </w:p>
    <w:p w14:paraId="1A462BEC" w14:textId="4B90FAEA" w:rsidR="00660C3F" w:rsidRPr="00A8471A" w:rsidRDefault="004909A5"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dealing with complaints or information given to the </w:t>
      </w:r>
      <w:r w:rsidR="00516AB4" w:rsidRPr="00A8471A">
        <w:rPr>
          <w:rFonts w:asciiTheme="minorHAnsi" w:hAnsiTheme="minorHAnsi" w:cstheme="minorHAnsi"/>
          <w:sz w:val="22"/>
          <w:szCs w:val="22"/>
        </w:rPr>
        <w:t xml:space="preserve">Commissioner about a provider’s responsibilities under </w:t>
      </w:r>
      <w:r w:rsidR="00222F1E">
        <w:rPr>
          <w:rFonts w:asciiTheme="minorHAnsi" w:hAnsiTheme="minorHAnsi" w:cstheme="minorHAnsi"/>
          <w:sz w:val="22"/>
          <w:szCs w:val="22"/>
        </w:rPr>
        <w:t xml:space="preserve">the </w:t>
      </w:r>
      <w:r w:rsidR="00222F1E" w:rsidRPr="00377C59">
        <w:rPr>
          <w:rFonts w:asciiTheme="minorHAnsi" w:hAnsiTheme="minorHAnsi" w:cstheme="minorHAnsi"/>
          <w:i/>
          <w:iCs/>
          <w:sz w:val="22"/>
          <w:szCs w:val="22"/>
        </w:rPr>
        <w:t>Aged Care Act 1997</w:t>
      </w:r>
      <w:r w:rsidR="00222F1E" w:rsidRPr="00377C59">
        <w:rPr>
          <w:rFonts w:asciiTheme="minorHAnsi" w:hAnsiTheme="minorHAnsi" w:cstheme="minorHAnsi"/>
          <w:sz w:val="22"/>
          <w:szCs w:val="22"/>
        </w:rPr>
        <w:t xml:space="preserve"> (Aged Care Act)</w:t>
      </w:r>
      <w:r w:rsidR="00222F1E" w:rsidRPr="00A8471A" w:rsidDel="00222F1E">
        <w:rPr>
          <w:rFonts w:asciiTheme="minorHAnsi" w:hAnsiTheme="minorHAnsi" w:cstheme="minorHAnsi"/>
          <w:sz w:val="22"/>
          <w:szCs w:val="22"/>
        </w:rPr>
        <w:t xml:space="preserve"> </w:t>
      </w:r>
      <w:r w:rsidR="00516AB4" w:rsidRPr="00A8471A">
        <w:rPr>
          <w:rFonts w:asciiTheme="minorHAnsi" w:hAnsiTheme="minorHAnsi" w:cstheme="minorHAnsi"/>
          <w:sz w:val="22"/>
          <w:szCs w:val="22"/>
        </w:rPr>
        <w:t>or funding agreement</w:t>
      </w:r>
    </w:p>
    <w:p w14:paraId="3C0E9BE8" w14:textId="5C041363" w:rsidR="00516AB4" w:rsidRPr="00A8471A" w:rsidRDefault="00976DE4"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approving providers of aged care</w:t>
      </w:r>
    </w:p>
    <w:p w14:paraId="3A786AC3" w14:textId="77777777" w:rsidR="00B2667E" w:rsidRPr="00A8471A" w:rsidRDefault="00951E38"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regulating aged care providers</w:t>
      </w:r>
      <w:r w:rsidR="006603F8" w:rsidRPr="00A8471A">
        <w:rPr>
          <w:rFonts w:asciiTheme="minorHAnsi" w:hAnsiTheme="minorHAnsi" w:cstheme="minorHAnsi"/>
          <w:sz w:val="22"/>
          <w:szCs w:val="22"/>
        </w:rPr>
        <w:t xml:space="preserve"> by accrediting </w:t>
      </w:r>
      <w:r w:rsidR="00B2667E" w:rsidRPr="00A8471A">
        <w:rPr>
          <w:rFonts w:asciiTheme="minorHAnsi" w:hAnsiTheme="minorHAnsi" w:cstheme="minorHAnsi"/>
          <w:sz w:val="22"/>
          <w:szCs w:val="22"/>
        </w:rPr>
        <w:t>residential services, conducting quality reviews of home services and monitoring the quality of care and services</w:t>
      </w:r>
    </w:p>
    <w:p w14:paraId="77A9F58E" w14:textId="77777777" w:rsidR="007C0D8A" w:rsidRPr="00A8471A" w:rsidRDefault="00256622"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regulating aged care workers and governing persons</w:t>
      </w:r>
      <w:r w:rsidR="00D11065" w:rsidRPr="00A8471A">
        <w:rPr>
          <w:rFonts w:asciiTheme="minorHAnsi" w:hAnsiTheme="minorHAnsi" w:cstheme="minorHAnsi"/>
          <w:sz w:val="22"/>
          <w:szCs w:val="22"/>
        </w:rPr>
        <w:t xml:space="preserve"> through monitoring compliance </w:t>
      </w:r>
      <w:r w:rsidR="007C0D8A" w:rsidRPr="00A8471A">
        <w:rPr>
          <w:rFonts w:asciiTheme="minorHAnsi" w:hAnsiTheme="minorHAnsi" w:cstheme="minorHAnsi"/>
          <w:sz w:val="22"/>
          <w:szCs w:val="22"/>
        </w:rPr>
        <w:t>with the Code of Conduct for Aged Care and considering suitability of key personnel, including taking enforcement action such as making banning orders</w:t>
      </w:r>
    </w:p>
    <w:p w14:paraId="162B4C95" w14:textId="77777777" w:rsidR="003A132B" w:rsidRPr="00A8471A" w:rsidRDefault="00CC3F3D"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dealing with reportable incidents under the Serious Incident Response Scheme</w:t>
      </w:r>
    </w:p>
    <w:p w14:paraId="67FD4EDC" w14:textId="77777777" w:rsidR="00953742" w:rsidRPr="00A8471A" w:rsidRDefault="003A132B"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regulating </w:t>
      </w:r>
      <w:r w:rsidR="00241304" w:rsidRPr="00A8471A">
        <w:rPr>
          <w:rFonts w:asciiTheme="minorHAnsi" w:hAnsiTheme="minorHAnsi" w:cstheme="minorHAnsi"/>
          <w:sz w:val="22"/>
          <w:szCs w:val="22"/>
        </w:rPr>
        <w:t>aged care providers</w:t>
      </w:r>
      <w:r w:rsidR="002D3D13" w:rsidRPr="00A8471A">
        <w:rPr>
          <w:rFonts w:asciiTheme="minorHAnsi" w:hAnsiTheme="minorHAnsi" w:cstheme="minorHAnsi"/>
          <w:sz w:val="22"/>
          <w:szCs w:val="22"/>
        </w:rPr>
        <w:t>’ compliance with the Pruden</w:t>
      </w:r>
      <w:r w:rsidR="00943E5B" w:rsidRPr="00A8471A">
        <w:rPr>
          <w:rFonts w:asciiTheme="minorHAnsi" w:hAnsiTheme="minorHAnsi" w:cstheme="minorHAnsi"/>
          <w:sz w:val="22"/>
          <w:szCs w:val="22"/>
        </w:rPr>
        <w:t>tial Standards</w:t>
      </w:r>
    </w:p>
    <w:p w14:paraId="1300CD84" w14:textId="6BCB5E49" w:rsidR="00953742" w:rsidRPr="00A8471A" w:rsidRDefault="00953742" w:rsidP="00AD3F5A">
      <w:pPr>
        <w:pStyle w:val="ListParagraph"/>
        <w:numPr>
          <w:ilvl w:val="0"/>
          <w:numId w:val="23"/>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monitoring providers’ financial viability and undertaking proactive engagement to build sector financial resilience</w:t>
      </w:r>
    </w:p>
    <w:p w14:paraId="171A62CC" w14:textId="7485D27E" w:rsidR="00976DE4" w:rsidRPr="00A8471A" w:rsidRDefault="00E11FC1" w:rsidP="00AD3F5A">
      <w:pPr>
        <w:pStyle w:val="ListParagraph"/>
        <w:numPr>
          <w:ilvl w:val="0"/>
          <w:numId w:val="23"/>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re</w:t>
      </w:r>
      <w:r w:rsidR="00046725" w:rsidRPr="00A8471A">
        <w:rPr>
          <w:rFonts w:asciiTheme="minorHAnsi" w:hAnsiTheme="minorHAnsi" w:cstheme="minorBidi"/>
          <w:sz w:val="22"/>
          <w:szCs w:val="22"/>
        </w:rPr>
        <w:t>sponding to providers’ non-compliance with their aged care responsibilities, and taking regulatory and enforcement action as appropriate</w:t>
      </w:r>
      <w:r w:rsidR="2E2570F1" w:rsidRPr="00A8471A">
        <w:rPr>
          <w:rFonts w:asciiTheme="minorHAnsi" w:hAnsiTheme="minorHAnsi" w:cstheme="minorBidi"/>
          <w:sz w:val="22"/>
          <w:szCs w:val="22"/>
        </w:rPr>
        <w:t>,</w:t>
      </w:r>
      <w:r w:rsidR="00254B55">
        <w:rPr>
          <w:rFonts w:asciiTheme="minorHAnsi" w:hAnsiTheme="minorHAnsi" w:cstheme="minorBidi"/>
          <w:sz w:val="22"/>
          <w:szCs w:val="22"/>
        </w:rPr>
        <w:t xml:space="preserve"> and</w:t>
      </w:r>
    </w:p>
    <w:p w14:paraId="614539F4" w14:textId="3B7F479A" w:rsidR="001F232B" w:rsidRPr="00A8471A" w:rsidRDefault="001F232B" w:rsidP="19932371">
      <w:pPr>
        <w:pStyle w:val="ListParagraph"/>
        <w:numPr>
          <w:ilvl w:val="0"/>
          <w:numId w:val="23"/>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publishing data and insights on sector and provider performance</w:t>
      </w:r>
      <w:r w:rsidR="3464E188" w:rsidRPr="00A8471A">
        <w:rPr>
          <w:rFonts w:asciiTheme="minorHAnsi" w:hAnsiTheme="minorHAnsi" w:cstheme="minorBidi"/>
          <w:sz w:val="22"/>
          <w:szCs w:val="22"/>
        </w:rPr>
        <w:t>.</w:t>
      </w:r>
    </w:p>
    <w:p w14:paraId="3DFD09BC" w14:textId="6E27E621"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This MoU recognises the important roles that the Department and the Commission play in providing assurance </w:t>
      </w:r>
      <w:r w:rsidR="00356416" w:rsidRPr="00A8471A">
        <w:rPr>
          <w:rFonts w:asciiTheme="minorHAnsi" w:hAnsiTheme="minorHAnsi" w:cstheme="minorBidi"/>
          <w:sz w:val="22"/>
          <w:szCs w:val="22"/>
        </w:rPr>
        <w:t>for</w:t>
      </w:r>
      <w:r w:rsidRPr="00A8471A">
        <w:rPr>
          <w:rFonts w:asciiTheme="minorHAnsi" w:hAnsiTheme="minorHAnsi" w:cstheme="minorBidi"/>
          <w:sz w:val="22"/>
          <w:szCs w:val="22"/>
        </w:rPr>
        <w:t xml:space="preserve"> service quality, protecting the interests</w:t>
      </w:r>
      <w:r w:rsidR="007E30F9" w:rsidRPr="00A8471A">
        <w:rPr>
          <w:rFonts w:asciiTheme="minorHAnsi" w:hAnsiTheme="minorHAnsi" w:cstheme="minorBidi"/>
          <w:sz w:val="22"/>
          <w:szCs w:val="22"/>
        </w:rPr>
        <w:t xml:space="preserve"> and safety</w:t>
      </w:r>
      <w:r w:rsidRPr="00A8471A">
        <w:rPr>
          <w:rFonts w:asciiTheme="minorHAnsi" w:hAnsiTheme="minorHAnsi" w:cstheme="minorBidi"/>
          <w:sz w:val="22"/>
          <w:szCs w:val="22"/>
        </w:rPr>
        <w:t xml:space="preserve"> of older </w:t>
      </w:r>
      <w:r w:rsidR="007E30F9" w:rsidRPr="00A8471A">
        <w:rPr>
          <w:rFonts w:asciiTheme="minorHAnsi" w:hAnsiTheme="minorHAnsi" w:cstheme="minorBidi"/>
          <w:sz w:val="22"/>
          <w:szCs w:val="22"/>
        </w:rPr>
        <w:t xml:space="preserve">people </w:t>
      </w:r>
      <w:r w:rsidRPr="00A8471A">
        <w:rPr>
          <w:rFonts w:asciiTheme="minorHAnsi" w:hAnsiTheme="minorHAnsi" w:cstheme="minorBidi"/>
          <w:sz w:val="22"/>
          <w:szCs w:val="22"/>
        </w:rPr>
        <w:t>receiving Commonwealth funded aged care</w:t>
      </w:r>
      <w:r w:rsidR="7A377585" w:rsidRPr="00A8471A">
        <w:rPr>
          <w:rFonts w:asciiTheme="minorHAnsi" w:hAnsiTheme="minorHAnsi" w:cstheme="minorBidi"/>
          <w:sz w:val="22"/>
          <w:szCs w:val="22"/>
        </w:rPr>
        <w:t xml:space="preserve">, </w:t>
      </w:r>
      <w:r w:rsidRPr="00A8471A">
        <w:rPr>
          <w:rFonts w:asciiTheme="minorHAnsi" w:hAnsiTheme="minorHAnsi" w:cstheme="minorBidi"/>
          <w:sz w:val="22"/>
          <w:szCs w:val="22"/>
        </w:rPr>
        <w:t>identifying and managing risk</w:t>
      </w:r>
      <w:r w:rsidR="7F9B5CDA" w:rsidRPr="00A8471A">
        <w:rPr>
          <w:rFonts w:asciiTheme="minorHAnsi" w:hAnsiTheme="minorHAnsi" w:cstheme="minorBidi"/>
          <w:sz w:val="22"/>
          <w:szCs w:val="22"/>
        </w:rPr>
        <w:t>, and working together on the implementation of the reforms</w:t>
      </w:r>
      <w:r w:rsidRPr="00A8471A">
        <w:rPr>
          <w:rFonts w:asciiTheme="minorHAnsi" w:hAnsiTheme="minorHAnsi" w:cstheme="minorBidi"/>
          <w:sz w:val="22"/>
          <w:szCs w:val="22"/>
        </w:rPr>
        <w:t>.</w:t>
      </w:r>
    </w:p>
    <w:p w14:paraId="417097EC" w14:textId="70ADDFAC"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Bidi"/>
          <w:sz w:val="22"/>
          <w:szCs w:val="22"/>
        </w:rPr>
        <w:t>This MoU builds on the work supported by both the Department and the Commission through earlier agreements.</w:t>
      </w:r>
    </w:p>
    <w:p w14:paraId="4E255DE7" w14:textId="547066DE"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Bidi"/>
          <w:sz w:val="22"/>
          <w:szCs w:val="22"/>
        </w:rPr>
        <w:t xml:space="preserve">This MoU describes the way </w:t>
      </w:r>
      <w:r w:rsidR="00A34C27" w:rsidRPr="00A8471A">
        <w:rPr>
          <w:rFonts w:asciiTheme="minorHAnsi" w:hAnsiTheme="minorHAnsi" w:cstheme="minorBidi"/>
          <w:sz w:val="22"/>
          <w:szCs w:val="22"/>
        </w:rPr>
        <w:t>that both agencies</w:t>
      </w:r>
      <w:r w:rsidRPr="00A8471A">
        <w:rPr>
          <w:rFonts w:asciiTheme="minorHAnsi" w:hAnsiTheme="minorHAnsi" w:cstheme="minorBidi"/>
          <w:sz w:val="22"/>
          <w:szCs w:val="22"/>
        </w:rPr>
        <w:t xml:space="preserve"> </w:t>
      </w:r>
      <w:r w:rsidR="00214F30">
        <w:rPr>
          <w:rFonts w:asciiTheme="minorHAnsi" w:hAnsiTheme="minorHAnsi" w:cstheme="minorBidi"/>
          <w:sz w:val="22"/>
          <w:szCs w:val="22"/>
        </w:rPr>
        <w:t>will</w:t>
      </w:r>
      <w:r w:rsidRPr="00A8471A">
        <w:rPr>
          <w:rFonts w:asciiTheme="minorHAnsi" w:hAnsiTheme="minorHAnsi" w:cstheme="minorBidi"/>
          <w:sz w:val="22"/>
          <w:szCs w:val="22"/>
        </w:rPr>
        <w:t xml:space="preserve"> work together in accordance with legislative requirements and administrative arrangements. Current respective responsibilities are set out in the Commission Act</w:t>
      </w:r>
      <w:r w:rsidR="008B7A0A" w:rsidRPr="00A8471A">
        <w:rPr>
          <w:rFonts w:asciiTheme="minorHAnsi" w:hAnsiTheme="minorHAnsi" w:cstheme="minorBidi"/>
          <w:sz w:val="22"/>
          <w:szCs w:val="22"/>
        </w:rPr>
        <w:t xml:space="preserve">, </w:t>
      </w:r>
      <w:r w:rsidRPr="00A8471A">
        <w:rPr>
          <w:rFonts w:asciiTheme="minorHAnsi" w:hAnsiTheme="minorHAnsi" w:cstheme="minorBidi"/>
          <w:sz w:val="22"/>
          <w:szCs w:val="22"/>
        </w:rPr>
        <w:t xml:space="preserve">the </w:t>
      </w:r>
      <w:r w:rsidRPr="00A8471A">
        <w:rPr>
          <w:rFonts w:asciiTheme="minorHAnsi" w:hAnsiTheme="minorHAnsi" w:cstheme="minorBidi"/>
          <w:i/>
          <w:iCs/>
          <w:sz w:val="22"/>
          <w:szCs w:val="22"/>
        </w:rPr>
        <w:t>Aged Care Quality and Safety Commission (Consequential and Transitional Provisions) Act 2018</w:t>
      </w:r>
      <w:r w:rsidRPr="00A8471A">
        <w:rPr>
          <w:rFonts w:asciiTheme="minorHAnsi" w:hAnsiTheme="minorHAnsi" w:cstheme="minorBidi"/>
          <w:sz w:val="22"/>
          <w:szCs w:val="22"/>
        </w:rPr>
        <w:t xml:space="preserve">, the </w:t>
      </w:r>
      <w:r w:rsidR="00A47253" w:rsidRPr="00A8471A">
        <w:rPr>
          <w:rFonts w:asciiTheme="minorHAnsi" w:hAnsiTheme="minorHAnsi" w:cstheme="minorBidi"/>
          <w:sz w:val="22"/>
          <w:szCs w:val="22"/>
        </w:rPr>
        <w:t xml:space="preserve">Aged Care Act </w:t>
      </w:r>
      <w:r w:rsidRPr="00A8471A">
        <w:rPr>
          <w:rFonts w:asciiTheme="minorHAnsi" w:hAnsiTheme="minorHAnsi" w:cstheme="minorBidi"/>
          <w:sz w:val="22"/>
          <w:szCs w:val="22"/>
        </w:rPr>
        <w:t>and the Principles and legislative Instruments made under those Acts. This framework may change with the passage of the new aged care act.</w:t>
      </w:r>
    </w:p>
    <w:p w14:paraId="11CDE232" w14:textId="77274895" w:rsidR="00234040"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Bidi"/>
          <w:sz w:val="22"/>
          <w:szCs w:val="22"/>
        </w:rPr>
        <w:t xml:space="preserve">This MoU is not legally binding but represents the jointly </w:t>
      </w:r>
      <w:r w:rsidR="00ED56B5" w:rsidRPr="00A8471A">
        <w:rPr>
          <w:rFonts w:asciiTheme="minorHAnsi" w:hAnsiTheme="minorHAnsi" w:cstheme="minorBidi"/>
          <w:sz w:val="22"/>
          <w:szCs w:val="22"/>
        </w:rPr>
        <w:t>agreed</w:t>
      </w:r>
      <w:r w:rsidRPr="00A8471A">
        <w:rPr>
          <w:rFonts w:asciiTheme="minorHAnsi" w:hAnsiTheme="minorHAnsi" w:cstheme="minorBidi"/>
          <w:sz w:val="22"/>
          <w:szCs w:val="22"/>
        </w:rPr>
        <w:t xml:space="preserve"> expectations and arrangements for </w:t>
      </w:r>
      <w:r w:rsidR="00180C69" w:rsidRPr="00A8471A">
        <w:rPr>
          <w:rFonts w:asciiTheme="minorHAnsi" w:hAnsiTheme="minorHAnsi" w:cstheme="minorBidi"/>
          <w:sz w:val="22"/>
          <w:szCs w:val="22"/>
        </w:rPr>
        <w:t>engagement</w:t>
      </w:r>
      <w:r w:rsidR="00121310">
        <w:rPr>
          <w:rFonts w:asciiTheme="minorHAnsi" w:hAnsiTheme="minorHAnsi" w:cstheme="minorBidi"/>
          <w:sz w:val="22"/>
          <w:szCs w:val="22"/>
        </w:rPr>
        <w:t>, as well as</w:t>
      </w:r>
      <w:r w:rsidRPr="00A8471A">
        <w:rPr>
          <w:rFonts w:asciiTheme="minorHAnsi" w:hAnsiTheme="minorHAnsi" w:cstheme="minorBidi"/>
          <w:sz w:val="22"/>
          <w:szCs w:val="22"/>
        </w:rPr>
        <w:t xml:space="preserve"> exchanging information to ensure each </w:t>
      </w:r>
      <w:r w:rsidR="00A34C27" w:rsidRPr="00A8471A">
        <w:rPr>
          <w:rFonts w:asciiTheme="minorHAnsi" w:hAnsiTheme="minorHAnsi" w:cstheme="minorHAnsi"/>
          <w:sz w:val="22"/>
          <w:szCs w:val="22"/>
        </w:rPr>
        <w:t>agency</w:t>
      </w:r>
      <w:r w:rsidRPr="00A8471A">
        <w:rPr>
          <w:rFonts w:asciiTheme="minorHAnsi" w:hAnsiTheme="minorHAnsi" w:cstheme="minorBidi"/>
          <w:sz w:val="22"/>
          <w:szCs w:val="22"/>
        </w:rPr>
        <w:t xml:space="preserve"> is able to discharge their responsibilities effectively. It aims to build on an existing strong foundation of communication between the two </w:t>
      </w:r>
      <w:r w:rsidR="00A34C27" w:rsidRPr="00A8471A">
        <w:rPr>
          <w:rFonts w:asciiTheme="minorHAnsi" w:hAnsiTheme="minorHAnsi" w:cstheme="minorBidi"/>
          <w:sz w:val="22"/>
          <w:szCs w:val="22"/>
        </w:rPr>
        <w:t>agencies</w:t>
      </w:r>
      <w:r w:rsidRPr="00A8471A">
        <w:rPr>
          <w:rFonts w:asciiTheme="minorHAnsi" w:hAnsiTheme="minorHAnsi" w:cstheme="minorBidi"/>
          <w:sz w:val="22"/>
          <w:szCs w:val="22"/>
        </w:rPr>
        <w:t>.</w:t>
      </w:r>
    </w:p>
    <w:p w14:paraId="572FC254" w14:textId="77777777" w:rsidR="00AD3F5A" w:rsidRPr="00A8471A" w:rsidRDefault="00AD3F5A" w:rsidP="00AD3F5A">
      <w:pPr>
        <w:pStyle w:val="ListParagraph"/>
        <w:spacing w:after="0" w:line="360" w:lineRule="auto"/>
        <w:ind w:left="851"/>
        <w:contextualSpacing w:val="0"/>
        <w:rPr>
          <w:rFonts w:asciiTheme="minorHAnsi" w:hAnsiTheme="minorHAnsi" w:cstheme="minorHAnsi"/>
          <w:sz w:val="22"/>
          <w:szCs w:val="22"/>
        </w:rPr>
      </w:pPr>
    </w:p>
    <w:p w14:paraId="2C2F4479" w14:textId="0BDADC23" w:rsidR="00647ACB" w:rsidRPr="00A8471A" w:rsidRDefault="00647ACB" w:rsidP="00AD3F5A">
      <w:pPr>
        <w:pStyle w:val="Heading1"/>
        <w:numPr>
          <w:ilvl w:val="0"/>
          <w:numId w:val="1"/>
        </w:numPr>
        <w:spacing w:before="0" w:line="360" w:lineRule="auto"/>
        <w:rPr>
          <w:color w:val="auto"/>
        </w:rPr>
      </w:pPr>
      <w:bookmarkStart w:id="1" w:name="_Toc168585004"/>
      <w:r w:rsidRPr="00A8471A">
        <w:rPr>
          <w:color w:val="auto"/>
        </w:rPr>
        <w:t>Structure</w:t>
      </w:r>
      <w:bookmarkEnd w:id="1"/>
    </w:p>
    <w:p w14:paraId="2C628F5B" w14:textId="77777777" w:rsidR="00647ACB" w:rsidRPr="00A8471A" w:rsidRDefault="00647ACB" w:rsidP="00AD3F5A">
      <w:pPr>
        <w:pStyle w:val="ListParagraph"/>
        <w:numPr>
          <w:ilvl w:val="1"/>
          <w:numId w:val="1"/>
        </w:numPr>
        <w:spacing w:after="0" w:line="360" w:lineRule="auto"/>
        <w:ind w:left="709"/>
        <w:rPr>
          <w:rFonts w:asciiTheme="minorHAnsi" w:hAnsiTheme="minorHAnsi" w:cstheme="minorHAnsi"/>
          <w:sz w:val="22"/>
          <w:szCs w:val="22"/>
        </w:rPr>
      </w:pPr>
      <w:r w:rsidRPr="00A8471A">
        <w:rPr>
          <w:rFonts w:asciiTheme="minorHAnsi" w:hAnsiTheme="minorHAnsi" w:cstheme="minorHAnsi"/>
          <w:sz w:val="22"/>
          <w:szCs w:val="22"/>
        </w:rPr>
        <w:t>This MoU consists of:</w:t>
      </w:r>
    </w:p>
    <w:p w14:paraId="5C224EC7" w14:textId="39187896" w:rsidR="00647ACB" w:rsidRPr="00A8471A" w:rsidRDefault="00647ACB" w:rsidP="00AD3F5A">
      <w:pPr>
        <w:pStyle w:val="ListParagraph"/>
        <w:numPr>
          <w:ilvl w:val="0"/>
          <w:numId w:val="8"/>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Part 1 </w:t>
      </w:r>
      <w:r w:rsidR="006748FE">
        <w:rPr>
          <w:rFonts w:asciiTheme="minorHAnsi" w:hAnsiTheme="minorHAnsi" w:cstheme="minorBidi"/>
          <w:sz w:val="22"/>
          <w:szCs w:val="22"/>
        </w:rPr>
        <w:t>–</w:t>
      </w:r>
      <w:r w:rsidRPr="00A8471A">
        <w:rPr>
          <w:rFonts w:asciiTheme="minorHAnsi" w:hAnsiTheme="minorHAnsi" w:cstheme="minorBidi"/>
          <w:sz w:val="22"/>
          <w:szCs w:val="22"/>
        </w:rPr>
        <w:t xml:space="preserve"> the General A</w:t>
      </w:r>
      <w:r w:rsidR="4AB1AB7B" w:rsidRPr="00A8471A">
        <w:rPr>
          <w:rFonts w:asciiTheme="minorHAnsi" w:hAnsiTheme="minorHAnsi" w:cstheme="minorBidi"/>
          <w:sz w:val="22"/>
          <w:szCs w:val="22"/>
        </w:rPr>
        <w:t>greement</w:t>
      </w:r>
      <w:r w:rsidRPr="00A8471A">
        <w:rPr>
          <w:rFonts w:asciiTheme="minorHAnsi" w:hAnsiTheme="minorHAnsi" w:cstheme="minorBidi"/>
          <w:sz w:val="22"/>
          <w:szCs w:val="22"/>
        </w:rPr>
        <w:t xml:space="preserve"> which includes the objectives of the MoU and the principles that govern its operation, and</w:t>
      </w:r>
    </w:p>
    <w:p w14:paraId="2E8262CA" w14:textId="7AD6E117" w:rsidR="00647ACB" w:rsidRPr="00A8471A" w:rsidRDefault="00647ACB" w:rsidP="00AD3F5A">
      <w:pPr>
        <w:pStyle w:val="ListParagraph"/>
        <w:numPr>
          <w:ilvl w:val="0"/>
          <w:numId w:val="8"/>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Part 2 </w:t>
      </w:r>
      <w:r w:rsidR="006748FE">
        <w:rPr>
          <w:rFonts w:asciiTheme="minorHAnsi" w:hAnsiTheme="minorHAnsi" w:cstheme="minorBidi"/>
          <w:sz w:val="22"/>
          <w:szCs w:val="22"/>
        </w:rPr>
        <w:t>–</w:t>
      </w:r>
      <w:r w:rsidRPr="00A8471A">
        <w:rPr>
          <w:rFonts w:asciiTheme="minorHAnsi" w:hAnsiTheme="minorHAnsi" w:cstheme="minorBidi"/>
          <w:sz w:val="22"/>
          <w:szCs w:val="22"/>
        </w:rPr>
        <w:t xml:space="preserve"> Schedules to the General A</w:t>
      </w:r>
      <w:r w:rsidR="328E71D2" w:rsidRPr="00A8471A">
        <w:rPr>
          <w:rFonts w:asciiTheme="minorHAnsi" w:hAnsiTheme="minorHAnsi" w:cstheme="minorBidi"/>
          <w:sz w:val="22"/>
          <w:szCs w:val="22"/>
        </w:rPr>
        <w:t>greement</w:t>
      </w:r>
      <w:r w:rsidRPr="00A8471A">
        <w:rPr>
          <w:rFonts w:asciiTheme="minorHAnsi" w:hAnsiTheme="minorHAnsi" w:cstheme="minorBidi"/>
          <w:sz w:val="22"/>
          <w:szCs w:val="22"/>
        </w:rPr>
        <w:t xml:space="preserve"> which set out specific operational </w:t>
      </w:r>
      <w:r w:rsidR="00AA6EC9" w:rsidRPr="00A8471A">
        <w:rPr>
          <w:rFonts w:asciiTheme="minorHAnsi" w:hAnsiTheme="minorHAnsi" w:cstheme="minorBidi"/>
          <w:sz w:val="22"/>
          <w:szCs w:val="22"/>
        </w:rPr>
        <w:t>arrangements across four areas of shared responsibility</w:t>
      </w:r>
      <w:r w:rsidRPr="00A8471A">
        <w:rPr>
          <w:rFonts w:asciiTheme="minorHAnsi" w:hAnsiTheme="minorHAnsi" w:cstheme="minorBidi"/>
          <w:sz w:val="22"/>
          <w:szCs w:val="22"/>
        </w:rPr>
        <w:t>.</w:t>
      </w:r>
    </w:p>
    <w:p w14:paraId="41835A60" w14:textId="11006409" w:rsidR="00647ACB" w:rsidRPr="00A8471A" w:rsidRDefault="00647ACB" w:rsidP="00AD3F5A">
      <w:pPr>
        <w:pStyle w:val="Heading1"/>
        <w:numPr>
          <w:ilvl w:val="0"/>
          <w:numId w:val="1"/>
        </w:numPr>
        <w:spacing w:before="0" w:line="360" w:lineRule="auto"/>
        <w:rPr>
          <w:color w:val="auto"/>
        </w:rPr>
      </w:pPr>
      <w:bookmarkStart w:id="2" w:name="_Toc168585005"/>
      <w:r w:rsidRPr="00A8471A">
        <w:rPr>
          <w:color w:val="auto"/>
        </w:rPr>
        <w:t>Objectives and Guiding Principles</w:t>
      </w:r>
      <w:bookmarkEnd w:id="2"/>
    </w:p>
    <w:p w14:paraId="0EC51171" w14:textId="20861DF4" w:rsidR="00647ACB" w:rsidRPr="00A8471A" w:rsidRDefault="00647ACB" w:rsidP="00AD3F5A">
      <w:pPr>
        <w:pStyle w:val="ListParagraph"/>
        <w:numPr>
          <w:ilvl w:val="1"/>
          <w:numId w:val="1"/>
        </w:numPr>
        <w:spacing w:after="0" w:line="360" w:lineRule="auto"/>
        <w:ind w:left="709"/>
        <w:contextualSpacing w:val="0"/>
        <w:rPr>
          <w:rFonts w:asciiTheme="minorHAnsi" w:hAnsiTheme="minorHAnsi" w:cstheme="minorHAnsi"/>
          <w:sz w:val="22"/>
          <w:szCs w:val="22"/>
        </w:rPr>
      </w:pPr>
      <w:r w:rsidRPr="00A8471A">
        <w:rPr>
          <w:rFonts w:asciiTheme="minorHAnsi" w:hAnsiTheme="minorHAnsi" w:cstheme="minorHAnsi"/>
          <w:sz w:val="22"/>
          <w:szCs w:val="22"/>
        </w:rPr>
        <w:t>The MoU</w:t>
      </w:r>
      <w:r w:rsidR="006748FE">
        <w:rPr>
          <w:rFonts w:asciiTheme="minorHAnsi" w:hAnsiTheme="minorHAnsi" w:cstheme="minorHAnsi"/>
          <w:sz w:val="22"/>
          <w:szCs w:val="22"/>
        </w:rPr>
        <w:t>’</w:t>
      </w:r>
      <w:r w:rsidRPr="00A8471A">
        <w:rPr>
          <w:rFonts w:asciiTheme="minorHAnsi" w:hAnsiTheme="minorHAnsi" w:cstheme="minorHAnsi"/>
          <w:sz w:val="22"/>
          <w:szCs w:val="22"/>
        </w:rPr>
        <w:t>s key objective is to support the Department and the Commission to undertake their statutory functions effectively through the exchange of information and regular engagement.</w:t>
      </w:r>
    </w:p>
    <w:p w14:paraId="393AC543" w14:textId="5DF17983" w:rsidR="00647ACB" w:rsidRPr="00A8471A" w:rsidRDefault="00647ACB" w:rsidP="00AD3F5A">
      <w:pPr>
        <w:pStyle w:val="ListParagraph"/>
        <w:numPr>
          <w:ilvl w:val="1"/>
          <w:numId w:val="1"/>
        </w:numPr>
        <w:spacing w:after="0" w:line="360" w:lineRule="auto"/>
        <w:ind w:left="709"/>
        <w:rPr>
          <w:rFonts w:asciiTheme="minorHAnsi" w:hAnsiTheme="minorHAnsi" w:cstheme="minorHAnsi"/>
          <w:sz w:val="22"/>
          <w:szCs w:val="22"/>
        </w:rPr>
      </w:pPr>
      <w:r w:rsidRPr="00A8471A">
        <w:rPr>
          <w:rFonts w:asciiTheme="minorHAnsi" w:hAnsiTheme="minorHAnsi" w:cstheme="minorHAnsi"/>
          <w:sz w:val="22"/>
          <w:szCs w:val="22"/>
        </w:rPr>
        <w:t xml:space="preserve">This MoU </w:t>
      </w:r>
      <w:r w:rsidR="00CE77AE" w:rsidRPr="00A8471A">
        <w:rPr>
          <w:rFonts w:asciiTheme="minorHAnsi" w:hAnsiTheme="minorHAnsi" w:cstheme="minorHAnsi"/>
          <w:sz w:val="22"/>
          <w:szCs w:val="22"/>
        </w:rPr>
        <w:t>will</w:t>
      </w:r>
      <w:r w:rsidRPr="00A8471A">
        <w:rPr>
          <w:rFonts w:asciiTheme="minorHAnsi" w:hAnsiTheme="minorHAnsi" w:cstheme="minorHAnsi"/>
          <w:sz w:val="22"/>
          <w:szCs w:val="22"/>
        </w:rPr>
        <w:t xml:space="preserve"> achieve these objectives by:</w:t>
      </w:r>
    </w:p>
    <w:p w14:paraId="1EAE716F" w14:textId="77777777" w:rsidR="00647ACB" w:rsidRPr="00A8471A" w:rsidRDefault="00647ACB" w:rsidP="00AD3F5A">
      <w:pPr>
        <w:pStyle w:val="ListParagraph"/>
        <w:numPr>
          <w:ilvl w:val="0"/>
          <w:numId w:val="9"/>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clearly articulating roles and responsibilities in relation to strategic and operational arrangements</w:t>
      </w:r>
    </w:p>
    <w:p w14:paraId="25427DDA" w14:textId="73D56118" w:rsidR="00647ACB" w:rsidRPr="00A8471A" w:rsidRDefault="00647ACB" w:rsidP="00AD3F5A">
      <w:pPr>
        <w:pStyle w:val="ListParagraph"/>
        <w:numPr>
          <w:ilvl w:val="0"/>
          <w:numId w:val="9"/>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supporting timely engagement and liaison between the Department and </w:t>
      </w:r>
      <w:r w:rsidR="006748FE">
        <w:rPr>
          <w:rFonts w:asciiTheme="minorHAnsi" w:hAnsiTheme="minorHAnsi" w:cstheme="minorHAnsi"/>
          <w:sz w:val="22"/>
          <w:szCs w:val="22"/>
        </w:rPr>
        <w:t xml:space="preserve">the </w:t>
      </w:r>
      <w:r w:rsidRPr="00A8471A">
        <w:rPr>
          <w:rFonts w:asciiTheme="minorHAnsi" w:hAnsiTheme="minorHAnsi" w:cstheme="minorHAnsi"/>
          <w:sz w:val="22"/>
          <w:szCs w:val="22"/>
        </w:rPr>
        <w:t>Commission</w:t>
      </w:r>
      <w:r w:rsidR="000F4C64" w:rsidRPr="00A8471A">
        <w:rPr>
          <w:rFonts w:asciiTheme="minorHAnsi" w:hAnsiTheme="minorHAnsi" w:cstheme="minorHAnsi"/>
          <w:sz w:val="22"/>
          <w:szCs w:val="22"/>
        </w:rPr>
        <w:t xml:space="preserve"> to support these roles</w:t>
      </w:r>
    </w:p>
    <w:p w14:paraId="52DAD676" w14:textId="620C3468" w:rsidR="00071E97" w:rsidRPr="00A8471A" w:rsidRDefault="00647ACB" w:rsidP="00AD3F5A">
      <w:pPr>
        <w:pStyle w:val="ListParagraph"/>
        <w:numPr>
          <w:ilvl w:val="0"/>
          <w:numId w:val="9"/>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clearly describing </w:t>
      </w:r>
      <w:r w:rsidR="000F4C64" w:rsidRPr="00A8471A">
        <w:rPr>
          <w:rFonts w:asciiTheme="minorHAnsi" w:hAnsiTheme="minorHAnsi" w:cstheme="minorHAnsi"/>
          <w:sz w:val="22"/>
          <w:szCs w:val="22"/>
        </w:rPr>
        <w:t xml:space="preserve">arrangements for collaboration on </w:t>
      </w:r>
      <w:r w:rsidRPr="00A8471A">
        <w:rPr>
          <w:rFonts w:asciiTheme="minorHAnsi" w:hAnsiTheme="minorHAnsi" w:cstheme="minorHAnsi"/>
          <w:sz w:val="22"/>
          <w:szCs w:val="22"/>
        </w:rPr>
        <w:t>communication</w:t>
      </w:r>
      <w:r w:rsidR="00100B41" w:rsidRPr="00A8471A">
        <w:rPr>
          <w:rFonts w:asciiTheme="minorHAnsi" w:hAnsiTheme="minorHAnsi" w:cstheme="minorHAnsi"/>
          <w:sz w:val="22"/>
          <w:szCs w:val="22"/>
        </w:rPr>
        <w:t xml:space="preserve"> sector education activities</w:t>
      </w:r>
      <w:r w:rsidR="00071E97" w:rsidRPr="00A8471A">
        <w:rPr>
          <w:rFonts w:asciiTheme="minorHAnsi" w:hAnsiTheme="minorHAnsi" w:cstheme="minorHAnsi"/>
          <w:sz w:val="22"/>
          <w:szCs w:val="22"/>
        </w:rPr>
        <w:t xml:space="preserve"> </w:t>
      </w:r>
    </w:p>
    <w:p w14:paraId="02E2D576" w14:textId="7723C7DC" w:rsidR="00647ACB" w:rsidRPr="00A8471A" w:rsidRDefault="00071E97" w:rsidP="00AD3F5A">
      <w:pPr>
        <w:pStyle w:val="ListParagraph"/>
        <w:numPr>
          <w:ilvl w:val="0"/>
          <w:numId w:val="9"/>
        </w:numPr>
        <w:spacing w:after="0" w:line="360" w:lineRule="auto"/>
        <w:ind w:left="1134" w:hanging="283"/>
        <w:rPr>
          <w:rFonts w:asciiTheme="minorHAnsi" w:hAnsiTheme="minorHAnsi" w:cstheme="minorHAnsi"/>
          <w:sz w:val="22"/>
          <w:szCs w:val="22"/>
        </w:rPr>
      </w:pPr>
      <w:r w:rsidRPr="00A8471A">
        <w:rPr>
          <w:rFonts w:asciiTheme="minorHAnsi" w:hAnsiTheme="minorHAnsi" w:cstheme="minorBidi"/>
          <w:sz w:val="22"/>
          <w:szCs w:val="22"/>
        </w:rPr>
        <w:t xml:space="preserve">clearly describing </w:t>
      </w:r>
      <w:r w:rsidR="00647ACB" w:rsidRPr="00A8471A">
        <w:rPr>
          <w:rFonts w:asciiTheme="minorHAnsi" w:hAnsiTheme="minorHAnsi" w:cstheme="minorBidi"/>
          <w:sz w:val="22"/>
          <w:szCs w:val="22"/>
        </w:rPr>
        <w:t>data and information exchange protocols necessary to effectively undertake respective functions, and</w:t>
      </w:r>
    </w:p>
    <w:p w14:paraId="39C17A75" w14:textId="7F147595" w:rsidR="009911B9" w:rsidRPr="00A8471A" w:rsidRDefault="00647ACB" w:rsidP="00AD3F5A">
      <w:pPr>
        <w:pStyle w:val="ListParagraph"/>
        <w:numPr>
          <w:ilvl w:val="0"/>
          <w:numId w:val="9"/>
        </w:numPr>
        <w:spacing w:after="0" w:line="360" w:lineRule="auto"/>
        <w:ind w:left="1134" w:hanging="283"/>
        <w:contextualSpacing w:val="0"/>
        <w:rPr>
          <w:rFonts w:asciiTheme="minorHAnsi" w:hAnsiTheme="minorHAnsi" w:cstheme="minorHAnsi"/>
          <w:sz w:val="22"/>
          <w:szCs w:val="22"/>
        </w:rPr>
      </w:pPr>
      <w:r w:rsidRPr="00A8471A">
        <w:rPr>
          <w:rFonts w:asciiTheme="minorHAnsi" w:hAnsiTheme="minorHAnsi" w:cstheme="minorBidi"/>
          <w:sz w:val="22"/>
          <w:szCs w:val="22"/>
        </w:rPr>
        <w:t>providing avenues for resolution of difficulties or any conflicts of interest that may arise.</w:t>
      </w:r>
    </w:p>
    <w:p w14:paraId="6C5CCA4F" w14:textId="38BDA3E1" w:rsidR="00647ACB" w:rsidRPr="00A8471A" w:rsidRDefault="00647ACB" w:rsidP="00AD3F5A">
      <w:pPr>
        <w:pStyle w:val="ListParagraph"/>
        <w:numPr>
          <w:ilvl w:val="1"/>
          <w:numId w:val="1"/>
        </w:numPr>
        <w:spacing w:after="0" w:line="360" w:lineRule="auto"/>
        <w:ind w:left="709"/>
        <w:rPr>
          <w:rFonts w:asciiTheme="minorHAnsi" w:hAnsiTheme="minorHAnsi" w:cstheme="minorHAnsi"/>
          <w:sz w:val="22"/>
          <w:szCs w:val="22"/>
        </w:rPr>
      </w:pPr>
      <w:r w:rsidRPr="00A8471A">
        <w:rPr>
          <w:rFonts w:asciiTheme="minorHAnsi" w:hAnsiTheme="minorHAnsi" w:cstheme="minorHAnsi"/>
          <w:sz w:val="22"/>
          <w:szCs w:val="22"/>
        </w:rPr>
        <w:t>The guiding principles for this MoU are that the Department and the Commission</w:t>
      </w:r>
      <w:r w:rsidR="009911B9" w:rsidRPr="00A8471A">
        <w:rPr>
          <w:rFonts w:asciiTheme="minorHAnsi" w:hAnsiTheme="minorHAnsi" w:cstheme="minorHAnsi"/>
          <w:sz w:val="22"/>
          <w:szCs w:val="22"/>
        </w:rPr>
        <w:t xml:space="preserve"> </w:t>
      </w:r>
      <w:r w:rsidR="00AB6465" w:rsidRPr="00A8471A">
        <w:rPr>
          <w:rFonts w:asciiTheme="minorHAnsi" w:hAnsiTheme="minorHAnsi" w:cstheme="minorHAnsi"/>
          <w:sz w:val="22"/>
          <w:szCs w:val="22"/>
        </w:rPr>
        <w:t>will</w:t>
      </w:r>
      <w:r w:rsidRPr="00A8471A">
        <w:rPr>
          <w:rFonts w:asciiTheme="minorHAnsi" w:hAnsiTheme="minorHAnsi" w:cstheme="minorHAnsi"/>
          <w:sz w:val="22"/>
          <w:szCs w:val="22"/>
        </w:rPr>
        <w:t>:</w:t>
      </w:r>
    </w:p>
    <w:p w14:paraId="3ECA3275" w14:textId="2F9DD697" w:rsidR="00647ACB" w:rsidRPr="00A8471A" w:rsidRDefault="00647ACB" w:rsidP="00AD3F5A">
      <w:pPr>
        <w:pStyle w:val="ListParagraph"/>
        <w:numPr>
          <w:ilvl w:val="0"/>
          <w:numId w:val="11"/>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prioritise a positive and collaborative inter-agency relationship with mutually observed behavioural expectations of respect, openness and transparency, accountability, understanding and </w:t>
      </w:r>
      <w:r w:rsidR="00E13ECF" w:rsidRPr="00A8471A">
        <w:rPr>
          <w:rFonts w:asciiTheme="minorHAnsi" w:hAnsiTheme="minorHAnsi" w:cstheme="minorHAnsi"/>
          <w:sz w:val="22"/>
          <w:szCs w:val="22"/>
        </w:rPr>
        <w:t xml:space="preserve">recognition of the role </w:t>
      </w:r>
      <w:r w:rsidRPr="00A8471A">
        <w:rPr>
          <w:rFonts w:asciiTheme="minorHAnsi" w:hAnsiTheme="minorHAnsi" w:cstheme="minorHAnsi"/>
          <w:sz w:val="22"/>
          <w:szCs w:val="22"/>
        </w:rPr>
        <w:t xml:space="preserve">of each </w:t>
      </w:r>
      <w:r w:rsidR="00A34C27" w:rsidRPr="00A8471A">
        <w:rPr>
          <w:rFonts w:asciiTheme="minorHAnsi" w:hAnsiTheme="minorHAnsi" w:cstheme="minorHAnsi"/>
          <w:sz w:val="22"/>
          <w:szCs w:val="22"/>
        </w:rPr>
        <w:t>agency</w:t>
      </w:r>
      <w:r w:rsidR="009772ED" w:rsidRPr="00A8471A">
        <w:rPr>
          <w:rFonts w:asciiTheme="minorHAnsi" w:hAnsiTheme="minorHAnsi" w:cstheme="minorHAnsi"/>
          <w:sz w:val="22"/>
          <w:szCs w:val="22"/>
        </w:rPr>
        <w:t xml:space="preserve"> </w:t>
      </w:r>
      <w:r w:rsidRPr="00A8471A">
        <w:rPr>
          <w:rFonts w:asciiTheme="minorHAnsi" w:hAnsiTheme="minorHAnsi" w:cstheme="minorHAnsi"/>
          <w:sz w:val="22"/>
          <w:szCs w:val="22"/>
        </w:rPr>
        <w:t>consistent with the A</w:t>
      </w:r>
      <w:r w:rsidR="00AB6465" w:rsidRPr="00A8471A">
        <w:rPr>
          <w:rFonts w:asciiTheme="minorHAnsi" w:hAnsiTheme="minorHAnsi" w:cstheme="minorHAnsi"/>
          <w:sz w:val="22"/>
          <w:szCs w:val="22"/>
        </w:rPr>
        <w:t xml:space="preserve">ustralian </w:t>
      </w:r>
      <w:r w:rsidRPr="00A8471A">
        <w:rPr>
          <w:rFonts w:asciiTheme="minorHAnsi" w:hAnsiTheme="minorHAnsi" w:cstheme="minorHAnsi"/>
          <w:sz w:val="22"/>
          <w:szCs w:val="22"/>
        </w:rPr>
        <w:t>P</w:t>
      </w:r>
      <w:r w:rsidR="00AB6465" w:rsidRPr="00A8471A">
        <w:rPr>
          <w:rFonts w:asciiTheme="minorHAnsi" w:hAnsiTheme="minorHAnsi" w:cstheme="minorHAnsi"/>
          <w:sz w:val="22"/>
          <w:szCs w:val="22"/>
        </w:rPr>
        <w:t xml:space="preserve">ublic </w:t>
      </w:r>
      <w:r w:rsidRPr="00A8471A">
        <w:rPr>
          <w:rFonts w:asciiTheme="minorHAnsi" w:hAnsiTheme="minorHAnsi" w:cstheme="minorHAnsi"/>
          <w:sz w:val="22"/>
          <w:szCs w:val="22"/>
        </w:rPr>
        <w:t>S</w:t>
      </w:r>
      <w:r w:rsidR="00AB6465" w:rsidRPr="00A8471A">
        <w:rPr>
          <w:rFonts w:asciiTheme="minorHAnsi" w:hAnsiTheme="minorHAnsi" w:cstheme="minorHAnsi"/>
          <w:sz w:val="22"/>
          <w:szCs w:val="22"/>
        </w:rPr>
        <w:t>ervice</w:t>
      </w:r>
      <w:r w:rsidRPr="00A8471A">
        <w:rPr>
          <w:rFonts w:asciiTheme="minorHAnsi" w:hAnsiTheme="minorHAnsi" w:cstheme="minorHAnsi"/>
          <w:sz w:val="22"/>
          <w:szCs w:val="22"/>
        </w:rPr>
        <w:t xml:space="preserve"> Values</w:t>
      </w:r>
    </w:p>
    <w:p w14:paraId="6DFE92C9" w14:textId="7617C0FA" w:rsidR="00647ACB" w:rsidRPr="00A8471A" w:rsidRDefault="3C03B28A" w:rsidP="00AD3F5A">
      <w:pPr>
        <w:pStyle w:val="ListParagraph"/>
        <w:numPr>
          <w:ilvl w:val="0"/>
          <w:numId w:val="11"/>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u</w:t>
      </w:r>
      <w:r w:rsidR="0D156B99" w:rsidRPr="00A8471A">
        <w:rPr>
          <w:rFonts w:asciiTheme="minorHAnsi" w:hAnsiTheme="minorHAnsi" w:cstheme="minorBidi"/>
          <w:sz w:val="22"/>
          <w:szCs w:val="22"/>
        </w:rPr>
        <w:t xml:space="preserve">se experience to inform and </w:t>
      </w:r>
      <w:r w:rsidR="00647ACB" w:rsidRPr="00A8471A">
        <w:rPr>
          <w:rFonts w:asciiTheme="minorHAnsi" w:hAnsiTheme="minorHAnsi" w:cstheme="minorBidi"/>
          <w:sz w:val="22"/>
          <w:szCs w:val="22"/>
        </w:rPr>
        <w:t xml:space="preserve">support continuous improvement and a commitment to learning </w:t>
      </w:r>
    </w:p>
    <w:p w14:paraId="5A521284" w14:textId="2B971AA6" w:rsidR="00647ACB" w:rsidRPr="00A8471A" w:rsidRDefault="00CB1178" w:rsidP="00AD3F5A">
      <w:pPr>
        <w:pStyle w:val="ListParagraph"/>
        <w:numPr>
          <w:ilvl w:val="0"/>
          <w:numId w:val="11"/>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ensure</w:t>
      </w:r>
      <w:r w:rsidR="00647ACB" w:rsidRPr="00A8471A">
        <w:rPr>
          <w:rFonts w:asciiTheme="minorHAnsi" w:hAnsiTheme="minorHAnsi" w:cstheme="minorBidi"/>
          <w:sz w:val="22"/>
          <w:szCs w:val="22"/>
        </w:rPr>
        <w:t xml:space="preserve"> all staff </w:t>
      </w:r>
      <w:r w:rsidR="000466D9" w:rsidRPr="00A8471A">
        <w:rPr>
          <w:rFonts w:asciiTheme="minorHAnsi" w:hAnsiTheme="minorHAnsi" w:cstheme="minorBidi"/>
          <w:sz w:val="22"/>
          <w:szCs w:val="22"/>
        </w:rPr>
        <w:t xml:space="preserve">recognise </w:t>
      </w:r>
      <w:r w:rsidR="00647ACB" w:rsidRPr="00A8471A">
        <w:rPr>
          <w:rFonts w:asciiTheme="minorHAnsi" w:hAnsiTheme="minorHAnsi" w:cstheme="minorBidi"/>
          <w:sz w:val="22"/>
          <w:szCs w:val="22"/>
        </w:rPr>
        <w:t xml:space="preserve">and respect the strategic context and operating pressures of each </w:t>
      </w:r>
      <w:r w:rsidR="00A34C27" w:rsidRPr="00A8471A">
        <w:rPr>
          <w:rFonts w:asciiTheme="minorHAnsi" w:hAnsiTheme="minorHAnsi" w:cstheme="minorHAnsi"/>
          <w:sz w:val="22"/>
          <w:szCs w:val="22"/>
        </w:rPr>
        <w:t>agency</w:t>
      </w:r>
    </w:p>
    <w:p w14:paraId="199D4891" w14:textId="33EBC237" w:rsidR="00647ACB" w:rsidRPr="00A8471A" w:rsidRDefault="10F641AE" w:rsidP="00AD3F5A">
      <w:pPr>
        <w:pStyle w:val="ListParagraph"/>
        <w:numPr>
          <w:ilvl w:val="0"/>
          <w:numId w:val="11"/>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always </w:t>
      </w:r>
      <w:r w:rsidR="00647ACB" w:rsidRPr="00A8471A">
        <w:rPr>
          <w:rFonts w:asciiTheme="minorHAnsi" w:hAnsiTheme="minorHAnsi" w:cstheme="minorBidi"/>
          <w:sz w:val="22"/>
          <w:szCs w:val="22"/>
        </w:rPr>
        <w:t>have regard to their legislative and authorising environment, and</w:t>
      </w:r>
    </w:p>
    <w:p w14:paraId="08A4A447" w14:textId="3BA4B3A8" w:rsidR="00647ACB" w:rsidRPr="00A8471A" w:rsidRDefault="00647ACB" w:rsidP="00AD3F5A">
      <w:pPr>
        <w:pStyle w:val="ListParagraph"/>
        <w:numPr>
          <w:ilvl w:val="0"/>
          <w:numId w:val="11"/>
        </w:numPr>
        <w:spacing w:after="0" w:line="360" w:lineRule="auto"/>
        <w:ind w:left="1134" w:hanging="283"/>
        <w:contextualSpacing w:val="0"/>
        <w:rPr>
          <w:rFonts w:asciiTheme="minorHAnsi" w:hAnsiTheme="minorHAnsi" w:cstheme="minorHAnsi"/>
          <w:sz w:val="22"/>
          <w:szCs w:val="22"/>
        </w:rPr>
      </w:pPr>
      <w:r w:rsidRPr="00A8471A">
        <w:rPr>
          <w:rFonts w:asciiTheme="minorHAnsi" w:hAnsiTheme="minorHAnsi" w:cstheme="minorHAnsi"/>
          <w:sz w:val="22"/>
          <w:szCs w:val="22"/>
        </w:rPr>
        <w:t>exchange information and establish processes that support the Department and the Commission to undertake their statutory functions effectively</w:t>
      </w:r>
      <w:r w:rsidR="00590E7E">
        <w:rPr>
          <w:rFonts w:asciiTheme="minorHAnsi" w:hAnsiTheme="minorHAnsi" w:cstheme="minorHAnsi"/>
          <w:sz w:val="22"/>
          <w:szCs w:val="22"/>
        </w:rPr>
        <w:t>,</w:t>
      </w:r>
      <w:r w:rsidRPr="00A8471A">
        <w:rPr>
          <w:rFonts w:asciiTheme="minorHAnsi" w:hAnsiTheme="minorHAnsi" w:cstheme="minorHAnsi"/>
          <w:sz w:val="22"/>
          <w:szCs w:val="22"/>
        </w:rPr>
        <w:t xml:space="preserve"> and to understand emerging risks.</w:t>
      </w:r>
    </w:p>
    <w:p w14:paraId="1E66CA20" w14:textId="723B2DAA" w:rsidR="00647ACB" w:rsidRPr="00A8471A" w:rsidRDefault="00647ACB" w:rsidP="00AD3F5A">
      <w:pPr>
        <w:pStyle w:val="ListParagraph"/>
        <w:numPr>
          <w:ilvl w:val="1"/>
          <w:numId w:val="1"/>
        </w:numPr>
        <w:spacing w:after="0" w:line="360" w:lineRule="auto"/>
        <w:ind w:left="851" w:hanging="574"/>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This MoU does not affect the core business of each </w:t>
      </w:r>
      <w:r w:rsidR="00A34C27" w:rsidRPr="00A8471A">
        <w:rPr>
          <w:rFonts w:asciiTheme="minorHAnsi" w:hAnsiTheme="minorHAnsi" w:cstheme="minorHAnsi"/>
          <w:sz w:val="22"/>
          <w:szCs w:val="22"/>
        </w:rPr>
        <w:t>agency</w:t>
      </w:r>
      <w:r w:rsidRPr="00A8471A">
        <w:rPr>
          <w:rFonts w:asciiTheme="minorHAnsi" w:hAnsiTheme="minorHAnsi" w:cstheme="minorHAnsi"/>
          <w:sz w:val="22"/>
          <w:szCs w:val="22"/>
        </w:rPr>
        <w:t xml:space="preserve">, nor does it prohibit either </w:t>
      </w:r>
      <w:r w:rsidR="00A34C27" w:rsidRPr="00A8471A">
        <w:rPr>
          <w:rFonts w:asciiTheme="minorHAnsi" w:hAnsiTheme="minorHAnsi" w:cstheme="minorHAnsi"/>
          <w:sz w:val="22"/>
          <w:szCs w:val="22"/>
        </w:rPr>
        <w:t>agency</w:t>
      </w:r>
      <w:r w:rsidRPr="00A8471A">
        <w:rPr>
          <w:rFonts w:asciiTheme="minorHAnsi" w:hAnsiTheme="minorHAnsi" w:cstheme="minorHAnsi"/>
          <w:sz w:val="22"/>
          <w:szCs w:val="22"/>
        </w:rPr>
        <w:t xml:space="preserve"> from engaging or developing further partnership agreements, linkages or projects external to this MoU.</w:t>
      </w:r>
    </w:p>
    <w:p w14:paraId="700F121F" w14:textId="77777777" w:rsidR="00AD3F5A" w:rsidRPr="00A8471A" w:rsidRDefault="00AD3F5A" w:rsidP="00AD3F5A">
      <w:pPr>
        <w:pStyle w:val="ListParagraph"/>
        <w:spacing w:after="0" w:line="360" w:lineRule="auto"/>
        <w:ind w:left="851"/>
        <w:contextualSpacing w:val="0"/>
        <w:rPr>
          <w:rFonts w:asciiTheme="minorHAnsi" w:hAnsiTheme="minorHAnsi" w:cstheme="minorHAnsi"/>
          <w:sz w:val="22"/>
          <w:szCs w:val="22"/>
        </w:rPr>
      </w:pPr>
    </w:p>
    <w:p w14:paraId="03587A63" w14:textId="746C9F26" w:rsidR="00647ACB" w:rsidRPr="00A8471A" w:rsidRDefault="00647ACB" w:rsidP="00AD3F5A">
      <w:pPr>
        <w:pStyle w:val="Heading1"/>
        <w:numPr>
          <w:ilvl w:val="0"/>
          <w:numId w:val="1"/>
        </w:numPr>
        <w:spacing w:before="0" w:line="360" w:lineRule="auto"/>
        <w:rPr>
          <w:color w:val="auto"/>
        </w:rPr>
      </w:pPr>
      <w:bookmarkStart w:id="3" w:name="_Toc168585006"/>
      <w:r w:rsidRPr="00A8471A">
        <w:rPr>
          <w:color w:val="auto"/>
        </w:rPr>
        <w:t>The Agreement</w:t>
      </w:r>
      <w:bookmarkEnd w:id="3"/>
    </w:p>
    <w:p w14:paraId="745BCC87" w14:textId="72BB424B" w:rsidR="00647ACB" w:rsidRPr="00A8471A" w:rsidRDefault="00647ACB" w:rsidP="00377C59">
      <w:pPr>
        <w:pStyle w:val="ListParagraph"/>
        <w:keepNext/>
        <w:keepLines/>
        <w:numPr>
          <w:ilvl w:val="1"/>
          <w:numId w:val="1"/>
        </w:numPr>
        <w:spacing w:after="0" w:line="360" w:lineRule="auto"/>
        <w:ind w:left="851" w:hanging="567"/>
        <w:rPr>
          <w:rFonts w:asciiTheme="minorHAnsi" w:hAnsiTheme="minorHAnsi" w:cstheme="minorHAnsi"/>
          <w:sz w:val="22"/>
          <w:szCs w:val="22"/>
        </w:rPr>
      </w:pPr>
      <w:r w:rsidRPr="00A8471A">
        <w:rPr>
          <w:rFonts w:asciiTheme="minorHAnsi" w:hAnsiTheme="minorHAnsi" w:cstheme="minorHAnsi"/>
          <w:sz w:val="22"/>
          <w:szCs w:val="22"/>
        </w:rPr>
        <w:t xml:space="preserve">The Department and the Commission </w:t>
      </w:r>
      <w:r w:rsidR="00214F30">
        <w:rPr>
          <w:rFonts w:asciiTheme="minorHAnsi" w:hAnsiTheme="minorHAnsi" w:cstheme="minorHAnsi"/>
          <w:sz w:val="22"/>
          <w:szCs w:val="22"/>
        </w:rPr>
        <w:t>agree</w:t>
      </w:r>
      <w:r w:rsidRPr="00A8471A">
        <w:rPr>
          <w:rFonts w:asciiTheme="minorHAnsi" w:hAnsiTheme="minorHAnsi" w:cstheme="minorHAnsi"/>
          <w:sz w:val="22"/>
          <w:szCs w:val="22"/>
        </w:rPr>
        <w:t xml:space="preserve"> that:</w:t>
      </w:r>
    </w:p>
    <w:p w14:paraId="00C24976" w14:textId="77777777" w:rsidR="00647ACB" w:rsidRPr="00A8471A" w:rsidRDefault="00647ACB" w:rsidP="00377C59">
      <w:pPr>
        <w:pStyle w:val="ListParagraph"/>
        <w:keepNext/>
        <w:keepLines/>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communication and information exchange are based on the principle of openness and transparency to achieve shared aims within the aged care portfolio</w:t>
      </w:r>
    </w:p>
    <w:p w14:paraId="3888F56E" w14:textId="77777777" w:rsidR="00647ACB" w:rsidRPr="00A8471A" w:rsidRDefault="00647ACB" w:rsidP="00AD3F5A">
      <w:pPr>
        <w:pStyle w:val="ListParagraph"/>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communication will occur at a national and regional level</w:t>
      </w:r>
    </w:p>
    <w:p w14:paraId="793C5453" w14:textId="77777777" w:rsidR="00647ACB" w:rsidRPr="00A8471A" w:rsidRDefault="00647ACB" w:rsidP="00AD3F5A">
      <w:pPr>
        <w:pStyle w:val="ListParagraph"/>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information exchange will be consistent with the applicable law or policies pertaining to information-handling, secrecy, confidentiality and privacy</w:t>
      </w:r>
    </w:p>
    <w:p w14:paraId="1A7BF7E1" w14:textId="08D6C451" w:rsidR="00647ACB" w:rsidRPr="00A8471A" w:rsidRDefault="00647ACB" w:rsidP="00AD3F5A">
      <w:pPr>
        <w:pStyle w:val="ListParagraph"/>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 xml:space="preserve">communication of changes to policy, legislation, technology and personnel that </w:t>
      </w:r>
      <w:r w:rsidR="00F70D41" w:rsidRPr="00A8471A">
        <w:rPr>
          <w:rFonts w:asciiTheme="minorHAnsi" w:hAnsiTheme="minorHAnsi" w:cstheme="minorHAnsi"/>
          <w:sz w:val="22"/>
          <w:szCs w:val="22"/>
        </w:rPr>
        <w:t>could</w:t>
      </w:r>
      <w:r w:rsidRPr="00A8471A">
        <w:rPr>
          <w:rFonts w:asciiTheme="minorHAnsi" w:hAnsiTheme="minorHAnsi" w:cstheme="minorHAnsi"/>
          <w:sz w:val="22"/>
          <w:szCs w:val="22"/>
        </w:rPr>
        <w:t xml:space="preserve"> affect the way in which functions may be undertaken will be provided in a timely way</w:t>
      </w:r>
    </w:p>
    <w:p w14:paraId="20E132CE" w14:textId="30D87540" w:rsidR="00647ACB" w:rsidRPr="00A8471A" w:rsidRDefault="00647ACB" w:rsidP="00AD3F5A">
      <w:pPr>
        <w:pStyle w:val="ListParagraph"/>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 xml:space="preserve">coordinated advice to government will be </w:t>
      </w:r>
      <w:r w:rsidR="004B3546" w:rsidRPr="00A8471A">
        <w:rPr>
          <w:rFonts w:asciiTheme="minorHAnsi" w:hAnsiTheme="minorHAnsi" w:cstheme="minorHAnsi"/>
          <w:sz w:val="22"/>
          <w:szCs w:val="22"/>
        </w:rPr>
        <w:t>timely</w:t>
      </w:r>
      <w:r w:rsidR="004B3546">
        <w:rPr>
          <w:rFonts w:asciiTheme="minorHAnsi" w:hAnsiTheme="minorHAnsi" w:cstheme="minorHAnsi"/>
          <w:sz w:val="22"/>
          <w:szCs w:val="22"/>
        </w:rPr>
        <w:t xml:space="preserve">. </w:t>
      </w:r>
      <w:r w:rsidR="004B3546" w:rsidRPr="00A8471A">
        <w:rPr>
          <w:rFonts w:asciiTheme="minorHAnsi" w:hAnsiTheme="minorHAnsi" w:cstheme="minorHAnsi"/>
          <w:sz w:val="22"/>
          <w:szCs w:val="22"/>
        </w:rPr>
        <w:t>Where</w:t>
      </w:r>
      <w:r w:rsidRPr="00A8471A">
        <w:rPr>
          <w:rFonts w:asciiTheme="minorHAnsi" w:hAnsiTheme="minorHAnsi" w:cstheme="minorHAnsi"/>
          <w:sz w:val="22"/>
          <w:szCs w:val="22"/>
        </w:rPr>
        <w:t xml:space="preserve"> information cannot be shared in accordance with the MoU principles due to restrictions in secrecy or privacy legislation, or if a conflict of interest or sensitive matter arises, </w:t>
      </w:r>
      <w:r w:rsidR="00A34C27" w:rsidRPr="00A8471A">
        <w:rPr>
          <w:rFonts w:asciiTheme="minorHAnsi" w:hAnsiTheme="minorHAnsi" w:cstheme="minorHAnsi"/>
          <w:sz w:val="22"/>
          <w:szCs w:val="22"/>
        </w:rPr>
        <w:t>each agency</w:t>
      </w:r>
      <w:r w:rsidRPr="00A8471A">
        <w:rPr>
          <w:rFonts w:asciiTheme="minorHAnsi" w:hAnsiTheme="minorHAnsi" w:cstheme="minorHAnsi"/>
          <w:sz w:val="22"/>
          <w:szCs w:val="22"/>
        </w:rPr>
        <w:t xml:space="preserve"> will inform each other about why information is not able to be shared</w:t>
      </w:r>
    </w:p>
    <w:p w14:paraId="7A66C7EC" w14:textId="2657A953" w:rsidR="00647ACB" w:rsidRPr="00A8471A" w:rsidRDefault="00647ACB" w:rsidP="00AD3F5A">
      <w:pPr>
        <w:pStyle w:val="ListParagraph"/>
        <w:numPr>
          <w:ilvl w:val="0"/>
          <w:numId w:val="12"/>
        </w:numPr>
        <w:spacing w:after="0" w:line="360" w:lineRule="auto"/>
        <w:ind w:left="1135" w:hanging="284"/>
        <w:rPr>
          <w:rFonts w:asciiTheme="minorHAnsi" w:hAnsiTheme="minorHAnsi" w:cstheme="minorHAnsi"/>
          <w:sz w:val="22"/>
          <w:szCs w:val="22"/>
        </w:rPr>
      </w:pPr>
      <w:r w:rsidRPr="00A8471A">
        <w:rPr>
          <w:rFonts w:asciiTheme="minorHAnsi" w:hAnsiTheme="minorHAnsi" w:cstheme="minorHAnsi"/>
          <w:sz w:val="22"/>
          <w:szCs w:val="22"/>
        </w:rPr>
        <w:t xml:space="preserve">each </w:t>
      </w:r>
      <w:r w:rsidR="00A97283" w:rsidRPr="00A8471A">
        <w:rPr>
          <w:rFonts w:asciiTheme="minorHAnsi" w:hAnsiTheme="minorHAnsi" w:cstheme="minorHAnsi"/>
          <w:sz w:val="22"/>
          <w:szCs w:val="22"/>
        </w:rPr>
        <w:t>agency</w:t>
      </w:r>
      <w:r w:rsidRPr="00A8471A">
        <w:rPr>
          <w:rFonts w:asciiTheme="minorHAnsi" w:hAnsiTheme="minorHAnsi" w:cstheme="minorHAnsi"/>
          <w:sz w:val="22"/>
          <w:szCs w:val="22"/>
        </w:rPr>
        <w:t xml:space="preserve"> will, wherever possible, avoid duplicating the other's resources and efforts</w:t>
      </w:r>
      <w:r w:rsidR="00C33A34">
        <w:rPr>
          <w:rFonts w:asciiTheme="minorHAnsi" w:hAnsiTheme="minorHAnsi" w:cstheme="minorHAnsi"/>
          <w:sz w:val="22"/>
          <w:szCs w:val="22"/>
        </w:rPr>
        <w:t>,</w:t>
      </w:r>
      <w:r w:rsidRPr="00A8471A">
        <w:rPr>
          <w:rFonts w:asciiTheme="minorHAnsi" w:hAnsiTheme="minorHAnsi" w:cstheme="minorHAnsi"/>
          <w:sz w:val="22"/>
          <w:szCs w:val="22"/>
        </w:rPr>
        <w:t xml:space="preserve"> and will look to each other for information and data in their respective areas of expertise</w:t>
      </w:r>
      <w:r w:rsidR="00243AA9" w:rsidRPr="00A8471A">
        <w:rPr>
          <w:rFonts w:asciiTheme="minorHAnsi" w:hAnsiTheme="minorHAnsi" w:cstheme="minorHAnsi"/>
          <w:sz w:val="22"/>
          <w:szCs w:val="22"/>
        </w:rPr>
        <w:t>,</w:t>
      </w:r>
      <w:r w:rsidRPr="00A8471A">
        <w:rPr>
          <w:rFonts w:asciiTheme="minorHAnsi" w:hAnsiTheme="minorHAnsi" w:cstheme="minorHAnsi"/>
          <w:sz w:val="22"/>
          <w:szCs w:val="22"/>
        </w:rPr>
        <w:t xml:space="preserve"> and</w:t>
      </w:r>
    </w:p>
    <w:p w14:paraId="127A555B" w14:textId="349D03C5" w:rsidR="00647ACB" w:rsidRPr="00A8471A" w:rsidRDefault="00647ACB" w:rsidP="00AD3F5A">
      <w:pPr>
        <w:pStyle w:val="ListParagraph"/>
        <w:numPr>
          <w:ilvl w:val="0"/>
          <w:numId w:val="12"/>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legal advice regarding the interpretation of each other's legislation will take place in accordance with the Legal Services Directions 2017.</w:t>
      </w:r>
    </w:p>
    <w:p w14:paraId="00F1693A" w14:textId="7B16E2CD" w:rsidR="1058234F" w:rsidRPr="00A8471A" w:rsidRDefault="21723381"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The </w:t>
      </w:r>
      <w:r w:rsidR="00B34ADA">
        <w:rPr>
          <w:rFonts w:asciiTheme="minorHAnsi" w:hAnsiTheme="minorHAnsi" w:cstheme="minorHAnsi"/>
          <w:sz w:val="22"/>
          <w:szCs w:val="22"/>
        </w:rPr>
        <w:t>A</w:t>
      </w:r>
      <w:r w:rsidRPr="00A8471A">
        <w:rPr>
          <w:rFonts w:asciiTheme="minorHAnsi" w:hAnsiTheme="minorHAnsi" w:cstheme="minorHAnsi"/>
          <w:sz w:val="22"/>
          <w:szCs w:val="22"/>
        </w:rPr>
        <w:t>greement will be overseen by the Joint Strategic Committee (JSC) including processes for review</w:t>
      </w:r>
      <w:r w:rsidR="2CA0835C" w:rsidRPr="00A8471A">
        <w:rPr>
          <w:rFonts w:asciiTheme="minorHAnsi" w:hAnsiTheme="minorHAnsi" w:cstheme="minorHAnsi"/>
          <w:sz w:val="22"/>
          <w:szCs w:val="22"/>
        </w:rPr>
        <w:t>,</w:t>
      </w:r>
      <w:r w:rsidRPr="00A8471A">
        <w:rPr>
          <w:rFonts w:asciiTheme="minorHAnsi" w:hAnsiTheme="minorHAnsi" w:cstheme="minorHAnsi"/>
          <w:sz w:val="22"/>
          <w:szCs w:val="22"/>
        </w:rPr>
        <w:t xml:space="preserve"> implementation</w:t>
      </w:r>
      <w:r w:rsidR="710B3CBA" w:rsidRPr="00A8471A">
        <w:rPr>
          <w:rFonts w:asciiTheme="minorHAnsi" w:hAnsiTheme="minorHAnsi" w:cstheme="minorHAnsi"/>
          <w:sz w:val="22"/>
          <w:szCs w:val="22"/>
        </w:rPr>
        <w:t>,</w:t>
      </w:r>
      <w:r w:rsidR="2BCC50E2" w:rsidRPr="00A8471A">
        <w:rPr>
          <w:rFonts w:asciiTheme="minorHAnsi" w:hAnsiTheme="minorHAnsi" w:cstheme="minorHAnsi"/>
          <w:sz w:val="22"/>
          <w:szCs w:val="22"/>
        </w:rPr>
        <w:t xml:space="preserve"> and escalated issues resolution</w:t>
      </w:r>
      <w:r w:rsidRPr="00A8471A">
        <w:rPr>
          <w:rFonts w:asciiTheme="minorHAnsi" w:hAnsiTheme="minorHAnsi" w:cstheme="minorHAnsi"/>
          <w:sz w:val="22"/>
          <w:szCs w:val="22"/>
        </w:rPr>
        <w:t xml:space="preserve">. </w:t>
      </w:r>
    </w:p>
    <w:p w14:paraId="16367BCF" w14:textId="77777777" w:rsidR="00AD3F5A" w:rsidRPr="00A8471A" w:rsidRDefault="00AD3F5A" w:rsidP="00AD3F5A">
      <w:pPr>
        <w:pStyle w:val="ListParagraph"/>
        <w:spacing w:after="0" w:line="360" w:lineRule="auto"/>
        <w:ind w:left="851"/>
        <w:contextualSpacing w:val="0"/>
        <w:rPr>
          <w:rFonts w:asciiTheme="minorHAnsi" w:hAnsiTheme="minorHAnsi" w:cstheme="minorHAnsi"/>
          <w:sz w:val="22"/>
          <w:szCs w:val="22"/>
        </w:rPr>
      </w:pPr>
    </w:p>
    <w:p w14:paraId="07A10C19" w14:textId="28EC4D39" w:rsidR="00647ACB" w:rsidRPr="00A8471A" w:rsidRDefault="00647ACB" w:rsidP="00AD3F5A">
      <w:pPr>
        <w:pStyle w:val="Heading1"/>
        <w:numPr>
          <w:ilvl w:val="0"/>
          <w:numId w:val="1"/>
        </w:numPr>
        <w:spacing w:before="0" w:line="360" w:lineRule="auto"/>
        <w:rPr>
          <w:color w:val="auto"/>
        </w:rPr>
      </w:pPr>
      <w:bookmarkStart w:id="4" w:name="_Toc168585007"/>
      <w:r w:rsidRPr="00A8471A">
        <w:rPr>
          <w:color w:val="auto"/>
        </w:rPr>
        <w:t>Protocols for Communication</w:t>
      </w:r>
      <w:bookmarkEnd w:id="4"/>
    </w:p>
    <w:p w14:paraId="3AA07B3D" w14:textId="6779714E" w:rsidR="00647ACB" w:rsidRPr="00A8471A" w:rsidRDefault="00647ACB" w:rsidP="00AD3F5A">
      <w:pPr>
        <w:pStyle w:val="ListParagraph"/>
        <w:numPr>
          <w:ilvl w:val="1"/>
          <w:numId w:val="1"/>
        </w:numPr>
        <w:spacing w:after="0" w:line="360" w:lineRule="auto"/>
        <w:ind w:left="851" w:hanging="574"/>
        <w:rPr>
          <w:rFonts w:asciiTheme="minorHAnsi" w:hAnsiTheme="minorHAnsi" w:cstheme="minorBidi"/>
          <w:sz w:val="22"/>
          <w:szCs w:val="22"/>
        </w:rPr>
      </w:pPr>
      <w:r w:rsidRPr="00A8471A">
        <w:rPr>
          <w:rFonts w:asciiTheme="minorHAnsi" w:hAnsiTheme="minorHAnsi" w:cstheme="minorBidi"/>
          <w:sz w:val="22"/>
          <w:szCs w:val="22"/>
        </w:rPr>
        <w:t>This MoU supports the timely and ongoing communication between the</w:t>
      </w:r>
      <w:r w:rsidR="009911B9" w:rsidRPr="00A8471A">
        <w:rPr>
          <w:rFonts w:asciiTheme="minorHAnsi" w:hAnsiTheme="minorHAnsi" w:cstheme="minorBidi"/>
          <w:sz w:val="22"/>
          <w:szCs w:val="22"/>
        </w:rPr>
        <w:t xml:space="preserve"> </w:t>
      </w:r>
      <w:r w:rsidRPr="00A8471A">
        <w:rPr>
          <w:rFonts w:asciiTheme="minorHAnsi" w:hAnsiTheme="minorHAnsi" w:cstheme="minorBidi"/>
          <w:sz w:val="22"/>
          <w:szCs w:val="22"/>
        </w:rPr>
        <w:t xml:space="preserve">Commission and the Department to optimise outcomes for older </w:t>
      </w:r>
      <w:r w:rsidR="6FBC4C8A" w:rsidRPr="00A8471A">
        <w:rPr>
          <w:rFonts w:asciiTheme="minorHAnsi" w:hAnsiTheme="minorHAnsi" w:cstheme="minorBidi"/>
          <w:sz w:val="22"/>
          <w:szCs w:val="22"/>
        </w:rPr>
        <w:t xml:space="preserve">people in </w:t>
      </w:r>
      <w:r w:rsidRPr="00A8471A">
        <w:rPr>
          <w:rFonts w:asciiTheme="minorHAnsi" w:hAnsiTheme="minorHAnsi" w:cstheme="minorBidi"/>
          <w:sz w:val="22"/>
          <w:szCs w:val="22"/>
        </w:rPr>
        <w:t>Australia.</w:t>
      </w:r>
    </w:p>
    <w:p w14:paraId="29B62E41" w14:textId="77777777" w:rsidR="00FC1BA8" w:rsidRPr="00A8471A" w:rsidRDefault="00FC1BA8" w:rsidP="00AD3F5A">
      <w:pPr>
        <w:spacing w:after="0" w:line="360" w:lineRule="auto"/>
        <w:rPr>
          <w:rFonts w:asciiTheme="minorHAnsi" w:hAnsiTheme="minorHAnsi" w:cstheme="minorBidi"/>
          <w:sz w:val="22"/>
          <w:szCs w:val="22"/>
          <w:u w:val="single"/>
        </w:rPr>
      </w:pPr>
    </w:p>
    <w:p w14:paraId="1D4D19B9" w14:textId="24D20FD5" w:rsidR="00647ACB" w:rsidRPr="00A8471A" w:rsidRDefault="00647ACB" w:rsidP="00AD3F5A">
      <w:pPr>
        <w:spacing w:after="0" w:line="360" w:lineRule="auto"/>
        <w:rPr>
          <w:rFonts w:asciiTheme="minorHAnsi" w:hAnsiTheme="minorHAnsi" w:cstheme="minorBidi"/>
          <w:sz w:val="22"/>
          <w:szCs w:val="22"/>
          <w:u w:val="single"/>
        </w:rPr>
      </w:pPr>
      <w:r w:rsidRPr="00A8471A">
        <w:rPr>
          <w:rFonts w:asciiTheme="minorHAnsi" w:hAnsiTheme="minorHAnsi" w:cstheme="minorBidi"/>
          <w:sz w:val="22"/>
          <w:szCs w:val="22"/>
          <w:u w:val="single"/>
        </w:rPr>
        <w:t>Cross-agency Communication</w:t>
      </w:r>
    </w:p>
    <w:p w14:paraId="31E08462" w14:textId="35D51F0D" w:rsidR="00647ACB" w:rsidRPr="00A8471A" w:rsidRDefault="00647ACB" w:rsidP="00AD3F5A">
      <w:pPr>
        <w:pStyle w:val="ListParagraph"/>
        <w:numPr>
          <w:ilvl w:val="1"/>
          <w:numId w:val="1"/>
        </w:numPr>
        <w:spacing w:after="0" w:line="360" w:lineRule="auto"/>
        <w:ind w:left="851" w:hanging="567"/>
        <w:rPr>
          <w:rFonts w:asciiTheme="minorHAnsi" w:hAnsiTheme="minorHAnsi" w:cstheme="minorHAnsi"/>
          <w:sz w:val="22"/>
          <w:szCs w:val="22"/>
        </w:rPr>
      </w:pPr>
      <w:r w:rsidRPr="00A8471A">
        <w:rPr>
          <w:rFonts w:asciiTheme="minorHAnsi" w:hAnsiTheme="minorHAnsi" w:cstheme="minorHAnsi"/>
          <w:sz w:val="22"/>
          <w:szCs w:val="22"/>
        </w:rPr>
        <w:t xml:space="preserve">Communication </w:t>
      </w:r>
      <w:r w:rsidR="00F70D41" w:rsidRPr="00A8471A">
        <w:rPr>
          <w:rFonts w:asciiTheme="minorHAnsi" w:hAnsiTheme="minorHAnsi" w:cstheme="minorHAnsi"/>
          <w:sz w:val="22"/>
          <w:szCs w:val="22"/>
        </w:rPr>
        <w:t>will</w:t>
      </w:r>
      <w:r w:rsidRPr="00A8471A">
        <w:rPr>
          <w:rFonts w:asciiTheme="minorHAnsi" w:hAnsiTheme="minorHAnsi" w:cstheme="minorHAnsi"/>
          <w:sz w:val="22"/>
          <w:szCs w:val="22"/>
        </w:rPr>
        <w:t xml:space="preserve"> occur:</w:t>
      </w:r>
    </w:p>
    <w:p w14:paraId="0D436398" w14:textId="3807C869" w:rsidR="00647ACB" w:rsidRPr="00A8471A" w:rsidRDefault="00647ACB" w:rsidP="00AD3F5A">
      <w:pPr>
        <w:pStyle w:val="ListParagraph"/>
        <w:numPr>
          <w:ilvl w:val="0"/>
          <w:numId w:val="15"/>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nationally at a strategic level to discuss issues, exchange information and report on trends and emerging issues through the monthly </w:t>
      </w:r>
      <w:r w:rsidR="000E32F6" w:rsidRPr="00A8471A">
        <w:rPr>
          <w:rFonts w:asciiTheme="minorHAnsi" w:hAnsiTheme="minorHAnsi" w:cstheme="minorHAnsi"/>
          <w:sz w:val="22"/>
          <w:szCs w:val="22"/>
        </w:rPr>
        <w:t>JSC</w:t>
      </w:r>
      <w:r w:rsidRPr="00A8471A">
        <w:rPr>
          <w:rFonts w:asciiTheme="minorHAnsi" w:hAnsiTheme="minorHAnsi" w:cstheme="minorHAnsi"/>
          <w:sz w:val="22"/>
          <w:szCs w:val="22"/>
        </w:rPr>
        <w:t xml:space="preserve"> meetings</w:t>
      </w:r>
    </w:p>
    <w:p w14:paraId="2B24EA30" w14:textId="1B1A12F0" w:rsidR="00E73B02" w:rsidRPr="00A8471A" w:rsidRDefault="00647ACB" w:rsidP="00AD3F5A">
      <w:pPr>
        <w:pStyle w:val="ListParagraph"/>
        <w:numPr>
          <w:ilvl w:val="0"/>
          <w:numId w:val="15"/>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at the regional, state or territory level to facilitate engagement and information exchange </w:t>
      </w:r>
    </w:p>
    <w:p w14:paraId="260809E5" w14:textId="72759DC9" w:rsidR="001F4B89" w:rsidRPr="00A8471A" w:rsidRDefault="00E73B02" w:rsidP="00AD3F5A">
      <w:pPr>
        <w:pStyle w:val="ListParagraph"/>
        <w:numPr>
          <w:ilvl w:val="0"/>
          <w:numId w:val="15"/>
        </w:numPr>
        <w:spacing w:after="0" w:line="360" w:lineRule="auto"/>
        <w:ind w:left="1134" w:hanging="283"/>
        <w:rPr>
          <w:rFonts w:asciiTheme="minorHAnsi" w:hAnsiTheme="minorHAnsi" w:cstheme="minorHAnsi"/>
          <w:sz w:val="22"/>
          <w:szCs w:val="22"/>
        </w:rPr>
      </w:pPr>
      <w:r w:rsidRPr="00A8471A">
        <w:rPr>
          <w:rFonts w:asciiTheme="minorHAnsi" w:hAnsiTheme="minorHAnsi" w:cstheme="minorBidi"/>
          <w:sz w:val="22"/>
          <w:szCs w:val="22"/>
        </w:rPr>
        <w:t>operationally</w:t>
      </w:r>
      <w:r w:rsidR="00987AAA">
        <w:rPr>
          <w:rFonts w:asciiTheme="minorHAnsi" w:hAnsiTheme="minorHAnsi" w:cstheme="minorBidi"/>
          <w:sz w:val="22"/>
          <w:szCs w:val="22"/>
        </w:rPr>
        <w:t>,</w:t>
      </w:r>
      <w:r w:rsidRPr="00A8471A">
        <w:rPr>
          <w:rFonts w:asciiTheme="minorHAnsi" w:hAnsiTheme="minorHAnsi" w:cstheme="minorBidi"/>
          <w:sz w:val="22"/>
          <w:szCs w:val="22"/>
        </w:rPr>
        <w:t xml:space="preserve"> as required</w:t>
      </w:r>
      <w:r w:rsidR="00987AAA">
        <w:rPr>
          <w:rFonts w:asciiTheme="minorHAnsi" w:hAnsiTheme="minorHAnsi" w:cstheme="minorBidi"/>
          <w:sz w:val="22"/>
          <w:szCs w:val="22"/>
        </w:rPr>
        <w:t>,</w:t>
      </w:r>
      <w:r w:rsidRPr="00A8471A">
        <w:rPr>
          <w:rFonts w:asciiTheme="minorHAnsi" w:hAnsiTheme="minorHAnsi" w:cstheme="minorBidi"/>
          <w:sz w:val="22"/>
          <w:szCs w:val="22"/>
        </w:rPr>
        <w:t xml:space="preserve"> to facilitate exchange of information and coordinated resolution of shared risks of the delivery of aged care</w:t>
      </w:r>
      <w:r w:rsidR="00F61946" w:rsidRPr="00A8471A">
        <w:rPr>
          <w:rFonts w:asciiTheme="minorHAnsi" w:hAnsiTheme="minorHAnsi" w:cstheme="minorBidi"/>
          <w:sz w:val="22"/>
          <w:szCs w:val="22"/>
        </w:rPr>
        <w:t xml:space="preserve">, and </w:t>
      </w:r>
    </w:p>
    <w:p w14:paraId="261422FF" w14:textId="1DA03A64" w:rsidR="00647ACB" w:rsidRPr="00A8471A" w:rsidRDefault="003D5253" w:rsidP="00377C59">
      <w:pPr>
        <w:pStyle w:val="ListParagraph"/>
        <w:numPr>
          <w:ilvl w:val="1"/>
          <w:numId w:val="1"/>
        </w:numPr>
        <w:spacing w:after="0" w:line="360" w:lineRule="auto"/>
        <w:ind w:left="851" w:hanging="567"/>
        <w:contextualSpacing w:val="0"/>
        <w:rPr>
          <w:rFonts w:asciiTheme="minorHAnsi" w:hAnsiTheme="minorHAnsi" w:cstheme="minorBidi"/>
          <w:sz w:val="22"/>
          <w:szCs w:val="22"/>
        </w:rPr>
      </w:pPr>
      <w:r>
        <w:rPr>
          <w:rFonts w:asciiTheme="minorHAnsi" w:hAnsiTheme="minorHAnsi" w:cstheme="minorBidi"/>
          <w:sz w:val="22"/>
          <w:szCs w:val="22"/>
        </w:rPr>
        <w:t>F</w:t>
      </w:r>
      <w:r w:rsidR="3B006EA9" w:rsidRPr="00A8471A">
        <w:rPr>
          <w:rFonts w:asciiTheme="minorHAnsi" w:hAnsiTheme="minorHAnsi" w:cstheme="minorBidi"/>
          <w:sz w:val="22"/>
          <w:szCs w:val="22"/>
        </w:rPr>
        <w:t>or ongoing project and policy development activities, joint governance structures such as Project Boards will be established with mutually agreed Terms of Reference. At a minimum</w:t>
      </w:r>
      <w:r w:rsidR="00A126B6">
        <w:rPr>
          <w:rFonts w:asciiTheme="minorHAnsi" w:hAnsiTheme="minorHAnsi" w:cstheme="minorBidi"/>
          <w:sz w:val="22"/>
          <w:szCs w:val="22"/>
        </w:rPr>
        <w:t>,</w:t>
      </w:r>
      <w:r w:rsidR="3B006EA9" w:rsidRPr="00A8471A">
        <w:rPr>
          <w:rFonts w:asciiTheme="minorHAnsi" w:hAnsiTheme="minorHAnsi" w:cstheme="minorBidi"/>
          <w:sz w:val="22"/>
          <w:szCs w:val="22"/>
        </w:rPr>
        <w:t xml:space="preserve"> Project Boards will be approved by a S</w:t>
      </w:r>
      <w:r w:rsidR="009809D9" w:rsidRPr="00A8471A">
        <w:rPr>
          <w:rFonts w:asciiTheme="minorHAnsi" w:hAnsiTheme="minorHAnsi" w:cstheme="minorBidi"/>
          <w:sz w:val="22"/>
          <w:szCs w:val="22"/>
        </w:rPr>
        <w:t xml:space="preserve">enior </w:t>
      </w:r>
      <w:r w:rsidR="00FA35AA" w:rsidRPr="00A8471A">
        <w:rPr>
          <w:rFonts w:asciiTheme="minorHAnsi" w:hAnsiTheme="minorHAnsi" w:cstheme="minorBidi"/>
          <w:sz w:val="22"/>
          <w:szCs w:val="22"/>
        </w:rPr>
        <w:t>Executive</w:t>
      </w:r>
      <w:r w:rsidR="00AE53A1" w:rsidRPr="00A8471A">
        <w:rPr>
          <w:rFonts w:asciiTheme="minorHAnsi" w:hAnsiTheme="minorHAnsi" w:cstheme="minorBidi"/>
          <w:sz w:val="22"/>
          <w:szCs w:val="22"/>
        </w:rPr>
        <w:t xml:space="preserve"> </w:t>
      </w:r>
      <w:r w:rsidR="00FA35AA" w:rsidRPr="00A8471A">
        <w:rPr>
          <w:rFonts w:asciiTheme="minorHAnsi" w:hAnsiTheme="minorHAnsi" w:cstheme="minorBidi"/>
          <w:sz w:val="22"/>
          <w:szCs w:val="22"/>
        </w:rPr>
        <w:t>officer</w:t>
      </w:r>
      <w:r w:rsidR="00523C95" w:rsidRPr="00A8471A">
        <w:rPr>
          <w:rFonts w:asciiTheme="minorHAnsi" w:hAnsiTheme="minorHAnsi" w:cstheme="minorBidi"/>
          <w:sz w:val="22"/>
          <w:szCs w:val="22"/>
        </w:rPr>
        <w:t xml:space="preserve"> from both </w:t>
      </w:r>
      <w:r w:rsidR="00A34C27" w:rsidRPr="00A8471A">
        <w:rPr>
          <w:rFonts w:asciiTheme="minorHAnsi" w:hAnsiTheme="minorHAnsi" w:cstheme="minorBidi"/>
          <w:sz w:val="22"/>
          <w:szCs w:val="22"/>
        </w:rPr>
        <w:t>agencies</w:t>
      </w:r>
      <w:r w:rsidR="3B006EA9" w:rsidRPr="00A8471A">
        <w:rPr>
          <w:rFonts w:asciiTheme="minorHAnsi" w:hAnsiTheme="minorHAnsi" w:cstheme="minorBidi"/>
          <w:sz w:val="22"/>
          <w:szCs w:val="22"/>
        </w:rPr>
        <w:t xml:space="preserve">. Following the establishment of a Project Board, advice will be provided to the </w:t>
      </w:r>
      <w:r w:rsidR="000E32F6" w:rsidRPr="00A8471A">
        <w:rPr>
          <w:rFonts w:asciiTheme="minorHAnsi" w:hAnsiTheme="minorHAnsi" w:cstheme="minorHAnsi"/>
          <w:sz w:val="22"/>
          <w:szCs w:val="22"/>
        </w:rPr>
        <w:t>JSC</w:t>
      </w:r>
      <w:r w:rsidR="3B006EA9" w:rsidRPr="00A8471A">
        <w:rPr>
          <w:rFonts w:asciiTheme="minorHAnsi" w:hAnsiTheme="minorHAnsi" w:cstheme="minorBidi"/>
          <w:sz w:val="22"/>
          <w:szCs w:val="22"/>
        </w:rPr>
        <w:t xml:space="preserve">. </w:t>
      </w:r>
    </w:p>
    <w:p w14:paraId="480A287E" w14:textId="77777777" w:rsidR="009F279E" w:rsidRPr="00A8471A" w:rsidRDefault="009F279E" w:rsidP="00AD3F5A">
      <w:pPr>
        <w:spacing w:after="0" w:line="360" w:lineRule="auto"/>
        <w:rPr>
          <w:rFonts w:asciiTheme="minorHAnsi" w:hAnsiTheme="minorHAnsi" w:cstheme="minorBidi"/>
          <w:sz w:val="22"/>
          <w:szCs w:val="22"/>
          <w:u w:val="single"/>
        </w:rPr>
      </w:pPr>
    </w:p>
    <w:p w14:paraId="2D6B503E" w14:textId="0513149B" w:rsidR="00647ACB" w:rsidRPr="00A8471A" w:rsidRDefault="00647ACB" w:rsidP="00AD3F5A">
      <w:pPr>
        <w:spacing w:after="0" w:line="360" w:lineRule="auto"/>
        <w:rPr>
          <w:rFonts w:asciiTheme="minorHAnsi" w:hAnsiTheme="minorHAnsi" w:cstheme="minorBidi"/>
          <w:sz w:val="22"/>
          <w:szCs w:val="22"/>
          <w:u w:val="single"/>
        </w:rPr>
      </w:pPr>
      <w:r w:rsidRPr="00A8471A">
        <w:rPr>
          <w:rFonts w:asciiTheme="minorHAnsi" w:hAnsiTheme="minorHAnsi" w:cstheme="minorBidi"/>
          <w:sz w:val="22"/>
          <w:szCs w:val="22"/>
          <w:u w:val="single"/>
        </w:rPr>
        <w:t>Communication</w:t>
      </w:r>
    </w:p>
    <w:p w14:paraId="261239FC" w14:textId="2733B2CA" w:rsidR="009911B9"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 xml:space="preserve">Communication teams from both the Department and the Commission </w:t>
      </w:r>
      <w:r w:rsidR="00214F30">
        <w:rPr>
          <w:rFonts w:asciiTheme="minorHAnsi" w:hAnsiTheme="minorHAnsi" w:cstheme="minorBidi"/>
          <w:sz w:val="22"/>
          <w:szCs w:val="22"/>
        </w:rPr>
        <w:t>agree</w:t>
      </w:r>
      <w:r w:rsidR="00323237" w:rsidRPr="00A8471A">
        <w:rPr>
          <w:rFonts w:asciiTheme="minorHAnsi" w:hAnsiTheme="minorHAnsi" w:cstheme="minorBidi"/>
          <w:sz w:val="22"/>
          <w:szCs w:val="22"/>
        </w:rPr>
        <w:t xml:space="preserve"> to communicate</w:t>
      </w:r>
      <w:r w:rsidR="70A1EE56" w:rsidRPr="00A8471A">
        <w:rPr>
          <w:rFonts w:asciiTheme="minorHAnsi" w:hAnsiTheme="minorHAnsi" w:cstheme="minorBidi"/>
          <w:sz w:val="22"/>
          <w:szCs w:val="22"/>
        </w:rPr>
        <w:t xml:space="preserve"> regularly</w:t>
      </w:r>
      <w:r w:rsidRPr="00A8471A">
        <w:rPr>
          <w:rFonts w:asciiTheme="minorHAnsi" w:hAnsiTheme="minorHAnsi" w:cstheme="minorBidi"/>
          <w:sz w:val="22"/>
          <w:szCs w:val="22"/>
        </w:rPr>
        <w:t xml:space="preserve"> and work together to ensure that sector and consumer focused communication and engagement activities are aligned and consistent</w:t>
      </w:r>
      <w:r w:rsidR="7875860B" w:rsidRPr="00A8471A">
        <w:rPr>
          <w:rFonts w:asciiTheme="minorHAnsi" w:hAnsiTheme="minorHAnsi" w:cstheme="minorBidi"/>
          <w:sz w:val="22"/>
          <w:szCs w:val="22"/>
        </w:rPr>
        <w:t xml:space="preserve"> where appropriate</w:t>
      </w:r>
      <w:r w:rsidR="1A80D2A1" w:rsidRPr="00A8471A">
        <w:rPr>
          <w:rFonts w:asciiTheme="minorHAnsi" w:hAnsiTheme="minorHAnsi" w:cstheme="minorBidi"/>
          <w:sz w:val="22"/>
          <w:szCs w:val="22"/>
        </w:rPr>
        <w:t>.</w:t>
      </w:r>
      <w:r w:rsidRPr="00A8471A">
        <w:rPr>
          <w:rFonts w:asciiTheme="minorHAnsi" w:hAnsiTheme="minorHAnsi" w:cstheme="minorBidi"/>
          <w:sz w:val="22"/>
          <w:szCs w:val="22"/>
        </w:rPr>
        <w:t xml:space="preserve"> This approach </w:t>
      </w:r>
      <w:r w:rsidR="00290934" w:rsidRPr="00A8471A">
        <w:rPr>
          <w:rFonts w:asciiTheme="minorHAnsi" w:hAnsiTheme="minorHAnsi" w:cstheme="minorBidi"/>
          <w:sz w:val="22"/>
          <w:szCs w:val="22"/>
        </w:rPr>
        <w:t>will</w:t>
      </w:r>
      <w:r w:rsidRPr="00A8471A">
        <w:rPr>
          <w:rFonts w:asciiTheme="minorHAnsi" w:hAnsiTheme="minorHAnsi" w:cstheme="minorBidi"/>
          <w:sz w:val="22"/>
          <w:szCs w:val="22"/>
        </w:rPr>
        <w:t xml:space="preserve"> be guided by the key principles of this MoU and may include sharing draft materials for review and amendment; providing advance notice of release dates and working together wherever possible on joint communication activities.</w:t>
      </w:r>
    </w:p>
    <w:p w14:paraId="382E1B4A" w14:textId="26ECC46E" w:rsidR="009911B9"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 xml:space="preserve">The Department and </w:t>
      </w:r>
      <w:r w:rsidR="00E41DCE">
        <w:rPr>
          <w:rFonts w:asciiTheme="minorHAnsi" w:hAnsiTheme="minorHAnsi" w:cstheme="minorBidi"/>
          <w:sz w:val="22"/>
          <w:szCs w:val="22"/>
        </w:rPr>
        <w:t xml:space="preserve">the </w:t>
      </w:r>
      <w:r w:rsidRPr="00A8471A">
        <w:rPr>
          <w:rFonts w:asciiTheme="minorHAnsi" w:hAnsiTheme="minorHAnsi" w:cstheme="minorBidi"/>
          <w:sz w:val="22"/>
          <w:szCs w:val="22"/>
        </w:rPr>
        <w:t xml:space="preserve">Commission </w:t>
      </w:r>
      <w:r w:rsidR="00D27B98">
        <w:rPr>
          <w:rFonts w:asciiTheme="minorHAnsi" w:hAnsiTheme="minorHAnsi" w:cstheme="minorBidi"/>
          <w:sz w:val="22"/>
          <w:szCs w:val="22"/>
        </w:rPr>
        <w:t>agree</w:t>
      </w:r>
      <w:r w:rsidRPr="00A8471A">
        <w:rPr>
          <w:rFonts w:asciiTheme="minorHAnsi" w:hAnsiTheme="minorHAnsi" w:cstheme="minorBidi"/>
          <w:sz w:val="22"/>
          <w:szCs w:val="22"/>
        </w:rPr>
        <w:t xml:space="preserve"> to work collaboratively to respond to enquiries when the recipient would benefit from content from both </w:t>
      </w:r>
      <w:r w:rsidR="00A34C27" w:rsidRPr="00A8471A">
        <w:rPr>
          <w:rFonts w:asciiTheme="minorHAnsi" w:hAnsiTheme="minorHAnsi" w:cstheme="minorBidi"/>
          <w:sz w:val="22"/>
          <w:szCs w:val="22"/>
        </w:rPr>
        <w:t>agencies</w:t>
      </w:r>
      <w:r w:rsidRPr="00A8471A">
        <w:rPr>
          <w:rFonts w:asciiTheme="minorHAnsi" w:hAnsiTheme="minorHAnsi" w:cstheme="minorBidi"/>
          <w:sz w:val="22"/>
          <w:szCs w:val="22"/>
        </w:rPr>
        <w:t xml:space="preserve"> </w:t>
      </w:r>
      <w:proofErr w:type="gramStart"/>
      <w:r w:rsidRPr="00A8471A">
        <w:rPr>
          <w:rFonts w:asciiTheme="minorHAnsi" w:hAnsiTheme="minorHAnsi" w:cstheme="minorBidi"/>
          <w:sz w:val="22"/>
          <w:szCs w:val="22"/>
        </w:rPr>
        <w:t>or</w:t>
      </w:r>
      <w:proofErr w:type="gramEnd"/>
      <w:r w:rsidRPr="00A8471A">
        <w:rPr>
          <w:rFonts w:asciiTheme="minorHAnsi" w:hAnsiTheme="minorHAnsi" w:cstheme="minorBidi"/>
          <w:sz w:val="22"/>
          <w:szCs w:val="22"/>
        </w:rPr>
        <w:t xml:space="preserve"> if there are shared responsibilities referenced. This </w:t>
      </w:r>
      <w:r w:rsidR="00B34ADA">
        <w:rPr>
          <w:rFonts w:asciiTheme="minorHAnsi" w:hAnsiTheme="minorHAnsi" w:cstheme="minorBidi"/>
          <w:sz w:val="22"/>
          <w:szCs w:val="22"/>
        </w:rPr>
        <w:t>A</w:t>
      </w:r>
      <w:r w:rsidRPr="00A8471A">
        <w:rPr>
          <w:rFonts w:asciiTheme="minorHAnsi" w:hAnsiTheme="minorHAnsi" w:cstheme="minorBidi"/>
          <w:sz w:val="22"/>
          <w:szCs w:val="22"/>
        </w:rPr>
        <w:t>greement extends to the preparation of ministerial and parliamentary documentation (see Schedule 2 for public communication and Schedule 4 for parliamentary).</w:t>
      </w:r>
    </w:p>
    <w:p w14:paraId="7B9F304A" w14:textId="2959D14F" w:rsidR="00647ACB" w:rsidRPr="00A8471A" w:rsidRDefault="00647ACB" w:rsidP="00AD3F5A">
      <w:pPr>
        <w:pStyle w:val="ListParagraph"/>
        <w:numPr>
          <w:ilvl w:val="1"/>
          <w:numId w:val="1"/>
        </w:numPr>
        <w:spacing w:after="0" w:line="360" w:lineRule="auto"/>
        <w:ind w:left="709" w:hanging="425"/>
        <w:rPr>
          <w:rFonts w:asciiTheme="minorHAnsi" w:hAnsiTheme="minorHAnsi" w:cstheme="minorBidi"/>
          <w:sz w:val="22"/>
          <w:szCs w:val="22"/>
        </w:rPr>
      </w:pPr>
      <w:r w:rsidRPr="00A8471A">
        <w:rPr>
          <w:rFonts w:asciiTheme="minorHAnsi" w:hAnsiTheme="minorHAnsi" w:cstheme="minorBidi"/>
          <w:sz w:val="22"/>
          <w:szCs w:val="22"/>
        </w:rPr>
        <w:t>Detailed operational requirements are outlined in Schedule 2.</w:t>
      </w:r>
    </w:p>
    <w:p w14:paraId="39705F2D" w14:textId="77777777" w:rsidR="00AD3F5A" w:rsidRPr="00A8471A" w:rsidRDefault="00AD3F5A" w:rsidP="00AD3F5A">
      <w:pPr>
        <w:pStyle w:val="ListParagraph"/>
        <w:spacing w:after="0" w:line="360" w:lineRule="auto"/>
        <w:ind w:left="709"/>
        <w:rPr>
          <w:rFonts w:asciiTheme="minorHAnsi" w:hAnsiTheme="minorHAnsi" w:cstheme="minorBidi"/>
          <w:sz w:val="22"/>
          <w:szCs w:val="22"/>
        </w:rPr>
      </w:pPr>
    </w:p>
    <w:p w14:paraId="6C5C6C19" w14:textId="14E040FF" w:rsidR="00647ACB" w:rsidRPr="00A8471A" w:rsidRDefault="00647ACB" w:rsidP="00AD3F5A">
      <w:pPr>
        <w:pStyle w:val="Heading1"/>
        <w:numPr>
          <w:ilvl w:val="0"/>
          <w:numId w:val="1"/>
        </w:numPr>
        <w:spacing w:before="0" w:line="360" w:lineRule="auto"/>
        <w:rPr>
          <w:color w:val="auto"/>
        </w:rPr>
      </w:pPr>
      <w:bookmarkStart w:id="5" w:name="_Toc168585008"/>
      <w:r w:rsidRPr="00A8471A">
        <w:rPr>
          <w:color w:val="auto"/>
        </w:rPr>
        <w:t>Protocols for the Exchange of Information and Data</w:t>
      </w:r>
      <w:bookmarkEnd w:id="5"/>
      <w:r w:rsidRPr="00A8471A">
        <w:rPr>
          <w:color w:val="auto"/>
        </w:rPr>
        <w:t xml:space="preserve"> </w:t>
      </w:r>
    </w:p>
    <w:p w14:paraId="30ABF9DD" w14:textId="77777777" w:rsidR="00647ACB" w:rsidRPr="00A8471A" w:rsidRDefault="00647ACB" w:rsidP="00AD3F5A">
      <w:pPr>
        <w:pStyle w:val="ListParagraph"/>
        <w:numPr>
          <w:ilvl w:val="1"/>
          <w:numId w:val="1"/>
        </w:numPr>
        <w:spacing w:after="0" w:line="360" w:lineRule="auto"/>
        <w:ind w:left="851" w:hanging="567"/>
        <w:rPr>
          <w:rFonts w:asciiTheme="minorHAnsi" w:hAnsiTheme="minorHAnsi" w:cstheme="minorHAnsi"/>
          <w:sz w:val="22"/>
          <w:szCs w:val="22"/>
        </w:rPr>
      </w:pPr>
      <w:r w:rsidRPr="00A8471A">
        <w:rPr>
          <w:rFonts w:asciiTheme="minorHAnsi" w:hAnsiTheme="minorHAnsi" w:cstheme="minorHAnsi"/>
          <w:sz w:val="22"/>
          <w:szCs w:val="22"/>
        </w:rPr>
        <w:t>The Department and the Commission agree that:</w:t>
      </w:r>
    </w:p>
    <w:p w14:paraId="509D53A6" w14:textId="77777777" w:rsidR="00647ACB" w:rsidRPr="00A8471A" w:rsidRDefault="00647ACB" w:rsidP="00AD3F5A">
      <w:pPr>
        <w:pStyle w:val="ListParagraph"/>
        <w:numPr>
          <w:ilvl w:val="0"/>
          <w:numId w:val="17"/>
        </w:numPr>
        <w:spacing w:after="0" w:line="360" w:lineRule="auto"/>
        <w:ind w:left="1134" w:hanging="284"/>
        <w:rPr>
          <w:rFonts w:asciiTheme="minorHAnsi" w:hAnsiTheme="minorHAnsi" w:cstheme="minorHAnsi"/>
          <w:sz w:val="22"/>
          <w:szCs w:val="22"/>
        </w:rPr>
      </w:pPr>
      <w:r w:rsidRPr="00A8471A">
        <w:rPr>
          <w:rFonts w:asciiTheme="minorHAnsi" w:hAnsiTheme="minorHAnsi" w:cstheme="minorHAnsi"/>
          <w:sz w:val="22"/>
          <w:szCs w:val="22"/>
        </w:rPr>
        <w:t xml:space="preserve">all information requests will be considered with the intention and presumption of facilitating any request as completely and quickly as possible, and </w:t>
      </w:r>
    </w:p>
    <w:p w14:paraId="705B382C" w14:textId="643868FB" w:rsidR="00647ACB" w:rsidRPr="00A8471A" w:rsidRDefault="00647ACB" w:rsidP="00AD3F5A">
      <w:pPr>
        <w:pStyle w:val="ListParagraph"/>
        <w:numPr>
          <w:ilvl w:val="0"/>
          <w:numId w:val="17"/>
        </w:numPr>
        <w:spacing w:after="0" w:line="360" w:lineRule="auto"/>
        <w:ind w:left="1134" w:hanging="284"/>
        <w:rPr>
          <w:rFonts w:asciiTheme="minorHAnsi" w:hAnsiTheme="minorHAnsi" w:cstheme="minorBidi"/>
          <w:sz w:val="22"/>
          <w:szCs w:val="22"/>
        </w:rPr>
      </w:pPr>
      <w:r w:rsidRPr="00A8471A">
        <w:rPr>
          <w:rFonts w:asciiTheme="minorHAnsi" w:hAnsiTheme="minorHAnsi" w:cstheme="minorBidi"/>
          <w:sz w:val="22"/>
          <w:szCs w:val="22"/>
        </w:rPr>
        <w:t>a jointly owned and maintained electronic SharePoint page will be created to support the sharing of information and data. This will be hosted on the Department’s network</w:t>
      </w:r>
      <w:r w:rsidR="005E0D98" w:rsidRPr="00A8471A">
        <w:rPr>
          <w:rFonts w:asciiTheme="minorHAnsi" w:hAnsiTheme="minorHAnsi" w:cstheme="minorBidi"/>
          <w:sz w:val="22"/>
          <w:szCs w:val="22"/>
        </w:rPr>
        <w:t xml:space="preserve"> and comply with </w:t>
      </w:r>
      <w:r w:rsidR="00717971" w:rsidRPr="00A8471A">
        <w:rPr>
          <w:rFonts w:asciiTheme="minorHAnsi" w:hAnsiTheme="minorHAnsi" w:cstheme="minorBidi"/>
          <w:sz w:val="22"/>
          <w:szCs w:val="22"/>
        </w:rPr>
        <w:t>all legal and privacy requirements.</w:t>
      </w:r>
    </w:p>
    <w:p w14:paraId="2E243C5E" w14:textId="6C48B9D9"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Detailed operational requirements are outlined in Schedule 2.</w:t>
      </w:r>
    </w:p>
    <w:p w14:paraId="6181221B" w14:textId="77777777" w:rsidR="00AD3F5A" w:rsidRPr="00A8471A" w:rsidRDefault="00AD3F5A" w:rsidP="00AD3F5A">
      <w:pPr>
        <w:pStyle w:val="ListParagraph"/>
        <w:spacing w:after="0" w:line="360" w:lineRule="auto"/>
        <w:ind w:left="851"/>
        <w:contextualSpacing w:val="0"/>
        <w:rPr>
          <w:rFonts w:asciiTheme="minorHAnsi" w:hAnsiTheme="minorHAnsi" w:cstheme="minorHAnsi"/>
          <w:sz w:val="22"/>
          <w:szCs w:val="22"/>
        </w:rPr>
      </w:pPr>
    </w:p>
    <w:p w14:paraId="2DF05BBA" w14:textId="20345A72" w:rsidR="00647ACB" w:rsidRPr="00A8471A" w:rsidRDefault="00647ACB" w:rsidP="00AD3F5A">
      <w:pPr>
        <w:pStyle w:val="Heading1"/>
        <w:numPr>
          <w:ilvl w:val="0"/>
          <w:numId w:val="1"/>
        </w:numPr>
        <w:spacing w:before="0" w:line="360" w:lineRule="auto"/>
        <w:rPr>
          <w:color w:val="auto"/>
        </w:rPr>
      </w:pPr>
      <w:bookmarkStart w:id="6" w:name="_Toc168585009"/>
      <w:r w:rsidRPr="00A8471A">
        <w:rPr>
          <w:color w:val="auto"/>
        </w:rPr>
        <w:t xml:space="preserve">Roles and Functions of the </w:t>
      </w:r>
      <w:r w:rsidR="0036736B" w:rsidRPr="00A8471A">
        <w:rPr>
          <w:color w:val="auto"/>
        </w:rPr>
        <w:t xml:space="preserve">Department and </w:t>
      </w:r>
      <w:r w:rsidR="00914BF7">
        <w:rPr>
          <w:color w:val="auto"/>
        </w:rPr>
        <w:t xml:space="preserve">the </w:t>
      </w:r>
      <w:r w:rsidR="0036736B" w:rsidRPr="00A8471A">
        <w:rPr>
          <w:color w:val="auto"/>
        </w:rPr>
        <w:t>Commission</w:t>
      </w:r>
      <w:bookmarkEnd w:id="6"/>
    </w:p>
    <w:p w14:paraId="5EA40836" w14:textId="4F995430" w:rsidR="001E1543"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Both </w:t>
      </w:r>
      <w:r w:rsidR="0036736B" w:rsidRPr="00A8471A">
        <w:rPr>
          <w:rFonts w:asciiTheme="minorHAnsi" w:hAnsiTheme="minorHAnsi" w:cstheme="minorHAnsi"/>
          <w:sz w:val="22"/>
          <w:szCs w:val="22"/>
        </w:rPr>
        <w:t>agencies</w:t>
      </w:r>
      <w:r w:rsidRPr="00A8471A">
        <w:rPr>
          <w:rFonts w:asciiTheme="minorHAnsi" w:hAnsiTheme="minorHAnsi" w:cstheme="minorHAnsi"/>
          <w:sz w:val="22"/>
          <w:szCs w:val="22"/>
        </w:rPr>
        <w:t xml:space="preserve"> acknowledge that the full realisation of this MoU is dependent on a clear understanding and respect for the functions that each is individually and jointly responsib</w:t>
      </w:r>
      <w:r w:rsidR="0030029E" w:rsidRPr="00A8471A">
        <w:rPr>
          <w:rFonts w:asciiTheme="minorHAnsi" w:hAnsiTheme="minorHAnsi" w:cstheme="minorHAnsi"/>
          <w:sz w:val="22"/>
          <w:szCs w:val="22"/>
        </w:rPr>
        <w:t>le</w:t>
      </w:r>
      <w:r w:rsidRPr="00A8471A">
        <w:rPr>
          <w:rFonts w:asciiTheme="minorHAnsi" w:hAnsiTheme="minorHAnsi" w:cstheme="minorHAnsi"/>
          <w:sz w:val="22"/>
          <w:szCs w:val="22"/>
        </w:rPr>
        <w:t xml:space="preserve"> for.</w:t>
      </w:r>
    </w:p>
    <w:p w14:paraId="3EFE79DB" w14:textId="0255DBCC"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Department is primarily responsible for policy development, legislation, program </w:t>
      </w:r>
      <w:r w:rsidR="00137B91" w:rsidRPr="00A8471A">
        <w:rPr>
          <w:rFonts w:asciiTheme="minorHAnsi" w:hAnsiTheme="minorHAnsi" w:cstheme="minorBidi"/>
          <w:sz w:val="22"/>
          <w:szCs w:val="22"/>
        </w:rPr>
        <w:t>management</w:t>
      </w:r>
      <w:r w:rsidR="00B32FF9">
        <w:rPr>
          <w:rFonts w:asciiTheme="minorHAnsi" w:hAnsiTheme="minorHAnsi" w:cstheme="minorBidi"/>
          <w:sz w:val="22"/>
          <w:szCs w:val="22"/>
        </w:rPr>
        <w:t>,</w:t>
      </w:r>
      <w:r w:rsidR="00137B91" w:rsidRPr="00A8471A">
        <w:rPr>
          <w:rFonts w:asciiTheme="minorHAnsi" w:hAnsiTheme="minorHAnsi" w:cstheme="minorBidi"/>
          <w:sz w:val="22"/>
          <w:szCs w:val="22"/>
        </w:rPr>
        <w:t xml:space="preserve"> and market</w:t>
      </w:r>
      <w:r w:rsidR="00AB14D7" w:rsidRPr="00A8471A">
        <w:rPr>
          <w:rFonts w:asciiTheme="minorHAnsi" w:hAnsiTheme="minorHAnsi" w:cstheme="minorBidi"/>
          <w:sz w:val="22"/>
          <w:szCs w:val="22"/>
        </w:rPr>
        <w:t xml:space="preserve"> strategy</w:t>
      </w:r>
      <w:r w:rsidRPr="00A8471A">
        <w:rPr>
          <w:rFonts w:asciiTheme="minorHAnsi" w:hAnsiTheme="minorHAnsi" w:cstheme="minorBidi"/>
          <w:sz w:val="22"/>
          <w:szCs w:val="22"/>
        </w:rPr>
        <w:t xml:space="preserve">. Key activities include </w:t>
      </w:r>
      <w:r w:rsidR="5E0D5652" w:rsidRPr="00A8471A">
        <w:rPr>
          <w:rFonts w:asciiTheme="minorHAnsi" w:hAnsiTheme="minorHAnsi" w:cstheme="minorBidi"/>
          <w:sz w:val="22"/>
          <w:szCs w:val="22"/>
        </w:rPr>
        <w:t xml:space="preserve">providing stewardship, </w:t>
      </w:r>
      <w:r w:rsidR="00FE5E62" w:rsidRPr="00A8471A">
        <w:rPr>
          <w:rFonts w:asciiTheme="minorHAnsi" w:hAnsiTheme="minorHAnsi" w:cstheme="minorBidi"/>
          <w:sz w:val="22"/>
          <w:szCs w:val="22"/>
        </w:rPr>
        <w:t xml:space="preserve">leading </w:t>
      </w:r>
      <w:r w:rsidRPr="00A8471A">
        <w:rPr>
          <w:rFonts w:asciiTheme="minorHAnsi" w:hAnsiTheme="minorHAnsi" w:cstheme="minorBidi"/>
          <w:sz w:val="22"/>
          <w:szCs w:val="22"/>
        </w:rPr>
        <w:t xml:space="preserve">budget and parliamentary processes, managing grant arrangements, </w:t>
      </w:r>
      <w:r w:rsidR="2C0129BA" w:rsidRPr="00A8471A">
        <w:rPr>
          <w:rFonts w:asciiTheme="minorHAnsi" w:hAnsiTheme="minorHAnsi" w:cstheme="minorBidi"/>
          <w:sz w:val="22"/>
          <w:szCs w:val="22"/>
        </w:rPr>
        <w:t xml:space="preserve">assuring proper use of program funds by providers, assuring the integrity of self-reporting by providers, </w:t>
      </w:r>
      <w:r w:rsidRPr="00A8471A">
        <w:rPr>
          <w:rFonts w:asciiTheme="minorHAnsi" w:hAnsiTheme="minorHAnsi" w:cstheme="minorBidi"/>
          <w:sz w:val="22"/>
          <w:szCs w:val="22"/>
        </w:rPr>
        <w:t xml:space="preserve">maintaining the ICT infrastructure for the sector and consumers, and supporting key ministerial advisory groups such as the Council of Elders. In leading this work the Department </w:t>
      </w:r>
      <w:r w:rsidR="00D31FFC" w:rsidRPr="00A8471A">
        <w:rPr>
          <w:rFonts w:asciiTheme="minorHAnsi" w:hAnsiTheme="minorHAnsi" w:cstheme="minorBidi"/>
          <w:sz w:val="22"/>
          <w:szCs w:val="22"/>
        </w:rPr>
        <w:t xml:space="preserve">commits </w:t>
      </w:r>
      <w:r w:rsidRPr="00A8471A">
        <w:rPr>
          <w:rFonts w:asciiTheme="minorHAnsi" w:hAnsiTheme="minorHAnsi" w:cstheme="minorBidi"/>
          <w:sz w:val="22"/>
          <w:szCs w:val="22"/>
        </w:rPr>
        <w:t>to consult and engage with the Commission on activities related to implementation, regulatory practice and compliance practice.</w:t>
      </w:r>
    </w:p>
    <w:p w14:paraId="5D206745" w14:textId="70C7BFD0"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Commission’s primary responsibility is to regulate the performance </w:t>
      </w:r>
      <w:r w:rsidR="00F00715" w:rsidRPr="00A8471A">
        <w:rPr>
          <w:rFonts w:asciiTheme="minorHAnsi" w:hAnsiTheme="minorHAnsi" w:cstheme="minorBidi"/>
          <w:sz w:val="22"/>
          <w:szCs w:val="22"/>
        </w:rPr>
        <w:t xml:space="preserve">and compliance </w:t>
      </w:r>
      <w:r w:rsidRPr="00A8471A">
        <w:rPr>
          <w:rFonts w:asciiTheme="minorHAnsi" w:hAnsiTheme="minorHAnsi" w:cstheme="minorBidi"/>
          <w:sz w:val="22"/>
          <w:szCs w:val="22"/>
        </w:rPr>
        <w:t>of approved providers and the workforce in accordance with legislative frameworks</w:t>
      </w:r>
      <w:r w:rsidR="004675D6">
        <w:rPr>
          <w:rFonts w:asciiTheme="minorHAnsi" w:hAnsiTheme="minorHAnsi" w:cstheme="minorBidi"/>
          <w:sz w:val="22"/>
          <w:szCs w:val="22"/>
        </w:rPr>
        <w:t>,</w:t>
      </w:r>
      <w:r w:rsidR="7217068C" w:rsidRPr="00A8471A">
        <w:rPr>
          <w:rFonts w:asciiTheme="minorHAnsi" w:hAnsiTheme="minorHAnsi" w:cstheme="minorBidi"/>
          <w:sz w:val="22"/>
          <w:szCs w:val="22"/>
        </w:rPr>
        <w:t xml:space="preserve"> as applicable to the Commission’s scope as the </w:t>
      </w:r>
      <w:r w:rsidR="00953CC1" w:rsidRPr="00A8471A">
        <w:rPr>
          <w:rFonts w:asciiTheme="minorHAnsi" w:hAnsiTheme="minorHAnsi" w:cstheme="minorBidi"/>
          <w:sz w:val="22"/>
          <w:szCs w:val="22"/>
        </w:rPr>
        <w:t>n</w:t>
      </w:r>
      <w:r w:rsidR="7217068C" w:rsidRPr="00A8471A">
        <w:rPr>
          <w:rFonts w:asciiTheme="minorHAnsi" w:hAnsiTheme="minorHAnsi" w:cstheme="minorBidi"/>
          <w:sz w:val="22"/>
          <w:szCs w:val="22"/>
        </w:rPr>
        <w:t xml:space="preserve">ational </w:t>
      </w:r>
      <w:r w:rsidR="00953CC1" w:rsidRPr="00A8471A">
        <w:rPr>
          <w:rFonts w:asciiTheme="minorHAnsi" w:hAnsiTheme="minorHAnsi" w:cstheme="minorBidi"/>
          <w:sz w:val="22"/>
          <w:szCs w:val="22"/>
        </w:rPr>
        <w:t>r</w:t>
      </w:r>
      <w:r w:rsidR="7217068C" w:rsidRPr="00A8471A">
        <w:rPr>
          <w:rFonts w:asciiTheme="minorHAnsi" w:hAnsiTheme="minorHAnsi" w:cstheme="minorBidi"/>
          <w:sz w:val="22"/>
          <w:szCs w:val="22"/>
        </w:rPr>
        <w:t xml:space="preserve">egulator for </w:t>
      </w:r>
      <w:r w:rsidR="00953CC1" w:rsidRPr="00A8471A">
        <w:rPr>
          <w:rFonts w:asciiTheme="minorHAnsi" w:hAnsiTheme="minorHAnsi" w:cstheme="minorBidi"/>
          <w:sz w:val="22"/>
          <w:szCs w:val="22"/>
        </w:rPr>
        <w:t>a</w:t>
      </w:r>
      <w:r w:rsidR="7217068C" w:rsidRPr="00A8471A">
        <w:rPr>
          <w:rFonts w:asciiTheme="minorHAnsi" w:hAnsiTheme="minorHAnsi" w:cstheme="minorBidi"/>
          <w:sz w:val="22"/>
          <w:szCs w:val="22"/>
        </w:rPr>
        <w:t xml:space="preserve">ged </w:t>
      </w:r>
      <w:r w:rsidR="00953CC1" w:rsidRPr="00A8471A">
        <w:rPr>
          <w:rFonts w:asciiTheme="minorHAnsi" w:hAnsiTheme="minorHAnsi" w:cstheme="minorBidi"/>
          <w:sz w:val="22"/>
          <w:szCs w:val="22"/>
        </w:rPr>
        <w:t>c</w:t>
      </w:r>
      <w:r w:rsidR="7217068C" w:rsidRPr="00A8471A">
        <w:rPr>
          <w:rFonts w:asciiTheme="minorHAnsi" w:hAnsiTheme="minorHAnsi" w:cstheme="minorBidi"/>
          <w:sz w:val="22"/>
          <w:szCs w:val="22"/>
        </w:rPr>
        <w:t>are</w:t>
      </w:r>
      <w:r w:rsidR="1A80D2A1" w:rsidRPr="00A8471A">
        <w:rPr>
          <w:rFonts w:asciiTheme="minorHAnsi" w:hAnsiTheme="minorHAnsi" w:cstheme="minorBidi"/>
          <w:sz w:val="22"/>
          <w:szCs w:val="22"/>
        </w:rPr>
        <w:t>.</w:t>
      </w:r>
      <w:r w:rsidRPr="00A8471A">
        <w:rPr>
          <w:rFonts w:asciiTheme="minorHAnsi" w:hAnsiTheme="minorHAnsi" w:cstheme="minorBidi"/>
          <w:sz w:val="22"/>
          <w:szCs w:val="22"/>
        </w:rPr>
        <w:t xml:space="preserve"> It also invests in education and engagement to empower people who use aged care and supports providers to understand and comply with their obligations and responsibilities. The Commission develops regulatory strategy and operational policy to guide the use of powers and decision making. The Commission </w:t>
      </w:r>
      <w:r w:rsidR="00A97283" w:rsidRPr="00A8471A">
        <w:rPr>
          <w:rFonts w:asciiTheme="minorHAnsi" w:hAnsiTheme="minorHAnsi" w:cstheme="minorBidi"/>
          <w:sz w:val="22"/>
          <w:szCs w:val="22"/>
        </w:rPr>
        <w:t>will</w:t>
      </w:r>
      <w:r w:rsidRPr="00A8471A">
        <w:rPr>
          <w:rFonts w:asciiTheme="minorHAnsi" w:hAnsiTheme="minorHAnsi" w:cstheme="minorBidi"/>
          <w:sz w:val="22"/>
          <w:szCs w:val="22"/>
        </w:rPr>
        <w:t xml:space="preserve"> share </w:t>
      </w:r>
      <w:r w:rsidR="1EF0EEA6" w:rsidRPr="00A8471A">
        <w:rPr>
          <w:rFonts w:asciiTheme="minorHAnsi" w:hAnsiTheme="minorHAnsi" w:cstheme="minorBidi"/>
          <w:sz w:val="22"/>
          <w:szCs w:val="22"/>
        </w:rPr>
        <w:t>its</w:t>
      </w:r>
      <w:r w:rsidRPr="00A8471A">
        <w:rPr>
          <w:rFonts w:asciiTheme="minorHAnsi" w:hAnsiTheme="minorHAnsi" w:cstheme="minorBidi"/>
          <w:sz w:val="22"/>
          <w:szCs w:val="22"/>
        </w:rPr>
        <w:t xml:space="preserve"> learned experience with the Department to advance shared aged care portfolio aims. </w:t>
      </w:r>
    </w:p>
    <w:p w14:paraId="4788AF9F" w14:textId="3691B35E" w:rsidR="55DF0D1A" w:rsidRPr="00A8471A" w:rsidRDefault="55DF0D1A"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Both agencies support the independence of the </w:t>
      </w:r>
      <w:r w:rsidR="005B1844" w:rsidRPr="00A8471A">
        <w:rPr>
          <w:rFonts w:asciiTheme="minorHAnsi" w:hAnsiTheme="minorHAnsi" w:cstheme="minorBidi"/>
          <w:sz w:val="22"/>
          <w:szCs w:val="22"/>
        </w:rPr>
        <w:t>Aged Care Quality and Safety Advisory Council</w:t>
      </w:r>
      <w:r w:rsidRPr="00A8471A">
        <w:rPr>
          <w:rFonts w:asciiTheme="minorHAnsi" w:hAnsiTheme="minorHAnsi" w:cstheme="minorBidi"/>
          <w:sz w:val="22"/>
          <w:szCs w:val="22"/>
        </w:rPr>
        <w:t xml:space="preserve">. The </w:t>
      </w:r>
      <w:r w:rsidR="005B1844" w:rsidRPr="00A8471A">
        <w:rPr>
          <w:rFonts w:asciiTheme="minorHAnsi" w:hAnsiTheme="minorHAnsi" w:cstheme="minorBidi"/>
          <w:sz w:val="22"/>
          <w:szCs w:val="22"/>
        </w:rPr>
        <w:t xml:space="preserve">Aged Care Quality and Safety Advisory Council </w:t>
      </w:r>
      <w:r w:rsidRPr="00A8471A">
        <w:rPr>
          <w:rFonts w:asciiTheme="minorHAnsi" w:hAnsiTheme="minorHAnsi" w:cstheme="minorBidi"/>
          <w:sz w:val="22"/>
          <w:szCs w:val="22"/>
        </w:rPr>
        <w:t xml:space="preserve">reports </w:t>
      </w:r>
      <w:r w:rsidR="102490DC" w:rsidRPr="00A8471A">
        <w:rPr>
          <w:rFonts w:asciiTheme="minorHAnsi" w:hAnsiTheme="minorHAnsi" w:cstheme="minorBidi"/>
          <w:sz w:val="22"/>
          <w:szCs w:val="22"/>
        </w:rPr>
        <w:t xml:space="preserve">directly </w:t>
      </w:r>
      <w:r w:rsidRPr="00A8471A">
        <w:rPr>
          <w:rFonts w:asciiTheme="minorHAnsi" w:hAnsiTheme="minorHAnsi" w:cstheme="minorBidi"/>
          <w:sz w:val="22"/>
          <w:szCs w:val="22"/>
        </w:rPr>
        <w:t xml:space="preserve">to the Minister and the Commissioner. </w:t>
      </w:r>
    </w:p>
    <w:p w14:paraId="6AFC15A2" w14:textId="47D6FC21" w:rsidR="00B94511" w:rsidRPr="00A8471A" w:rsidRDefault="00B94511"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Both agencies also acknowledge their responsibilities </w:t>
      </w:r>
      <w:r w:rsidR="006516D1" w:rsidRPr="00A8471A">
        <w:rPr>
          <w:rFonts w:asciiTheme="minorHAnsi" w:hAnsiTheme="minorHAnsi" w:cstheme="minorHAnsi"/>
          <w:sz w:val="22"/>
          <w:szCs w:val="22"/>
        </w:rPr>
        <w:t>in respect to Closing the Gap and the importance of enhancing</w:t>
      </w:r>
      <w:r w:rsidR="00613252" w:rsidRPr="00A8471A">
        <w:rPr>
          <w:rFonts w:asciiTheme="minorHAnsi" w:hAnsiTheme="minorHAnsi" w:cstheme="minorHAnsi"/>
          <w:sz w:val="22"/>
          <w:szCs w:val="22"/>
        </w:rPr>
        <w:t xml:space="preserve"> </w:t>
      </w:r>
      <w:r w:rsidR="004E2C6B" w:rsidRPr="00A8471A">
        <w:rPr>
          <w:rFonts w:asciiTheme="minorHAnsi" w:hAnsiTheme="minorHAnsi" w:cstheme="minorHAnsi"/>
          <w:sz w:val="22"/>
          <w:szCs w:val="22"/>
        </w:rPr>
        <w:t xml:space="preserve">agency </w:t>
      </w:r>
      <w:r w:rsidR="006516D1" w:rsidRPr="00A8471A">
        <w:rPr>
          <w:rFonts w:asciiTheme="minorHAnsi" w:hAnsiTheme="minorHAnsi" w:cstheme="minorHAnsi"/>
          <w:sz w:val="22"/>
          <w:szCs w:val="22"/>
        </w:rPr>
        <w:t>cultural capability</w:t>
      </w:r>
      <w:r w:rsidR="00613252" w:rsidRPr="00A8471A">
        <w:rPr>
          <w:rFonts w:asciiTheme="minorHAnsi" w:hAnsiTheme="minorHAnsi" w:cstheme="minorHAnsi"/>
          <w:sz w:val="22"/>
          <w:szCs w:val="22"/>
        </w:rPr>
        <w:t xml:space="preserve"> </w:t>
      </w:r>
      <w:r w:rsidR="00F801C6" w:rsidRPr="00A8471A">
        <w:rPr>
          <w:rFonts w:asciiTheme="minorHAnsi" w:hAnsiTheme="minorHAnsi" w:cstheme="minorHAnsi"/>
          <w:sz w:val="22"/>
          <w:szCs w:val="22"/>
        </w:rPr>
        <w:t>within our workplaces and with all our stakeholders.</w:t>
      </w:r>
      <w:r w:rsidR="00F801C6" w:rsidRPr="00A8471A">
        <w:rPr>
          <w:rStyle w:val="cf01"/>
        </w:rPr>
        <w:t xml:space="preserve"> </w:t>
      </w:r>
    </w:p>
    <w:p w14:paraId="4990A9EC" w14:textId="434F609E"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Bidi"/>
          <w:sz w:val="22"/>
          <w:szCs w:val="22"/>
        </w:rPr>
        <w:t xml:space="preserve">For the purposes of the PGPA Act, the Commission is a listed entity required to </w:t>
      </w:r>
      <w:r w:rsidR="00007227" w:rsidRPr="00A8471A">
        <w:rPr>
          <w:rFonts w:asciiTheme="minorHAnsi" w:hAnsiTheme="minorHAnsi" w:cstheme="minorBidi"/>
          <w:sz w:val="22"/>
          <w:szCs w:val="22"/>
        </w:rPr>
        <w:t>comply with</w:t>
      </w:r>
      <w:r w:rsidR="00ED3245" w:rsidRPr="00A8471A">
        <w:rPr>
          <w:rFonts w:asciiTheme="minorHAnsi" w:hAnsiTheme="minorHAnsi" w:cstheme="minorBidi"/>
          <w:sz w:val="22"/>
          <w:szCs w:val="22"/>
        </w:rPr>
        <w:t xml:space="preserve"> the</w:t>
      </w:r>
      <w:r w:rsidRPr="00A8471A">
        <w:rPr>
          <w:rFonts w:asciiTheme="minorHAnsi" w:hAnsiTheme="minorHAnsi" w:cstheme="minorBidi"/>
          <w:sz w:val="22"/>
          <w:szCs w:val="22"/>
        </w:rPr>
        <w:t xml:space="preserve"> PGPA Act and consists of the Commissioner and the staff of the Commission. The </w:t>
      </w:r>
      <w:r w:rsidR="000E32F6" w:rsidRPr="00A8471A">
        <w:rPr>
          <w:rFonts w:asciiTheme="minorHAnsi" w:hAnsiTheme="minorHAnsi" w:cstheme="minorBidi"/>
          <w:sz w:val="22"/>
          <w:szCs w:val="22"/>
        </w:rPr>
        <w:t>Commission</w:t>
      </w:r>
      <w:r w:rsidRPr="00A8471A">
        <w:rPr>
          <w:rFonts w:asciiTheme="minorHAnsi" w:hAnsiTheme="minorHAnsi" w:cstheme="minorBidi"/>
          <w:sz w:val="22"/>
          <w:szCs w:val="22"/>
        </w:rPr>
        <w:t xml:space="preserve"> is independent of other government bodies and the Commissioner reports to the Minister. </w:t>
      </w:r>
    </w:p>
    <w:p w14:paraId="4D410182" w14:textId="70F4F5C6"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 xml:space="preserve">Both </w:t>
      </w:r>
      <w:r w:rsidR="0036736B" w:rsidRPr="00A8471A">
        <w:rPr>
          <w:rFonts w:asciiTheme="minorHAnsi" w:hAnsiTheme="minorHAnsi" w:cstheme="minorBidi"/>
          <w:sz w:val="22"/>
          <w:szCs w:val="22"/>
        </w:rPr>
        <w:t>agencie</w:t>
      </w:r>
      <w:r w:rsidRPr="00A8471A">
        <w:rPr>
          <w:rFonts w:asciiTheme="minorHAnsi" w:hAnsiTheme="minorHAnsi" w:cstheme="minorBidi"/>
          <w:sz w:val="22"/>
          <w:szCs w:val="22"/>
        </w:rPr>
        <w:t>s are committed to fulfilling their respective roles and responsibilities in accordance with the Minister’s Statement of Expectation</w:t>
      </w:r>
      <w:r w:rsidR="00CC7262" w:rsidRPr="00A8471A">
        <w:rPr>
          <w:rFonts w:asciiTheme="minorHAnsi" w:hAnsiTheme="minorHAnsi" w:cstheme="minorBidi"/>
          <w:sz w:val="22"/>
          <w:szCs w:val="22"/>
        </w:rPr>
        <w:t>s</w:t>
      </w:r>
      <w:r w:rsidR="005E229F" w:rsidRPr="00A8471A">
        <w:rPr>
          <w:rFonts w:asciiTheme="minorHAnsi" w:hAnsiTheme="minorHAnsi" w:cstheme="minorBidi"/>
          <w:sz w:val="22"/>
          <w:szCs w:val="22"/>
        </w:rPr>
        <w:t>,</w:t>
      </w:r>
      <w:r w:rsidRPr="00A8471A">
        <w:rPr>
          <w:rFonts w:asciiTheme="minorHAnsi" w:hAnsiTheme="minorHAnsi" w:cstheme="minorBidi"/>
          <w:sz w:val="22"/>
          <w:szCs w:val="22"/>
        </w:rPr>
        <w:t xml:space="preserve"> and</w:t>
      </w:r>
      <w:r w:rsidR="003B507A" w:rsidRPr="00A8471A">
        <w:rPr>
          <w:rFonts w:asciiTheme="minorHAnsi" w:hAnsiTheme="minorHAnsi" w:cstheme="minorBidi"/>
          <w:sz w:val="22"/>
          <w:szCs w:val="22"/>
        </w:rPr>
        <w:t xml:space="preserve"> the Commission </w:t>
      </w:r>
      <w:r w:rsidR="009B55E0" w:rsidRPr="00A8471A">
        <w:rPr>
          <w:rFonts w:asciiTheme="minorHAnsi" w:hAnsiTheme="minorHAnsi" w:cstheme="minorBidi"/>
          <w:sz w:val="22"/>
          <w:szCs w:val="22"/>
        </w:rPr>
        <w:t>in accordance with the</w:t>
      </w:r>
      <w:r w:rsidRPr="00A8471A">
        <w:rPr>
          <w:rFonts w:asciiTheme="minorHAnsi" w:hAnsiTheme="minorHAnsi" w:cstheme="minorBidi"/>
          <w:sz w:val="22"/>
          <w:szCs w:val="22"/>
        </w:rPr>
        <w:t xml:space="preserve"> Commissioner’s Statement of Intent.</w:t>
      </w:r>
      <w:r w:rsidR="00EE2B8C" w:rsidRPr="00A8471A">
        <w:rPr>
          <w:rFonts w:asciiTheme="minorHAnsi" w:hAnsiTheme="minorHAnsi" w:cstheme="minorBidi"/>
          <w:sz w:val="22"/>
          <w:szCs w:val="22"/>
        </w:rPr>
        <w:t xml:space="preserve"> The </w:t>
      </w:r>
      <w:r w:rsidR="00290934" w:rsidRPr="00A8471A">
        <w:rPr>
          <w:rFonts w:asciiTheme="minorHAnsi" w:hAnsiTheme="minorHAnsi" w:cstheme="minorBidi"/>
          <w:sz w:val="22"/>
          <w:szCs w:val="22"/>
        </w:rPr>
        <w:t>D</w:t>
      </w:r>
      <w:r w:rsidR="00EE2B8C" w:rsidRPr="00A8471A">
        <w:rPr>
          <w:rFonts w:asciiTheme="minorHAnsi" w:hAnsiTheme="minorHAnsi" w:cstheme="minorBidi"/>
          <w:sz w:val="22"/>
          <w:szCs w:val="22"/>
        </w:rPr>
        <w:t>epartment supports the Minister in</w:t>
      </w:r>
      <w:r w:rsidR="009034D2" w:rsidRPr="00A8471A">
        <w:rPr>
          <w:rFonts w:asciiTheme="minorHAnsi" w:hAnsiTheme="minorHAnsi" w:cstheme="minorBidi"/>
          <w:sz w:val="22"/>
          <w:szCs w:val="22"/>
        </w:rPr>
        <w:t xml:space="preserve"> the development of the Statement of </w:t>
      </w:r>
      <w:r w:rsidR="00477110" w:rsidRPr="00A8471A">
        <w:rPr>
          <w:rFonts w:asciiTheme="minorHAnsi" w:hAnsiTheme="minorHAnsi" w:cstheme="minorBidi"/>
          <w:sz w:val="22"/>
          <w:szCs w:val="22"/>
        </w:rPr>
        <w:t>Expectation</w:t>
      </w:r>
      <w:r w:rsidR="003E1C5A" w:rsidRPr="00A8471A">
        <w:rPr>
          <w:rFonts w:asciiTheme="minorHAnsi" w:hAnsiTheme="minorHAnsi" w:cstheme="minorBidi"/>
          <w:sz w:val="22"/>
          <w:szCs w:val="22"/>
        </w:rPr>
        <w:t xml:space="preserve"> including consulting with the Commissioner</w:t>
      </w:r>
      <w:r w:rsidR="008041A4" w:rsidRPr="00A8471A">
        <w:rPr>
          <w:rFonts w:asciiTheme="minorHAnsi" w:hAnsiTheme="minorHAnsi" w:cstheme="minorBidi"/>
          <w:sz w:val="22"/>
          <w:szCs w:val="22"/>
        </w:rPr>
        <w:t xml:space="preserve"> prior to submission to the Minister for consideration</w:t>
      </w:r>
      <w:r w:rsidR="00116435" w:rsidRPr="00A8471A">
        <w:rPr>
          <w:rFonts w:asciiTheme="minorHAnsi" w:hAnsiTheme="minorHAnsi" w:cstheme="minorBidi"/>
          <w:sz w:val="22"/>
          <w:szCs w:val="22"/>
        </w:rPr>
        <w:t>.</w:t>
      </w:r>
    </w:p>
    <w:p w14:paraId="29C54A3C" w14:textId="44C23AD5"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 xml:space="preserve">This MoU acknowledges that while both the Department and </w:t>
      </w:r>
      <w:r w:rsidR="00DE4AAD">
        <w:rPr>
          <w:rFonts w:asciiTheme="minorHAnsi" w:hAnsiTheme="minorHAnsi" w:cstheme="minorBidi"/>
          <w:sz w:val="22"/>
          <w:szCs w:val="22"/>
        </w:rPr>
        <w:t xml:space="preserve">the </w:t>
      </w:r>
      <w:r w:rsidRPr="00A8471A">
        <w:rPr>
          <w:rFonts w:asciiTheme="minorHAnsi" w:hAnsiTheme="minorHAnsi" w:cstheme="minorBidi"/>
          <w:sz w:val="22"/>
          <w:szCs w:val="22"/>
        </w:rPr>
        <w:t xml:space="preserve">Commission have separate and well-defined roles and responsibilities, both </w:t>
      </w:r>
      <w:r w:rsidR="0036736B" w:rsidRPr="00A8471A">
        <w:rPr>
          <w:rFonts w:asciiTheme="minorHAnsi" w:hAnsiTheme="minorHAnsi" w:cstheme="minorBidi"/>
          <w:sz w:val="22"/>
          <w:szCs w:val="22"/>
        </w:rPr>
        <w:t>agencies</w:t>
      </w:r>
      <w:r w:rsidRPr="00A8471A">
        <w:rPr>
          <w:rFonts w:asciiTheme="minorHAnsi" w:hAnsiTheme="minorHAnsi" w:cstheme="minorBidi"/>
          <w:sz w:val="22"/>
          <w:szCs w:val="22"/>
        </w:rPr>
        <w:t xml:space="preserve"> operate within the broader care and support sector including disability, veterans care and the health</w:t>
      </w:r>
      <w:r w:rsidR="0020674B" w:rsidRPr="00A8471A">
        <w:rPr>
          <w:rFonts w:asciiTheme="minorHAnsi" w:hAnsiTheme="minorHAnsi" w:cstheme="minorBidi"/>
          <w:sz w:val="22"/>
          <w:szCs w:val="22"/>
        </w:rPr>
        <w:t xml:space="preserve"> systems</w:t>
      </w:r>
      <w:r w:rsidRPr="00A8471A">
        <w:rPr>
          <w:rFonts w:asciiTheme="minorHAnsi" w:hAnsiTheme="minorHAnsi" w:cstheme="minorBidi"/>
          <w:sz w:val="22"/>
          <w:szCs w:val="22"/>
        </w:rPr>
        <w:t xml:space="preserve">. </w:t>
      </w:r>
      <w:r w:rsidR="1E8014AC" w:rsidRPr="00A8471A">
        <w:rPr>
          <w:rFonts w:asciiTheme="minorHAnsi" w:hAnsiTheme="minorHAnsi" w:cstheme="minorBidi"/>
          <w:sz w:val="22"/>
          <w:szCs w:val="22"/>
        </w:rPr>
        <w:t>T</w:t>
      </w:r>
      <w:r w:rsidR="1A80D2A1" w:rsidRPr="00A8471A">
        <w:rPr>
          <w:rFonts w:asciiTheme="minorHAnsi" w:hAnsiTheme="minorHAnsi" w:cstheme="minorBidi"/>
          <w:sz w:val="22"/>
          <w:szCs w:val="22"/>
        </w:rPr>
        <w:t>he</w:t>
      </w:r>
      <w:r w:rsidRPr="00A8471A">
        <w:rPr>
          <w:rFonts w:asciiTheme="minorHAnsi" w:hAnsiTheme="minorHAnsi" w:cstheme="minorBidi"/>
          <w:sz w:val="22"/>
          <w:szCs w:val="22"/>
        </w:rPr>
        <w:t xml:space="preserve"> Department and the Commission work to achieve shared objectives of the care economy sector.</w:t>
      </w:r>
    </w:p>
    <w:p w14:paraId="5603BC5D" w14:textId="0373C404"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With the passage of the new aged care act, some of the key roles and responsibilities of the Department and the Commission, including shared responsibilities, may change. As such, this M</w:t>
      </w:r>
      <w:r w:rsidR="00DC5549" w:rsidRPr="00A8471A">
        <w:rPr>
          <w:rFonts w:asciiTheme="minorHAnsi" w:hAnsiTheme="minorHAnsi" w:cstheme="minorBidi"/>
          <w:sz w:val="22"/>
          <w:szCs w:val="22"/>
        </w:rPr>
        <w:t>o</w:t>
      </w:r>
      <w:r w:rsidRPr="00A8471A">
        <w:rPr>
          <w:rFonts w:asciiTheme="minorHAnsi" w:hAnsiTheme="minorHAnsi" w:cstheme="minorBidi"/>
          <w:sz w:val="22"/>
          <w:szCs w:val="22"/>
        </w:rPr>
        <w:t xml:space="preserve">U may require amendment to reflect these changes. </w:t>
      </w:r>
    </w:p>
    <w:p w14:paraId="7FF42450" w14:textId="1E15900C" w:rsidR="00647ACB" w:rsidRPr="00A8471A" w:rsidRDefault="00647ACB" w:rsidP="00AD3F5A">
      <w:pPr>
        <w:pStyle w:val="Heading1"/>
        <w:numPr>
          <w:ilvl w:val="0"/>
          <w:numId w:val="1"/>
        </w:numPr>
        <w:spacing w:before="0" w:line="360" w:lineRule="auto"/>
        <w:rPr>
          <w:color w:val="auto"/>
        </w:rPr>
      </w:pPr>
      <w:bookmarkStart w:id="7" w:name="_Toc168585010"/>
      <w:r w:rsidRPr="00A8471A">
        <w:rPr>
          <w:color w:val="auto"/>
        </w:rPr>
        <w:t>Schedules to this Agreement</w:t>
      </w:r>
      <w:bookmarkEnd w:id="7"/>
    </w:p>
    <w:p w14:paraId="54221F47" w14:textId="27DAE830"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The Schedules to the General A</w:t>
      </w:r>
      <w:r w:rsidR="45DEB95D" w:rsidRPr="00A8471A">
        <w:rPr>
          <w:rFonts w:asciiTheme="minorHAnsi" w:hAnsiTheme="minorHAnsi" w:cstheme="minorBidi"/>
          <w:sz w:val="22"/>
          <w:szCs w:val="22"/>
        </w:rPr>
        <w:t>greement</w:t>
      </w:r>
      <w:r w:rsidRPr="00A8471A">
        <w:rPr>
          <w:rFonts w:asciiTheme="minorHAnsi" w:hAnsiTheme="minorHAnsi" w:cstheme="minorBidi"/>
          <w:sz w:val="22"/>
          <w:szCs w:val="22"/>
        </w:rPr>
        <w:t xml:space="preserve"> (Part 2 of the MoU) set out specific operational protocols between the two </w:t>
      </w:r>
      <w:r w:rsidR="0036736B" w:rsidRPr="00A8471A">
        <w:rPr>
          <w:rFonts w:asciiTheme="minorHAnsi" w:hAnsiTheme="minorHAnsi" w:cstheme="minorBidi"/>
          <w:sz w:val="22"/>
          <w:szCs w:val="22"/>
        </w:rPr>
        <w:t>agencies</w:t>
      </w:r>
      <w:r w:rsidRPr="00A8471A">
        <w:rPr>
          <w:rFonts w:asciiTheme="minorHAnsi" w:hAnsiTheme="minorHAnsi" w:cstheme="minorBidi"/>
          <w:sz w:val="22"/>
          <w:szCs w:val="22"/>
        </w:rPr>
        <w:t>.</w:t>
      </w:r>
    </w:p>
    <w:p w14:paraId="4E84688F" w14:textId="77777777"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The MoU contains four Schedules as follows:</w:t>
      </w:r>
    </w:p>
    <w:p w14:paraId="35C06F33" w14:textId="32C23CDB" w:rsidR="00647ACB" w:rsidRPr="00A8471A" w:rsidRDefault="00647ACB" w:rsidP="00AD3F5A">
      <w:pPr>
        <w:pStyle w:val="ListParagraph"/>
        <w:numPr>
          <w:ilvl w:val="0"/>
          <w:numId w:val="22"/>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Schedule 1: Data and information sharing </w:t>
      </w:r>
    </w:p>
    <w:p w14:paraId="14AC64EB" w14:textId="15D86157" w:rsidR="00647ACB" w:rsidRPr="00A8471A" w:rsidRDefault="00647ACB" w:rsidP="00AD3F5A">
      <w:pPr>
        <w:pStyle w:val="ListParagraph"/>
        <w:numPr>
          <w:ilvl w:val="0"/>
          <w:numId w:val="22"/>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 xml:space="preserve">Schedule 2: External </w:t>
      </w:r>
      <w:r w:rsidR="3D42D793" w:rsidRPr="00A8471A">
        <w:rPr>
          <w:rFonts w:asciiTheme="minorHAnsi" w:hAnsiTheme="minorHAnsi" w:cstheme="minorBidi"/>
          <w:sz w:val="22"/>
          <w:szCs w:val="22"/>
        </w:rPr>
        <w:t>c</w:t>
      </w:r>
      <w:r w:rsidR="1A80D2A1" w:rsidRPr="00A8471A">
        <w:rPr>
          <w:rFonts w:asciiTheme="minorHAnsi" w:hAnsiTheme="minorHAnsi" w:cstheme="minorBidi"/>
          <w:sz w:val="22"/>
          <w:szCs w:val="22"/>
        </w:rPr>
        <w:t xml:space="preserve">ommunication, </w:t>
      </w:r>
      <w:r w:rsidR="5DF0333F" w:rsidRPr="00A8471A">
        <w:rPr>
          <w:rFonts w:asciiTheme="minorHAnsi" w:hAnsiTheme="minorHAnsi" w:cstheme="minorBidi"/>
          <w:sz w:val="22"/>
          <w:szCs w:val="22"/>
        </w:rPr>
        <w:t>s</w:t>
      </w:r>
      <w:r w:rsidR="1A80D2A1" w:rsidRPr="00A8471A">
        <w:rPr>
          <w:rFonts w:asciiTheme="minorHAnsi" w:hAnsiTheme="minorHAnsi" w:cstheme="minorBidi"/>
          <w:sz w:val="22"/>
          <w:szCs w:val="22"/>
        </w:rPr>
        <w:t xml:space="preserve">ector </w:t>
      </w:r>
      <w:r w:rsidR="57948BF1" w:rsidRPr="00A8471A">
        <w:rPr>
          <w:rFonts w:asciiTheme="minorHAnsi" w:hAnsiTheme="minorHAnsi" w:cstheme="minorBidi"/>
          <w:sz w:val="22"/>
          <w:szCs w:val="22"/>
        </w:rPr>
        <w:t>e</w:t>
      </w:r>
      <w:r w:rsidR="1A80D2A1" w:rsidRPr="00A8471A">
        <w:rPr>
          <w:rFonts w:asciiTheme="minorHAnsi" w:hAnsiTheme="minorHAnsi" w:cstheme="minorBidi"/>
          <w:sz w:val="22"/>
          <w:szCs w:val="22"/>
        </w:rPr>
        <w:t>ngagement</w:t>
      </w:r>
      <w:r w:rsidRPr="00A8471A">
        <w:rPr>
          <w:rFonts w:asciiTheme="minorHAnsi" w:hAnsiTheme="minorHAnsi" w:cstheme="minorBidi"/>
          <w:sz w:val="22"/>
          <w:szCs w:val="22"/>
        </w:rPr>
        <w:t xml:space="preserve"> and </w:t>
      </w:r>
      <w:r w:rsidR="3E7C908B" w:rsidRPr="00A8471A">
        <w:rPr>
          <w:rFonts w:asciiTheme="minorHAnsi" w:hAnsiTheme="minorHAnsi" w:cstheme="minorBidi"/>
          <w:sz w:val="22"/>
          <w:szCs w:val="22"/>
        </w:rPr>
        <w:t>e</w:t>
      </w:r>
      <w:r w:rsidR="1A80D2A1" w:rsidRPr="00A8471A">
        <w:rPr>
          <w:rFonts w:asciiTheme="minorHAnsi" w:hAnsiTheme="minorHAnsi" w:cstheme="minorBidi"/>
          <w:sz w:val="22"/>
          <w:szCs w:val="22"/>
        </w:rPr>
        <w:t>ducation</w:t>
      </w:r>
      <w:r w:rsidRPr="00A8471A">
        <w:rPr>
          <w:rFonts w:asciiTheme="minorHAnsi" w:hAnsiTheme="minorHAnsi" w:cstheme="minorBidi"/>
          <w:sz w:val="22"/>
          <w:szCs w:val="22"/>
        </w:rPr>
        <w:t xml:space="preserve"> </w:t>
      </w:r>
    </w:p>
    <w:p w14:paraId="34354B61" w14:textId="2EA9C3F5" w:rsidR="00647ACB" w:rsidRPr="00A8471A" w:rsidRDefault="00647ACB" w:rsidP="00AD3F5A">
      <w:pPr>
        <w:pStyle w:val="ListParagraph"/>
        <w:numPr>
          <w:ilvl w:val="0"/>
          <w:numId w:val="22"/>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Schedule 3: Collaborating to manage issues and risk</w:t>
      </w:r>
      <w:r w:rsidR="002435BF">
        <w:rPr>
          <w:rFonts w:asciiTheme="minorHAnsi" w:hAnsiTheme="minorHAnsi" w:cstheme="minorBidi"/>
          <w:sz w:val="22"/>
          <w:szCs w:val="22"/>
        </w:rPr>
        <w:t>, and</w:t>
      </w:r>
      <w:r w:rsidRPr="00A8471A">
        <w:rPr>
          <w:rFonts w:asciiTheme="minorHAnsi" w:hAnsiTheme="minorHAnsi" w:cstheme="minorBidi"/>
          <w:sz w:val="22"/>
          <w:szCs w:val="22"/>
        </w:rPr>
        <w:t xml:space="preserve"> </w:t>
      </w:r>
    </w:p>
    <w:p w14:paraId="4C22F685" w14:textId="0F48B5BC" w:rsidR="00647ACB" w:rsidRPr="00A8471A" w:rsidRDefault="00647ACB" w:rsidP="00AD3F5A">
      <w:pPr>
        <w:pStyle w:val="ListParagraph"/>
        <w:numPr>
          <w:ilvl w:val="0"/>
          <w:numId w:val="22"/>
        </w:numPr>
        <w:spacing w:after="0" w:line="360" w:lineRule="auto"/>
        <w:ind w:left="1134" w:hanging="283"/>
        <w:rPr>
          <w:rFonts w:asciiTheme="minorHAnsi" w:hAnsiTheme="minorHAnsi" w:cstheme="minorBidi"/>
          <w:sz w:val="22"/>
          <w:szCs w:val="22"/>
        </w:rPr>
      </w:pPr>
      <w:r w:rsidRPr="00A8471A">
        <w:rPr>
          <w:rFonts w:asciiTheme="minorHAnsi" w:hAnsiTheme="minorHAnsi" w:cstheme="minorBidi"/>
          <w:sz w:val="22"/>
          <w:szCs w:val="22"/>
        </w:rPr>
        <w:t>Schedule 4: Parliamentary mechanisms</w:t>
      </w:r>
      <w:r w:rsidR="002435BF">
        <w:rPr>
          <w:rFonts w:asciiTheme="minorHAnsi" w:hAnsiTheme="minorHAnsi" w:cstheme="minorBidi"/>
          <w:sz w:val="22"/>
          <w:szCs w:val="22"/>
        </w:rPr>
        <w:t>.</w:t>
      </w:r>
      <w:r w:rsidRPr="00A8471A">
        <w:rPr>
          <w:rFonts w:asciiTheme="minorHAnsi" w:hAnsiTheme="minorHAnsi" w:cstheme="minorBidi"/>
          <w:sz w:val="22"/>
          <w:szCs w:val="22"/>
        </w:rPr>
        <w:t xml:space="preserve"> </w:t>
      </w:r>
    </w:p>
    <w:p w14:paraId="52E382C3" w14:textId="77777777" w:rsidR="00AD3F5A" w:rsidRPr="00A8471A" w:rsidRDefault="00AD3F5A" w:rsidP="00AD3F5A">
      <w:pPr>
        <w:pStyle w:val="ListParagraph"/>
        <w:spacing w:after="0" w:line="360" w:lineRule="auto"/>
        <w:ind w:left="1134"/>
        <w:rPr>
          <w:rFonts w:asciiTheme="minorHAnsi" w:hAnsiTheme="minorHAnsi" w:cstheme="minorBidi"/>
          <w:sz w:val="22"/>
          <w:szCs w:val="22"/>
        </w:rPr>
      </w:pPr>
    </w:p>
    <w:p w14:paraId="75D65187" w14:textId="296B5339" w:rsidR="00647ACB" w:rsidRPr="00A8471A" w:rsidRDefault="00647ACB" w:rsidP="00AD3F5A">
      <w:pPr>
        <w:pStyle w:val="Heading1"/>
        <w:numPr>
          <w:ilvl w:val="0"/>
          <w:numId w:val="1"/>
        </w:numPr>
        <w:spacing w:before="0" w:line="360" w:lineRule="auto"/>
        <w:rPr>
          <w:color w:val="auto"/>
        </w:rPr>
      </w:pPr>
      <w:bookmarkStart w:id="8" w:name="_Toc168585011"/>
      <w:r w:rsidRPr="00A8471A">
        <w:rPr>
          <w:color w:val="auto"/>
        </w:rPr>
        <w:t>Application of this MoU</w:t>
      </w:r>
      <w:bookmarkEnd w:id="8"/>
    </w:p>
    <w:p w14:paraId="0FE3EE55" w14:textId="4683FF5C"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This MoU will be read in conjunction with the MoU Implementation Plan. </w:t>
      </w:r>
    </w:p>
    <w:p w14:paraId="0B98AEC3" w14:textId="6AB9FA00"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 xml:space="preserve">The Department and the Commission </w:t>
      </w:r>
      <w:r w:rsidR="00CE77AE" w:rsidRPr="00A8471A">
        <w:rPr>
          <w:rFonts w:asciiTheme="minorHAnsi" w:hAnsiTheme="minorHAnsi" w:cstheme="minorBidi"/>
          <w:sz w:val="22"/>
          <w:szCs w:val="22"/>
        </w:rPr>
        <w:t xml:space="preserve">agree </w:t>
      </w:r>
      <w:r w:rsidRPr="00A8471A">
        <w:rPr>
          <w:rFonts w:asciiTheme="minorHAnsi" w:hAnsiTheme="minorHAnsi" w:cstheme="minorBidi"/>
          <w:sz w:val="22"/>
          <w:szCs w:val="22"/>
        </w:rPr>
        <w:t xml:space="preserve">that monitoring and evaluating the MoU is a shared responsibility. These activities will be undertaken in accordance with regular reviews (per section </w:t>
      </w:r>
      <w:r w:rsidR="00B67DE1" w:rsidRPr="00A8471A">
        <w:rPr>
          <w:rFonts w:asciiTheme="minorHAnsi" w:hAnsiTheme="minorHAnsi" w:cstheme="minorBidi"/>
          <w:sz w:val="22"/>
          <w:szCs w:val="22"/>
        </w:rPr>
        <w:t>10</w:t>
      </w:r>
      <w:r w:rsidR="55396840" w:rsidRPr="00A8471A">
        <w:rPr>
          <w:rFonts w:asciiTheme="minorHAnsi" w:hAnsiTheme="minorHAnsi" w:cstheme="minorBidi"/>
          <w:sz w:val="22"/>
          <w:szCs w:val="22"/>
        </w:rPr>
        <w:t xml:space="preserve"> </w:t>
      </w:r>
      <w:r w:rsidRPr="00A8471A">
        <w:rPr>
          <w:rFonts w:asciiTheme="minorHAnsi" w:hAnsiTheme="minorHAnsi" w:cstheme="minorBidi"/>
          <w:sz w:val="22"/>
          <w:szCs w:val="22"/>
        </w:rPr>
        <w:t>of this Agreement).</w:t>
      </w:r>
    </w:p>
    <w:p w14:paraId="5792B085" w14:textId="4896E0BC" w:rsidR="00647ACB" w:rsidRPr="00A8471A" w:rsidRDefault="009267E1" w:rsidP="00AD3F5A">
      <w:pPr>
        <w:pStyle w:val="ListParagraph"/>
        <w:numPr>
          <w:ilvl w:val="1"/>
          <w:numId w:val="1"/>
        </w:numPr>
        <w:spacing w:after="0" w:line="360" w:lineRule="auto"/>
        <w:ind w:left="851" w:hanging="567"/>
        <w:contextualSpacing w:val="0"/>
        <w:rPr>
          <w:rFonts w:asciiTheme="minorHAnsi" w:hAnsiTheme="minorHAnsi" w:cstheme="minorBidi"/>
          <w:sz w:val="22"/>
          <w:szCs w:val="22"/>
        </w:rPr>
      </w:pPr>
      <w:r w:rsidRPr="00A8471A">
        <w:rPr>
          <w:rFonts w:asciiTheme="minorHAnsi" w:hAnsiTheme="minorHAnsi" w:cstheme="minorBidi"/>
          <w:sz w:val="22"/>
          <w:szCs w:val="22"/>
        </w:rPr>
        <w:t>The Assistant Secretary, Strengthening Providers Branch of the Department and t</w:t>
      </w:r>
      <w:r w:rsidR="00647ACB" w:rsidRPr="00A8471A">
        <w:rPr>
          <w:rFonts w:asciiTheme="minorHAnsi" w:hAnsiTheme="minorHAnsi" w:cstheme="minorBidi"/>
          <w:sz w:val="22"/>
          <w:szCs w:val="22"/>
        </w:rPr>
        <w:t>he Executive Director, Regulatory</w:t>
      </w:r>
      <w:r w:rsidR="00E36CCA" w:rsidRPr="00A8471A">
        <w:rPr>
          <w:rFonts w:asciiTheme="minorHAnsi" w:hAnsiTheme="minorHAnsi" w:cstheme="minorBidi"/>
          <w:sz w:val="22"/>
          <w:szCs w:val="22"/>
        </w:rPr>
        <w:t xml:space="preserve"> Strategy and</w:t>
      </w:r>
      <w:r w:rsidR="00647ACB" w:rsidRPr="00A8471A">
        <w:rPr>
          <w:rFonts w:asciiTheme="minorHAnsi" w:hAnsiTheme="minorHAnsi" w:cstheme="minorBidi"/>
          <w:sz w:val="22"/>
          <w:szCs w:val="22"/>
        </w:rPr>
        <w:t xml:space="preserve"> Policy </w:t>
      </w:r>
      <w:r w:rsidR="00E36CCA" w:rsidRPr="00A8471A">
        <w:rPr>
          <w:rFonts w:asciiTheme="minorHAnsi" w:hAnsiTheme="minorHAnsi" w:cstheme="minorBidi"/>
          <w:sz w:val="22"/>
          <w:szCs w:val="22"/>
        </w:rPr>
        <w:t xml:space="preserve">Group </w:t>
      </w:r>
      <w:r w:rsidR="00647ACB" w:rsidRPr="00A8471A">
        <w:rPr>
          <w:rFonts w:asciiTheme="minorHAnsi" w:hAnsiTheme="minorHAnsi" w:cstheme="minorBidi"/>
          <w:sz w:val="22"/>
          <w:szCs w:val="22"/>
        </w:rPr>
        <w:t xml:space="preserve">of the Commission </w:t>
      </w:r>
      <w:r w:rsidR="007B750B" w:rsidRPr="00A8471A">
        <w:rPr>
          <w:rFonts w:asciiTheme="minorHAnsi" w:hAnsiTheme="minorHAnsi" w:cstheme="minorBidi"/>
          <w:sz w:val="22"/>
          <w:szCs w:val="22"/>
        </w:rPr>
        <w:t>should be</w:t>
      </w:r>
      <w:r w:rsidR="00647ACB" w:rsidRPr="00A8471A">
        <w:rPr>
          <w:rFonts w:asciiTheme="minorHAnsi" w:hAnsiTheme="minorHAnsi" w:cstheme="minorBidi"/>
          <w:sz w:val="22"/>
          <w:szCs w:val="22"/>
        </w:rPr>
        <w:t xml:space="preserve"> approach</w:t>
      </w:r>
      <w:r w:rsidR="007B750B" w:rsidRPr="00A8471A">
        <w:rPr>
          <w:rFonts w:asciiTheme="minorHAnsi" w:hAnsiTheme="minorHAnsi" w:cstheme="minorBidi"/>
          <w:sz w:val="22"/>
          <w:szCs w:val="22"/>
        </w:rPr>
        <w:t>ed</w:t>
      </w:r>
      <w:r w:rsidR="00647ACB" w:rsidRPr="00A8471A">
        <w:rPr>
          <w:rFonts w:asciiTheme="minorHAnsi" w:hAnsiTheme="minorHAnsi" w:cstheme="minorBidi"/>
          <w:sz w:val="22"/>
          <w:szCs w:val="22"/>
        </w:rPr>
        <w:t xml:space="preserve"> in the first instance if the MoU is perceived by either </w:t>
      </w:r>
      <w:r w:rsidR="0036736B" w:rsidRPr="00A8471A">
        <w:rPr>
          <w:rFonts w:asciiTheme="minorHAnsi" w:hAnsiTheme="minorHAnsi" w:cstheme="minorHAnsi"/>
          <w:sz w:val="22"/>
          <w:szCs w:val="22"/>
        </w:rPr>
        <w:t>agency</w:t>
      </w:r>
      <w:r w:rsidR="00647ACB" w:rsidRPr="00A8471A">
        <w:rPr>
          <w:rFonts w:asciiTheme="minorHAnsi" w:hAnsiTheme="minorHAnsi" w:cstheme="minorBidi"/>
          <w:sz w:val="22"/>
          <w:szCs w:val="22"/>
        </w:rPr>
        <w:t xml:space="preserve"> as not working as intended.</w:t>
      </w:r>
    </w:p>
    <w:p w14:paraId="04C43E81" w14:textId="77777777" w:rsidR="00AD3F5A" w:rsidRPr="00A8471A" w:rsidRDefault="00AD3F5A" w:rsidP="00AD3F5A">
      <w:pPr>
        <w:pStyle w:val="ListParagraph"/>
        <w:spacing w:after="0" w:line="360" w:lineRule="auto"/>
        <w:ind w:left="851"/>
        <w:contextualSpacing w:val="0"/>
        <w:rPr>
          <w:rFonts w:asciiTheme="minorHAnsi" w:hAnsiTheme="minorHAnsi" w:cstheme="minorBidi"/>
          <w:sz w:val="22"/>
          <w:szCs w:val="22"/>
        </w:rPr>
      </w:pPr>
    </w:p>
    <w:p w14:paraId="32C49CD3" w14:textId="765628BC" w:rsidR="00647ACB" w:rsidRPr="00A8471A" w:rsidRDefault="00647ACB" w:rsidP="00AD3F5A">
      <w:pPr>
        <w:pStyle w:val="Heading1"/>
        <w:numPr>
          <w:ilvl w:val="0"/>
          <w:numId w:val="1"/>
        </w:numPr>
        <w:spacing w:before="0" w:line="360" w:lineRule="auto"/>
        <w:rPr>
          <w:color w:val="auto"/>
        </w:rPr>
      </w:pPr>
      <w:bookmarkStart w:id="9" w:name="_Toc168585012"/>
      <w:r w:rsidRPr="00A8471A">
        <w:rPr>
          <w:color w:val="auto"/>
        </w:rPr>
        <w:t>Variation or Review of General A</w:t>
      </w:r>
      <w:r w:rsidR="7E550B16" w:rsidRPr="00A8471A">
        <w:rPr>
          <w:color w:val="auto"/>
        </w:rPr>
        <w:t>greement</w:t>
      </w:r>
      <w:r w:rsidRPr="00A8471A">
        <w:rPr>
          <w:color w:val="auto"/>
        </w:rPr>
        <w:t xml:space="preserve"> or a Schedule</w:t>
      </w:r>
      <w:bookmarkEnd w:id="9"/>
    </w:p>
    <w:p w14:paraId="7651F6B0" w14:textId="573A5A34" w:rsidR="00647ACB" w:rsidRPr="00A8471A" w:rsidRDefault="00647ACB" w:rsidP="1B350383">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MoU, comprising </w:t>
      </w:r>
      <w:r w:rsidR="00A74E4B" w:rsidRPr="1B350383">
        <w:rPr>
          <w:rFonts w:asciiTheme="minorHAnsi" w:hAnsiTheme="minorHAnsi" w:cstheme="minorBidi"/>
          <w:sz w:val="22"/>
          <w:szCs w:val="22"/>
        </w:rPr>
        <w:t xml:space="preserve">of </w:t>
      </w:r>
      <w:r w:rsidRPr="00A8471A">
        <w:rPr>
          <w:rFonts w:asciiTheme="minorHAnsi" w:hAnsiTheme="minorHAnsi" w:cstheme="minorBidi"/>
          <w:sz w:val="22"/>
          <w:szCs w:val="22"/>
        </w:rPr>
        <w:t>the General A</w:t>
      </w:r>
      <w:r w:rsidR="7715BB45" w:rsidRPr="00A8471A">
        <w:rPr>
          <w:rFonts w:asciiTheme="minorHAnsi" w:hAnsiTheme="minorHAnsi" w:cstheme="minorBidi"/>
          <w:sz w:val="22"/>
          <w:szCs w:val="22"/>
        </w:rPr>
        <w:t>greement</w:t>
      </w:r>
      <w:r w:rsidRPr="00A8471A">
        <w:rPr>
          <w:rFonts w:asciiTheme="minorHAnsi" w:hAnsiTheme="minorHAnsi" w:cstheme="minorBidi"/>
          <w:sz w:val="22"/>
          <w:szCs w:val="22"/>
        </w:rPr>
        <w:t xml:space="preserve"> and Schedules is to be </w:t>
      </w:r>
      <w:r w:rsidR="6C0ECC0D" w:rsidRPr="1B350383">
        <w:rPr>
          <w:rFonts w:asciiTheme="minorHAnsi" w:hAnsiTheme="minorHAnsi" w:cstheme="minorBidi"/>
          <w:sz w:val="22"/>
          <w:szCs w:val="22"/>
        </w:rPr>
        <w:t>assessed</w:t>
      </w:r>
      <w:r w:rsidRPr="1B350383">
        <w:rPr>
          <w:rFonts w:asciiTheme="minorHAnsi" w:hAnsiTheme="minorHAnsi" w:cstheme="minorBidi"/>
          <w:sz w:val="22"/>
          <w:szCs w:val="22"/>
        </w:rPr>
        <w:t xml:space="preserve"> annually</w:t>
      </w:r>
      <w:r w:rsidR="2043F0AE" w:rsidRPr="1B350383">
        <w:rPr>
          <w:rFonts w:asciiTheme="minorHAnsi" w:hAnsiTheme="minorHAnsi" w:cstheme="minorBidi"/>
          <w:sz w:val="22"/>
          <w:szCs w:val="22"/>
        </w:rPr>
        <w:t xml:space="preserve"> by the JSC.</w:t>
      </w:r>
    </w:p>
    <w:p w14:paraId="1F808253" w14:textId="74A34E56" w:rsidR="00647ACB" w:rsidRPr="00A8471A" w:rsidRDefault="2043F0AE" w:rsidP="1B350383">
      <w:pPr>
        <w:pStyle w:val="ListParagraph"/>
        <w:numPr>
          <w:ilvl w:val="1"/>
          <w:numId w:val="1"/>
        </w:numPr>
        <w:spacing w:after="0" w:line="360" w:lineRule="auto"/>
        <w:ind w:left="851" w:hanging="567"/>
        <w:rPr>
          <w:rFonts w:asciiTheme="minorHAnsi" w:hAnsiTheme="minorHAnsi" w:cstheme="minorBidi"/>
          <w:sz w:val="22"/>
          <w:szCs w:val="22"/>
        </w:rPr>
      </w:pPr>
      <w:r w:rsidRPr="1B350383">
        <w:rPr>
          <w:rFonts w:asciiTheme="minorHAnsi" w:hAnsiTheme="minorHAnsi" w:cstheme="minorBidi"/>
          <w:sz w:val="22"/>
          <w:szCs w:val="22"/>
        </w:rPr>
        <w:t>The MoU can also be reviewed</w:t>
      </w:r>
      <w:r w:rsidR="00647ACB" w:rsidRPr="00A8471A">
        <w:rPr>
          <w:rFonts w:asciiTheme="minorHAnsi" w:hAnsiTheme="minorHAnsi" w:cstheme="minorBidi"/>
          <w:sz w:val="22"/>
          <w:szCs w:val="22"/>
        </w:rPr>
        <w:t xml:space="preserve"> at the request of either </w:t>
      </w:r>
      <w:r w:rsidR="0036736B" w:rsidRPr="1B350383">
        <w:rPr>
          <w:rFonts w:asciiTheme="minorHAnsi" w:hAnsiTheme="minorHAnsi" w:cstheme="minorBidi"/>
          <w:sz w:val="22"/>
          <w:szCs w:val="22"/>
        </w:rPr>
        <w:t>agency</w:t>
      </w:r>
      <w:r w:rsidR="00647ACB" w:rsidRPr="00A8471A">
        <w:rPr>
          <w:rFonts w:asciiTheme="minorHAnsi" w:hAnsiTheme="minorHAnsi" w:cstheme="minorBidi"/>
          <w:sz w:val="22"/>
          <w:szCs w:val="22"/>
        </w:rPr>
        <w:t xml:space="preserve"> or as a result of changes of circumstances such as legislative amendment, machinery of government changes or other matters requiring the MoU to be reviewed or amended. It is intended by the </w:t>
      </w:r>
      <w:r w:rsidR="0036736B" w:rsidRPr="00A8471A">
        <w:rPr>
          <w:rFonts w:asciiTheme="minorHAnsi" w:hAnsiTheme="minorHAnsi" w:cstheme="minorBidi"/>
          <w:sz w:val="22"/>
          <w:szCs w:val="22"/>
        </w:rPr>
        <w:t xml:space="preserve">agencies </w:t>
      </w:r>
      <w:r w:rsidR="00647ACB" w:rsidRPr="00A8471A">
        <w:rPr>
          <w:rFonts w:asciiTheme="minorHAnsi" w:hAnsiTheme="minorHAnsi" w:cstheme="minorBidi"/>
          <w:sz w:val="22"/>
          <w:szCs w:val="22"/>
        </w:rPr>
        <w:t xml:space="preserve">that any variations as a result of a review under this paragraph are to be jointly </w:t>
      </w:r>
      <w:r w:rsidR="00ED56B5" w:rsidRPr="00A8471A">
        <w:rPr>
          <w:rFonts w:asciiTheme="minorHAnsi" w:hAnsiTheme="minorHAnsi" w:cstheme="minorBidi"/>
          <w:sz w:val="22"/>
          <w:szCs w:val="22"/>
        </w:rPr>
        <w:t>agree</w:t>
      </w:r>
      <w:r w:rsidR="00647ACB" w:rsidRPr="00A8471A">
        <w:rPr>
          <w:rFonts w:asciiTheme="minorHAnsi" w:hAnsiTheme="minorHAnsi" w:cstheme="minorBidi"/>
          <w:sz w:val="22"/>
          <w:szCs w:val="22"/>
        </w:rPr>
        <w:t>d in writing by the Department and the Commission.</w:t>
      </w:r>
      <w:r w:rsidR="7B560246" w:rsidRPr="00A8471A">
        <w:rPr>
          <w:rFonts w:asciiTheme="minorHAnsi" w:hAnsiTheme="minorHAnsi" w:cstheme="minorBidi"/>
          <w:sz w:val="22"/>
          <w:szCs w:val="22"/>
        </w:rPr>
        <w:t xml:space="preserve"> </w:t>
      </w:r>
    </w:p>
    <w:p w14:paraId="78F5A639" w14:textId="5F06DAD8" w:rsidR="00647ACB" w:rsidRPr="00A8471A" w:rsidRDefault="7B560246" w:rsidP="1B350383">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The 2025-26 review will reflect the passage of the new aged care act and include details on how complaints will be managed between agencies in line with changing roles and </w:t>
      </w:r>
      <w:r w:rsidR="5CD6C5EA" w:rsidRPr="00A8471A">
        <w:rPr>
          <w:rFonts w:asciiTheme="minorHAnsi" w:hAnsiTheme="minorHAnsi" w:cstheme="minorBidi"/>
          <w:sz w:val="22"/>
          <w:szCs w:val="22"/>
        </w:rPr>
        <w:t>responsibilities</w:t>
      </w:r>
      <w:r w:rsidRPr="00A8471A">
        <w:rPr>
          <w:rFonts w:asciiTheme="minorHAnsi" w:hAnsiTheme="minorHAnsi" w:cstheme="minorBidi"/>
          <w:sz w:val="22"/>
          <w:szCs w:val="22"/>
        </w:rPr>
        <w:t xml:space="preserve">. </w:t>
      </w:r>
    </w:p>
    <w:p w14:paraId="505CD1E0" w14:textId="6F28E438"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Other amendments to a Schedule (separate to amendments made as a result of annual review or substantial policy changes mentioned above) can be approved by the Assistant Secretary, Strengthening Providers Branch </w:t>
      </w:r>
      <w:r w:rsidR="00360911">
        <w:rPr>
          <w:rFonts w:asciiTheme="minorHAnsi" w:hAnsiTheme="minorHAnsi" w:cstheme="minorHAnsi"/>
          <w:sz w:val="22"/>
          <w:szCs w:val="22"/>
        </w:rPr>
        <w:t>of the Department</w:t>
      </w:r>
      <w:r w:rsidRPr="00A8471A">
        <w:rPr>
          <w:rFonts w:asciiTheme="minorHAnsi" w:hAnsiTheme="minorHAnsi" w:cstheme="minorHAnsi"/>
          <w:sz w:val="22"/>
          <w:szCs w:val="22"/>
        </w:rPr>
        <w:t xml:space="preserve"> and the Executive Director, Regulatory </w:t>
      </w:r>
      <w:r w:rsidR="00B66B14" w:rsidRPr="00A8471A">
        <w:rPr>
          <w:rFonts w:asciiTheme="minorHAnsi" w:hAnsiTheme="minorHAnsi" w:cstheme="minorHAnsi"/>
          <w:sz w:val="22"/>
          <w:szCs w:val="22"/>
        </w:rPr>
        <w:t xml:space="preserve">Strategy and </w:t>
      </w:r>
      <w:r w:rsidRPr="00A8471A">
        <w:rPr>
          <w:rFonts w:asciiTheme="minorHAnsi" w:hAnsiTheme="minorHAnsi" w:cstheme="minorHAnsi"/>
          <w:sz w:val="22"/>
          <w:szCs w:val="22"/>
        </w:rPr>
        <w:t xml:space="preserve">Policy </w:t>
      </w:r>
      <w:r w:rsidR="00B66B14" w:rsidRPr="00A8471A">
        <w:rPr>
          <w:rFonts w:asciiTheme="minorHAnsi" w:hAnsiTheme="minorHAnsi" w:cstheme="minorHAnsi"/>
          <w:sz w:val="22"/>
          <w:szCs w:val="22"/>
        </w:rPr>
        <w:t xml:space="preserve">Group </w:t>
      </w:r>
      <w:r w:rsidRPr="00A8471A">
        <w:rPr>
          <w:rFonts w:asciiTheme="minorHAnsi" w:hAnsiTheme="minorHAnsi" w:cstheme="minorHAnsi"/>
          <w:sz w:val="22"/>
          <w:szCs w:val="22"/>
        </w:rPr>
        <w:t>of the Commission.</w:t>
      </w:r>
    </w:p>
    <w:p w14:paraId="781CBB56" w14:textId="51F23DE7" w:rsidR="00774333"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Other amendments will be documented in a letter of variation and jointly </w:t>
      </w:r>
      <w:r w:rsidR="00ED56B5" w:rsidRPr="00A8471A">
        <w:rPr>
          <w:rFonts w:asciiTheme="minorHAnsi" w:hAnsiTheme="minorHAnsi" w:cstheme="minorBidi"/>
          <w:sz w:val="22"/>
          <w:szCs w:val="22"/>
        </w:rPr>
        <w:t>agree</w:t>
      </w:r>
      <w:r w:rsidRPr="00A8471A">
        <w:rPr>
          <w:rFonts w:asciiTheme="minorHAnsi" w:hAnsiTheme="minorHAnsi" w:cstheme="minorHAnsi"/>
          <w:sz w:val="22"/>
          <w:szCs w:val="22"/>
        </w:rPr>
        <w:t>d in writing by the Department and the Commission.</w:t>
      </w:r>
    </w:p>
    <w:p w14:paraId="448A1DEC" w14:textId="74DEABBD" w:rsidR="00647ACB" w:rsidRPr="00A8471A" w:rsidRDefault="00647ACB" w:rsidP="00AD3F5A">
      <w:pPr>
        <w:pStyle w:val="Heading1"/>
        <w:numPr>
          <w:ilvl w:val="0"/>
          <w:numId w:val="1"/>
        </w:numPr>
        <w:spacing w:before="0" w:line="360" w:lineRule="auto"/>
        <w:rPr>
          <w:color w:val="auto"/>
        </w:rPr>
      </w:pPr>
      <w:bookmarkStart w:id="10" w:name="_Toc168585013"/>
      <w:r w:rsidRPr="00A8471A">
        <w:rPr>
          <w:color w:val="auto"/>
        </w:rPr>
        <w:t>Issues Resolution</w:t>
      </w:r>
      <w:bookmarkEnd w:id="10"/>
    </w:p>
    <w:p w14:paraId="01AAB4D0" w14:textId="32CA34FB" w:rsidR="00647ACB" w:rsidRPr="00A8471A" w:rsidRDefault="00647ACB" w:rsidP="00AD3F5A">
      <w:pPr>
        <w:pStyle w:val="ListParagraph"/>
        <w:numPr>
          <w:ilvl w:val="1"/>
          <w:numId w:val="1"/>
        </w:numPr>
        <w:spacing w:after="0" w:line="360" w:lineRule="auto"/>
        <w:ind w:left="851" w:hanging="567"/>
        <w:rPr>
          <w:rFonts w:asciiTheme="minorHAnsi" w:hAnsiTheme="minorHAnsi" w:cstheme="minorHAnsi"/>
          <w:sz w:val="22"/>
          <w:szCs w:val="22"/>
        </w:rPr>
      </w:pPr>
      <w:r w:rsidRPr="00A8471A">
        <w:rPr>
          <w:rFonts w:asciiTheme="minorHAnsi" w:hAnsiTheme="minorHAnsi" w:cstheme="minorHAnsi"/>
          <w:sz w:val="22"/>
          <w:szCs w:val="22"/>
        </w:rPr>
        <w:t xml:space="preserve">Early and constructive resolution of issues is expected between staff of the </w:t>
      </w:r>
      <w:r w:rsidR="0036736B" w:rsidRPr="00A8471A">
        <w:rPr>
          <w:rFonts w:asciiTheme="minorHAnsi" w:hAnsiTheme="minorHAnsi" w:cstheme="minorHAnsi"/>
          <w:sz w:val="22"/>
          <w:szCs w:val="22"/>
        </w:rPr>
        <w:t>agencies</w:t>
      </w:r>
      <w:r w:rsidRPr="00A8471A">
        <w:rPr>
          <w:rFonts w:asciiTheme="minorHAnsi" w:hAnsiTheme="minorHAnsi" w:cstheme="minorHAnsi"/>
          <w:sz w:val="22"/>
          <w:szCs w:val="22"/>
        </w:rPr>
        <w:t xml:space="preserve"> with support from their relevant managers. If the matter cannot be resolved effectively and efficiently it will be escalated by taking the following steps:</w:t>
      </w:r>
    </w:p>
    <w:p w14:paraId="0CE74D62" w14:textId="5B937FBD" w:rsidR="00647ACB" w:rsidRPr="00A8471A" w:rsidRDefault="00647ACB" w:rsidP="00AD3F5A">
      <w:pPr>
        <w:pStyle w:val="ListParagraph"/>
        <w:numPr>
          <w:ilvl w:val="0"/>
          <w:numId w:val="27"/>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 xml:space="preserve">identifying the suitable governance forum where the matter can be further considered (for example a project or program board meeting or regional meeting), discussed and resolved. If no formal governance structure exists, the relevant teams involved </w:t>
      </w:r>
      <w:r w:rsidR="00290934" w:rsidRPr="00A8471A">
        <w:rPr>
          <w:rFonts w:asciiTheme="minorHAnsi" w:hAnsiTheme="minorHAnsi" w:cstheme="minorHAnsi"/>
          <w:sz w:val="22"/>
          <w:szCs w:val="22"/>
        </w:rPr>
        <w:t>will</w:t>
      </w:r>
      <w:r w:rsidRPr="00A8471A">
        <w:rPr>
          <w:rFonts w:asciiTheme="minorHAnsi" w:hAnsiTheme="minorHAnsi" w:cstheme="minorHAnsi"/>
          <w:sz w:val="22"/>
          <w:szCs w:val="22"/>
        </w:rPr>
        <w:t xml:space="preserve"> convene a meeting of all relevant </w:t>
      </w:r>
      <w:r w:rsidR="0036736B" w:rsidRPr="00A8471A">
        <w:rPr>
          <w:rFonts w:asciiTheme="minorHAnsi" w:hAnsiTheme="minorHAnsi" w:cstheme="minorHAnsi"/>
          <w:sz w:val="22"/>
          <w:szCs w:val="22"/>
        </w:rPr>
        <w:t>agencies</w:t>
      </w:r>
      <w:r w:rsidRPr="00A8471A">
        <w:rPr>
          <w:rFonts w:asciiTheme="minorHAnsi" w:hAnsiTheme="minorHAnsi" w:cstheme="minorHAnsi"/>
          <w:sz w:val="22"/>
          <w:szCs w:val="22"/>
        </w:rPr>
        <w:t xml:space="preserve"> including a senior decision maker from each </w:t>
      </w:r>
      <w:r w:rsidR="0036736B" w:rsidRPr="00A8471A">
        <w:rPr>
          <w:rFonts w:asciiTheme="minorHAnsi" w:hAnsiTheme="minorHAnsi" w:cstheme="minorHAnsi"/>
          <w:sz w:val="22"/>
          <w:szCs w:val="22"/>
        </w:rPr>
        <w:t>agency</w:t>
      </w:r>
      <w:r w:rsidRPr="00A8471A">
        <w:rPr>
          <w:rFonts w:asciiTheme="minorHAnsi" w:hAnsiTheme="minorHAnsi" w:cstheme="minorHAnsi"/>
          <w:sz w:val="22"/>
          <w:szCs w:val="22"/>
        </w:rPr>
        <w:t xml:space="preserve"> to discuss and resolve the matter</w:t>
      </w:r>
    </w:p>
    <w:p w14:paraId="20905676" w14:textId="77777777" w:rsidR="00647ACB" w:rsidRPr="00A8471A" w:rsidRDefault="00647ACB" w:rsidP="00AD3F5A">
      <w:pPr>
        <w:pStyle w:val="ListParagraph"/>
        <w:numPr>
          <w:ilvl w:val="0"/>
          <w:numId w:val="27"/>
        </w:numPr>
        <w:spacing w:after="0" w:line="360" w:lineRule="auto"/>
        <w:ind w:left="1134" w:hanging="283"/>
        <w:rPr>
          <w:rFonts w:asciiTheme="minorHAnsi" w:hAnsiTheme="minorHAnsi" w:cstheme="minorHAnsi"/>
          <w:sz w:val="22"/>
          <w:szCs w:val="22"/>
        </w:rPr>
      </w:pPr>
      <w:r w:rsidRPr="00A8471A">
        <w:rPr>
          <w:rFonts w:asciiTheme="minorHAnsi" w:hAnsiTheme="minorHAnsi" w:cstheme="minorHAnsi"/>
          <w:sz w:val="22"/>
          <w:szCs w:val="22"/>
        </w:rPr>
        <w:t>if the matter remains unresolved after following the steps in paragraph 11.1 a), it is to be referred to a relevant Executive Director of the Commission and Senior Executive of the Department, and</w:t>
      </w:r>
    </w:p>
    <w:p w14:paraId="46E4B319" w14:textId="0D41B9B2" w:rsidR="00647ACB" w:rsidRPr="00A8471A" w:rsidRDefault="00647ACB" w:rsidP="00AD3F5A">
      <w:pPr>
        <w:pStyle w:val="ListParagraph"/>
        <w:numPr>
          <w:ilvl w:val="0"/>
          <w:numId w:val="27"/>
        </w:numPr>
        <w:spacing w:after="0" w:line="360" w:lineRule="auto"/>
        <w:ind w:left="1134" w:hanging="283"/>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if the matter remains unresolved after following the steps in paragraph 11.1 b), it is to be escalated to the relevant First Assistant Secretary and </w:t>
      </w:r>
      <w:r w:rsidR="00EF5FC2" w:rsidRPr="00A8471A">
        <w:rPr>
          <w:rFonts w:asciiTheme="minorHAnsi" w:hAnsiTheme="minorHAnsi" w:cstheme="minorHAnsi"/>
          <w:sz w:val="22"/>
          <w:szCs w:val="22"/>
        </w:rPr>
        <w:t xml:space="preserve">Deputy </w:t>
      </w:r>
      <w:r w:rsidRPr="00A8471A">
        <w:rPr>
          <w:rFonts w:asciiTheme="minorHAnsi" w:hAnsiTheme="minorHAnsi" w:cstheme="minorHAnsi"/>
          <w:sz w:val="22"/>
          <w:szCs w:val="22"/>
        </w:rPr>
        <w:t xml:space="preserve">Commissioner. All matters escalated to this level will be brought to the attention of the </w:t>
      </w:r>
      <w:r w:rsidR="00290934" w:rsidRPr="00A8471A">
        <w:rPr>
          <w:rFonts w:asciiTheme="minorHAnsi" w:hAnsiTheme="minorHAnsi" w:cstheme="minorHAnsi"/>
          <w:sz w:val="22"/>
          <w:szCs w:val="22"/>
        </w:rPr>
        <w:t>JSC</w:t>
      </w:r>
      <w:r w:rsidRPr="00A8471A">
        <w:rPr>
          <w:rFonts w:asciiTheme="minorHAnsi" w:hAnsiTheme="minorHAnsi" w:cstheme="minorHAnsi"/>
          <w:sz w:val="22"/>
          <w:szCs w:val="22"/>
        </w:rPr>
        <w:t xml:space="preserve">. </w:t>
      </w:r>
    </w:p>
    <w:p w14:paraId="787E6FE0" w14:textId="79705C96" w:rsidR="00647ACB" w:rsidRPr="00A8471A" w:rsidRDefault="00647ACB" w:rsidP="00AD3F5A">
      <w:pPr>
        <w:pStyle w:val="ListParagraph"/>
        <w:numPr>
          <w:ilvl w:val="1"/>
          <w:numId w:val="1"/>
        </w:numPr>
        <w:spacing w:after="0" w:line="360" w:lineRule="auto"/>
        <w:ind w:left="851" w:hanging="567"/>
        <w:rPr>
          <w:rFonts w:asciiTheme="minorHAnsi" w:hAnsiTheme="minorHAnsi" w:cstheme="minorBidi"/>
          <w:sz w:val="22"/>
          <w:szCs w:val="22"/>
        </w:rPr>
      </w:pPr>
      <w:r w:rsidRPr="00A8471A">
        <w:rPr>
          <w:rFonts w:asciiTheme="minorHAnsi" w:hAnsiTheme="minorHAnsi" w:cstheme="minorBidi"/>
          <w:sz w:val="22"/>
          <w:szCs w:val="22"/>
        </w:rPr>
        <w:t xml:space="preserve">Each </w:t>
      </w:r>
      <w:r w:rsidR="0036736B" w:rsidRPr="00A8471A">
        <w:rPr>
          <w:rFonts w:asciiTheme="minorHAnsi" w:hAnsiTheme="minorHAnsi" w:cstheme="minorHAnsi"/>
          <w:sz w:val="22"/>
          <w:szCs w:val="22"/>
        </w:rPr>
        <w:t>agency</w:t>
      </w:r>
      <w:r w:rsidR="0036736B" w:rsidRPr="00A8471A">
        <w:rPr>
          <w:rFonts w:asciiTheme="minorHAnsi" w:hAnsiTheme="minorHAnsi" w:cstheme="minorBidi"/>
          <w:sz w:val="22"/>
          <w:szCs w:val="22"/>
        </w:rPr>
        <w:t xml:space="preserve"> </w:t>
      </w:r>
      <w:r w:rsidR="00A97283" w:rsidRPr="00A8471A">
        <w:rPr>
          <w:rFonts w:asciiTheme="minorHAnsi" w:hAnsiTheme="minorHAnsi" w:cstheme="minorBidi"/>
          <w:sz w:val="22"/>
          <w:szCs w:val="22"/>
        </w:rPr>
        <w:t>will</w:t>
      </w:r>
      <w:r w:rsidRPr="00A8471A">
        <w:rPr>
          <w:rFonts w:asciiTheme="minorHAnsi" w:hAnsiTheme="minorHAnsi" w:cstheme="minorBidi"/>
          <w:sz w:val="22"/>
          <w:szCs w:val="22"/>
        </w:rPr>
        <w:t xml:space="preserve"> make an appropriate record of any issues and the corresponding resolution.</w:t>
      </w:r>
    </w:p>
    <w:p w14:paraId="0E181C4C" w14:textId="77777777" w:rsidR="00AD3F5A" w:rsidRPr="00A8471A" w:rsidRDefault="00AD3F5A" w:rsidP="00AD3F5A">
      <w:pPr>
        <w:pStyle w:val="ListParagraph"/>
        <w:spacing w:after="0" w:line="360" w:lineRule="auto"/>
        <w:ind w:left="851"/>
        <w:rPr>
          <w:rFonts w:asciiTheme="minorHAnsi" w:hAnsiTheme="minorHAnsi" w:cstheme="minorBidi"/>
          <w:sz w:val="22"/>
          <w:szCs w:val="22"/>
        </w:rPr>
      </w:pPr>
    </w:p>
    <w:p w14:paraId="2596C9FB" w14:textId="4F55C166" w:rsidR="00647ACB" w:rsidRPr="00A8471A" w:rsidRDefault="00647ACB" w:rsidP="00AD3F5A">
      <w:pPr>
        <w:pStyle w:val="Heading1"/>
        <w:numPr>
          <w:ilvl w:val="0"/>
          <w:numId w:val="1"/>
        </w:numPr>
        <w:spacing w:before="0" w:line="360" w:lineRule="auto"/>
        <w:rPr>
          <w:color w:val="auto"/>
        </w:rPr>
      </w:pPr>
      <w:bookmarkStart w:id="11" w:name="_Toc168585014"/>
      <w:r w:rsidRPr="00A8471A">
        <w:rPr>
          <w:color w:val="auto"/>
        </w:rPr>
        <w:t>Term of MoU</w:t>
      </w:r>
      <w:bookmarkEnd w:id="11"/>
    </w:p>
    <w:p w14:paraId="24CF615A" w14:textId="02E939CD" w:rsidR="00647ACB" w:rsidRPr="00A8471A"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This MoU comes into effect from 1 July 2024</w:t>
      </w:r>
      <w:r w:rsidR="00EF5FC2" w:rsidRPr="00A8471A">
        <w:rPr>
          <w:rFonts w:asciiTheme="minorHAnsi" w:hAnsiTheme="minorHAnsi" w:cstheme="minorHAnsi"/>
          <w:sz w:val="22"/>
          <w:szCs w:val="22"/>
        </w:rPr>
        <w:t xml:space="preserve"> or once both parties have signed</w:t>
      </w:r>
      <w:r w:rsidRPr="00A8471A">
        <w:rPr>
          <w:rFonts w:asciiTheme="minorHAnsi" w:hAnsiTheme="minorHAnsi" w:cstheme="minorHAnsi"/>
          <w:sz w:val="22"/>
          <w:szCs w:val="22"/>
        </w:rPr>
        <w:t xml:space="preserve">. </w:t>
      </w:r>
    </w:p>
    <w:p w14:paraId="11F1CF89" w14:textId="53E19540" w:rsidR="00C162A4" w:rsidRDefault="00647ACB" w:rsidP="00AD3F5A">
      <w:pPr>
        <w:pStyle w:val="ListParagraph"/>
        <w:numPr>
          <w:ilvl w:val="1"/>
          <w:numId w:val="1"/>
        </w:numPr>
        <w:spacing w:after="0" w:line="360" w:lineRule="auto"/>
        <w:ind w:left="851" w:hanging="567"/>
        <w:contextualSpacing w:val="0"/>
        <w:rPr>
          <w:rFonts w:asciiTheme="minorHAnsi" w:hAnsiTheme="minorHAnsi" w:cstheme="minorHAnsi"/>
          <w:sz w:val="22"/>
          <w:szCs w:val="22"/>
        </w:rPr>
      </w:pPr>
      <w:r w:rsidRPr="00A8471A">
        <w:rPr>
          <w:rFonts w:asciiTheme="minorHAnsi" w:hAnsiTheme="minorHAnsi" w:cstheme="minorHAnsi"/>
          <w:sz w:val="22"/>
          <w:szCs w:val="22"/>
        </w:rPr>
        <w:t xml:space="preserve">The MoU will remain in effect until both </w:t>
      </w:r>
      <w:r w:rsidR="0036736B" w:rsidRPr="00A8471A">
        <w:rPr>
          <w:rFonts w:asciiTheme="minorHAnsi" w:hAnsiTheme="minorHAnsi" w:cstheme="minorHAnsi"/>
          <w:sz w:val="22"/>
          <w:szCs w:val="22"/>
        </w:rPr>
        <w:t>agencies</w:t>
      </w:r>
      <w:r w:rsidRPr="00A8471A">
        <w:rPr>
          <w:rFonts w:asciiTheme="minorHAnsi" w:hAnsiTheme="minorHAnsi" w:cstheme="minorHAnsi"/>
          <w:sz w:val="22"/>
          <w:szCs w:val="22"/>
        </w:rPr>
        <w:t xml:space="preserve"> jointly </w:t>
      </w:r>
      <w:r w:rsidR="00ED56B5" w:rsidRPr="00A8471A">
        <w:rPr>
          <w:rFonts w:asciiTheme="minorHAnsi" w:hAnsiTheme="minorHAnsi" w:cstheme="minorBidi"/>
          <w:sz w:val="22"/>
          <w:szCs w:val="22"/>
        </w:rPr>
        <w:t>agree</w:t>
      </w:r>
      <w:r w:rsidR="00ED56B5" w:rsidRPr="00A8471A">
        <w:rPr>
          <w:rFonts w:asciiTheme="minorHAnsi" w:hAnsiTheme="minorHAnsi" w:cstheme="minorHAnsi"/>
          <w:sz w:val="22"/>
          <w:szCs w:val="22"/>
        </w:rPr>
        <w:t xml:space="preserve"> </w:t>
      </w:r>
      <w:r w:rsidRPr="00A8471A">
        <w:rPr>
          <w:rFonts w:asciiTheme="minorHAnsi" w:hAnsiTheme="minorHAnsi" w:cstheme="minorHAnsi"/>
          <w:sz w:val="22"/>
          <w:szCs w:val="22"/>
        </w:rPr>
        <w:t>in writing that it is to be terminated.</w:t>
      </w:r>
    </w:p>
    <w:p w14:paraId="139AD16A" w14:textId="77777777" w:rsidR="00377C59" w:rsidRDefault="00377C59" w:rsidP="00377C59">
      <w:pPr>
        <w:spacing w:after="0" w:line="360" w:lineRule="auto"/>
        <w:rPr>
          <w:rFonts w:asciiTheme="minorHAnsi" w:hAnsiTheme="minorHAnsi" w:cstheme="minorHAnsi"/>
          <w:sz w:val="22"/>
          <w:szCs w:val="22"/>
        </w:rPr>
      </w:pPr>
    </w:p>
    <w:p w14:paraId="11F7F7C6" w14:textId="77777777" w:rsidR="00377C59" w:rsidRDefault="00377C59" w:rsidP="00377C59">
      <w:pPr>
        <w:spacing w:after="0" w:line="360" w:lineRule="auto"/>
        <w:rPr>
          <w:rFonts w:asciiTheme="minorHAnsi" w:hAnsiTheme="minorHAnsi" w:cstheme="minorHAnsi"/>
          <w:sz w:val="22"/>
          <w:szCs w:val="22"/>
        </w:rPr>
      </w:pPr>
    </w:p>
    <w:p w14:paraId="60241067" w14:textId="77777777" w:rsidR="00377C59" w:rsidRDefault="00377C59" w:rsidP="00377C59">
      <w:pPr>
        <w:spacing w:after="0" w:line="360" w:lineRule="auto"/>
        <w:rPr>
          <w:rFonts w:asciiTheme="minorHAnsi" w:hAnsiTheme="minorHAnsi" w:cstheme="minorHAnsi"/>
          <w:sz w:val="22"/>
          <w:szCs w:val="22"/>
        </w:rPr>
      </w:pPr>
    </w:p>
    <w:p w14:paraId="0035FB65" w14:textId="77777777" w:rsidR="00377C59" w:rsidRDefault="00377C59" w:rsidP="00377C59">
      <w:pPr>
        <w:spacing w:after="0" w:line="360" w:lineRule="auto"/>
        <w:rPr>
          <w:rFonts w:asciiTheme="minorHAnsi" w:hAnsiTheme="minorHAnsi" w:cstheme="minorHAnsi"/>
          <w:sz w:val="22"/>
          <w:szCs w:val="22"/>
        </w:rPr>
      </w:pPr>
    </w:p>
    <w:p w14:paraId="1C1EA744" w14:textId="77777777" w:rsidR="00377C59" w:rsidRDefault="00377C59" w:rsidP="00377C59">
      <w:pPr>
        <w:spacing w:after="0" w:line="360" w:lineRule="auto"/>
        <w:rPr>
          <w:rFonts w:asciiTheme="minorHAnsi" w:hAnsiTheme="minorHAnsi" w:cstheme="minorHAnsi"/>
          <w:sz w:val="22"/>
          <w:szCs w:val="22"/>
        </w:rPr>
      </w:pPr>
    </w:p>
    <w:p w14:paraId="59DF31E5" w14:textId="77777777" w:rsidR="00377C59" w:rsidRPr="00377C59" w:rsidRDefault="00377C59" w:rsidP="00377C59">
      <w:pPr>
        <w:spacing w:after="0" w:line="360" w:lineRule="auto"/>
        <w:rPr>
          <w:rFonts w:asciiTheme="minorHAnsi" w:hAnsiTheme="minorHAnsi" w:cstheme="minorHAnsi"/>
          <w:sz w:val="22"/>
          <w:szCs w:val="22"/>
        </w:rPr>
      </w:pPr>
    </w:p>
    <w:p w14:paraId="04B37A3D" w14:textId="122CED6A" w:rsidR="00647ACB" w:rsidRPr="00A8471A" w:rsidRDefault="00647ACB" w:rsidP="00B2705A">
      <w:pPr>
        <w:pStyle w:val="Heading1"/>
        <w:numPr>
          <w:ilvl w:val="0"/>
          <w:numId w:val="1"/>
        </w:numPr>
        <w:rPr>
          <w:color w:val="auto"/>
        </w:rPr>
      </w:pPr>
      <w:bookmarkStart w:id="12" w:name="_Toc168585015"/>
      <w:r w:rsidRPr="00A8471A">
        <w:rPr>
          <w:color w:val="auto"/>
        </w:rPr>
        <w:t>Signatories</w:t>
      </w:r>
      <w:bookmarkEnd w:id="12"/>
    </w:p>
    <w:p w14:paraId="746523DD" w14:textId="77777777" w:rsidR="00647ACB" w:rsidRPr="00A8471A" w:rsidRDefault="00647ACB" w:rsidP="00647ACB">
      <w:pPr>
        <w:spacing w:after="120"/>
        <w:rPr>
          <w:rFonts w:asciiTheme="minorHAnsi" w:hAnsiTheme="minorHAnsi" w:cstheme="minorHAnsi"/>
          <w:sz w:val="22"/>
          <w:szCs w:val="22"/>
        </w:rPr>
      </w:pPr>
    </w:p>
    <w:p w14:paraId="7D6EBB58" w14:textId="5C03EDD8" w:rsidR="00647ACB" w:rsidRPr="00A8471A" w:rsidRDefault="00647ACB" w:rsidP="00647ACB">
      <w:pPr>
        <w:spacing w:after="120"/>
        <w:rPr>
          <w:rFonts w:asciiTheme="minorHAnsi" w:hAnsiTheme="minorHAnsi" w:cstheme="minorHAnsi"/>
          <w:sz w:val="22"/>
          <w:szCs w:val="22"/>
        </w:rPr>
      </w:pPr>
      <w:r w:rsidRPr="00A8471A">
        <w:rPr>
          <w:rFonts w:asciiTheme="minorHAnsi" w:hAnsiTheme="minorHAnsi" w:cstheme="minorHAnsi"/>
          <w:sz w:val="22"/>
          <w:szCs w:val="22"/>
        </w:rPr>
        <w:t>Signed by the Commissioner of the Aged Care Quality and Safety Commission</w:t>
      </w:r>
      <w:r w:rsidR="00234040" w:rsidRPr="00A8471A">
        <w:rPr>
          <w:rFonts w:asciiTheme="minorHAnsi" w:hAnsiTheme="minorHAnsi" w:cstheme="minorHAnsi"/>
          <w:sz w:val="22"/>
          <w:szCs w:val="22"/>
        </w:rPr>
        <w:t xml:space="preserve"> </w:t>
      </w:r>
      <w:r w:rsidRPr="00A8471A">
        <w:rPr>
          <w:rFonts w:asciiTheme="minorHAnsi" w:hAnsiTheme="minorHAnsi" w:cstheme="minorHAnsi"/>
          <w:sz w:val="22"/>
          <w:szCs w:val="22"/>
        </w:rPr>
        <w:t xml:space="preserve">in the presence of: </w:t>
      </w:r>
    </w:p>
    <w:p w14:paraId="2BA46127" w14:textId="77777777" w:rsidR="00234040" w:rsidRPr="00A8471A" w:rsidRDefault="00234040" w:rsidP="00647ACB">
      <w:pPr>
        <w:spacing w:after="12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5"/>
        <w:gridCol w:w="4338"/>
      </w:tblGrid>
      <w:tr w:rsidR="00A8471A" w:rsidRPr="00A8471A" w14:paraId="3A32847B" w14:textId="77777777" w:rsidTr="00EF34EA">
        <w:tc>
          <w:tcPr>
            <w:tcW w:w="3823" w:type="dxa"/>
            <w:tcBorders>
              <w:bottom w:val="single" w:sz="4" w:space="0" w:color="auto"/>
            </w:tcBorders>
          </w:tcPr>
          <w:p w14:paraId="204095FF" w14:textId="28223047" w:rsidR="00493501" w:rsidRPr="00A8471A" w:rsidRDefault="00493501" w:rsidP="00EF34EA">
            <w:pPr>
              <w:spacing w:after="120"/>
              <w:jc w:val="right"/>
              <w:rPr>
                <w:rFonts w:asciiTheme="minorHAnsi" w:hAnsiTheme="minorHAnsi" w:cstheme="minorHAnsi"/>
                <w:sz w:val="22"/>
                <w:szCs w:val="22"/>
              </w:rPr>
            </w:pPr>
          </w:p>
        </w:tc>
        <w:tc>
          <w:tcPr>
            <w:tcW w:w="855" w:type="dxa"/>
          </w:tcPr>
          <w:p w14:paraId="03BAF975" w14:textId="77777777" w:rsidR="00493501" w:rsidRPr="00A8471A" w:rsidRDefault="00493501" w:rsidP="00647ACB">
            <w:pPr>
              <w:spacing w:after="120"/>
              <w:rPr>
                <w:rFonts w:asciiTheme="minorHAnsi" w:hAnsiTheme="minorHAnsi" w:cstheme="minorHAnsi"/>
                <w:sz w:val="22"/>
                <w:szCs w:val="22"/>
              </w:rPr>
            </w:pPr>
          </w:p>
        </w:tc>
        <w:tc>
          <w:tcPr>
            <w:tcW w:w="4338" w:type="dxa"/>
            <w:tcBorders>
              <w:bottom w:val="single" w:sz="4" w:space="0" w:color="auto"/>
            </w:tcBorders>
          </w:tcPr>
          <w:p w14:paraId="68C72064" w14:textId="4B41D5FE" w:rsidR="00493501" w:rsidRPr="00A8471A" w:rsidRDefault="00493501" w:rsidP="004620AA">
            <w:pPr>
              <w:spacing w:after="120"/>
              <w:jc w:val="right"/>
              <w:rPr>
                <w:rFonts w:asciiTheme="minorHAnsi" w:hAnsiTheme="minorHAnsi" w:cstheme="minorHAnsi"/>
                <w:sz w:val="22"/>
                <w:szCs w:val="22"/>
              </w:rPr>
            </w:pPr>
          </w:p>
        </w:tc>
      </w:tr>
      <w:tr w:rsidR="00A8471A" w:rsidRPr="00A8471A" w14:paraId="44DBF92B" w14:textId="77777777" w:rsidTr="00D67B07">
        <w:tc>
          <w:tcPr>
            <w:tcW w:w="3823" w:type="dxa"/>
            <w:tcBorders>
              <w:top w:val="single" w:sz="4" w:space="0" w:color="auto"/>
            </w:tcBorders>
          </w:tcPr>
          <w:p w14:paraId="3F112898" w14:textId="40EB8ED1" w:rsidR="00493501" w:rsidRPr="00A8471A" w:rsidRDefault="00493501" w:rsidP="00647ACB">
            <w:pPr>
              <w:spacing w:after="120"/>
              <w:rPr>
                <w:rFonts w:asciiTheme="minorHAnsi" w:hAnsiTheme="minorHAnsi" w:cstheme="minorHAnsi"/>
                <w:sz w:val="22"/>
                <w:szCs w:val="22"/>
              </w:rPr>
            </w:pPr>
            <w:r w:rsidRPr="00A8471A">
              <w:rPr>
                <w:rFonts w:asciiTheme="minorHAnsi" w:hAnsiTheme="minorHAnsi" w:cstheme="minorHAnsi"/>
                <w:sz w:val="22"/>
                <w:szCs w:val="22"/>
              </w:rPr>
              <w:t>Signature of Janet Anderson PSM</w:t>
            </w:r>
          </w:p>
        </w:tc>
        <w:tc>
          <w:tcPr>
            <w:tcW w:w="855" w:type="dxa"/>
          </w:tcPr>
          <w:p w14:paraId="1A42509E" w14:textId="77777777" w:rsidR="00493501" w:rsidRPr="00A8471A" w:rsidRDefault="00493501" w:rsidP="00647ACB">
            <w:pPr>
              <w:spacing w:after="120"/>
              <w:rPr>
                <w:rFonts w:asciiTheme="minorHAnsi" w:hAnsiTheme="minorHAnsi" w:cstheme="minorHAnsi"/>
                <w:sz w:val="22"/>
                <w:szCs w:val="22"/>
              </w:rPr>
            </w:pPr>
          </w:p>
        </w:tc>
        <w:tc>
          <w:tcPr>
            <w:tcW w:w="4338" w:type="dxa"/>
            <w:tcBorders>
              <w:top w:val="single" w:sz="4" w:space="0" w:color="auto"/>
            </w:tcBorders>
          </w:tcPr>
          <w:p w14:paraId="104F14C1" w14:textId="354E5C93" w:rsidR="00493501" w:rsidRPr="00A8471A" w:rsidRDefault="00493501" w:rsidP="00647ACB">
            <w:pPr>
              <w:spacing w:after="120"/>
              <w:rPr>
                <w:rFonts w:asciiTheme="minorHAnsi" w:hAnsiTheme="minorHAnsi" w:cstheme="minorHAnsi"/>
                <w:sz w:val="22"/>
                <w:szCs w:val="22"/>
              </w:rPr>
            </w:pPr>
            <w:r w:rsidRPr="00A8471A">
              <w:rPr>
                <w:rFonts w:asciiTheme="minorHAnsi" w:hAnsiTheme="minorHAnsi" w:cstheme="minorHAnsi"/>
                <w:sz w:val="22"/>
                <w:szCs w:val="22"/>
              </w:rPr>
              <w:t>Signature of witness</w:t>
            </w:r>
          </w:p>
        </w:tc>
      </w:tr>
      <w:tr w:rsidR="00D67B07" w:rsidRPr="00A8471A" w14:paraId="5888EEB2" w14:textId="77777777" w:rsidTr="00D67B07">
        <w:tc>
          <w:tcPr>
            <w:tcW w:w="3823" w:type="dxa"/>
          </w:tcPr>
          <w:p w14:paraId="3870B2DC" w14:textId="17281B1E" w:rsidR="00D67B07" w:rsidRPr="00A8471A" w:rsidRDefault="00D67B07" w:rsidP="00D67B07">
            <w:pPr>
              <w:spacing w:after="120"/>
              <w:rPr>
                <w:rFonts w:asciiTheme="minorHAnsi" w:hAnsiTheme="minorHAnsi" w:cstheme="minorHAnsi"/>
                <w:sz w:val="22"/>
                <w:szCs w:val="22"/>
              </w:rPr>
            </w:pPr>
            <w:r w:rsidRPr="00A8471A">
              <w:rPr>
                <w:rFonts w:asciiTheme="minorHAnsi" w:hAnsiTheme="minorHAnsi" w:cstheme="minorHAnsi"/>
                <w:sz w:val="22"/>
                <w:szCs w:val="22"/>
              </w:rPr>
              <w:t>Date</w:t>
            </w:r>
          </w:p>
          <w:p w14:paraId="119C9BFB" w14:textId="77777777" w:rsidR="00D67B07" w:rsidRPr="00A8471A" w:rsidRDefault="00D67B07" w:rsidP="00647ACB">
            <w:pPr>
              <w:spacing w:after="120"/>
              <w:rPr>
                <w:rFonts w:asciiTheme="minorHAnsi" w:hAnsiTheme="minorHAnsi" w:cstheme="minorHAnsi"/>
                <w:sz w:val="22"/>
                <w:szCs w:val="22"/>
              </w:rPr>
            </w:pPr>
          </w:p>
        </w:tc>
        <w:tc>
          <w:tcPr>
            <w:tcW w:w="855" w:type="dxa"/>
          </w:tcPr>
          <w:p w14:paraId="4018A9DA" w14:textId="77777777" w:rsidR="00D67B07" w:rsidRPr="00A8471A" w:rsidRDefault="00D67B07" w:rsidP="00647ACB">
            <w:pPr>
              <w:spacing w:after="120"/>
              <w:rPr>
                <w:rFonts w:asciiTheme="minorHAnsi" w:hAnsiTheme="minorHAnsi" w:cstheme="minorHAnsi"/>
                <w:sz w:val="22"/>
                <w:szCs w:val="22"/>
              </w:rPr>
            </w:pPr>
          </w:p>
        </w:tc>
        <w:tc>
          <w:tcPr>
            <w:tcW w:w="4338" w:type="dxa"/>
          </w:tcPr>
          <w:p w14:paraId="0D38D67B" w14:textId="0267B3FF" w:rsidR="00D67B07" w:rsidRPr="00A8471A" w:rsidRDefault="00D67B07" w:rsidP="00647ACB">
            <w:pPr>
              <w:spacing w:after="120"/>
              <w:rPr>
                <w:rFonts w:asciiTheme="minorHAnsi" w:hAnsiTheme="minorHAnsi" w:cstheme="minorHAnsi"/>
                <w:sz w:val="22"/>
                <w:szCs w:val="22"/>
              </w:rPr>
            </w:pPr>
            <w:r w:rsidRPr="00A8471A">
              <w:rPr>
                <w:rFonts w:asciiTheme="minorHAnsi" w:hAnsiTheme="minorHAnsi" w:cstheme="minorHAnsi"/>
                <w:sz w:val="22"/>
                <w:szCs w:val="22"/>
              </w:rPr>
              <w:t>Date</w:t>
            </w:r>
          </w:p>
        </w:tc>
      </w:tr>
    </w:tbl>
    <w:p w14:paraId="34DD12AD" w14:textId="77777777" w:rsidR="00257721" w:rsidRPr="00A8471A" w:rsidRDefault="00257721" w:rsidP="00647ACB">
      <w:pPr>
        <w:spacing w:after="120"/>
        <w:rPr>
          <w:rFonts w:asciiTheme="minorHAnsi" w:hAnsiTheme="minorHAnsi" w:cstheme="minorHAnsi"/>
          <w:sz w:val="22"/>
          <w:szCs w:val="22"/>
        </w:rPr>
      </w:pPr>
    </w:p>
    <w:p w14:paraId="0689CEDD" w14:textId="77777777" w:rsidR="0071607B" w:rsidRPr="00A8471A" w:rsidRDefault="0071607B" w:rsidP="00647ACB">
      <w:pPr>
        <w:spacing w:after="120"/>
        <w:rPr>
          <w:rFonts w:asciiTheme="minorHAnsi" w:hAnsiTheme="minorHAnsi" w:cstheme="minorHAnsi"/>
          <w:sz w:val="22"/>
          <w:szCs w:val="22"/>
        </w:rPr>
      </w:pPr>
    </w:p>
    <w:p w14:paraId="56FB8E15" w14:textId="77777777" w:rsidR="0071607B" w:rsidRPr="00A8471A" w:rsidRDefault="0071607B" w:rsidP="00647ACB">
      <w:pPr>
        <w:spacing w:after="120"/>
        <w:rPr>
          <w:rFonts w:asciiTheme="minorHAnsi" w:hAnsiTheme="minorHAnsi" w:cstheme="minorHAnsi"/>
          <w:sz w:val="22"/>
          <w:szCs w:val="22"/>
        </w:rPr>
      </w:pPr>
    </w:p>
    <w:p w14:paraId="7766A149" w14:textId="6FD19986" w:rsidR="00647ACB" w:rsidRPr="00A8471A" w:rsidRDefault="00647ACB" w:rsidP="00647ACB">
      <w:pPr>
        <w:spacing w:after="120"/>
        <w:rPr>
          <w:rFonts w:asciiTheme="minorHAnsi" w:hAnsiTheme="minorHAnsi" w:cstheme="minorHAnsi"/>
          <w:sz w:val="22"/>
          <w:szCs w:val="22"/>
        </w:rPr>
      </w:pPr>
      <w:r w:rsidRPr="00A8471A">
        <w:rPr>
          <w:rFonts w:asciiTheme="minorHAnsi" w:hAnsiTheme="minorHAnsi" w:cstheme="minorHAnsi"/>
          <w:sz w:val="22"/>
          <w:szCs w:val="22"/>
        </w:rPr>
        <w:t>Signed by the Deputy Secretary of the Department of Health and Aged Care</w:t>
      </w:r>
      <w:r w:rsidR="00EF34EA" w:rsidRPr="00A8471A">
        <w:rPr>
          <w:rFonts w:asciiTheme="minorHAnsi" w:hAnsiTheme="minorHAnsi" w:cstheme="minorHAnsi"/>
          <w:sz w:val="22"/>
          <w:szCs w:val="22"/>
        </w:rPr>
        <w:t xml:space="preserve"> </w:t>
      </w:r>
      <w:r w:rsidRPr="00A8471A">
        <w:rPr>
          <w:rFonts w:asciiTheme="minorHAnsi" w:hAnsiTheme="minorHAnsi" w:cstheme="minorHAnsi"/>
          <w:sz w:val="22"/>
          <w:szCs w:val="22"/>
        </w:rPr>
        <w:t xml:space="preserve">in the presence of: </w:t>
      </w:r>
    </w:p>
    <w:p w14:paraId="374668A1" w14:textId="6DAE8268" w:rsidR="00647ACB" w:rsidRPr="00A8471A" w:rsidRDefault="00647ACB" w:rsidP="00647ACB">
      <w:pPr>
        <w:spacing w:after="12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855"/>
        <w:gridCol w:w="4338"/>
      </w:tblGrid>
      <w:tr w:rsidR="00A8471A" w:rsidRPr="00A8471A" w14:paraId="5062D866" w14:textId="77777777" w:rsidTr="00EF34EA">
        <w:tc>
          <w:tcPr>
            <w:tcW w:w="3823" w:type="dxa"/>
            <w:tcBorders>
              <w:bottom w:val="single" w:sz="4" w:space="0" w:color="auto"/>
            </w:tcBorders>
          </w:tcPr>
          <w:p w14:paraId="0E544A5F" w14:textId="3BAE43FE" w:rsidR="00EF34EA" w:rsidRPr="00A8471A" w:rsidRDefault="00EF34EA">
            <w:pPr>
              <w:spacing w:after="120"/>
              <w:jc w:val="right"/>
              <w:rPr>
                <w:rFonts w:asciiTheme="minorHAnsi" w:hAnsiTheme="minorHAnsi" w:cstheme="minorHAnsi"/>
                <w:sz w:val="22"/>
                <w:szCs w:val="22"/>
              </w:rPr>
            </w:pPr>
          </w:p>
        </w:tc>
        <w:tc>
          <w:tcPr>
            <w:tcW w:w="855" w:type="dxa"/>
          </w:tcPr>
          <w:p w14:paraId="52B5DAFA" w14:textId="77777777" w:rsidR="00EF34EA" w:rsidRPr="00A8471A" w:rsidRDefault="00EF34EA">
            <w:pPr>
              <w:spacing w:after="120"/>
              <w:rPr>
                <w:rFonts w:asciiTheme="minorHAnsi" w:hAnsiTheme="minorHAnsi" w:cstheme="minorHAnsi"/>
                <w:sz w:val="22"/>
                <w:szCs w:val="22"/>
              </w:rPr>
            </w:pPr>
          </w:p>
        </w:tc>
        <w:tc>
          <w:tcPr>
            <w:tcW w:w="4338" w:type="dxa"/>
            <w:tcBorders>
              <w:bottom w:val="single" w:sz="4" w:space="0" w:color="auto"/>
            </w:tcBorders>
          </w:tcPr>
          <w:p w14:paraId="259E9911" w14:textId="2C719C84" w:rsidR="00EF34EA" w:rsidRPr="00A8471A" w:rsidRDefault="00EF34EA">
            <w:pPr>
              <w:spacing w:after="120"/>
              <w:jc w:val="right"/>
              <w:rPr>
                <w:rFonts w:asciiTheme="minorHAnsi" w:hAnsiTheme="minorHAnsi" w:cstheme="minorHAnsi"/>
                <w:sz w:val="22"/>
                <w:szCs w:val="22"/>
              </w:rPr>
            </w:pPr>
          </w:p>
        </w:tc>
      </w:tr>
      <w:tr w:rsidR="00A8471A" w:rsidRPr="00A8471A" w14:paraId="60600C5B" w14:textId="77777777" w:rsidTr="00D67B07">
        <w:tc>
          <w:tcPr>
            <w:tcW w:w="3823" w:type="dxa"/>
            <w:tcBorders>
              <w:top w:val="single" w:sz="4" w:space="0" w:color="auto"/>
            </w:tcBorders>
          </w:tcPr>
          <w:p w14:paraId="7B1495DF" w14:textId="6200B6F2" w:rsidR="00EF34EA" w:rsidRPr="00A8471A" w:rsidRDefault="00EF34EA">
            <w:pPr>
              <w:spacing w:after="120"/>
              <w:rPr>
                <w:rFonts w:asciiTheme="minorHAnsi" w:hAnsiTheme="minorHAnsi" w:cstheme="minorHAnsi"/>
                <w:sz w:val="22"/>
                <w:szCs w:val="22"/>
              </w:rPr>
            </w:pPr>
            <w:r w:rsidRPr="00A8471A">
              <w:rPr>
                <w:rFonts w:asciiTheme="minorHAnsi" w:hAnsiTheme="minorHAnsi" w:cstheme="minorHAnsi"/>
                <w:sz w:val="22"/>
                <w:szCs w:val="22"/>
              </w:rPr>
              <w:t>Signature of Michael Lye</w:t>
            </w:r>
          </w:p>
        </w:tc>
        <w:tc>
          <w:tcPr>
            <w:tcW w:w="855" w:type="dxa"/>
          </w:tcPr>
          <w:p w14:paraId="5FC67D87" w14:textId="77777777" w:rsidR="00EF34EA" w:rsidRPr="00A8471A" w:rsidRDefault="00EF34EA">
            <w:pPr>
              <w:spacing w:after="120"/>
              <w:rPr>
                <w:rFonts w:asciiTheme="minorHAnsi" w:hAnsiTheme="minorHAnsi" w:cstheme="minorHAnsi"/>
                <w:sz w:val="22"/>
                <w:szCs w:val="22"/>
              </w:rPr>
            </w:pPr>
          </w:p>
        </w:tc>
        <w:tc>
          <w:tcPr>
            <w:tcW w:w="4338" w:type="dxa"/>
            <w:tcBorders>
              <w:top w:val="single" w:sz="4" w:space="0" w:color="auto"/>
            </w:tcBorders>
          </w:tcPr>
          <w:p w14:paraId="5CCA8513" w14:textId="77777777" w:rsidR="00EF34EA" w:rsidRPr="00A8471A" w:rsidRDefault="00EF34EA">
            <w:pPr>
              <w:spacing w:after="120"/>
              <w:rPr>
                <w:rFonts w:asciiTheme="minorHAnsi" w:hAnsiTheme="minorHAnsi" w:cstheme="minorHAnsi"/>
                <w:sz w:val="22"/>
                <w:szCs w:val="22"/>
              </w:rPr>
            </w:pPr>
            <w:r w:rsidRPr="00A8471A">
              <w:rPr>
                <w:rFonts w:asciiTheme="minorHAnsi" w:hAnsiTheme="minorHAnsi" w:cstheme="minorHAnsi"/>
                <w:sz w:val="22"/>
                <w:szCs w:val="22"/>
              </w:rPr>
              <w:t>Signature of witness</w:t>
            </w:r>
          </w:p>
        </w:tc>
      </w:tr>
      <w:tr w:rsidR="00D67B07" w:rsidRPr="00A8471A" w14:paraId="68A733C7" w14:textId="77777777" w:rsidTr="00D67B07">
        <w:tc>
          <w:tcPr>
            <w:tcW w:w="3823" w:type="dxa"/>
          </w:tcPr>
          <w:p w14:paraId="53492DD5" w14:textId="0C40E214" w:rsidR="00D67B07" w:rsidRPr="00A8471A" w:rsidRDefault="00D67B07">
            <w:pPr>
              <w:spacing w:after="120"/>
              <w:rPr>
                <w:rFonts w:asciiTheme="minorHAnsi" w:hAnsiTheme="minorHAnsi" w:cstheme="minorHAnsi"/>
                <w:sz w:val="22"/>
                <w:szCs w:val="22"/>
              </w:rPr>
            </w:pPr>
            <w:r w:rsidRPr="00A8471A">
              <w:rPr>
                <w:rFonts w:asciiTheme="minorHAnsi" w:hAnsiTheme="minorHAnsi" w:cstheme="minorHAnsi"/>
                <w:sz w:val="22"/>
                <w:szCs w:val="22"/>
              </w:rPr>
              <w:t>Date</w:t>
            </w:r>
          </w:p>
        </w:tc>
        <w:tc>
          <w:tcPr>
            <w:tcW w:w="855" w:type="dxa"/>
          </w:tcPr>
          <w:p w14:paraId="39702051" w14:textId="77777777" w:rsidR="00D67B07" w:rsidRPr="00A8471A" w:rsidRDefault="00D67B07">
            <w:pPr>
              <w:spacing w:after="120"/>
              <w:rPr>
                <w:rFonts w:asciiTheme="minorHAnsi" w:hAnsiTheme="minorHAnsi" w:cstheme="minorHAnsi"/>
                <w:sz w:val="22"/>
                <w:szCs w:val="22"/>
              </w:rPr>
            </w:pPr>
          </w:p>
        </w:tc>
        <w:tc>
          <w:tcPr>
            <w:tcW w:w="4338" w:type="dxa"/>
          </w:tcPr>
          <w:p w14:paraId="1D949866" w14:textId="74C16E38" w:rsidR="00D67B07" w:rsidRPr="00A8471A" w:rsidRDefault="00D67B07">
            <w:pPr>
              <w:spacing w:after="120"/>
              <w:rPr>
                <w:rFonts w:asciiTheme="minorHAnsi" w:hAnsiTheme="minorHAnsi" w:cstheme="minorHAnsi"/>
                <w:sz w:val="22"/>
                <w:szCs w:val="22"/>
              </w:rPr>
            </w:pPr>
            <w:r w:rsidRPr="00A8471A">
              <w:rPr>
                <w:rFonts w:asciiTheme="minorHAnsi" w:hAnsiTheme="minorHAnsi" w:cstheme="minorHAnsi"/>
                <w:sz w:val="22"/>
                <w:szCs w:val="22"/>
              </w:rPr>
              <w:t>Date</w:t>
            </w:r>
          </w:p>
        </w:tc>
      </w:tr>
    </w:tbl>
    <w:p w14:paraId="040C6AC6" w14:textId="77777777" w:rsidR="00280050" w:rsidRPr="00A8471A" w:rsidRDefault="00280050" w:rsidP="00257721">
      <w:pPr>
        <w:spacing w:after="120"/>
        <w:rPr>
          <w:rFonts w:asciiTheme="minorHAnsi" w:hAnsiTheme="minorHAnsi" w:cstheme="minorHAnsi"/>
          <w:sz w:val="22"/>
          <w:szCs w:val="22"/>
        </w:rPr>
      </w:pPr>
    </w:p>
    <w:sectPr w:rsidR="00280050" w:rsidRPr="00A8471A" w:rsidSect="009350B2">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B412" w14:textId="77777777" w:rsidR="00F834D5" w:rsidRDefault="00F834D5" w:rsidP="009350B2">
      <w:pPr>
        <w:spacing w:after="0" w:line="240" w:lineRule="auto"/>
      </w:pPr>
      <w:r>
        <w:separator/>
      </w:r>
    </w:p>
  </w:endnote>
  <w:endnote w:type="continuationSeparator" w:id="0">
    <w:p w14:paraId="1E4F2153" w14:textId="77777777" w:rsidR="00F834D5" w:rsidRDefault="00F834D5" w:rsidP="009350B2">
      <w:pPr>
        <w:spacing w:after="0" w:line="240" w:lineRule="auto"/>
      </w:pPr>
      <w:r>
        <w:continuationSeparator/>
      </w:r>
    </w:p>
  </w:endnote>
  <w:endnote w:type="continuationNotice" w:id="1">
    <w:p w14:paraId="09EFF8DF" w14:textId="77777777" w:rsidR="00F834D5" w:rsidRDefault="00F83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szCs w:val="20"/>
      </w:rPr>
      <w:id w:val="1280372037"/>
      <w:docPartObj>
        <w:docPartGallery w:val="Page Numbers (Bottom of Page)"/>
        <w:docPartUnique/>
      </w:docPartObj>
    </w:sdtPr>
    <w:sdtEndPr/>
    <w:sdtContent>
      <w:sdt>
        <w:sdtPr>
          <w:rPr>
            <w:rFonts w:asciiTheme="minorHAnsi" w:hAnsiTheme="minorHAnsi" w:cstheme="minorBidi"/>
            <w:sz w:val="20"/>
            <w:szCs w:val="20"/>
          </w:rPr>
          <w:id w:val="-1769616900"/>
          <w:docPartObj>
            <w:docPartGallery w:val="Page Numbers (Top of Page)"/>
            <w:docPartUnique/>
          </w:docPartObj>
        </w:sdtPr>
        <w:sdtEndPr/>
        <w:sdtContent>
          <w:p w14:paraId="1E67EF11" w14:textId="122B6758" w:rsidR="009350B2" w:rsidRPr="009350B2" w:rsidRDefault="009350B2">
            <w:pPr>
              <w:pStyle w:val="Footer"/>
              <w:jc w:val="right"/>
              <w:rPr>
                <w:rFonts w:asciiTheme="minorHAnsi" w:hAnsiTheme="minorHAnsi" w:cstheme="minorHAnsi"/>
                <w:sz w:val="20"/>
                <w:szCs w:val="20"/>
              </w:rPr>
            </w:pPr>
            <w:r w:rsidRPr="009350B2">
              <w:rPr>
                <w:rFonts w:asciiTheme="minorHAnsi" w:hAnsiTheme="minorHAnsi" w:cstheme="minorHAnsi"/>
                <w:sz w:val="20"/>
                <w:szCs w:val="20"/>
              </w:rPr>
              <w:t xml:space="preserve">Page </w:t>
            </w:r>
            <w:r w:rsidRPr="009350B2">
              <w:rPr>
                <w:rFonts w:asciiTheme="minorHAnsi" w:hAnsiTheme="minorHAnsi" w:cstheme="minorHAnsi"/>
                <w:b/>
                <w:bCs/>
                <w:sz w:val="20"/>
                <w:szCs w:val="20"/>
              </w:rPr>
              <w:fldChar w:fldCharType="begin"/>
            </w:r>
            <w:r w:rsidRPr="009350B2">
              <w:rPr>
                <w:rFonts w:asciiTheme="minorHAnsi" w:hAnsiTheme="minorHAnsi" w:cstheme="minorHAnsi"/>
                <w:b/>
                <w:bCs/>
                <w:sz w:val="20"/>
                <w:szCs w:val="20"/>
              </w:rPr>
              <w:instrText xml:space="preserve"> PAGE </w:instrText>
            </w:r>
            <w:r w:rsidRPr="009350B2">
              <w:rPr>
                <w:rFonts w:asciiTheme="minorHAnsi" w:hAnsiTheme="minorHAnsi" w:cstheme="minorHAnsi"/>
                <w:b/>
                <w:bCs/>
                <w:sz w:val="20"/>
                <w:szCs w:val="20"/>
              </w:rPr>
              <w:fldChar w:fldCharType="separate"/>
            </w:r>
            <w:r w:rsidRPr="009350B2">
              <w:rPr>
                <w:rFonts w:asciiTheme="minorHAnsi" w:hAnsiTheme="minorHAnsi" w:cstheme="minorHAnsi"/>
                <w:b/>
                <w:bCs/>
                <w:noProof/>
                <w:sz w:val="20"/>
                <w:szCs w:val="20"/>
              </w:rPr>
              <w:t>2</w:t>
            </w:r>
            <w:r w:rsidRPr="009350B2">
              <w:rPr>
                <w:rFonts w:asciiTheme="minorHAnsi" w:hAnsiTheme="minorHAnsi" w:cstheme="minorHAnsi"/>
                <w:b/>
                <w:bCs/>
                <w:sz w:val="20"/>
                <w:szCs w:val="20"/>
              </w:rPr>
              <w:fldChar w:fldCharType="end"/>
            </w:r>
            <w:r w:rsidRPr="009350B2">
              <w:rPr>
                <w:rFonts w:asciiTheme="minorHAnsi" w:hAnsiTheme="minorHAnsi" w:cstheme="minorHAnsi"/>
                <w:sz w:val="20"/>
                <w:szCs w:val="20"/>
              </w:rPr>
              <w:t xml:space="preserve"> of </w:t>
            </w:r>
            <w:r w:rsidRPr="009350B2">
              <w:rPr>
                <w:rFonts w:asciiTheme="minorHAnsi" w:hAnsiTheme="minorHAnsi" w:cstheme="minorHAnsi"/>
                <w:b/>
                <w:bCs/>
                <w:sz w:val="20"/>
                <w:szCs w:val="20"/>
              </w:rPr>
              <w:fldChar w:fldCharType="begin"/>
            </w:r>
            <w:r w:rsidRPr="009350B2">
              <w:rPr>
                <w:rFonts w:asciiTheme="minorHAnsi" w:hAnsiTheme="minorHAnsi" w:cstheme="minorHAnsi"/>
                <w:b/>
                <w:bCs/>
                <w:sz w:val="20"/>
                <w:szCs w:val="20"/>
              </w:rPr>
              <w:instrText xml:space="preserve"> NUMPAGES  </w:instrText>
            </w:r>
            <w:r w:rsidRPr="009350B2">
              <w:rPr>
                <w:rFonts w:asciiTheme="minorHAnsi" w:hAnsiTheme="minorHAnsi" w:cstheme="minorHAnsi"/>
                <w:b/>
                <w:bCs/>
                <w:sz w:val="20"/>
                <w:szCs w:val="20"/>
              </w:rPr>
              <w:fldChar w:fldCharType="separate"/>
            </w:r>
            <w:r w:rsidRPr="009350B2">
              <w:rPr>
                <w:rFonts w:asciiTheme="minorHAnsi" w:hAnsiTheme="minorHAnsi" w:cstheme="minorHAnsi"/>
                <w:b/>
                <w:bCs/>
                <w:noProof/>
                <w:sz w:val="20"/>
                <w:szCs w:val="20"/>
              </w:rPr>
              <w:t>2</w:t>
            </w:r>
            <w:r w:rsidRPr="009350B2">
              <w:rPr>
                <w:rFonts w:asciiTheme="minorHAnsi" w:hAnsiTheme="minorHAnsi" w:cstheme="minorHAnsi"/>
                <w:b/>
                <w:bCs/>
                <w:sz w:val="20"/>
                <w:szCs w:val="20"/>
              </w:rPr>
              <w:fldChar w:fldCharType="end"/>
            </w:r>
          </w:p>
        </w:sdtContent>
      </w:sdt>
    </w:sdtContent>
  </w:sdt>
  <w:p w14:paraId="43CE5C53" w14:textId="77777777" w:rsidR="009350B2" w:rsidRDefault="0093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350383" w14:paraId="0E00976E" w14:textId="77777777" w:rsidTr="00377C59">
      <w:trPr>
        <w:trHeight w:val="300"/>
      </w:trPr>
      <w:tc>
        <w:tcPr>
          <w:tcW w:w="3005" w:type="dxa"/>
        </w:tcPr>
        <w:p w14:paraId="4253DFE2" w14:textId="5DE54423" w:rsidR="1B350383" w:rsidRDefault="1B350383" w:rsidP="00377C59">
          <w:pPr>
            <w:pStyle w:val="Header"/>
            <w:ind w:left="-115"/>
          </w:pPr>
        </w:p>
      </w:tc>
      <w:tc>
        <w:tcPr>
          <w:tcW w:w="3005" w:type="dxa"/>
        </w:tcPr>
        <w:p w14:paraId="21C2150E" w14:textId="3F18E0CC" w:rsidR="1B350383" w:rsidRDefault="1B350383" w:rsidP="00377C59">
          <w:pPr>
            <w:pStyle w:val="Header"/>
            <w:jc w:val="center"/>
          </w:pPr>
        </w:p>
      </w:tc>
      <w:tc>
        <w:tcPr>
          <w:tcW w:w="3005" w:type="dxa"/>
        </w:tcPr>
        <w:p w14:paraId="1B4F9BF7" w14:textId="4C2BBA11" w:rsidR="1B350383" w:rsidRDefault="1B350383" w:rsidP="00377C59">
          <w:pPr>
            <w:pStyle w:val="Header"/>
            <w:ind w:right="-115"/>
            <w:jc w:val="right"/>
          </w:pPr>
        </w:p>
      </w:tc>
    </w:tr>
  </w:tbl>
  <w:p w14:paraId="0996751B" w14:textId="220C44C8" w:rsidR="00482F4D" w:rsidRDefault="0048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97FF" w14:textId="77777777" w:rsidR="00F834D5" w:rsidRDefault="00F834D5" w:rsidP="009350B2">
      <w:pPr>
        <w:spacing w:after="0" w:line="240" w:lineRule="auto"/>
      </w:pPr>
      <w:r>
        <w:separator/>
      </w:r>
    </w:p>
  </w:footnote>
  <w:footnote w:type="continuationSeparator" w:id="0">
    <w:p w14:paraId="0F4658C1" w14:textId="77777777" w:rsidR="00F834D5" w:rsidRDefault="00F834D5" w:rsidP="009350B2">
      <w:pPr>
        <w:spacing w:after="0" w:line="240" w:lineRule="auto"/>
      </w:pPr>
      <w:r>
        <w:continuationSeparator/>
      </w:r>
    </w:p>
  </w:footnote>
  <w:footnote w:type="continuationNotice" w:id="1">
    <w:p w14:paraId="3BC1B105" w14:textId="77777777" w:rsidR="00F834D5" w:rsidRDefault="00F83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350383" w14:paraId="44E913BE" w14:textId="77777777" w:rsidTr="00377C59">
      <w:trPr>
        <w:trHeight w:val="300"/>
      </w:trPr>
      <w:tc>
        <w:tcPr>
          <w:tcW w:w="3005" w:type="dxa"/>
        </w:tcPr>
        <w:p w14:paraId="78E7795A" w14:textId="322E151C" w:rsidR="1B350383" w:rsidRDefault="1B350383" w:rsidP="00377C59">
          <w:pPr>
            <w:pStyle w:val="Header"/>
            <w:ind w:left="-115"/>
          </w:pPr>
        </w:p>
      </w:tc>
      <w:tc>
        <w:tcPr>
          <w:tcW w:w="3005" w:type="dxa"/>
        </w:tcPr>
        <w:p w14:paraId="6B1F1EDE" w14:textId="68470B6A" w:rsidR="1B350383" w:rsidRDefault="1B350383" w:rsidP="00377C59">
          <w:pPr>
            <w:pStyle w:val="Header"/>
            <w:jc w:val="center"/>
          </w:pPr>
        </w:p>
      </w:tc>
      <w:tc>
        <w:tcPr>
          <w:tcW w:w="3005" w:type="dxa"/>
        </w:tcPr>
        <w:p w14:paraId="0279C0F7" w14:textId="59392895" w:rsidR="1B350383" w:rsidRDefault="1B350383" w:rsidP="00377C59">
          <w:pPr>
            <w:pStyle w:val="Header"/>
            <w:ind w:right="-115"/>
            <w:jc w:val="right"/>
          </w:pPr>
        </w:p>
      </w:tc>
    </w:tr>
  </w:tbl>
  <w:p w14:paraId="771C1CFD" w14:textId="6F767591" w:rsidR="00482F4D" w:rsidRDefault="00482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B350383" w14:paraId="79BF866F" w14:textId="77777777" w:rsidTr="00377C59">
      <w:trPr>
        <w:trHeight w:val="300"/>
      </w:trPr>
      <w:tc>
        <w:tcPr>
          <w:tcW w:w="3005" w:type="dxa"/>
        </w:tcPr>
        <w:p w14:paraId="43388738" w14:textId="5DFFD7CF" w:rsidR="1B350383" w:rsidRDefault="1B350383" w:rsidP="00377C59">
          <w:pPr>
            <w:pStyle w:val="Header"/>
            <w:ind w:left="-115"/>
          </w:pPr>
        </w:p>
      </w:tc>
      <w:tc>
        <w:tcPr>
          <w:tcW w:w="3005" w:type="dxa"/>
        </w:tcPr>
        <w:p w14:paraId="7C7718EF" w14:textId="111E9977" w:rsidR="1B350383" w:rsidRDefault="1B350383" w:rsidP="00377C59">
          <w:pPr>
            <w:pStyle w:val="Header"/>
            <w:jc w:val="center"/>
          </w:pPr>
        </w:p>
      </w:tc>
      <w:tc>
        <w:tcPr>
          <w:tcW w:w="3005" w:type="dxa"/>
        </w:tcPr>
        <w:p w14:paraId="5882156F" w14:textId="2938B81F" w:rsidR="1B350383" w:rsidRDefault="1B350383" w:rsidP="00377C59">
          <w:pPr>
            <w:pStyle w:val="Header"/>
            <w:ind w:right="-115"/>
            <w:jc w:val="right"/>
          </w:pPr>
        </w:p>
      </w:tc>
    </w:tr>
  </w:tbl>
  <w:p w14:paraId="6A899ABD" w14:textId="042D86E7" w:rsidR="00482F4D" w:rsidRDefault="00482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A45"/>
    <w:multiLevelType w:val="multilevel"/>
    <w:tmpl w:val="1D743F9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504076A"/>
    <w:multiLevelType w:val="hybridMultilevel"/>
    <w:tmpl w:val="2CB0E6E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4D47A1"/>
    <w:multiLevelType w:val="multilevel"/>
    <w:tmpl w:val="F88499FA"/>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B5B4A7B"/>
    <w:multiLevelType w:val="hybridMultilevel"/>
    <w:tmpl w:val="323A49E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291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622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440015"/>
    <w:multiLevelType w:val="hybridMultilevel"/>
    <w:tmpl w:val="F1A6F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91C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2E79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054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919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D03A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74B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DF4B3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412C28"/>
    <w:multiLevelType w:val="hybridMultilevel"/>
    <w:tmpl w:val="7F3458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1423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69053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02E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D630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EC163A"/>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474F63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9733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366C12"/>
    <w:multiLevelType w:val="hybridMultilevel"/>
    <w:tmpl w:val="BE5E8B76"/>
    <w:lvl w:ilvl="0" w:tplc="0C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CBA42AA"/>
    <w:multiLevelType w:val="hybridMultilevel"/>
    <w:tmpl w:val="4E849A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FC44CF9"/>
    <w:multiLevelType w:val="hybridMultilevel"/>
    <w:tmpl w:val="CA247E00"/>
    <w:lvl w:ilvl="0" w:tplc="C040D4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9479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1F4C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104386"/>
    <w:multiLevelType w:val="hybridMultilevel"/>
    <w:tmpl w:val="5144124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39128B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987B3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A169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4A298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9276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7176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C94BA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1506C6"/>
    <w:multiLevelType w:val="hybridMultilevel"/>
    <w:tmpl w:val="FE42B6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ECF01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0543D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A12D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437F7A"/>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6EC3039D"/>
    <w:multiLevelType w:val="hybridMultilevel"/>
    <w:tmpl w:val="10EEB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6A08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7278AF"/>
    <w:multiLevelType w:val="multilevel"/>
    <w:tmpl w:val="CAD28C6C"/>
    <w:lvl w:ilvl="0">
      <w:start w:val="1"/>
      <w:numFmt w:val="lowerLetter"/>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4CB67B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643E0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0317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326AB2"/>
    <w:multiLevelType w:val="hybridMultilevel"/>
    <w:tmpl w:val="EAD6C6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8C458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7149891">
    <w:abstractNumId w:val="31"/>
  </w:num>
  <w:num w:numId="2" w16cid:durableId="319846523">
    <w:abstractNumId w:val="24"/>
  </w:num>
  <w:num w:numId="3" w16cid:durableId="1897617437">
    <w:abstractNumId w:val="13"/>
  </w:num>
  <w:num w:numId="4" w16cid:durableId="261375489">
    <w:abstractNumId w:val="23"/>
  </w:num>
  <w:num w:numId="5" w16cid:durableId="830481862">
    <w:abstractNumId w:val="19"/>
  </w:num>
  <w:num w:numId="6" w16cid:durableId="1407799940">
    <w:abstractNumId w:val="36"/>
  </w:num>
  <w:num w:numId="7" w16cid:durableId="1237739225">
    <w:abstractNumId w:val="28"/>
  </w:num>
  <w:num w:numId="8" w16cid:durableId="480730023">
    <w:abstractNumId w:val="42"/>
  </w:num>
  <w:num w:numId="9" w16cid:durableId="1830976855">
    <w:abstractNumId w:val="27"/>
  </w:num>
  <w:num w:numId="10" w16cid:durableId="1573588985">
    <w:abstractNumId w:val="39"/>
  </w:num>
  <w:num w:numId="11" w16cid:durableId="1724597579">
    <w:abstractNumId w:val="3"/>
  </w:num>
  <w:num w:numId="12" w16cid:durableId="812987968">
    <w:abstractNumId w:val="2"/>
  </w:num>
  <w:num w:numId="13" w16cid:durableId="507330317">
    <w:abstractNumId w:val="9"/>
  </w:num>
  <w:num w:numId="14" w16cid:durableId="402721574">
    <w:abstractNumId w:val="30"/>
  </w:num>
  <w:num w:numId="15" w16cid:durableId="349723396">
    <w:abstractNumId w:val="1"/>
  </w:num>
  <w:num w:numId="16" w16cid:durableId="1767071892">
    <w:abstractNumId w:val="20"/>
  </w:num>
  <w:num w:numId="17" w16cid:durableId="937181587">
    <w:abstractNumId w:val="35"/>
  </w:num>
  <w:num w:numId="18" w16cid:durableId="1023240924">
    <w:abstractNumId w:val="18"/>
  </w:num>
  <w:num w:numId="19" w16cid:durableId="1625693858">
    <w:abstractNumId w:val="34"/>
  </w:num>
  <w:num w:numId="20" w16cid:durableId="11422952">
    <w:abstractNumId w:val="16"/>
  </w:num>
  <w:num w:numId="21" w16cid:durableId="772826482">
    <w:abstractNumId w:val="12"/>
  </w:num>
  <w:num w:numId="22" w16cid:durableId="2069450834">
    <w:abstractNumId w:val="14"/>
  </w:num>
  <w:num w:numId="23" w16cid:durableId="1043018130">
    <w:abstractNumId w:val="22"/>
  </w:num>
  <w:num w:numId="24" w16cid:durableId="1917278692">
    <w:abstractNumId w:val="25"/>
  </w:num>
  <w:num w:numId="25" w16cid:durableId="791707388">
    <w:abstractNumId w:val="29"/>
  </w:num>
  <w:num w:numId="26" w16cid:durableId="1617833452">
    <w:abstractNumId w:val="37"/>
  </w:num>
  <w:num w:numId="27" w16cid:durableId="102193117">
    <w:abstractNumId w:val="46"/>
  </w:num>
  <w:num w:numId="28" w16cid:durableId="988021425">
    <w:abstractNumId w:val="38"/>
  </w:num>
  <w:num w:numId="29" w16cid:durableId="281041595">
    <w:abstractNumId w:val="44"/>
  </w:num>
  <w:num w:numId="30" w16cid:durableId="849222461">
    <w:abstractNumId w:val="10"/>
  </w:num>
  <w:num w:numId="31" w16cid:durableId="351146250">
    <w:abstractNumId w:val="26"/>
  </w:num>
  <w:num w:numId="32" w16cid:durableId="875696026">
    <w:abstractNumId w:val="21"/>
  </w:num>
  <w:num w:numId="33" w16cid:durableId="2059668015">
    <w:abstractNumId w:val="33"/>
  </w:num>
  <w:num w:numId="34" w16cid:durableId="168450613">
    <w:abstractNumId w:val="43"/>
  </w:num>
  <w:num w:numId="35" w16cid:durableId="313991206">
    <w:abstractNumId w:val="7"/>
  </w:num>
  <w:num w:numId="36" w16cid:durableId="524557578">
    <w:abstractNumId w:val="17"/>
  </w:num>
  <w:num w:numId="37" w16cid:durableId="324093126">
    <w:abstractNumId w:val="8"/>
  </w:num>
  <w:num w:numId="38" w16cid:durableId="22562506">
    <w:abstractNumId w:val="41"/>
  </w:num>
  <w:num w:numId="39" w16cid:durableId="390006690">
    <w:abstractNumId w:val="5"/>
  </w:num>
  <w:num w:numId="40" w16cid:durableId="918255036">
    <w:abstractNumId w:val="45"/>
  </w:num>
  <w:num w:numId="41" w16cid:durableId="1733578196">
    <w:abstractNumId w:val="4"/>
  </w:num>
  <w:num w:numId="42" w16cid:durableId="1926721882">
    <w:abstractNumId w:val="32"/>
  </w:num>
  <w:num w:numId="43" w16cid:durableId="1422721237">
    <w:abstractNumId w:val="11"/>
  </w:num>
  <w:num w:numId="44" w16cid:durableId="986668164">
    <w:abstractNumId w:val="47"/>
  </w:num>
  <w:num w:numId="45" w16cid:durableId="1264462267">
    <w:abstractNumId w:val="15"/>
  </w:num>
  <w:num w:numId="46" w16cid:durableId="834497920">
    <w:abstractNumId w:val="0"/>
  </w:num>
  <w:num w:numId="47" w16cid:durableId="1818718054">
    <w:abstractNumId w:val="40"/>
  </w:num>
  <w:num w:numId="48" w16cid:durableId="1957520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CB"/>
    <w:rsid w:val="0000379C"/>
    <w:rsid w:val="00004919"/>
    <w:rsid w:val="00007227"/>
    <w:rsid w:val="00015B9E"/>
    <w:rsid w:val="000410C8"/>
    <w:rsid w:val="000466D9"/>
    <w:rsid w:val="00046725"/>
    <w:rsid w:val="00052A4F"/>
    <w:rsid w:val="0006366F"/>
    <w:rsid w:val="00071E97"/>
    <w:rsid w:val="000805BF"/>
    <w:rsid w:val="000845E3"/>
    <w:rsid w:val="00097630"/>
    <w:rsid w:val="000D7583"/>
    <w:rsid w:val="000E32F6"/>
    <w:rsid w:val="000F4C64"/>
    <w:rsid w:val="000F6169"/>
    <w:rsid w:val="00100B41"/>
    <w:rsid w:val="00101BD4"/>
    <w:rsid w:val="00103747"/>
    <w:rsid w:val="001049C8"/>
    <w:rsid w:val="00110499"/>
    <w:rsid w:val="00110D9A"/>
    <w:rsid w:val="001118C4"/>
    <w:rsid w:val="00113D5A"/>
    <w:rsid w:val="00116435"/>
    <w:rsid w:val="00121310"/>
    <w:rsid w:val="00137B91"/>
    <w:rsid w:val="00143228"/>
    <w:rsid w:val="00151363"/>
    <w:rsid w:val="001538A2"/>
    <w:rsid w:val="00161DDB"/>
    <w:rsid w:val="00180C69"/>
    <w:rsid w:val="00185661"/>
    <w:rsid w:val="001E1543"/>
    <w:rsid w:val="001E4394"/>
    <w:rsid w:val="001F01E2"/>
    <w:rsid w:val="001F232B"/>
    <w:rsid w:val="001F4B89"/>
    <w:rsid w:val="0020674B"/>
    <w:rsid w:val="00210A9E"/>
    <w:rsid w:val="00210B98"/>
    <w:rsid w:val="00214795"/>
    <w:rsid w:val="00214F30"/>
    <w:rsid w:val="0021772C"/>
    <w:rsid w:val="00217F31"/>
    <w:rsid w:val="002209E4"/>
    <w:rsid w:val="00222F1E"/>
    <w:rsid w:val="00224C0B"/>
    <w:rsid w:val="00224C0C"/>
    <w:rsid w:val="0023340C"/>
    <w:rsid w:val="00234040"/>
    <w:rsid w:val="00241304"/>
    <w:rsid w:val="002435BF"/>
    <w:rsid w:val="00243AA9"/>
    <w:rsid w:val="00245876"/>
    <w:rsid w:val="002510F8"/>
    <w:rsid w:val="00253E2D"/>
    <w:rsid w:val="00254B55"/>
    <w:rsid w:val="00256622"/>
    <w:rsid w:val="00257721"/>
    <w:rsid w:val="00280050"/>
    <w:rsid w:val="00290934"/>
    <w:rsid w:val="00291150"/>
    <w:rsid w:val="002B44A0"/>
    <w:rsid w:val="002C387A"/>
    <w:rsid w:val="002D3D13"/>
    <w:rsid w:val="002E072E"/>
    <w:rsid w:val="0030029E"/>
    <w:rsid w:val="00310AC4"/>
    <w:rsid w:val="003124A6"/>
    <w:rsid w:val="00316154"/>
    <w:rsid w:val="00323237"/>
    <w:rsid w:val="00324707"/>
    <w:rsid w:val="00324AD2"/>
    <w:rsid w:val="003258D7"/>
    <w:rsid w:val="003261DE"/>
    <w:rsid w:val="00333FE3"/>
    <w:rsid w:val="003418B7"/>
    <w:rsid w:val="00356416"/>
    <w:rsid w:val="00356F99"/>
    <w:rsid w:val="00360911"/>
    <w:rsid w:val="0036220F"/>
    <w:rsid w:val="00364A34"/>
    <w:rsid w:val="0036736B"/>
    <w:rsid w:val="00377C59"/>
    <w:rsid w:val="00381BE2"/>
    <w:rsid w:val="00383D0F"/>
    <w:rsid w:val="003903DE"/>
    <w:rsid w:val="003923BA"/>
    <w:rsid w:val="00392F6E"/>
    <w:rsid w:val="00393B61"/>
    <w:rsid w:val="003A132B"/>
    <w:rsid w:val="003A2015"/>
    <w:rsid w:val="003B507A"/>
    <w:rsid w:val="003B622F"/>
    <w:rsid w:val="003B77A2"/>
    <w:rsid w:val="003C3A55"/>
    <w:rsid w:val="003C6053"/>
    <w:rsid w:val="003D2720"/>
    <w:rsid w:val="003D2780"/>
    <w:rsid w:val="003D5253"/>
    <w:rsid w:val="003D6F67"/>
    <w:rsid w:val="003E1C5A"/>
    <w:rsid w:val="00403F90"/>
    <w:rsid w:val="00413FA0"/>
    <w:rsid w:val="00421379"/>
    <w:rsid w:val="00426FAA"/>
    <w:rsid w:val="00440FFB"/>
    <w:rsid w:val="00445D25"/>
    <w:rsid w:val="004620AA"/>
    <w:rsid w:val="004665A7"/>
    <w:rsid w:val="004675D6"/>
    <w:rsid w:val="00476213"/>
    <w:rsid w:val="00477110"/>
    <w:rsid w:val="0048284C"/>
    <w:rsid w:val="00482F4D"/>
    <w:rsid w:val="004830DB"/>
    <w:rsid w:val="00487E46"/>
    <w:rsid w:val="004909A5"/>
    <w:rsid w:val="00491F27"/>
    <w:rsid w:val="00493501"/>
    <w:rsid w:val="004A1E4F"/>
    <w:rsid w:val="004B3546"/>
    <w:rsid w:val="004B711C"/>
    <w:rsid w:val="004C24E6"/>
    <w:rsid w:val="004C46E4"/>
    <w:rsid w:val="004C6525"/>
    <w:rsid w:val="004D39B4"/>
    <w:rsid w:val="004D473B"/>
    <w:rsid w:val="004E2C6B"/>
    <w:rsid w:val="004E59F9"/>
    <w:rsid w:val="004E753A"/>
    <w:rsid w:val="004F14BF"/>
    <w:rsid w:val="004F2AB9"/>
    <w:rsid w:val="004F7DB0"/>
    <w:rsid w:val="0050288F"/>
    <w:rsid w:val="00514519"/>
    <w:rsid w:val="00516AB4"/>
    <w:rsid w:val="00523C95"/>
    <w:rsid w:val="00523E3C"/>
    <w:rsid w:val="00525F04"/>
    <w:rsid w:val="00551353"/>
    <w:rsid w:val="00554B79"/>
    <w:rsid w:val="00564DC4"/>
    <w:rsid w:val="0056717E"/>
    <w:rsid w:val="00571D8E"/>
    <w:rsid w:val="00576267"/>
    <w:rsid w:val="00590E7E"/>
    <w:rsid w:val="00591ECE"/>
    <w:rsid w:val="00593399"/>
    <w:rsid w:val="005A39FC"/>
    <w:rsid w:val="005A50B2"/>
    <w:rsid w:val="005A6A39"/>
    <w:rsid w:val="005B1844"/>
    <w:rsid w:val="005C1164"/>
    <w:rsid w:val="005C6A29"/>
    <w:rsid w:val="005C72AA"/>
    <w:rsid w:val="005D146C"/>
    <w:rsid w:val="005D2F11"/>
    <w:rsid w:val="005E0D98"/>
    <w:rsid w:val="005E1B52"/>
    <w:rsid w:val="005E229F"/>
    <w:rsid w:val="005F1985"/>
    <w:rsid w:val="005F63BA"/>
    <w:rsid w:val="00613252"/>
    <w:rsid w:val="006154FD"/>
    <w:rsid w:val="00621678"/>
    <w:rsid w:val="00641689"/>
    <w:rsid w:val="006452E7"/>
    <w:rsid w:val="00647664"/>
    <w:rsid w:val="00647ACB"/>
    <w:rsid w:val="00650B06"/>
    <w:rsid w:val="00650E41"/>
    <w:rsid w:val="006516D1"/>
    <w:rsid w:val="00657711"/>
    <w:rsid w:val="00657C1B"/>
    <w:rsid w:val="006603F8"/>
    <w:rsid w:val="00660C3F"/>
    <w:rsid w:val="006748FE"/>
    <w:rsid w:val="00681969"/>
    <w:rsid w:val="006966DB"/>
    <w:rsid w:val="006A5B84"/>
    <w:rsid w:val="006C0FE9"/>
    <w:rsid w:val="006D123A"/>
    <w:rsid w:val="006D6BD1"/>
    <w:rsid w:val="006E2229"/>
    <w:rsid w:val="006E26D7"/>
    <w:rsid w:val="006F5F42"/>
    <w:rsid w:val="00714F1E"/>
    <w:rsid w:val="0071607B"/>
    <w:rsid w:val="00717971"/>
    <w:rsid w:val="00724B25"/>
    <w:rsid w:val="00727CB0"/>
    <w:rsid w:val="00732448"/>
    <w:rsid w:val="0074225E"/>
    <w:rsid w:val="00746987"/>
    <w:rsid w:val="00772AD2"/>
    <w:rsid w:val="00774333"/>
    <w:rsid w:val="007837BB"/>
    <w:rsid w:val="0079686C"/>
    <w:rsid w:val="007A7A57"/>
    <w:rsid w:val="007B37BE"/>
    <w:rsid w:val="007B58F2"/>
    <w:rsid w:val="007B750B"/>
    <w:rsid w:val="007C0D8A"/>
    <w:rsid w:val="007D185D"/>
    <w:rsid w:val="007D5A9C"/>
    <w:rsid w:val="007E1D11"/>
    <w:rsid w:val="007E30F9"/>
    <w:rsid w:val="007F3109"/>
    <w:rsid w:val="007F6B53"/>
    <w:rsid w:val="00803670"/>
    <w:rsid w:val="008041A4"/>
    <w:rsid w:val="0082013A"/>
    <w:rsid w:val="00825559"/>
    <w:rsid w:val="00830BEC"/>
    <w:rsid w:val="008330BA"/>
    <w:rsid w:val="00863B83"/>
    <w:rsid w:val="00863CFF"/>
    <w:rsid w:val="0087093F"/>
    <w:rsid w:val="00871F40"/>
    <w:rsid w:val="00872751"/>
    <w:rsid w:val="008777AC"/>
    <w:rsid w:val="008A3047"/>
    <w:rsid w:val="008B0944"/>
    <w:rsid w:val="008B5C65"/>
    <w:rsid w:val="008B7A0A"/>
    <w:rsid w:val="008C013A"/>
    <w:rsid w:val="008C2BBB"/>
    <w:rsid w:val="008D6C42"/>
    <w:rsid w:val="008E058C"/>
    <w:rsid w:val="008E0992"/>
    <w:rsid w:val="008E3A5C"/>
    <w:rsid w:val="008F104E"/>
    <w:rsid w:val="008F7DBD"/>
    <w:rsid w:val="009034D2"/>
    <w:rsid w:val="009103B9"/>
    <w:rsid w:val="00914BF7"/>
    <w:rsid w:val="009211E2"/>
    <w:rsid w:val="009215F9"/>
    <w:rsid w:val="009267E1"/>
    <w:rsid w:val="0093094E"/>
    <w:rsid w:val="00932A55"/>
    <w:rsid w:val="009350B2"/>
    <w:rsid w:val="00943E5B"/>
    <w:rsid w:val="00951E38"/>
    <w:rsid w:val="009531DA"/>
    <w:rsid w:val="00953742"/>
    <w:rsid w:val="00953CC1"/>
    <w:rsid w:val="00954DFC"/>
    <w:rsid w:val="00964964"/>
    <w:rsid w:val="00970598"/>
    <w:rsid w:val="00976DE4"/>
    <w:rsid w:val="009772ED"/>
    <w:rsid w:val="00980301"/>
    <w:rsid w:val="009809D9"/>
    <w:rsid w:val="009815EA"/>
    <w:rsid w:val="009833CD"/>
    <w:rsid w:val="00987AAA"/>
    <w:rsid w:val="009911B9"/>
    <w:rsid w:val="009955D7"/>
    <w:rsid w:val="009A3CAA"/>
    <w:rsid w:val="009A71FF"/>
    <w:rsid w:val="009B55E0"/>
    <w:rsid w:val="009B7940"/>
    <w:rsid w:val="009E16C3"/>
    <w:rsid w:val="009F0834"/>
    <w:rsid w:val="009F279E"/>
    <w:rsid w:val="009F705D"/>
    <w:rsid w:val="00A015EF"/>
    <w:rsid w:val="00A0617E"/>
    <w:rsid w:val="00A100D3"/>
    <w:rsid w:val="00A11177"/>
    <w:rsid w:val="00A11E53"/>
    <w:rsid w:val="00A11F19"/>
    <w:rsid w:val="00A126B6"/>
    <w:rsid w:val="00A14457"/>
    <w:rsid w:val="00A22763"/>
    <w:rsid w:val="00A34C27"/>
    <w:rsid w:val="00A375DC"/>
    <w:rsid w:val="00A431EC"/>
    <w:rsid w:val="00A47253"/>
    <w:rsid w:val="00A51BCB"/>
    <w:rsid w:val="00A622FB"/>
    <w:rsid w:val="00A6535F"/>
    <w:rsid w:val="00A65C8E"/>
    <w:rsid w:val="00A74E4B"/>
    <w:rsid w:val="00A81CF4"/>
    <w:rsid w:val="00A8471A"/>
    <w:rsid w:val="00A868BE"/>
    <w:rsid w:val="00A90433"/>
    <w:rsid w:val="00A963D4"/>
    <w:rsid w:val="00A97283"/>
    <w:rsid w:val="00AA3E36"/>
    <w:rsid w:val="00AA51A3"/>
    <w:rsid w:val="00AA6EC9"/>
    <w:rsid w:val="00AB14D7"/>
    <w:rsid w:val="00AB6465"/>
    <w:rsid w:val="00AC413B"/>
    <w:rsid w:val="00AD3F5A"/>
    <w:rsid w:val="00AD780B"/>
    <w:rsid w:val="00AE4E10"/>
    <w:rsid w:val="00AE53A1"/>
    <w:rsid w:val="00AF2CD4"/>
    <w:rsid w:val="00B007BB"/>
    <w:rsid w:val="00B07DCB"/>
    <w:rsid w:val="00B2667E"/>
    <w:rsid w:val="00B2705A"/>
    <w:rsid w:val="00B32FF9"/>
    <w:rsid w:val="00B34132"/>
    <w:rsid w:val="00B34ADA"/>
    <w:rsid w:val="00B462A9"/>
    <w:rsid w:val="00B462E6"/>
    <w:rsid w:val="00B475EB"/>
    <w:rsid w:val="00B5056C"/>
    <w:rsid w:val="00B51061"/>
    <w:rsid w:val="00B52CE7"/>
    <w:rsid w:val="00B61F20"/>
    <w:rsid w:val="00B62842"/>
    <w:rsid w:val="00B66B14"/>
    <w:rsid w:val="00B67DE1"/>
    <w:rsid w:val="00B8180E"/>
    <w:rsid w:val="00B8660D"/>
    <w:rsid w:val="00B94511"/>
    <w:rsid w:val="00B949B2"/>
    <w:rsid w:val="00B95345"/>
    <w:rsid w:val="00B96EF7"/>
    <w:rsid w:val="00BA57F6"/>
    <w:rsid w:val="00BB5475"/>
    <w:rsid w:val="00BB6EFC"/>
    <w:rsid w:val="00BC3B1D"/>
    <w:rsid w:val="00BC59E2"/>
    <w:rsid w:val="00BD4E1D"/>
    <w:rsid w:val="00BE24C7"/>
    <w:rsid w:val="00BE7BAA"/>
    <w:rsid w:val="00BF3D66"/>
    <w:rsid w:val="00BF41AF"/>
    <w:rsid w:val="00BF6A7A"/>
    <w:rsid w:val="00C03695"/>
    <w:rsid w:val="00C13278"/>
    <w:rsid w:val="00C14670"/>
    <w:rsid w:val="00C162A4"/>
    <w:rsid w:val="00C273BB"/>
    <w:rsid w:val="00C33A34"/>
    <w:rsid w:val="00C5055C"/>
    <w:rsid w:val="00C52E94"/>
    <w:rsid w:val="00C560DB"/>
    <w:rsid w:val="00C66E6B"/>
    <w:rsid w:val="00C706F5"/>
    <w:rsid w:val="00C7548D"/>
    <w:rsid w:val="00C8358C"/>
    <w:rsid w:val="00C85FD0"/>
    <w:rsid w:val="00C937AF"/>
    <w:rsid w:val="00C9410D"/>
    <w:rsid w:val="00CA4E17"/>
    <w:rsid w:val="00CB1178"/>
    <w:rsid w:val="00CC3F3D"/>
    <w:rsid w:val="00CC5B8F"/>
    <w:rsid w:val="00CC7262"/>
    <w:rsid w:val="00CD4348"/>
    <w:rsid w:val="00CE77AE"/>
    <w:rsid w:val="00CE7932"/>
    <w:rsid w:val="00CF078C"/>
    <w:rsid w:val="00CF7443"/>
    <w:rsid w:val="00D03227"/>
    <w:rsid w:val="00D11065"/>
    <w:rsid w:val="00D14FDE"/>
    <w:rsid w:val="00D16991"/>
    <w:rsid w:val="00D21AB7"/>
    <w:rsid w:val="00D27B98"/>
    <w:rsid w:val="00D31FFC"/>
    <w:rsid w:val="00D33CC1"/>
    <w:rsid w:val="00D364C3"/>
    <w:rsid w:val="00D51A11"/>
    <w:rsid w:val="00D67B07"/>
    <w:rsid w:val="00D80072"/>
    <w:rsid w:val="00D81089"/>
    <w:rsid w:val="00D84B1C"/>
    <w:rsid w:val="00D91BDA"/>
    <w:rsid w:val="00D94C98"/>
    <w:rsid w:val="00DB1146"/>
    <w:rsid w:val="00DB4C8E"/>
    <w:rsid w:val="00DB5DBE"/>
    <w:rsid w:val="00DC271C"/>
    <w:rsid w:val="00DC5549"/>
    <w:rsid w:val="00DE03CF"/>
    <w:rsid w:val="00DE4AAD"/>
    <w:rsid w:val="00DE6A69"/>
    <w:rsid w:val="00E11FC1"/>
    <w:rsid w:val="00E13ECF"/>
    <w:rsid w:val="00E262F9"/>
    <w:rsid w:val="00E309CF"/>
    <w:rsid w:val="00E3237C"/>
    <w:rsid w:val="00E36CCA"/>
    <w:rsid w:val="00E41DCE"/>
    <w:rsid w:val="00E43356"/>
    <w:rsid w:val="00E4363A"/>
    <w:rsid w:val="00E436B8"/>
    <w:rsid w:val="00E73B02"/>
    <w:rsid w:val="00E76B57"/>
    <w:rsid w:val="00E80883"/>
    <w:rsid w:val="00E80A56"/>
    <w:rsid w:val="00E82E04"/>
    <w:rsid w:val="00E90463"/>
    <w:rsid w:val="00E936D9"/>
    <w:rsid w:val="00EC4C2E"/>
    <w:rsid w:val="00EC7778"/>
    <w:rsid w:val="00ED247D"/>
    <w:rsid w:val="00ED3245"/>
    <w:rsid w:val="00ED56B5"/>
    <w:rsid w:val="00EE12AA"/>
    <w:rsid w:val="00EE2B8C"/>
    <w:rsid w:val="00EF34EA"/>
    <w:rsid w:val="00EF5B2A"/>
    <w:rsid w:val="00EF5FC2"/>
    <w:rsid w:val="00F00715"/>
    <w:rsid w:val="00F02E2D"/>
    <w:rsid w:val="00F14D6C"/>
    <w:rsid w:val="00F255B4"/>
    <w:rsid w:val="00F42614"/>
    <w:rsid w:val="00F47A80"/>
    <w:rsid w:val="00F500B4"/>
    <w:rsid w:val="00F54FCC"/>
    <w:rsid w:val="00F61946"/>
    <w:rsid w:val="00F62315"/>
    <w:rsid w:val="00F65FFF"/>
    <w:rsid w:val="00F6652B"/>
    <w:rsid w:val="00F70D41"/>
    <w:rsid w:val="00F801C6"/>
    <w:rsid w:val="00F834D5"/>
    <w:rsid w:val="00F83838"/>
    <w:rsid w:val="00F85424"/>
    <w:rsid w:val="00F87495"/>
    <w:rsid w:val="00F917B2"/>
    <w:rsid w:val="00FA0CCC"/>
    <w:rsid w:val="00FA284A"/>
    <w:rsid w:val="00FA35AA"/>
    <w:rsid w:val="00FA51C7"/>
    <w:rsid w:val="00FB0CE2"/>
    <w:rsid w:val="00FB7E0A"/>
    <w:rsid w:val="00FC1BA8"/>
    <w:rsid w:val="00FC7401"/>
    <w:rsid w:val="00FD2054"/>
    <w:rsid w:val="00FD2E39"/>
    <w:rsid w:val="00FE551F"/>
    <w:rsid w:val="00FE5E62"/>
    <w:rsid w:val="00FE689E"/>
    <w:rsid w:val="012E1F90"/>
    <w:rsid w:val="02DA83CA"/>
    <w:rsid w:val="056B823D"/>
    <w:rsid w:val="0611736F"/>
    <w:rsid w:val="0632FE1D"/>
    <w:rsid w:val="0791580C"/>
    <w:rsid w:val="07B6A6ED"/>
    <w:rsid w:val="07D24A46"/>
    <w:rsid w:val="08A32199"/>
    <w:rsid w:val="08C74D1B"/>
    <w:rsid w:val="093DB7E1"/>
    <w:rsid w:val="0A3E4E12"/>
    <w:rsid w:val="0CF52C73"/>
    <w:rsid w:val="0D156B99"/>
    <w:rsid w:val="0D99D711"/>
    <w:rsid w:val="0DD15809"/>
    <w:rsid w:val="0DFBB965"/>
    <w:rsid w:val="0E669A9B"/>
    <w:rsid w:val="0F9CABFC"/>
    <w:rsid w:val="0FAA18DC"/>
    <w:rsid w:val="102490DC"/>
    <w:rsid w:val="104CD2C5"/>
    <w:rsid w:val="1058234F"/>
    <w:rsid w:val="10F641AE"/>
    <w:rsid w:val="12748061"/>
    <w:rsid w:val="13D05509"/>
    <w:rsid w:val="15F81EAD"/>
    <w:rsid w:val="17768777"/>
    <w:rsid w:val="184B8BF6"/>
    <w:rsid w:val="19754456"/>
    <w:rsid w:val="19932371"/>
    <w:rsid w:val="1A80D2A1"/>
    <w:rsid w:val="1B350383"/>
    <w:rsid w:val="1B3C04E1"/>
    <w:rsid w:val="1BDB5704"/>
    <w:rsid w:val="1D35E922"/>
    <w:rsid w:val="1E73A8C1"/>
    <w:rsid w:val="1E8014AC"/>
    <w:rsid w:val="1EDB3EC6"/>
    <w:rsid w:val="1EF0EEA6"/>
    <w:rsid w:val="2022B561"/>
    <w:rsid w:val="2043F0AE"/>
    <w:rsid w:val="20770F27"/>
    <w:rsid w:val="20E88764"/>
    <w:rsid w:val="2149BC37"/>
    <w:rsid w:val="21723381"/>
    <w:rsid w:val="23AEAFE9"/>
    <w:rsid w:val="241A085E"/>
    <w:rsid w:val="2918CEBE"/>
    <w:rsid w:val="2A9C9783"/>
    <w:rsid w:val="2BCC50E2"/>
    <w:rsid w:val="2C0129BA"/>
    <w:rsid w:val="2CA0835C"/>
    <w:rsid w:val="2E2570F1"/>
    <w:rsid w:val="2EB04314"/>
    <w:rsid w:val="2F681493"/>
    <w:rsid w:val="30FE3466"/>
    <w:rsid w:val="31630DCB"/>
    <w:rsid w:val="31C52429"/>
    <w:rsid w:val="328E71D2"/>
    <w:rsid w:val="33403682"/>
    <w:rsid w:val="3464E188"/>
    <w:rsid w:val="370E9D27"/>
    <w:rsid w:val="371EB57A"/>
    <w:rsid w:val="375ACE2A"/>
    <w:rsid w:val="38FD7379"/>
    <w:rsid w:val="395E24B5"/>
    <w:rsid w:val="39CCB1BE"/>
    <w:rsid w:val="3A31D04D"/>
    <w:rsid w:val="3B006EA9"/>
    <w:rsid w:val="3BBCEEF9"/>
    <w:rsid w:val="3C03B28A"/>
    <w:rsid w:val="3CEDA57D"/>
    <w:rsid w:val="3CEEC1EE"/>
    <w:rsid w:val="3D0281B2"/>
    <w:rsid w:val="3D42D793"/>
    <w:rsid w:val="3D5CEF65"/>
    <w:rsid w:val="3DE6F86D"/>
    <w:rsid w:val="3E7C908B"/>
    <w:rsid w:val="3F098B6B"/>
    <w:rsid w:val="42BF04CB"/>
    <w:rsid w:val="42C35D1E"/>
    <w:rsid w:val="44E8DB9E"/>
    <w:rsid w:val="4535DE2A"/>
    <w:rsid w:val="45976D81"/>
    <w:rsid w:val="45DEB95D"/>
    <w:rsid w:val="46075BA3"/>
    <w:rsid w:val="47F850A6"/>
    <w:rsid w:val="4AB1AB7B"/>
    <w:rsid w:val="4B993049"/>
    <w:rsid w:val="4C2C85E9"/>
    <w:rsid w:val="4E23C775"/>
    <w:rsid w:val="4EFAFE2F"/>
    <w:rsid w:val="55396840"/>
    <w:rsid w:val="55DF0D1A"/>
    <w:rsid w:val="561007DE"/>
    <w:rsid w:val="561D34E1"/>
    <w:rsid w:val="5632EADC"/>
    <w:rsid w:val="570E9E08"/>
    <w:rsid w:val="57948BF1"/>
    <w:rsid w:val="57B0314B"/>
    <w:rsid w:val="5C09B2B2"/>
    <w:rsid w:val="5CD6C5EA"/>
    <w:rsid w:val="5D7F01F9"/>
    <w:rsid w:val="5DF0333F"/>
    <w:rsid w:val="5E0D5652"/>
    <w:rsid w:val="60457B8A"/>
    <w:rsid w:val="622A226E"/>
    <w:rsid w:val="62D60C01"/>
    <w:rsid w:val="6344C47A"/>
    <w:rsid w:val="64318ED4"/>
    <w:rsid w:val="64C1B1C9"/>
    <w:rsid w:val="65F9BAAD"/>
    <w:rsid w:val="66107136"/>
    <w:rsid w:val="680F476C"/>
    <w:rsid w:val="681A1024"/>
    <w:rsid w:val="69BCA4CD"/>
    <w:rsid w:val="6C0ECC0D"/>
    <w:rsid w:val="6C59DEE9"/>
    <w:rsid w:val="6CF16B3A"/>
    <w:rsid w:val="6E3C6FA2"/>
    <w:rsid w:val="6E6D06A1"/>
    <w:rsid w:val="6E9BCEC1"/>
    <w:rsid w:val="6F8C58A8"/>
    <w:rsid w:val="6FBC4C8A"/>
    <w:rsid w:val="70A1EE56"/>
    <w:rsid w:val="71029F8B"/>
    <w:rsid w:val="710B3CBA"/>
    <w:rsid w:val="7217068C"/>
    <w:rsid w:val="731AA3F1"/>
    <w:rsid w:val="741B7ADF"/>
    <w:rsid w:val="74258CCF"/>
    <w:rsid w:val="74D8B23C"/>
    <w:rsid w:val="7505F9BB"/>
    <w:rsid w:val="751239CC"/>
    <w:rsid w:val="753A924F"/>
    <w:rsid w:val="760C2CF6"/>
    <w:rsid w:val="76A0B56C"/>
    <w:rsid w:val="77055D53"/>
    <w:rsid w:val="770CC4A2"/>
    <w:rsid w:val="7715BB45"/>
    <w:rsid w:val="77241D9A"/>
    <w:rsid w:val="776E6690"/>
    <w:rsid w:val="7875860B"/>
    <w:rsid w:val="789F3274"/>
    <w:rsid w:val="7A2CF82D"/>
    <w:rsid w:val="7A377585"/>
    <w:rsid w:val="7A98BF84"/>
    <w:rsid w:val="7AB2771A"/>
    <w:rsid w:val="7B560246"/>
    <w:rsid w:val="7E489ACD"/>
    <w:rsid w:val="7E550B16"/>
    <w:rsid w:val="7F9B5CDA"/>
    <w:rsid w:val="7FA3A8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7026"/>
  <w15:chartTrackingRefBased/>
  <w15:docId w15:val="{7BE558B8-CDF9-44BC-B418-88271C40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4EA"/>
  </w:style>
  <w:style w:type="paragraph" w:styleId="Heading1">
    <w:name w:val="heading 1"/>
    <w:basedOn w:val="Normal"/>
    <w:next w:val="Normal"/>
    <w:link w:val="Heading1Char"/>
    <w:uiPriority w:val="9"/>
    <w:qFormat/>
    <w:rsid w:val="00B2705A"/>
    <w:pPr>
      <w:keepNext/>
      <w:keepLines/>
      <w:spacing w:before="240" w:after="0"/>
      <w:outlineLvl w:val="0"/>
    </w:pPr>
    <w:rPr>
      <w:rFonts w:asciiTheme="majorHAnsi" w:eastAsiaTheme="majorEastAsia" w:hAnsiTheme="majorHAnsi" w:cstheme="majorBidi"/>
      <w:b/>
      <w:color w:val="2F5496"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ACB"/>
    <w:pPr>
      <w:ind w:left="720"/>
      <w:contextualSpacing/>
    </w:pPr>
  </w:style>
  <w:style w:type="character" w:customStyle="1" w:styleId="Heading1Char">
    <w:name w:val="Heading 1 Char"/>
    <w:basedOn w:val="DefaultParagraphFont"/>
    <w:link w:val="Heading1"/>
    <w:uiPriority w:val="9"/>
    <w:rsid w:val="00B2705A"/>
    <w:rPr>
      <w:rFonts w:asciiTheme="majorHAnsi" w:eastAsiaTheme="majorEastAsia" w:hAnsiTheme="majorHAnsi" w:cstheme="majorBidi"/>
      <w:b/>
      <w:color w:val="2F5496" w:themeColor="accent1" w:themeShade="BF"/>
      <w:szCs w:val="32"/>
    </w:rPr>
  </w:style>
  <w:style w:type="paragraph" w:styleId="TOC1">
    <w:name w:val="toc 1"/>
    <w:basedOn w:val="Normal"/>
    <w:next w:val="Normal"/>
    <w:autoRedefine/>
    <w:uiPriority w:val="39"/>
    <w:unhideWhenUsed/>
    <w:rsid w:val="00B2705A"/>
    <w:pPr>
      <w:tabs>
        <w:tab w:val="left" w:pos="709"/>
        <w:tab w:val="right" w:leader="dot" w:pos="9016"/>
      </w:tabs>
      <w:spacing w:after="100"/>
    </w:pPr>
  </w:style>
  <w:style w:type="character" w:styleId="Hyperlink">
    <w:name w:val="Hyperlink"/>
    <w:basedOn w:val="DefaultParagraphFont"/>
    <w:uiPriority w:val="99"/>
    <w:unhideWhenUsed/>
    <w:rsid w:val="00B2705A"/>
    <w:rPr>
      <w:color w:val="0563C1" w:themeColor="hyperlink"/>
      <w:u w:val="single"/>
    </w:rPr>
  </w:style>
  <w:style w:type="table" w:styleId="TableGrid">
    <w:name w:val="Table Grid"/>
    <w:basedOn w:val="TableNormal"/>
    <w:uiPriority w:val="39"/>
    <w:rsid w:val="00B0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B07"/>
    <w:rPr>
      <w:sz w:val="16"/>
      <w:szCs w:val="16"/>
    </w:rPr>
  </w:style>
  <w:style w:type="paragraph" w:styleId="CommentText">
    <w:name w:val="annotation text"/>
    <w:basedOn w:val="Normal"/>
    <w:link w:val="CommentTextChar"/>
    <w:uiPriority w:val="99"/>
    <w:unhideWhenUsed/>
    <w:rsid w:val="00D67B07"/>
    <w:pPr>
      <w:spacing w:line="240" w:lineRule="auto"/>
    </w:pPr>
    <w:rPr>
      <w:sz w:val="20"/>
      <w:szCs w:val="20"/>
    </w:rPr>
  </w:style>
  <w:style w:type="character" w:customStyle="1" w:styleId="CommentTextChar">
    <w:name w:val="Comment Text Char"/>
    <w:basedOn w:val="DefaultParagraphFont"/>
    <w:link w:val="CommentText"/>
    <w:uiPriority w:val="99"/>
    <w:rsid w:val="00D67B07"/>
    <w:rPr>
      <w:sz w:val="20"/>
      <w:szCs w:val="20"/>
    </w:rPr>
  </w:style>
  <w:style w:type="paragraph" w:styleId="CommentSubject">
    <w:name w:val="annotation subject"/>
    <w:basedOn w:val="CommentText"/>
    <w:next w:val="CommentText"/>
    <w:link w:val="CommentSubjectChar"/>
    <w:uiPriority w:val="99"/>
    <w:semiHidden/>
    <w:unhideWhenUsed/>
    <w:rsid w:val="00D67B07"/>
    <w:rPr>
      <w:b/>
      <w:bCs/>
    </w:rPr>
  </w:style>
  <w:style w:type="character" w:customStyle="1" w:styleId="CommentSubjectChar">
    <w:name w:val="Comment Subject Char"/>
    <w:basedOn w:val="CommentTextChar"/>
    <w:link w:val="CommentSubject"/>
    <w:uiPriority w:val="99"/>
    <w:semiHidden/>
    <w:rsid w:val="00D67B07"/>
    <w:rPr>
      <w:b/>
      <w:bCs/>
      <w:sz w:val="20"/>
      <w:szCs w:val="20"/>
    </w:rPr>
  </w:style>
  <w:style w:type="paragraph" w:styleId="Revision">
    <w:name w:val="Revision"/>
    <w:hidden/>
    <w:uiPriority w:val="99"/>
    <w:semiHidden/>
    <w:rsid w:val="008E0992"/>
    <w:pPr>
      <w:spacing w:after="0" w:line="240" w:lineRule="auto"/>
    </w:pPr>
  </w:style>
  <w:style w:type="paragraph" w:styleId="Header">
    <w:name w:val="header"/>
    <w:basedOn w:val="Normal"/>
    <w:link w:val="HeaderChar"/>
    <w:uiPriority w:val="99"/>
    <w:unhideWhenUsed/>
    <w:rsid w:val="00935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B2"/>
  </w:style>
  <w:style w:type="paragraph" w:styleId="Footer">
    <w:name w:val="footer"/>
    <w:basedOn w:val="Normal"/>
    <w:link w:val="FooterChar"/>
    <w:uiPriority w:val="99"/>
    <w:unhideWhenUsed/>
    <w:rsid w:val="00935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B2"/>
  </w:style>
  <w:style w:type="character" w:customStyle="1" w:styleId="cf01">
    <w:name w:val="cf01"/>
    <w:basedOn w:val="DefaultParagraphFont"/>
    <w:rsid w:val="006516D1"/>
    <w:rPr>
      <w:rFonts w:ascii="Segoe UI" w:hAnsi="Segoe UI" w:cs="Segoe UI" w:hint="default"/>
      <w:sz w:val="18"/>
      <w:szCs w:val="18"/>
    </w:rPr>
  </w:style>
  <w:style w:type="character" w:customStyle="1" w:styleId="cf11">
    <w:name w:val="cf11"/>
    <w:basedOn w:val="DefaultParagraphFont"/>
    <w:rsid w:val="00222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C30D634B46A48943B18E96029A8EA" ma:contentTypeVersion="6" ma:contentTypeDescription="Create a new document." ma:contentTypeScope="" ma:versionID="3363b7822548301606480c5f42fcb519">
  <xsd:schema xmlns:xsd="http://www.w3.org/2001/XMLSchema" xmlns:xs="http://www.w3.org/2001/XMLSchema" xmlns:p="http://schemas.microsoft.com/office/2006/metadata/properties" xmlns:ns2="bb097f35-64b4-4fde-9fd0-6009dbbd81df" xmlns:ns3="8883b6e2-454b-4dcf-8281-98a597efb371" targetNamespace="http://schemas.microsoft.com/office/2006/metadata/properties" ma:root="true" ma:fieldsID="9488dddec510188731c9619be39f7f24" ns2:_="" ns3:_="">
    <xsd:import namespace="bb097f35-64b4-4fde-9fd0-6009dbbd81df"/>
    <xsd:import namespace="8883b6e2-454b-4dcf-8281-98a597efb3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97f35-64b4-4fde-9fd0-6009dbbd81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3b6e2-454b-4dcf-8281-98a597efb3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65823-1EE4-4F70-A6E8-954FEE2A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97f35-64b4-4fde-9fd0-6009dbbd81df"/>
    <ds:schemaRef ds:uri="8883b6e2-454b-4dcf-8281-98a597efb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DAA45-D89E-47B3-9EFF-A09B8F4EC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B9180-B039-4009-845F-0FBF2928C52B}">
  <ds:schemaRefs>
    <ds:schemaRef ds:uri="http://schemas.microsoft.com/sharepoint/v3/contenttype/forms"/>
  </ds:schemaRefs>
</ds:datastoreItem>
</file>

<file path=customXml/itemProps4.xml><?xml version="1.0" encoding="utf-8"?>
<ds:datastoreItem xmlns:ds="http://schemas.openxmlformats.org/officeDocument/2006/customXml" ds:itemID="{ED95C1B8-40AC-4ACC-9713-D313756B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2792</Words>
  <Characters>15917</Characters>
  <Application>Microsoft Office Word</Application>
  <DocSecurity>4</DocSecurity>
  <Lines>132</Lines>
  <Paragraphs>37</Paragraphs>
  <ScaleCrop>false</ScaleCrop>
  <Company/>
  <LinksUpToDate>false</LinksUpToDate>
  <CharactersWithSpaces>18672</CharactersWithSpaces>
  <SharedDoc>false</SharedDoc>
  <HLinks>
    <vt:vector size="78" baseType="variant">
      <vt:variant>
        <vt:i4>1048625</vt:i4>
      </vt:variant>
      <vt:variant>
        <vt:i4>74</vt:i4>
      </vt:variant>
      <vt:variant>
        <vt:i4>0</vt:i4>
      </vt:variant>
      <vt:variant>
        <vt:i4>5</vt:i4>
      </vt:variant>
      <vt:variant>
        <vt:lpwstr/>
      </vt:variant>
      <vt:variant>
        <vt:lpwstr>_Toc168585015</vt:lpwstr>
      </vt:variant>
      <vt:variant>
        <vt:i4>1048625</vt:i4>
      </vt:variant>
      <vt:variant>
        <vt:i4>68</vt:i4>
      </vt:variant>
      <vt:variant>
        <vt:i4>0</vt:i4>
      </vt:variant>
      <vt:variant>
        <vt:i4>5</vt:i4>
      </vt:variant>
      <vt:variant>
        <vt:lpwstr/>
      </vt:variant>
      <vt:variant>
        <vt:lpwstr>_Toc168585014</vt:lpwstr>
      </vt:variant>
      <vt:variant>
        <vt:i4>1048625</vt:i4>
      </vt:variant>
      <vt:variant>
        <vt:i4>62</vt:i4>
      </vt:variant>
      <vt:variant>
        <vt:i4>0</vt:i4>
      </vt:variant>
      <vt:variant>
        <vt:i4>5</vt:i4>
      </vt:variant>
      <vt:variant>
        <vt:lpwstr/>
      </vt:variant>
      <vt:variant>
        <vt:lpwstr>_Toc168585013</vt:lpwstr>
      </vt:variant>
      <vt:variant>
        <vt:i4>1048625</vt:i4>
      </vt:variant>
      <vt:variant>
        <vt:i4>56</vt:i4>
      </vt:variant>
      <vt:variant>
        <vt:i4>0</vt:i4>
      </vt:variant>
      <vt:variant>
        <vt:i4>5</vt:i4>
      </vt:variant>
      <vt:variant>
        <vt:lpwstr/>
      </vt:variant>
      <vt:variant>
        <vt:lpwstr>_Toc168585012</vt:lpwstr>
      </vt:variant>
      <vt:variant>
        <vt:i4>1048625</vt:i4>
      </vt:variant>
      <vt:variant>
        <vt:i4>50</vt:i4>
      </vt:variant>
      <vt:variant>
        <vt:i4>0</vt:i4>
      </vt:variant>
      <vt:variant>
        <vt:i4>5</vt:i4>
      </vt:variant>
      <vt:variant>
        <vt:lpwstr/>
      </vt:variant>
      <vt:variant>
        <vt:lpwstr>_Toc168585011</vt:lpwstr>
      </vt:variant>
      <vt:variant>
        <vt:i4>1048625</vt:i4>
      </vt:variant>
      <vt:variant>
        <vt:i4>44</vt:i4>
      </vt:variant>
      <vt:variant>
        <vt:i4>0</vt:i4>
      </vt:variant>
      <vt:variant>
        <vt:i4>5</vt:i4>
      </vt:variant>
      <vt:variant>
        <vt:lpwstr/>
      </vt:variant>
      <vt:variant>
        <vt:lpwstr>_Toc168585010</vt:lpwstr>
      </vt:variant>
      <vt:variant>
        <vt:i4>1114161</vt:i4>
      </vt:variant>
      <vt:variant>
        <vt:i4>38</vt:i4>
      </vt:variant>
      <vt:variant>
        <vt:i4>0</vt:i4>
      </vt:variant>
      <vt:variant>
        <vt:i4>5</vt:i4>
      </vt:variant>
      <vt:variant>
        <vt:lpwstr/>
      </vt:variant>
      <vt:variant>
        <vt:lpwstr>_Toc168585009</vt:lpwstr>
      </vt:variant>
      <vt:variant>
        <vt:i4>1114161</vt:i4>
      </vt:variant>
      <vt:variant>
        <vt:i4>32</vt:i4>
      </vt:variant>
      <vt:variant>
        <vt:i4>0</vt:i4>
      </vt:variant>
      <vt:variant>
        <vt:i4>5</vt:i4>
      </vt:variant>
      <vt:variant>
        <vt:lpwstr/>
      </vt:variant>
      <vt:variant>
        <vt:lpwstr>_Toc168585008</vt:lpwstr>
      </vt:variant>
      <vt:variant>
        <vt:i4>1114161</vt:i4>
      </vt:variant>
      <vt:variant>
        <vt:i4>26</vt:i4>
      </vt:variant>
      <vt:variant>
        <vt:i4>0</vt:i4>
      </vt:variant>
      <vt:variant>
        <vt:i4>5</vt:i4>
      </vt:variant>
      <vt:variant>
        <vt:lpwstr/>
      </vt:variant>
      <vt:variant>
        <vt:lpwstr>_Toc168585007</vt:lpwstr>
      </vt:variant>
      <vt:variant>
        <vt:i4>1114161</vt:i4>
      </vt:variant>
      <vt:variant>
        <vt:i4>20</vt:i4>
      </vt:variant>
      <vt:variant>
        <vt:i4>0</vt:i4>
      </vt:variant>
      <vt:variant>
        <vt:i4>5</vt:i4>
      </vt:variant>
      <vt:variant>
        <vt:lpwstr/>
      </vt:variant>
      <vt:variant>
        <vt:lpwstr>_Toc168585006</vt:lpwstr>
      </vt:variant>
      <vt:variant>
        <vt:i4>1114161</vt:i4>
      </vt:variant>
      <vt:variant>
        <vt:i4>14</vt:i4>
      </vt:variant>
      <vt:variant>
        <vt:i4>0</vt:i4>
      </vt:variant>
      <vt:variant>
        <vt:i4>5</vt:i4>
      </vt:variant>
      <vt:variant>
        <vt:lpwstr/>
      </vt:variant>
      <vt:variant>
        <vt:lpwstr>_Toc168585005</vt:lpwstr>
      </vt:variant>
      <vt:variant>
        <vt:i4>1114161</vt:i4>
      </vt:variant>
      <vt:variant>
        <vt:i4>8</vt:i4>
      </vt:variant>
      <vt:variant>
        <vt:i4>0</vt:i4>
      </vt:variant>
      <vt:variant>
        <vt:i4>5</vt:i4>
      </vt:variant>
      <vt:variant>
        <vt:lpwstr/>
      </vt:variant>
      <vt:variant>
        <vt:lpwstr>_Toc168585004</vt:lpwstr>
      </vt:variant>
      <vt:variant>
        <vt:i4>1114161</vt:i4>
      </vt:variant>
      <vt:variant>
        <vt:i4>2</vt:i4>
      </vt:variant>
      <vt:variant>
        <vt:i4>0</vt:i4>
      </vt:variant>
      <vt:variant>
        <vt:i4>5</vt:i4>
      </vt:variant>
      <vt:variant>
        <vt:lpwstr/>
      </vt:variant>
      <vt:variant>
        <vt:lpwstr>_Toc168585003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Undertsanding</dc:title>
  <dc:subject>Updated Memorandum of Understanding</dc:subject>
  <dc:creator>Australian Government Department of Health and Aged Care</dc:creator>
  <cp:keywords>aged care</cp:keywords>
  <dc:description/>
  <cp:revision>293</cp:revision>
  <cp:lastPrinted>2024-06-13T21:50:00Z</cp:lastPrinted>
  <dcterms:created xsi:type="dcterms:W3CDTF">2024-05-18T19:01:00Z</dcterms:created>
  <dcterms:modified xsi:type="dcterms:W3CDTF">2024-06-13T21:50:00Z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0x010100826C30D634B46A48943B18E96029A8EA</vt:lpwstr>
  </property>
</Properties>
</file>