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042EB" w14:textId="77777777" w:rsidR="00004768" w:rsidRDefault="00004768" w:rsidP="00004768">
      <w:pPr>
        <w:spacing w:before="60" w:after="60" w:line="240" w:lineRule="auto"/>
        <w:rPr>
          <w:rFonts w:ascii="Arial" w:eastAsia="Times New Roman" w:hAnsi="Arial" w:cs="Times New Roman"/>
          <w:b/>
          <w:color w:val="3F4A75"/>
          <w:kern w:val="28"/>
          <w:sz w:val="48"/>
          <w:szCs w:val="52"/>
          <w:lang w:val="en-AU" w:eastAsia="en-US"/>
        </w:rPr>
      </w:pPr>
    </w:p>
    <w:p w14:paraId="288CDB1D" w14:textId="5EAFE3BA" w:rsidR="00004768" w:rsidRDefault="00004768" w:rsidP="00004768">
      <w:pPr>
        <w:spacing w:before="60" w:after="60" w:line="240" w:lineRule="auto"/>
        <w:rPr>
          <w:rFonts w:ascii="Arial" w:eastAsia="Times New Roman" w:hAnsi="Arial" w:cs="Times New Roman"/>
          <w:b/>
          <w:color w:val="3F4A75"/>
          <w:kern w:val="28"/>
          <w:sz w:val="48"/>
          <w:szCs w:val="52"/>
          <w:lang w:val="en-AU" w:eastAsia="en-US"/>
        </w:rPr>
      </w:pPr>
      <w:r>
        <w:rPr>
          <w:rFonts w:ascii="Arial" w:eastAsia="Times New Roman" w:hAnsi="Arial" w:cs="Times New Roman"/>
          <w:b/>
          <w:color w:val="3F4A75"/>
          <w:kern w:val="28"/>
          <w:sz w:val="48"/>
          <w:szCs w:val="52"/>
          <w:lang w:val="en-AU" w:eastAsia="en-US"/>
        </w:rPr>
        <w:t>Consultation Briefing</w:t>
      </w:r>
    </w:p>
    <w:p w14:paraId="3C9A5D47" w14:textId="66B44CEA" w:rsidR="00004768" w:rsidRDefault="00004768" w:rsidP="00004768">
      <w:pPr>
        <w:spacing w:before="60" w:after="60" w:line="240" w:lineRule="auto"/>
        <w:rPr>
          <w:rFonts w:ascii="Arial" w:eastAsia="Times New Roman" w:hAnsi="Arial" w:cs="Times New Roman"/>
          <w:iCs/>
          <w:color w:val="3F4A75"/>
          <w:spacing w:val="15"/>
          <w:sz w:val="40"/>
          <w:lang w:val="en-AU" w:eastAsia="en-US"/>
        </w:rPr>
      </w:pPr>
      <w:r w:rsidRPr="00004768">
        <w:rPr>
          <w:rFonts w:ascii="Arial" w:eastAsia="Times New Roman" w:hAnsi="Arial" w:cs="Times New Roman"/>
          <w:iCs/>
          <w:color w:val="3F4A75"/>
          <w:spacing w:val="15"/>
          <w:sz w:val="40"/>
          <w:lang w:val="en-AU" w:eastAsia="en-US"/>
        </w:rPr>
        <w:t>Review of General Practice Incentives</w:t>
      </w:r>
    </w:p>
    <w:p w14:paraId="5DBF3F4F" w14:textId="77777777" w:rsidR="00004768" w:rsidRDefault="00004768" w:rsidP="00004768">
      <w:pPr>
        <w:spacing w:before="60" w:after="60" w:line="240" w:lineRule="auto"/>
        <w:rPr>
          <w:rFonts w:ascii="Arial" w:eastAsia="Times New Roman" w:hAnsi="Arial" w:cs="Times New Roman"/>
          <w:iCs/>
          <w:color w:val="3F4A75"/>
          <w:spacing w:val="15"/>
          <w:sz w:val="40"/>
          <w:lang w:val="en-AU" w:eastAsia="en-US"/>
        </w:rPr>
      </w:pPr>
    </w:p>
    <w:p w14:paraId="6457435F" w14:textId="16D3FDE0" w:rsidR="00004768" w:rsidRPr="00004768" w:rsidRDefault="00004768" w:rsidP="00004768">
      <w:pPr>
        <w:spacing w:before="60" w:after="60" w:line="240" w:lineRule="auto"/>
        <w:rPr>
          <w:rFonts w:ascii="Arial" w:eastAsia="Times New Roman" w:hAnsi="Arial" w:cs="Times New Roman"/>
          <w:iCs/>
          <w:color w:val="3F4A75"/>
          <w:spacing w:val="15"/>
          <w:sz w:val="40"/>
          <w:lang w:val="en-AU" w:eastAsia="en-US"/>
        </w:rPr>
      </w:pPr>
      <w:r>
        <w:rPr>
          <w:rFonts w:ascii="Arial" w:eastAsia="Times New Roman" w:hAnsi="Arial" w:cs="Times New Roman"/>
          <w:iCs/>
          <w:color w:val="3F4A75"/>
          <w:spacing w:val="15"/>
          <w:sz w:val="40"/>
          <w:lang w:val="en-AU" w:eastAsia="en-US"/>
        </w:rPr>
        <w:t>July 2024</w:t>
      </w:r>
    </w:p>
    <w:p w14:paraId="23FA90D9" w14:textId="1A7D8086" w:rsidR="00004768" w:rsidRDefault="00004768" w:rsidP="00004768">
      <w:pPr>
        <w:spacing w:before="60" w:after="60"/>
        <w:rPr>
          <w:rFonts w:asciiTheme="majorHAnsi" w:eastAsiaTheme="majorEastAsia" w:hAnsiTheme="majorHAnsi" w:cstheme="majorBidi"/>
          <w:color w:val="0F4761" w:themeColor="accent1" w:themeShade="BF"/>
          <w:sz w:val="40"/>
          <w:szCs w:val="40"/>
        </w:rPr>
      </w:pPr>
      <w:r>
        <w:br w:type="page"/>
      </w:r>
    </w:p>
    <w:p w14:paraId="4E8E223D" w14:textId="117BEBDC" w:rsidR="00C504A1" w:rsidRPr="007241B0" w:rsidRDefault="00DE4988" w:rsidP="007241B0">
      <w:pPr>
        <w:pStyle w:val="Heading1"/>
        <w:keepLines w:val="0"/>
        <w:spacing w:before="240" w:after="60" w:line="240" w:lineRule="auto"/>
        <w:rPr>
          <w:rFonts w:ascii="Arial" w:eastAsia="Times New Roman" w:hAnsi="Arial" w:cs="Arial"/>
          <w:b/>
          <w:bCs/>
          <w:color w:val="3F4A75"/>
          <w:kern w:val="28"/>
          <w:sz w:val="44"/>
          <w:szCs w:val="36"/>
          <w:lang w:val="en-AU" w:eastAsia="en-US"/>
        </w:rPr>
      </w:pPr>
      <w:r w:rsidRPr="007241B0">
        <w:rPr>
          <w:rFonts w:ascii="Arial" w:eastAsia="Times New Roman" w:hAnsi="Arial" w:cs="Arial"/>
          <w:b/>
          <w:bCs/>
          <w:color w:val="3F4A75"/>
          <w:kern w:val="28"/>
          <w:sz w:val="44"/>
          <w:szCs w:val="36"/>
          <w:lang w:val="en-AU" w:eastAsia="en-US"/>
        </w:rPr>
        <w:lastRenderedPageBreak/>
        <w:t>Background</w:t>
      </w:r>
    </w:p>
    <w:p w14:paraId="22766BB8" w14:textId="267252FA" w:rsidR="00B839CC" w:rsidRPr="00B85CA9" w:rsidRDefault="00B839CC" w:rsidP="007241B0">
      <w:pPr>
        <w:spacing w:before="200" w:line="278" w:lineRule="auto"/>
        <w:rPr>
          <w:rFonts w:ascii="Arial" w:eastAsia="Calibri" w:hAnsi="Arial" w:cs="Arial"/>
          <w:color w:val="000000" w:themeColor="text1"/>
          <w:sz w:val="22"/>
          <w:szCs w:val="22"/>
          <w:lang w:val="en-GB"/>
        </w:rPr>
      </w:pPr>
      <w:r w:rsidRPr="00B85CA9">
        <w:rPr>
          <w:rFonts w:ascii="Arial" w:eastAsia="Calibri" w:hAnsi="Arial" w:cs="Arial"/>
          <w:color w:val="000000" w:themeColor="text1"/>
          <w:sz w:val="22"/>
          <w:szCs w:val="22"/>
          <w:lang w:val="en-GB"/>
        </w:rPr>
        <w:t xml:space="preserve">In response to the </w:t>
      </w:r>
      <w:hyperlink r:id="rId11" w:history="1">
        <w:r w:rsidRPr="00B85CA9">
          <w:rPr>
            <w:rStyle w:val="Hyperlink"/>
            <w:rFonts w:ascii="Arial" w:eastAsia="Calibri" w:hAnsi="Arial" w:cs="Arial"/>
            <w:sz w:val="22"/>
            <w:szCs w:val="22"/>
            <w:lang w:val="en-GB"/>
          </w:rPr>
          <w:t>Primary Health Care 10 Year Plan 2022-23</w:t>
        </w:r>
      </w:hyperlink>
      <w:r w:rsidRPr="00B85CA9">
        <w:rPr>
          <w:rFonts w:ascii="Arial" w:eastAsia="Calibri" w:hAnsi="Arial" w:cs="Arial"/>
          <w:color w:val="000000" w:themeColor="text1"/>
          <w:sz w:val="22"/>
          <w:szCs w:val="22"/>
          <w:lang w:val="en-GB"/>
        </w:rPr>
        <w:t xml:space="preserve"> and </w:t>
      </w:r>
      <w:hyperlink r:id="rId12" w:history="1">
        <w:r w:rsidRPr="00B85CA9">
          <w:rPr>
            <w:rStyle w:val="Hyperlink"/>
            <w:rFonts w:ascii="Arial" w:eastAsia="Calibri" w:hAnsi="Arial" w:cs="Arial"/>
            <w:sz w:val="22"/>
            <w:szCs w:val="22"/>
            <w:lang w:val="en-GB"/>
          </w:rPr>
          <w:t>Strengthening Medicare Taskforce</w:t>
        </w:r>
      </w:hyperlink>
      <w:r w:rsidRPr="00B85CA9">
        <w:rPr>
          <w:rFonts w:ascii="Arial" w:eastAsia="Calibri" w:hAnsi="Arial" w:cs="Arial"/>
          <w:color w:val="000000" w:themeColor="text1"/>
          <w:sz w:val="22"/>
          <w:szCs w:val="22"/>
          <w:lang w:val="en-GB"/>
        </w:rPr>
        <w:t xml:space="preserve"> recommendations, the </w:t>
      </w:r>
      <w:r w:rsidR="00A670DD" w:rsidRPr="00B85CA9">
        <w:rPr>
          <w:rFonts w:ascii="Arial" w:eastAsia="Calibri" w:hAnsi="Arial" w:cs="Arial"/>
          <w:color w:val="000000" w:themeColor="text1"/>
          <w:sz w:val="22"/>
          <w:szCs w:val="22"/>
          <w:lang w:val="en-GB"/>
        </w:rPr>
        <w:t xml:space="preserve">Australian </w:t>
      </w:r>
      <w:r w:rsidRPr="00B85CA9">
        <w:rPr>
          <w:rFonts w:ascii="Arial" w:eastAsia="Calibri" w:hAnsi="Arial" w:cs="Arial"/>
          <w:color w:val="000000" w:themeColor="text1"/>
          <w:sz w:val="22"/>
          <w:szCs w:val="22"/>
          <w:lang w:val="en-GB"/>
        </w:rPr>
        <w:t>Government</w:t>
      </w:r>
      <w:r w:rsidR="00A670DD" w:rsidRPr="00B85CA9">
        <w:rPr>
          <w:rFonts w:ascii="Arial" w:eastAsia="Calibri" w:hAnsi="Arial" w:cs="Arial"/>
          <w:color w:val="000000" w:themeColor="text1"/>
          <w:sz w:val="22"/>
          <w:szCs w:val="22"/>
          <w:lang w:val="en-GB"/>
        </w:rPr>
        <w:t xml:space="preserve"> (the Government)</w:t>
      </w:r>
      <w:r w:rsidRPr="00B85CA9">
        <w:rPr>
          <w:rFonts w:ascii="Arial" w:eastAsia="Calibri" w:hAnsi="Arial" w:cs="Arial"/>
          <w:color w:val="000000" w:themeColor="text1"/>
          <w:sz w:val="22"/>
          <w:szCs w:val="22"/>
          <w:lang w:val="en-GB"/>
        </w:rPr>
        <w:t xml:space="preserve"> announced a Review of General Practice Incentives (the Review)</w:t>
      </w:r>
      <w:r w:rsidR="00E137A7" w:rsidRPr="00B85CA9">
        <w:rPr>
          <w:rFonts w:ascii="Arial" w:eastAsia="Calibri" w:hAnsi="Arial" w:cs="Arial"/>
          <w:color w:val="000000" w:themeColor="text1"/>
          <w:sz w:val="22"/>
          <w:szCs w:val="22"/>
          <w:lang w:val="en-GB"/>
        </w:rPr>
        <w:t xml:space="preserve"> </w:t>
      </w:r>
      <w:r w:rsidR="00122A39" w:rsidRPr="00B85CA9">
        <w:rPr>
          <w:rFonts w:ascii="Arial" w:eastAsia="Calibri" w:hAnsi="Arial" w:cs="Arial"/>
          <w:color w:val="000000" w:themeColor="text1"/>
          <w:sz w:val="22"/>
          <w:szCs w:val="22"/>
          <w:lang w:val="en-GB"/>
        </w:rPr>
        <w:t>to</w:t>
      </w:r>
      <w:r w:rsidRPr="00B85CA9">
        <w:rPr>
          <w:rFonts w:ascii="Arial" w:eastAsia="Calibri" w:hAnsi="Arial" w:cs="Arial"/>
          <w:color w:val="000000" w:themeColor="text1"/>
          <w:sz w:val="22"/>
          <w:szCs w:val="22"/>
          <w:lang w:val="en-GB"/>
        </w:rPr>
        <w:t xml:space="preserve"> assess the effectiveness and efficiency of existing general practice incentives. These include the </w:t>
      </w:r>
      <w:hyperlink r:id="rId13" w:history="1">
        <w:r w:rsidRPr="00B85CA9">
          <w:rPr>
            <w:rStyle w:val="Hyperlink"/>
            <w:rFonts w:ascii="Arial" w:eastAsia="Calibri" w:hAnsi="Arial" w:cs="Arial"/>
            <w:sz w:val="22"/>
            <w:szCs w:val="22"/>
            <w:lang w:val="en-GB"/>
          </w:rPr>
          <w:t>Practice Incentives Program</w:t>
        </w:r>
      </w:hyperlink>
      <w:r w:rsidRPr="00B85CA9">
        <w:rPr>
          <w:rFonts w:ascii="Arial" w:eastAsia="Calibri" w:hAnsi="Arial" w:cs="Arial"/>
          <w:color w:val="000000" w:themeColor="text1"/>
          <w:sz w:val="22"/>
          <w:szCs w:val="22"/>
          <w:lang w:val="en-GB"/>
        </w:rPr>
        <w:t xml:space="preserve"> (PIP) and </w:t>
      </w:r>
      <w:hyperlink r:id="rId14" w:history="1">
        <w:r w:rsidRPr="00B85CA9">
          <w:rPr>
            <w:rStyle w:val="Hyperlink"/>
            <w:rFonts w:ascii="Arial" w:eastAsia="Calibri" w:hAnsi="Arial" w:cs="Arial"/>
            <w:sz w:val="22"/>
            <w:szCs w:val="22"/>
            <w:lang w:val="en-GB"/>
          </w:rPr>
          <w:t>Workforce Incentives Program</w:t>
        </w:r>
      </w:hyperlink>
      <w:r w:rsidRPr="00B85CA9">
        <w:rPr>
          <w:rFonts w:ascii="Arial" w:eastAsia="Calibri" w:hAnsi="Arial" w:cs="Arial"/>
          <w:color w:val="000000" w:themeColor="text1"/>
          <w:sz w:val="22"/>
          <w:szCs w:val="22"/>
          <w:lang w:val="en-GB"/>
        </w:rPr>
        <w:t xml:space="preserve"> (WIP).</w:t>
      </w:r>
      <w:r w:rsidR="00E073C8" w:rsidRPr="00B85CA9">
        <w:rPr>
          <w:rFonts w:ascii="Arial" w:hAnsi="Arial" w:cs="Arial"/>
          <w:sz w:val="22"/>
          <w:szCs w:val="22"/>
        </w:rPr>
        <w:t xml:space="preserve"> </w:t>
      </w:r>
      <w:r w:rsidR="00E073C8" w:rsidRPr="00B85CA9">
        <w:rPr>
          <w:rFonts w:ascii="Arial" w:eastAsia="Calibri" w:hAnsi="Arial" w:cs="Arial"/>
          <w:color w:val="000000" w:themeColor="text1"/>
          <w:sz w:val="22"/>
          <w:szCs w:val="22"/>
          <w:lang w:val="en-GB"/>
        </w:rPr>
        <w:t>The Review aims to redesign current general practice incentive programs to better align with Strengthening Medicare recommendations for reform.</w:t>
      </w:r>
    </w:p>
    <w:p w14:paraId="37BF5612" w14:textId="3D062089" w:rsidR="00622F04" w:rsidRPr="00B85CA9" w:rsidRDefault="00DD496B" w:rsidP="00622F04">
      <w:pPr>
        <w:rPr>
          <w:rFonts w:ascii="Arial" w:eastAsia="Calibri" w:hAnsi="Arial" w:cs="Arial"/>
          <w:color w:val="000000" w:themeColor="text1"/>
          <w:sz w:val="22"/>
          <w:szCs w:val="22"/>
          <w:lang w:val="en-GB"/>
        </w:rPr>
      </w:pPr>
      <w:r w:rsidRPr="00B85CA9">
        <w:rPr>
          <w:rFonts w:ascii="Arial" w:eastAsia="Calibri" w:hAnsi="Arial" w:cs="Arial"/>
          <w:color w:val="000000" w:themeColor="text1"/>
          <w:sz w:val="22"/>
          <w:szCs w:val="22"/>
          <w:lang w:val="en-GB"/>
        </w:rPr>
        <w:t xml:space="preserve">To progress the </w:t>
      </w:r>
      <w:r w:rsidR="00622F04" w:rsidRPr="00B85CA9">
        <w:rPr>
          <w:rFonts w:ascii="Arial" w:eastAsia="Calibri" w:hAnsi="Arial" w:cs="Arial"/>
          <w:color w:val="000000" w:themeColor="text1"/>
          <w:sz w:val="22"/>
          <w:szCs w:val="22"/>
          <w:lang w:val="en-GB"/>
        </w:rPr>
        <w:t>Review, t</w:t>
      </w:r>
      <w:r w:rsidR="00B839CC" w:rsidRPr="00B85CA9">
        <w:rPr>
          <w:rFonts w:ascii="Arial" w:eastAsia="Calibri" w:hAnsi="Arial" w:cs="Arial"/>
          <w:color w:val="000000" w:themeColor="text1"/>
          <w:sz w:val="22"/>
          <w:szCs w:val="22"/>
          <w:lang w:val="en-GB"/>
        </w:rPr>
        <w:t xml:space="preserve">he Department of </w:t>
      </w:r>
      <w:proofErr w:type="gramStart"/>
      <w:r w:rsidR="00B839CC" w:rsidRPr="00B85CA9">
        <w:rPr>
          <w:rFonts w:ascii="Arial" w:eastAsia="Calibri" w:hAnsi="Arial" w:cs="Arial"/>
          <w:color w:val="000000" w:themeColor="text1"/>
          <w:sz w:val="22"/>
          <w:szCs w:val="22"/>
          <w:lang w:val="en-GB"/>
        </w:rPr>
        <w:t>Health</w:t>
      </w:r>
      <w:proofErr w:type="gramEnd"/>
      <w:r w:rsidR="00B839CC" w:rsidRPr="00B85CA9">
        <w:rPr>
          <w:rFonts w:ascii="Arial" w:eastAsia="Calibri" w:hAnsi="Arial" w:cs="Arial"/>
          <w:color w:val="000000" w:themeColor="text1"/>
          <w:sz w:val="22"/>
          <w:szCs w:val="22"/>
          <w:lang w:val="en-GB"/>
        </w:rPr>
        <w:t xml:space="preserve"> and Aged Care (the department) established an Expert Advisory Panel (the Panel) </w:t>
      </w:r>
      <w:r w:rsidR="006F045A" w:rsidRPr="00B85CA9">
        <w:rPr>
          <w:rFonts w:ascii="Arial" w:eastAsia="Calibri" w:hAnsi="Arial" w:cs="Arial"/>
          <w:color w:val="000000" w:themeColor="text1"/>
          <w:sz w:val="22"/>
          <w:szCs w:val="22"/>
          <w:lang w:val="en-GB"/>
        </w:rPr>
        <w:t xml:space="preserve">in September 2023 </w:t>
      </w:r>
      <w:r w:rsidR="00B839CC" w:rsidRPr="00B85CA9">
        <w:rPr>
          <w:rFonts w:ascii="Arial" w:eastAsia="Calibri" w:hAnsi="Arial" w:cs="Arial"/>
          <w:color w:val="000000" w:themeColor="text1"/>
          <w:sz w:val="22"/>
          <w:szCs w:val="22"/>
          <w:lang w:val="en-GB"/>
        </w:rPr>
        <w:t xml:space="preserve">to oversee and make recommendations for a phased approach to implement a blended payment model system with a focus on multidisciplinary care. </w:t>
      </w:r>
      <w:r w:rsidR="00F21B2A" w:rsidRPr="00B85CA9">
        <w:rPr>
          <w:rFonts w:ascii="Arial" w:eastAsia="Calibri" w:hAnsi="Arial" w:cs="Arial"/>
          <w:color w:val="000000" w:themeColor="text1"/>
          <w:sz w:val="22"/>
          <w:szCs w:val="22"/>
          <w:lang w:val="en-GB"/>
        </w:rPr>
        <w:t>A list of Panel members</w:t>
      </w:r>
      <w:r w:rsidR="00933F1A" w:rsidRPr="00B85CA9">
        <w:rPr>
          <w:rFonts w:ascii="Arial" w:eastAsia="Calibri" w:hAnsi="Arial" w:cs="Arial"/>
          <w:color w:val="000000" w:themeColor="text1"/>
          <w:sz w:val="22"/>
          <w:szCs w:val="22"/>
          <w:lang w:val="en-GB"/>
        </w:rPr>
        <w:t xml:space="preserve"> and the Terms of Reference for the Review are available </w:t>
      </w:r>
      <w:r w:rsidR="00F21B2A" w:rsidRPr="00B85CA9">
        <w:rPr>
          <w:rFonts w:ascii="Arial" w:eastAsia="Calibri" w:hAnsi="Arial" w:cs="Arial"/>
          <w:color w:val="000000" w:themeColor="text1"/>
          <w:sz w:val="22"/>
          <w:szCs w:val="22"/>
          <w:lang w:val="en-GB"/>
        </w:rPr>
        <w:t>at</w:t>
      </w:r>
      <w:r w:rsidR="00622F04" w:rsidRPr="00B85CA9">
        <w:rPr>
          <w:rFonts w:ascii="Arial" w:eastAsia="Calibri" w:hAnsi="Arial" w:cs="Arial"/>
          <w:color w:val="000000" w:themeColor="text1"/>
          <w:sz w:val="22"/>
          <w:szCs w:val="22"/>
          <w:lang w:val="en-GB"/>
        </w:rPr>
        <w:t xml:space="preserve"> </w:t>
      </w:r>
      <w:r w:rsidR="00622F04" w:rsidRPr="00B85CA9">
        <w:rPr>
          <w:rFonts w:ascii="Arial" w:eastAsia="Calibri" w:hAnsi="Arial" w:cs="Arial"/>
          <w:color w:val="000000" w:themeColor="text1"/>
          <w:sz w:val="22"/>
          <w:szCs w:val="22"/>
          <w:u w:val="single"/>
          <w:lang w:val="en-GB"/>
        </w:rPr>
        <w:t>Appendix 1</w:t>
      </w:r>
      <w:r w:rsidR="00622F04" w:rsidRPr="00B85CA9">
        <w:rPr>
          <w:rFonts w:ascii="Arial" w:eastAsia="Calibri" w:hAnsi="Arial" w:cs="Arial"/>
          <w:color w:val="000000" w:themeColor="text1"/>
          <w:sz w:val="22"/>
          <w:szCs w:val="22"/>
          <w:lang w:val="en-GB"/>
        </w:rPr>
        <w:t>.</w:t>
      </w:r>
    </w:p>
    <w:p w14:paraId="64BEC7CE" w14:textId="7B6488F1" w:rsidR="00933F1A" w:rsidRPr="00B85CA9" w:rsidRDefault="00933F1A" w:rsidP="00933F1A">
      <w:pPr>
        <w:rPr>
          <w:rFonts w:ascii="Arial" w:eastAsia="Calibri" w:hAnsi="Arial" w:cs="Arial"/>
          <w:color w:val="000000" w:themeColor="text1"/>
          <w:sz w:val="22"/>
          <w:szCs w:val="22"/>
          <w:lang w:val="en-GB"/>
        </w:rPr>
      </w:pPr>
      <w:r w:rsidRPr="00B85CA9">
        <w:rPr>
          <w:rFonts w:ascii="Arial" w:eastAsia="Calibri" w:hAnsi="Arial" w:cs="Arial"/>
          <w:color w:val="000000" w:themeColor="text1"/>
          <w:sz w:val="22"/>
          <w:szCs w:val="22"/>
          <w:lang w:val="en-GB"/>
        </w:rPr>
        <w:t>In early July 2024, the department received the draft report on the Review from the Panel, which puts forward proposed recommendations to support structural reform in general practices, building financial capacity and systems capability to meet community health care needs through flexible and integrated team-based primary care approaches.</w:t>
      </w:r>
      <w:r w:rsidRPr="00B85CA9" w:rsidDel="00A76005">
        <w:rPr>
          <w:rFonts w:ascii="Arial" w:eastAsia="Calibri" w:hAnsi="Arial" w:cs="Arial"/>
          <w:color w:val="000000" w:themeColor="text1"/>
          <w:sz w:val="22"/>
          <w:szCs w:val="22"/>
          <w:lang w:val="en-GB"/>
        </w:rPr>
        <w:t xml:space="preserve"> </w:t>
      </w:r>
      <w:r w:rsidRPr="00B85CA9">
        <w:rPr>
          <w:rFonts w:ascii="Arial" w:eastAsia="Calibri" w:hAnsi="Arial" w:cs="Arial"/>
          <w:color w:val="000000" w:themeColor="text1"/>
          <w:sz w:val="22"/>
          <w:szCs w:val="22"/>
          <w:lang w:val="en-GB"/>
        </w:rPr>
        <w:t xml:space="preserve"> The Panel’s draft report has been informed by consultation and consideration of key issues relating to primary care reform and commissioned work (for further detail refer to </w:t>
      </w:r>
      <w:r w:rsidRPr="00B85CA9">
        <w:rPr>
          <w:rFonts w:ascii="Arial" w:eastAsia="Calibri" w:hAnsi="Arial" w:cs="Arial"/>
          <w:color w:val="000000" w:themeColor="text1"/>
          <w:sz w:val="22"/>
          <w:szCs w:val="22"/>
          <w:u w:val="single"/>
          <w:lang w:val="en-GB"/>
        </w:rPr>
        <w:t>Appendix 2</w:t>
      </w:r>
      <w:r w:rsidRPr="00B85CA9">
        <w:rPr>
          <w:rFonts w:ascii="Arial" w:eastAsia="Calibri" w:hAnsi="Arial" w:cs="Arial"/>
          <w:color w:val="000000" w:themeColor="text1"/>
          <w:sz w:val="22"/>
          <w:szCs w:val="22"/>
          <w:lang w:val="en-GB"/>
        </w:rPr>
        <w:t xml:space="preserve"> for summary).</w:t>
      </w:r>
    </w:p>
    <w:p w14:paraId="7EA636BA" w14:textId="7B817CA4" w:rsidR="00BF0A1C" w:rsidRPr="00B85CA9" w:rsidRDefault="002F2E0B" w:rsidP="002F2E0B">
      <w:pPr>
        <w:rPr>
          <w:rFonts w:ascii="Arial" w:hAnsi="Arial" w:cs="Arial"/>
          <w:sz w:val="22"/>
          <w:szCs w:val="22"/>
        </w:rPr>
      </w:pPr>
      <w:r w:rsidRPr="00B85CA9">
        <w:rPr>
          <w:rFonts w:ascii="Arial" w:hAnsi="Arial" w:cs="Arial"/>
          <w:sz w:val="22"/>
          <w:szCs w:val="22"/>
        </w:rPr>
        <w:t xml:space="preserve">For the purposes of </w:t>
      </w:r>
      <w:r w:rsidR="003154AA" w:rsidRPr="00B85CA9">
        <w:rPr>
          <w:rFonts w:ascii="Arial" w:hAnsi="Arial" w:cs="Arial"/>
          <w:sz w:val="22"/>
          <w:szCs w:val="22"/>
        </w:rPr>
        <w:t>the Review</w:t>
      </w:r>
      <w:r w:rsidRPr="00B85CA9">
        <w:rPr>
          <w:rFonts w:ascii="Arial" w:hAnsi="Arial" w:cs="Arial"/>
          <w:sz w:val="22"/>
          <w:szCs w:val="22"/>
        </w:rPr>
        <w:t xml:space="preserve">, </w:t>
      </w:r>
      <w:r w:rsidR="003154AA" w:rsidRPr="00B85CA9">
        <w:rPr>
          <w:rFonts w:ascii="Arial" w:hAnsi="Arial" w:cs="Arial"/>
          <w:sz w:val="22"/>
          <w:szCs w:val="22"/>
        </w:rPr>
        <w:t xml:space="preserve">the Panel considered </w:t>
      </w:r>
      <w:r w:rsidRPr="00B85CA9">
        <w:rPr>
          <w:rFonts w:ascii="Arial" w:hAnsi="Arial" w:cs="Arial"/>
          <w:sz w:val="22"/>
          <w:szCs w:val="22"/>
        </w:rPr>
        <w:t xml:space="preserve">the term general practice </w:t>
      </w:r>
      <w:r w:rsidR="003154AA" w:rsidRPr="00B85CA9">
        <w:rPr>
          <w:rFonts w:ascii="Arial" w:hAnsi="Arial" w:cs="Arial"/>
          <w:sz w:val="22"/>
          <w:szCs w:val="22"/>
        </w:rPr>
        <w:t xml:space="preserve">to </w:t>
      </w:r>
      <w:r w:rsidRPr="00B85CA9">
        <w:rPr>
          <w:rFonts w:ascii="Arial" w:hAnsi="Arial" w:cs="Arial"/>
          <w:sz w:val="22"/>
          <w:szCs w:val="22"/>
        </w:rPr>
        <w:t xml:space="preserve">include primary care services that provide holistic and comprehensive primary care.  These include private general practices, nurse practitioner led practices, not-for-profit </w:t>
      </w:r>
      <w:proofErr w:type="spellStart"/>
      <w:proofErr w:type="gramStart"/>
      <w:r w:rsidRPr="00B85CA9">
        <w:rPr>
          <w:rFonts w:ascii="Arial" w:hAnsi="Arial" w:cs="Arial"/>
          <w:sz w:val="22"/>
          <w:szCs w:val="22"/>
        </w:rPr>
        <w:t>organisations</w:t>
      </w:r>
      <w:proofErr w:type="spellEnd"/>
      <w:proofErr w:type="gramEnd"/>
      <w:r w:rsidRPr="00B85CA9">
        <w:rPr>
          <w:rFonts w:ascii="Arial" w:hAnsi="Arial" w:cs="Arial"/>
          <w:sz w:val="22"/>
          <w:szCs w:val="22"/>
        </w:rPr>
        <w:t xml:space="preserve"> and Aboriginal Community Controlled Health </w:t>
      </w:r>
      <w:r w:rsidR="003958F6" w:rsidRPr="00B85CA9">
        <w:rPr>
          <w:rFonts w:ascii="Arial" w:hAnsi="Arial" w:cs="Arial"/>
          <w:sz w:val="22"/>
          <w:szCs w:val="22"/>
        </w:rPr>
        <w:t>Services</w:t>
      </w:r>
      <w:r w:rsidR="00933F1A" w:rsidRPr="00B85CA9">
        <w:rPr>
          <w:rFonts w:ascii="Arial" w:hAnsi="Arial" w:cs="Arial"/>
          <w:sz w:val="22"/>
          <w:szCs w:val="22"/>
        </w:rPr>
        <w:t xml:space="preserve"> </w:t>
      </w:r>
      <w:r w:rsidRPr="00B85CA9">
        <w:rPr>
          <w:rFonts w:ascii="Arial" w:hAnsi="Arial" w:cs="Arial"/>
          <w:sz w:val="22"/>
          <w:szCs w:val="22"/>
        </w:rPr>
        <w:t>(ACCH</w:t>
      </w:r>
      <w:r w:rsidR="00933F1A" w:rsidRPr="00B85CA9">
        <w:rPr>
          <w:rFonts w:ascii="Arial" w:hAnsi="Arial" w:cs="Arial"/>
          <w:sz w:val="22"/>
          <w:szCs w:val="22"/>
        </w:rPr>
        <w:t>S</w:t>
      </w:r>
      <w:r w:rsidRPr="00B85CA9">
        <w:rPr>
          <w:rFonts w:ascii="Arial" w:hAnsi="Arial" w:cs="Arial"/>
          <w:sz w:val="22"/>
          <w:szCs w:val="22"/>
        </w:rPr>
        <w:t xml:space="preserve">). </w:t>
      </w:r>
    </w:p>
    <w:p w14:paraId="24A2EF97" w14:textId="2F69FFC5" w:rsidR="00822F99" w:rsidRPr="007241B0" w:rsidRDefault="00822F99" w:rsidP="007241B0">
      <w:pPr>
        <w:pStyle w:val="Heading2"/>
        <w:keepLines w:val="0"/>
        <w:spacing w:before="240" w:after="60" w:line="240" w:lineRule="auto"/>
        <w:rPr>
          <w:rFonts w:ascii="Arial" w:eastAsia="Times New Roman" w:hAnsi="Arial" w:cs="Arial"/>
          <w:b/>
          <w:bCs/>
          <w:color w:val="3F4A75"/>
          <w:kern w:val="28"/>
          <w:sz w:val="44"/>
          <w:szCs w:val="36"/>
          <w:lang w:val="en-AU" w:eastAsia="en-US"/>
        </w:rPr>
      </w:pPr>
      <w:r w:rsidRPr="007241B0">
        <w:rPr>
          <w:rFonts w:ascii="Arial" w:eastAsia="Times New Roman" w:hAnsi="Arial" w:cs="Arial"/>
          <w:b/>
          <w:bCs/>
          <w:color w:val="3F4A75"/>
          <w:kern w:val="28"/>
          <w:sz w:val="44"/>
          <w:szCs w:val="36"/>
          <w:lang w:val="en-AU" w:eastAsia="en-US"/>
        </w:rPr>
        <w:t>Consultation</w:t>
      </w:r>
    </w:p>
    <w:p w14:paraId="67801A07" w14:textId="77777777" w:rsidR="002A557A" w:rsidRPr="00B85CA9" w:rsidRDefault="00E95227" w:rsidP="007241B0">
      <w:pPr>
        <w:spacing w:before="200" w:line="278" w:lineRule="auto"/>
        <w:rPr>
          <w:rFonts w:ascii="Arial" w:eastAsia="Calibri" w:hAnsi="Arial" w:cs="Arial"/>
          <w:color w:val="000000" w:themeColor="text1"/>
          <w:sz w:val="22"/>
          <w:szCs w:val="22"/>
          <w:lang w:val="en-GB"/>
        </w:rPr>
      </w:pPr>
      <w:r w:rsidRPr="00B85CA9">
        <w:rPr>
          <w:rFonts w:ascii="Arial" w:eastAsia="Calibri" w:hAnsi="Arial" w:cs="Arial"/>
          <w:color w:val="000000" w:themeColor="text1"/>
          <w:sz w:val="22"/>
          <w:szCs w:val="22"/>
          <w:lang w:val="en-GB"/>
        </w:rPr>
        <w:t xml:space="preserve">This </w:t>
      </w:r>
      <w:r w:rsidRPr="00B85CA9">
        <w:rPr>
          <w:rFonts w:ascii="Arial" w:eastAsia="Calibri" w:hAnsi="Arial" w:cs="Arial"/>
          <w:i/>
          <w:iCs/>
          <w:color w:val="000000" w:themeColor="text1"/>
          <w:sz w:val="22"/>
          <w:szCs w:val="22"/>
          <w:lang w:val="en-GB"/>
        </w:rPr>
        <w:t xml:space="preserve">Consultation Briefing </w:t>
      </w:r>
      <w:r w:rsidRPr="00B85CA9">
        <w:rPr>
          <w:rFonts w:ascii="Arial" w:eastAsia="Calibri" w:hAnsi="Arial" w:cs="Arial"/>
          <w:color w:val="000000" w:themeColor="text1"/>
          <w:sz w:val="22"/>
          <w:szCs w:val="22"/>
          <w:lang w:val="en-GB"/>
        </w:rPr>
        <w:t xml:space="preserve">paper sets out the views of the Panel. </w:t>
      </w:r>
      <w:r w:rsidR="00301D92" w:rsidRPr="00B85CA9">
        <w:rPr>
          <w:rFonts w:ascii="Arial" w:eastAsia="Calibri" w:hAnsi="Arial" w:cs="Arial"/>
          <w:color w:val="000000" w:themeColor="text1"/>
          <w:sz w:val="22"/>
          <w:szCs w:val="22"/>
          <w:lang w:val="en-GB"/>
        </w:rPr>
        <w:t xml:space="preserve">The department is consulting on the proposed recommendations </w:t>
      </w:r>
      <w:r w:rsidRPr="00B85CA9">
        <w:rPr>
          <w:rFonts w:ascii="Arial" w:eastAsia="Calibri" w:hAnsi="Arial" w:cs="Arial"/>
          <w:color w:val="000000" w:themeColor="text1"/>
          <w:sz w:val="22"/>
          <w:szCs w:val="22"/>
          <w:lang w:val="en-GB"/>
        </w:rPr>
        <w:t xml:space="preserve">on behalf of the Panel. Feedback from the consultation process will be collated for the Panel’s consideration as they finalise their report. The final report will be delivered to the Australian </w:t>
      </w:r>
      <w:r w:rsidR="00301D92" w:rsidRPr="00B85CA9">
        <w:rPr>
          <w:rFonts w:ascii="Arial" w:eastAsia="Calibri" w:hAnsi="Arial" w:cs="Arial"/>
          <w:color w:val="000000" w:themeColor="text1"/>
          <w:sz w:val="22"/>
          <w:szCs w:val="22"/>
          <w:lang w:val="en-GB"/>
        </w:rPr>
        <w:t>Government</w:t>
      </w:r>
      <w:r w:rsidRPr="00B85CA9">
        <w:rPr>
          <w:rFonts w:ascii="Arial" w:eastAsia="Calibri" w:hAnsi="Arial" w:cs="Arial"/>
          <w:color w:val="000000" w:themeColor="text1"/>
          <w:sz w:val="22"/>
          <w:szCs w:val="22"/>
          <w:lang w:val="en-GB"/>
        </w:rPr>
        <w:t xml:space="preserve"> (the Government), and any actions to be taken from the Review are a decision of Government</w:t>
      </w:r>
      <w:r w:rsidR="00301D92" w:rsidRPr="00B85CA9">
        <w:rPr>
          <w:rFonts w:ascii="Arial" w:eastAsia="Calibri" w:hAnsi="Arial" w:cs="Arial"/>
          <w:color w:val="000000" w:themeColor="text1"/>
          <w:sz w:val="22"/>
          <w:szCs w:val="22"/>
          <w:lang w:val="en-GB"/>
        </w:rPr>
        <w:t xml:space="preserve">. </w:t>
      </w:r>
    </w:p>
    <w:p w14:paraId="1D15A3BF" w14:textId="78BCA3E9" w:rsidR="00933F1A" w:rsidRPr="00B85CA9" w:rsidRDefault="00933F1A" w:rsidP="00933F1A">
      <w:pPr>
        <w:rPr>
          <w:rFonts w:ascii="Arial" w:eastAsia="Calibri" w:hAnsi="Arial" w:cs="Arial"/>
          <w:color w:val="000000" w:themeColor="text1"/>
          <w:sz w:val="22"/>
          <w:szCs w:val="22"/>
          <w:lang w:val="en-GB"/>
        </w:rPr>
      </w:pPr>
      <w:r w:rsidRPr="00B85CA9">
        <w:rPr>
          <w:rFonts w:ascii="Arial" w:eastAsia="Calibri" w:hAnsi="Arial" w:cs="Arial"/>
          <w:color w:val="000000" w:themeColor="text1"/>
          <w:sz w:val="22"/>
          <w:szCs w:val="22"/>
          <w:lang w:val="en-GB"/>
        </w:rPr>
        <w:t xml:space="preserve">The recommendations are grounded in </w:t>
      </w:r>
      <w:r w:rsidR="00E95227" w:rsidRPr="00B85CA9">
        <w:rPr>
          <w:rFonts w:ascii="Arial" w:eastAsia="Calibri" w:hAnsi="Arial" w:cs="Arial"/>
          <w:color w:val="000000" w:themeColor="text1"/>
          <w:sz w:val="22"/>
          <w:szCs w:val="22"/>
          <w:lang w:val="en-GB"/>
        </w:rPr>
        <w:t>the Panel’s shared vision for the future of general practice (</w:t>
      </w:r>
      <w:r w:rsidR="00E95227" w:rsidRPr="00B85CA9">
        <w:rPr>
          <w:rFonts w:ascii="Arial" w:eastAsia="Calibri" w:hAnsi="Arial" w:cs="Arial"/>
          <w:color w:val="000000" w:themeColor="text1"/>
          <w:sz w:val="22"/>
          <w:szCs w:val="22"/>
          <w:u w:val="single"/>
          <w:lang w:val="en-GB"/>
        </w:rPr>
        <w:t>Figure 1</w:t>
      </w:r>
      <w:r w:rsidR="00E95227" w:rsidRPr="00B85CA9">
        <w:rPr>
          <w:rFonts w:ascii="Arial" w:eastAsia="Calibri" w:hAnsi="Arial" w:cs="Arial"/>
          <w:color w:val="000000" w:themeColor="text1"/>
          <w:sz w:val="22"/>
          <w:szCs w:val="22"/>
          <w:lang w:val="en-GB"/>
        </w:rPr>
        <w:t xml:space="preserve">) and </w:t>
      </w:r>
      <w:r w:rsidRPr="00B85CA9">
        <w:rPr>
          <w:rFonts w:ascii="Arial" w:eastAsia="Calibri" w:hAnsi="Arial" w:cs="Arial"/>
          <w:color w:val="000000" w:themeColor="text1"/>
          <w:sz w:val="22"/>
          <w:szCs w:val="22"/>
          <w:lang w:val="en-GB"/>
        </w:rPr>
        <w:t>agreed principles (</w:t>
      </w:r>
      <w:r w:rsidR="00E95227" w:rsidRPr="00B85CA9">
        <w:rPr>
          <w:rFonts w:ascii="Arial" w:eastAsia="Calibri" w:hAnsi="Arial" w:cs="Arial"/>
          <w:color w:val="000000" w:themeColor="text1"/>
          <w:sz w:val="22"/>
          <w:szCs w:val="22"/>
          <w:u w:val="single"/>
          <w:lang w:val="en-GB"/>
        </w:rPr>
        <w:t>Figure 2</w:t>
      </w:r>
      <w:r w:rsidRPr="00B85CA9">
        <w:rPr>
          <w:rFonts w:ascii="Arial" w:eastAsia="Calibri" w:hAnsi="Arial" w:cs="Arial"/>
          <w:color w:val="000000" w:themeColor="text1"/>
          <w:sz w:val="22"/>
          <w:szCs w:val="22"/>
          <w:lang w:val="en-GB"/>
        </w:rPr>
        <w:t>)</w:t>
      </w:r>
      <w:r w:rsidR="00E95227" w:rsidRPr="00B85CA9">
        <w:rPr>
          <w:rFonts w:ascii="Arial" w:eastAsia="Calibri" w:hAnsi="Arial" w:cs="Arial"/>
          <w:color w:val="000000" w:themeColor="text1"/>
          <w:sz w:val="22"/>
          <w:szCs w:val="22"/>
          <w:lang w:val="en-GB"/>
        </w:rPr>
        <w:t>.</w:t>
      </w:r>
      <w:r w:rsidRPr="00B85CA9">
        <w:rPr>
          <w:rFonts w:ascii="Arial" w:eastAsia="Calibri" w:hAnsi="Arial" w:cs="Arial"/>
          <w:color w:val="000000" w:themeColor="text1"/>
          <w:sz w:val="22"/>
          <w:szCs w:val="22"/>
          <w:lang w:val="en-GB"/>
        </w:rPr>
        <w:t xml:space="preserve"> The recommendations can guide the Government in reforming primary care </w:t>
      </w:r>
      <w:r w:rsidR="00E95227" w:rsidRPr="00B85CA9">
        <w:rPr>
          <w:rFonts w:ascii="Arial" w:eastAsia="Calibri" w:hAnsi="Arial" w:cs="Arial"/>
          <w:color w:val="000000" w:themeColor="text1"/>
          <w:sz w:val="22"/>
          <w:szCs w:val="22"/>
          <w:lang w:val="en-GB"/>
        </w:rPr>
        <w:t>to 2032.</w:t>
      </w:r>
    </w:p>
    <w:p w14:paraId="6B7A42A7" w14:textId="5BA723AB" w:rsidR="007241B0" w:rsidRDefault="007241B0" w:rsidP="007241B0">
      <w:pPr>
        <w:tabs>
          <w:tab w:val="left" w:pos="3645"/>
        </w:tabs>
        <w:rPr>
          <w:rFonts w:ascii="Aptos" w:eastAsia="Calibri" w:hAnsi="Aptos" w:cs="Calibri"/>
          <w:color w:val="000000" w:themeColor="text1"/>
          <w:sz w:val="22"/>
          <w:szCs w:val="22"/>
          <w:lang w:val="en-GB"/>
        </w:rPr>
      </w:pPr>
      <w:r>
        <w:rPr>
          <w:rFonts w:ascii="Aptos" w:eastAsia="Calibri" w:hAnsi="Aptos" w:cs="Calibri"/>
          <w:color w:val="000000" w:themeColor="text1"/>
          <w:sz w:val="22"/>
          <w:szCs w:val="22"/>
          <w:lang w:val="en-GB"/>
        </w:rPr>
        <w:tab/>
      </w:r>
    </w:p>
    <w:p w14:paraId="1EBC695D" w14:textId="77777777" w:rsidR="00B85CA9" w:rsidRDefault="00B85CA9" w:rsidP="007241B0">
      <w:pPr>
        <w:tabs>
          <w:tab w:val="left" w:pos="3645"/>
        </w:tabs>
        <w:rPr>
          <w:rFonts w:ascii="Aptos" w:eastAsia="Calibri" w:hAnsi="Aptos" w:cs="Calibri"/>
          <w:color w:val="000000" w:themeColor="text1"/>
          <w:sz w:val="22"/>
          <w:szCs w:val="22"/>
          <w:lang w:val="en-GB"/>
        </w:rPr>
      </w:pPr>
    </w:p>
    <w:p w14:paraId="3031E404" w14:textId="68E03F86" w:rsidR="00933F1A" w:rsidRPr="007241B0" w:rsidRDefault="00933F1A" w:rsidP="007241B0">
      <w:pPr>
        <w:pStyle w:val="Heading3"/>
        <w:keepLines w:val="0"/>
        <w:spacing w:before="180" w:after="60" w:line="240" w:lineRule="auto"/>
        <w:rPr>
          <w:rFonts w:ascii="Arial" w:eastAsia="Times New Roman" w:hAnsi="Arial" w:cs="Arial"/>
          <w:b/>
          <w:bCs/>
          <w:color w:val="358189"/>
          <w:sz w:val="32"/>
          <w:szCs w:val="26"/>
          <w:lang w:val="en-AU" w:eastAsia="en-US"/>
        </w:rPr>
      </w:pPr>
      <w:r w:rsidRPr="007241B0">
        <w:rPr>
          <w:rFonts w:ascii="Arial" w:eastAsia="Times New Roman" w:hAnsi="Arial" w:cs="Arial"/>
          <w:b/>
          <w:bCs/>
          <w:color w:val="358189"/>
          <w:sz w:val="32"/>
          <w:szCs w:val="26"/>
          <w:lang w:val="en-AU" w:eastAsia="en-US"/>
        </w:rPr>
        <w:lastRenderedPageBreak/>
        <w:t xml:space="preserve">The Panel’s </w:t>
      </w:r>
      <w:r w:rsidR="00B85CA9">
        <w:rPr>
          <w:rFonts w:ascii="Arial" w:eastAsia="Times New Roman" w:hAnsi="Arial" w:cs="Arial"/>
          <w:b/>
          <w:bCs/>
          <w:color w:val="358189"/>
          <w:sz w:val="32"/>
          <w:szCs w:val="26"/>
          <w:lang w:val="en-AU" w:eastAsia="en-US"/>
        </w:rPr>
        <w:t>V</w:t>
      </w:r>
      <w:r w:rsidRPr="007241B0">
        <w:rPr>
          <w:rFonts w:ascii="Arial" w:eastAsia="Times New Roman" w:hAnsi="Arial" w:cs="Arial"/>
          <w:b/>
          <w:bCs/>
          <w:color w:val="358189"/>
          <w:sz w:val="32"/>
          <w:szCs w:val="26"/>
          <w:lang w:val="en-AU" w:eastAsia="en-US"/>
        </w:rPr>
        <w:t xml:space="preserve">ision for </w:t>
      </w:r>
      <w:r w:rsidR="00B85CA9">
        <w:rPr>
          <w:rFonts w:ascii="Arial" w:eastAsia="Times New Roman" w:hAnsi="Arial" w:cs="Arial"/>
          <w:b/>
          <w:bCs/>
          <w:color w:val="358189"/>
          <w:sz w:val="32"/>
          <w:szCs w:val="26"/>
          <w:lang w:val="en-AU" w:eastAsia="en-US"/>
        </w:rPr>
        <w:t>F</w:t>
      </w:r>
      <w:r w:rsidRPr="007241B0">
        <w:rPr>
          <w:rFonts w:ascii="Arial" w:eastAsia="Times New Roman" w:hAnsi="Arial" w:cs="Arial"/>
          <w:b/>
          <w:bCs/>
          <w:color w:val="358189"/>
          <w:sz w:val="32"/>
          <w:szCs w:val="26"/>
          <w:lang w:val="en-AU" w:eastAsia="en-US"/>
        </w:rPr>
        <w:t xml:space="preserve">uture </w:t>
      </w:r>
      <w:r w:rsidR="00B85CA9">
        <w:rPr>
          <w:rFonts w:ascii="Arial" w:eastAsia="Times New Roman" w:hAnsi="Arial" w:cs="Arial"/>
          <w:b/>
          <w:bCs/>
          <w:color w:val="358189"/>
          <w:sz w:val="32"/>
          <w:szCs w:val="26"/>
          <w:lang w:val="en-AU" w:eastAsia="en-US"/>
        </w:rPr>
        <w:t>G</w:t>
      </w:r>
      <w:r w:rsidRPr="007241B0">
        <w:rPr>
          <w:rFonts w:ascii="Arial" w:eastAsia="Times New Roman" w:hAnsi="Arial" w:cs="Arial"/>
          <w:b/>
          <w:bCs/>
          <w:color w:val="358189"/>
          <w:sz w:val="32"/>
          <w:szCs w:val="26"/>
          <w:lang w:val="en-AU" w:eastAsia="en-US"/>
        </w:rPr>
        <w:t xml:space="preserve">eneral </w:t>
      </w:r>
      <w:r w:rsidR="00B85CA9">
        <w:rPr>
          <w:rFonts w:ascii="Arial" w:eastAsia="Times New Roman" w:hAnsi="Arial" w:cs="Arial"/>
          <w:b/>
          <w:bCs/>
          <w:color w:val="358189"/>
          <w:sz w:val="32"/>
          <w:szCs w:val="26"/>
          <w:lang w:val="en-AU" w:eastAsia="en-US"/>
        </w:rPr>
        <w:t>P</w:t>
      </w:r>
      <w:r w:rsidRPr="007241B0">
        <w:rPr>
          <w:rFonts w:ascii="Arial" w:eastAsia="Times New Roman" w:hAnsi="Arial" w:cs="Arial"/>
          <w:b/>
          <w:bCs/>
          <w:color w:val="358189"/>
          <w:sz w:val="32"/>
          <w:szCs w:val="26"/>
          <w:lang w:val="en-AU" w:eastAsia="en-US"/>
        </w:rPr>
        <w:t>ractice</w:t>
      </w:r>
    </w:p>
    <w:p w14:paraId="0505463F" w14:textId="759A4A48" w:rsidR="00933F1A" w:rsidRPr="00B85CA9" w:rsidRDefault="00933F1A" w:rsidP="007241B0">
      <w:pPr>
        <w:spacing w:before="200" w:line="278" w:lineRule="auto"/>
        <w:rPr>
          <w:rFonts w:ascii="Arial" w:eastAsia="Calibri" w:hAnsi="Arial" w:cs="Arial"/>
          <w:color w:val="000000" w:themeColor="text1"/>
          <w:sz w:val="22"/>
          <w:szCs w:val="22"/>
          <w:lang w:val="en-GB"/>
        </w:rPr>
      </w:pPr>
      <w:r w:rsidRPr="00B85CA9">
        <w:rPr>
          <w:rFonts w:ascii="Arial" w:eastAsia="Calibri" w:hAnsi="Arial" w:cs="Arial"/>
          <w:color w:val="000000" w:themeColor="text1"/>
          <w:sz w:val="22"/>
          <w:szCs w:val="22"/>
          <w:lang w:val="en-GB"/>
        </w:rPr>
        <w:t xml:space="preserve">The Panel developed a shared vision for the future of general practice. The vision diagram (Figure 1) sets out the elements of an ideal general practice for both patients and providers </w:t>
      </w:r>
      <w:r w:rsidR="00E95227" w:rsidRPr="00B85CA9">
        <w:rPr>
          <w:rFonts w:ascii="Arial" w:eastAsia="Calibri" w:hAnsi="Arial" w:cs="Arial"/>
          <w:color w:val="000000" w:themeColor="text1"/>
          <w:sz w:val="22"/>
          <w:szCs w:val="22"/>
          <w:lang w:val="en-GB"/>
        </w:rPr>
        <w:t>by 2032</w:t>
      </w:r>
      <w:r w:rsidRPr="00B85CA9">
        <w:rPr>
          <w:rFonts w:ascii="Arial" w:eastAsia="Calibri" w:hAnsi="Arial" w:cs="Arial"/>
          <w:color w:val="000000" w:themeColor="text1"/>
          <w:sz w:val="22"/>
          <w:szCs w:val="22"/>
          <w:lang w:val="en-GB"/>
        </w:rPr>
        <w:t xml:space="preserve">. The draft recommendations and associated reforms form a pathway towards the agreed vision. </w:t>
      </w:r>
    </w:p>
    <w:p w14:paraId="5CD02A60" w14:textId="77777777" w:rsidR="007241B0" w:rsidRDefault="007241B0" w:rsidP="007241B0">
      <w:pPr>
        <w:spacing w:before="200" w:line="278" w:lineRule="auto"/>
        <w:rPr>
          <w:rFonts w:ascii="Aptos" w:eastAsia="Calibri" w:hAnsi="Aptos" w:cs="Calibri"/>
          <w:color w:val="000000" w:themeColor="text1"/>
          <w:sz w:val="22"/>
          <w:szCs w:val="22"/>
          <w:lang w:val="en-GB"/>
        </w:rPr>
      </w:pPr>
    </w:p>
    <w:p w14:paraId="3824312E" w14:textId="4F667B35" w:rsidR="00933F1A" w:rsidRPr="007241B0" w:rsidRDefault="007241B0" w:rsidP="00933F1A">
      <w:pPr>
        <w:pStyle w:val="Caption"/>
        <w:rPr>
          <w:rFonts w:ascii="Arial" w:eastAsia="Times New Roman" w:hAnsi="Arial" w:cs="Times New Roman"/>
          <w:bCs w:val="0"/>
          <w:smallCaps w:val="0"/>
          <w:color w:val="000000" w:themeColor="text1"/>
          <w:spacing w:val="0"/>
          <w:sz w:val="22"/>
          <w:szCs w:val="24"/>
          <w:lang w:val="en-US"/>
        </w:rPr>
      </w:pPr>
      <w:r>
        <w:rPr>
          <w:noProof/>
        </w:rPr>
        <w:drawing>
          <wp:anchor distT="0" distB="0" distL="114300" distR="114300" simplePos="0" relativeHeight="251659264" behindDoc="1" locked="0" layoutInCell="1" allowOverlap="1" wp14:anchorId="60E3899A" wp14:editId="50704184">
            <wp:simplePos x="0" y="0"/>
            <wp:positionH relativeFrom="margin">
              <wp:posOffset>-9525</wp:posOffset>
            </wp:positionH>
            <wp:positionV relativeFrom="paragraph">
              <wp:posOffset>249555</wp:posOffset>
            </wp:positionV>
            <wp:extent cx="6546850" cy="3686175"/>
            <wp:effectExtent l="0" t="0" r="6350" b="9525"/>
            <wp:wrapTight wrapText="bothSides">
              <wp:wrapPolygon edited="0">
                <wp:start x="0" y="0"/>
                <wp:lineTo x="0" y="21544"/>
                <wp:lineTo x="21558" y="21544"/>
                <wp:lineTo x="21558" y="0"/>
                <wp:lineTo x="0" y="0"/>
              </wp:wrapPolygon>
            </wp:wrapTight>
            <wp:docPr id="148147405" name="Picture 1" descr="A graph of what general practice will look like in 2032 for general practice and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47405" name="Picture 1" descr="A graph of what general practice will look like in 2032 for general practice and patients"/>
                    <pic:cNvPicPr/>
                  </pic:nvPicPr>
                  <pic:blipFill>
                    <a:blip r:embed="rId15">
                      <a:extLst>
                        <a:ext uri="{28A0092B-C50C-407E-A947-70E740481C1C}">
                          <a14:useLocalDpi xmlns:a14="http://schemas.microsoft.com/office/drawing/2010/main" val="0"/>
                        </a:ext>
                      </a:extLst>
                    </a:blip>
                    <a:stretch>
                      <a:fillRect/>
                    </a:stretch>
                  </pic:blipFill>
                  <pic:spPr>
                    <a:xfrm>
                      <a:off x="0" y="0"/>
                      <a:ext cx="6546850" cy="3686175"/>
                    </a:xfrm>
                    <a:prstGeom prst="rect">
                      <a:avLst/>
                    </a:prstGeom>
                  </pic:spPr>
                </pic:pic>
              </a:graphicData>
            </a:graphic>
            <wp14:sizeRelH relativeFrom="margin">
              <wp14:pctWidth>0</wp14:pctWidth>
            </wp14:sizeRelH>
            <wp14:sizeRelV relativeFrom="margin">
              <wp14:pctHeight>0</wp14:pctHeight>
            </wp14:sizeRelV>
          </wp:anchor>
        </w:drawing>
      </w:r>
      <w:r w:rsidR="00933F1A" w:rsidRPr="007241B0">
        <w:rPr>
          <w:rFonts w:ascii="Arial" w:eastAsia="Times New Roman" w:hAnsi="Arial" w:cs="Times New Roman"/>
          <w:bCs w:val="0"/>
          <w:smallCaps w:val="0"/>
          <w:color w:val="000000" w:themeColor="text1"/>
          <w:spacing w:val="0"/>
          <w:sz w:val="22"/>
          <w:szCs w:val="24"/>
          <w:lang w:val="en-US"/>
        </w:rPr>
        <w:t xml:space="preserve">Figure 1. Long term vision for practices and patients </w:t>
      </w:r>
    </w:p>
    <w:p w14:paraId="5D7F1A7C" w14:textId="0DC165AE" w:rsidR="00237137" w:rsidRDefault="00237137" w:rsidP="00237137">
      <w:pPr>
        <w:rPr>
          <w:lang w:val="en-AU" w:eastAsia="en-US"/>
        </w:rPr>
      </w:pPr>
    </w:p>
    <w:p w14:paraId="3ED56A3B" w14:textId="77777777" w:rsidR="007241B0" w:rsidRDefault="007241B0" w:rsidP="007241B0">
      <w:pPr>
        <w:pStyle w:val="Caption"/>
        <w:rPr>
          <w:rFonts w:ascii="Arial" w:eastAsia="Times New Roman" w:hAnsi="Arial" w:cs="Times New Roman"/>
          <w:bCs w:val="0"/>
          <w:smallCaps w:val="0"/>
          <w:color w:val="000000" w:themeColor="text1"/>
          <w:spacing w:val="0"/>
          <w:sz w:val="22"/>
          <w:szCs w:val="24"/>
          <w:lang w:val="en-US"/>
        </w:rPr>
        <w:sectPr w:rsidR="007241B0" w:rsidSect="00004768">
          <w:footerReference w:type="default" r:id="rId16"/>
          <w:headerReference w:type="first" r:id="rId17"/>
          <w:footerReference w:type="first" r:id="rId18"/>
          <w:pgSz w:w="12240" w:h="15840"/>
          <w:pgMar w:top="1440" w:right="1440" w:bottom="1440" w:left="1440" w:header="720" w:footer="720" w:gutter="0"/>
          <w:cols w:space="720"/>
          <w:titlePg/>
          <w:docGrid w:linePitch="360"/>
        </w:sectPr>
      </w:pPr>
    </w:p>
    <w:p w14:paraId="6B4179C7" w14:textId="7C7A2082" w:rsidR="00E95227" w:rsidRPr="007241B0" w:rsidRDefault="00E95227" w:rsidP="00E95227">
      <w:pPr>
        <w:pStyle w:val="Caption"/>
        <w:rPr>
          <w:rFonts w:ascii="Arial" w:eastAsia="Times New Roman" w:hAnsi="Arial" w:cs="Times New Roman"/>
          <w:bCs w:val="0"/>
          <w:smallCaps w:val="0"/>
          <w:color w:val="000000" w:themeColor="text1"/>
          <w:spacing w:val="0"/>
          <w:sz w:val="22"/>
          <w:szCs w:val="24"/>
          <w:lang w:val="en-US"/>
        </w:rPr>
      </w:pPr>
      <w:r w:rsidRPr="007241B0">
        <w:rPr>
          <w:rFonts w:ascii="Arial" w:eastAsia="Times New Roman" w:hAnsi="Arial" w:cs="Times New Roman"/>
          <w:bCs w:val="0"/>
          <w:smallCaps w:val="0"/>
          <w:color w:val="000000" w:themeColor="text1"/>
          <w:spacing w:val="0"/>
          <w:sz w:val="22"/>
          <w:szCs w:val="24"/>
          <w:lang w:val="en-US"/>
        </w:rPr>
        <w:lastRenderedPageBreak/>
        <w:t>Figure 2. Principles for establishing a new payment architecture for General Practice</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7D4EF" w:themeFill="text2" w:themeFillTint="33"/>
        <w:tblLook w:val="04A0" w:firstRow="1" w:lastRow="0" w:firstColumn="1" w:lastColumn="0" w:noHBand="0" w:noVBand="1"/>
      </w:tblPr>
      <w:tblGrid>
        <w:gridCol w:w="10490"/>
      </w:tblGrid>
      <w:tr w:rsidR="00E95227" w14:paraId="1C5328BD" w14:textId="77777777" w:rsidTr="007241B0">
        <w:tc>
          <w:tcPr>
            <w:tcW w:w="10490" w:type="dxa"/>
            <w:shd w:val="clear" w:color="auto" w:fill="B7D4EF" w:themeFill="text2" w:themeFillTint="33"/>
          </w:tcPr>
          <w:p w14:paraId="49E9BE6E" w14:textId="77777777" w:rsidR="00E95227" w:rsidRPr="00B85CA9" w:rsidRDefault="00E95227" w:rsidP="004816AB">
            <w:pPr>
              <w:rPr>
                <w:rFonts w:ascii="Arial" w:eastAsia="Calibri" w:hAnsi="Arial" w:cs="Arial"/>
                <w:b/>
                <w:bCs/>
                <w:color w:val="000000" w:themeColor="text1"/>
                <w:sz w:val="22"/>
                <w:szCs w:val="22"/>
                <w:lang w:val="en-GB"/>
              </w:rPr>
            </w:pPr>
            <w:r w:rsidRPr="00B85CA9">
              <w:rPr>
                <w:rFonts w:ascii="Arial" w:eastAsia="Calibri" w:hAnsi="Arial" w:cs="Arial"/>
                <w:b/>
                <w:bCs/>
                <w:color w:val="000000" w:themeColor="text1"/>
                <w:sz w:val="22"/>
                <w:szCs w:val="22"/>
                <w:lang w:val="en-GB"/>
              </w:rPr>
              <w:t xml:space="preserve">Principle 1: Patient and carer </w:t>
            </w:r>
            <w:proofErr w:type="gramStart"/>
            <w:r w:rsidRPr="00B85CA9">
              <w:rPr>
                <w:rFonts w:ascii="Arial" w:eastAsia="Calibri" w:hAnsi="Arial" w:cs="Arial"/>
                <w:b/>
                <w:bCs/>
                <w:color w:val="000000" w:themeColor="text1"/>
                <w:sz w:val="22"/>
                <w:szCs w:val="22"/>
                <w:lang w:val="en-GB"/>
              </w:rPr>
              <w:t>centred</w:t>
            </w:r>
            <w:proofErr w:type="gramEnd"/>
            <w:r w:rsidRPr="00B85CA9">
              <w:rPr>
                <w:rFonts w:ascii="Arial" w:eastAsia="Calibri" w:hAnsi="Arial" w:cs="Arial"/>
                <w:b/>
                <w:bCs/>
                <w:color w:val="000000" w:themeColor="text1"/>
                <w:sz w:val="22"/>
                <w:szCs w:val="22"/>
                <w:lang w:val="en-GB"/>
              </w:rPr>
              <w:t xml:space="preserve"> </w:t>
            </w:r>
          </w:p>
          <w:p w14:paraId="273B549C" w14:textId="77777777" w:rsidR="00E95227" w:rsidRPr="00B85CA9" w:rsidRDefault="00E95227" w:rsidP="004816AB">
            <w:pPr>
              <w:rPr>
                <w:rFonts w:ascii="Arial" w:eastAsia="Calibri" w:hAnsi="Arial" w:cs="Arial"/>
                <w:color w:val="000000" w:themeColor="text1"/>
                <w:sz w:val="22"/>
                <w:szCs w:val="22"/>
              </w:rPr>
            </w:pPr>
            <w:r w:rsidRPr="00B85CA9">
              <w:rPr>
                <w:rFonts w:ascii="Arial" w:eastAsia="Calibri" w:hAnsi="Arial" w:cs="Arial"/>
                <w:color w:val="000000" w:themeColor="text1"/>
                <w:sz w:val="22"/>
                <w:szCs w:val="22"/>
              </w:rPr>
              <w:t xml:space="preserve">The experience of health services by patients and carers, and their wellbeing, are at the centre of primary care funding reform. Models of funding should enhance patient access and </w:t>
            </w:r>
            <w:proofErr w:type="gramStart"/>
            <w:r w:rsidRPr="00B85CA9">
              <w:rPr>
                <w:rFonts w:ascii="Arial" w:eastAsia="Calibri" w:hAnsi="Arial" w:cs="Arial"/>
                <w:color w:val="000000" w:themeColor="text1"/>
                <w:sz w:val="22"/>
                <w:szCs w:val="22"/>
              </w:rPr>
              <w:t>experience, and</w:t>
            </w:r>
            <w:proofErr w:type="gramEnd"/>
            <w:r w:rsidRPr="00B85CA9">
              <w:rPr>
                <w:rFonts w:ascii="Arial" w:eastAsia="Calibri" w:hAnsi="Arial" w:cs="Arial"/>
                <w:color w:val="000000" w:themeColor="text1"/>
                <w:sz w:val="22"/>
                <w:szCs w:val="22"/>
              </w:rPr>
              <w:t xml:space="preserve"> enable patients to better self-manage (if they choose) as a precursor to better health outcomes. </w:t>
            </w:r>
          </w:p>
          <w:p w14:paraId="2A29A590" w14:textId="77777777" w:rsidR="00E95227" w:rsidRPr="00B85CA9" w:rsidRDefault="00E95227" w:rsidP="004816AB">
            <w:pPr>
              <w:rPr>
                <w:rFonts w:ascii="Arial" w:eastAsia="Calibri" w:hAnsi="Arial" w:cs="Arial"/>
                <w:color w:val="000000" w:themeColor="text1"/>
                <w:sz w:val="22"/>
                <w:szCs w:val="22"/>
              </w:rPr>
            </w:pPr>
          </w:p>
          <w:p w14:paraId="1AC14454" w14:textId="77777777" w:rsidR="00E95227" w:rsidRPr="00B85CA9" w:rsidRDefault="00E95227" w:rsidP="004816AB">
            <w:pPr>
              <w:rPr>
                <w:rFonts w:ascii="Arial" w:eastAsia="Calibri" w:hAnsi="Arial" w:cs="Arial"/>
                <w:b/>
                <w:color w:val="000000" w:themeColor="text1"/>
                <w:sz w:val="22"/>
                <w:szCs w:val="22"/>
                <w:lang w:val="en-GB"/>
              </w:rPr>
            </w:pPr>
            <w:r w:rsidRPr="00B85CA9">
              <w:rPr>
                <w:rFonts w:ascii="Arial" w:eastAsia="Calibri" w:hAnsi="Arial" w:cs="Arial"/>
                <w:b/>
                <w:bCs/>
                <w:color w:val="000000" w:themeColor="text1"/>
                <w:sz w:val="22"/>
                <w:szCs w:val="22"/>
                <w:lang w:val="en-GB"/>
              </w:rPr>
              <w:t xml:space="preserve">Principle 2: Enabling team </w:t>
            </w:r>
            <w:proofErr w:type="gramStart"/>
            <w:r w:rsidRPr="00B85CA9">
              <w:rPr>
                <w:rFonts w:ascii="Arial" w:eastAsia="Calibri" w:hAnsi="Arial" w:cs="Arial"/>
                <w:b/>
                <w:bCs/>
                <w:color w:val="000000" w:themeColor="text1"/>
                <w:sz w:val="22"/>
                <w:szCs w:val="22"/>
                <w:lang w:val="en-GB"/>
              </w:rPr>
              <w:t>care</w:t>
            </w:r>
            <w:proofErr w:type="gramEnd"/>
          </w:p>
          <w:p w14:paraId="03671B24" w14:textId="77777777" w:rsidR="00E95227" w:rsidRPr="00B85CA9" w:rsidRDefault="00E95227" w:rsidP="004816AB">
            <w:pPr>
              <w:rPr>
                <w:rFonts w:ascii="Arial" w:eastAsia="Calibri" w:hAnsi="Arial" w:cs="Arial"/>
                <w:color w:val="000000" w:themeColor="text1"/>
                <w:sz w:val="22"/>
                <w:szCs w:val="22"/>
              </w:rPr>
            </w:pPr>
            <w:r w:rsidRPr="00B85CA9">
              <w:rPr>
                <w:rFonts w:ascii="Arial" w:eastAsia="Calibri" w:hAnsi="Arial" w:cs="Arial"/>
                <w:color w:val="000000" w:themeColor="text1"/>
                <w:sz w:val="22"/>
                <w:szCs w:val="22"/>
              </w:rPr>
              <w:t>To promote multidisciplinary teams, funding should encourage all team-members to work to their full scope of practice. Funding should support a minimum ratio of 1:1 GPs to other health and care professionals in multidisciplinary teams, more in high need settings. Funding should enable a broad range of primary care models that deliver comprehensive primary care. The achievements of the ACCHO model, public community health centres, some not-for-profit and privatised solutions in primary care demonstrate the potential to encourage flexible uses of funds to achieve team care. This may include GP-led models, nurse-led models and embedding specialist physicians and pharmacists in general practice. Progress in this area should involve comprehensive discussions amongst all the stakeholders involved to ensure smooth implementation and broad acceptance of the changes by patients, providers, practice owners, and funders.</w:t>
            </w:r>
          </w:p>
          <w:p w14:paraId="2588F8A4" w14:textId="77777777" w:rsidR="00E95227" w:rsidRPr="00B85CA9" w:rsidRDefault="00E95227" w:rsidP="004816AB">
            <w:pPr>
              <w:rPr>
                <w:rFonts w:ascii="Arial" w:eastAsia="Calibri" w:hAnsi="Arial" w:cs="Arial"/>
                <w:b/>
                <w:color w:val="000000" w:themeColor="text1"/>
                <w:sz w:val="22"/>
                <w:szCs w:val="22"/>
                <w:lang w:val="en-GB"/>
              </w:rPr>
            </w:pPr>
          </w:p>
          <w:p w14:paraId="12B766C6" w14:textId="77777777" w:rsidR="00E95227" w:rsidRPr="00B85CA9" w:rsidRDefault="00E95227" w:rsidP="004816AB">
            <w:pPr>
              <w:rPr>
                <w:rFonts w:ascii="Arial" w:eastAsia="Calibri" w:hAnsi="Arial" w:cs="Arial"/>
                <w:b/>
                <w:bCs/>
                <w:color w:val="000000" w:themeColor="text1"/>
                <w:sz w:val="22"/>
                <w:szCs w:val="22"/>
                <w:lang w:val="en-GB"/>
              </w:rPr>
            </w:pPr>
            <w:r w:rsidRPr="00B85CA9">
              <w:rPr>
                <w:rFonts w:ascii="Arial" w:eastAsia="Calibri" w:hAnsi="Arial" w:cs="Arial"/>
                <w:b/>
                <w:bCs/>
                <w:color w:val="000000" w:themeColor="text1"/>
                <w:sz w:val="22"/>
                <w:szCs w:val="22"/>
                <w:lang w:val="en-GB"/>
              </w:rPr>
              <w:t xml:space="preserve">Principle 3: Equity </w:t>
            </w:r>
            <w:proofErr w:type="gramStart"/>
            <w:r w:rsidRPr="00B85CA9">
              <w:rPr>
                <w:rFonts w:ascii="Arial" w:eastAsia="Calibri" w:hAnsi="Arial" w:cs="Arial"/>
                <w:b/>
                <w:bCs/>
                <w:color w:val="000000" w:themeColor="text1"/>
                <w:sz w:val="22"/>
                <w:szCs w:val="22"/>
                <w:lang w:val="en-GB"/>
              </w:rPr>
              <w:t>enabling</w:t>
            </w:r>
            <w:proofErr w:type="gramEnd"/>
          </w:p>
          <w:p w14:paraId="20EE8070" w14:textId="77777777" w:rsidR="00E95227" w:rsidRPr="00B85CA9" w:rsidRDefault="00E95227" w:rsidP="004816AB">
            <w:pPr>
              <w:rPr>
                <w:rFonts w:ascii="Arial" w:eastAsia="Calibri" w:hAnsi="Arial" w:cs="Arial"/>
                <w:color w:val="000000" w:themeColor="text1"/>
                <w:sz w:val="22"/>
                <w:szCs w:val="22"/>
              </w:rPr>
            </w:pPr>
            <w:r w:rsidRPr="00B85CA9">
              <w:rPr>
                <w:rFonts w:ascii="Arial" w:eastAsia="Calibri" w:hAnsi="Arial" w:cs="Arial"/>
                <w:color w:val="000000" w:themeColor="text1"/>
                <w:sz w:val="22"/>
                <w:szCs w:val="22"/>
              </w:rPr>
              <w:t xml:space="preserve">Funding should encourage sustainable models of care that respond to determinants of health, address high needs groups and rural and remote Australia, and marginalised groups.  This includes supporting improved access to primary health care, including care that is closer to home, more convenient and at lower costs to consumers. Funding should be available to enable </w:t>
            </w:r>
            <w:proofErr w:type="gramStart"/>
            <w:r w:rsidRPr="00B85CA9">
              <w:rPr>
                <w:rFonts w:ascii="Arial" w:eastAsia="Calibri" w:hAnsi="Arial" w:cs="Arial"/>
                <w:color w:val="000000" w:themeColor="text1"/>
                <w:sz w:val="22"/>
                <w:szCs w:val="22"/>
              </w:rPr>
              <w:t>place based</w:t>
            </w:r>
            <w:proofErr w:type="gramEnd"/>
            <w:r w:rsidRPr="00B85CA9">
              <w:rPr>
                <w:rFonts w:ascii="Arial" w:eastAsia="Calibri" w:hAnsi="Arial" w:cs="Arial"/>
                <w:color w:val="000000" w:themeColor="text1"/>
                <w:sz w:val="22"/>
                <w:szCs w:val="22"/>
              </w:rPr>
              <w:t xml:space="preserve"> solutions in hard to serve and marginalised communities, which are co-designed and evaluated with providers and the communities they serve. </w:t>
            </w:r>
          </w:p>
          <w:p w14:paraId="78C21F9A" w14:textId="77777777" w:rsidR="00E95227" w:rsidRPr="00B85CA9" w:rsidRDefault="00E95227" w:rsidP="004816AB">
            <w:pPr>
              <w:rPr>
                <w:rFonts w:ascii="Arial" w:eastAsia="Calibri" w:hAnsi="Arial" w:cs="Arial"/>
                <w:color w:val="000000" w:themeColor="text1"/>
                <w:sz w:val="22"/>
                <w:szCs w:val="22"/>
              </w:rPr>
            </w:pPr>
          </w:p>
          <w:p w14:paraId="4A434BC2" w14:textId="77777777" w:rsidR="00E95227" w:rsidRPr="00B85CA9" w:rsidRDefault="00E95227" w:rsidP="004816AB">
            <w:pPr>
              <w:rPr>
                <w:rFonts w:ascii="Arial" w:eastAsia="Calibri" w:hAnsi="Arial" w:cs="Arial"/>
                <w:b/>
                <w:bCs/>
                <w:color w:val="000000" w:themeColor="text1"/>
                <w:sz w:val="22"/>
                <w:szCs w:val="22"/>
                <w:lang w:val="en-GB"/>
              </w:rPr>
            </w:pPr>
            <w:r w:rsidRPr="00B85CA9">
              <w:rPr>
                <w:rFonts w:ascii="Arial" w:eastAsia="Calibri" w:hAnsi="Arial" w:cs="Arial"/>
                <w:b/>
                <w:bCs/>
                <w:color w:val="000000" w:themeColor="text1"/>
                <w:sz w:val="22"/>
                <w:szCs w:val="22"/>
                <w:lang w:val="en-GB"/>
              </w:rPr>
              <w:t xml:space="preserve">Principle 4: Contemporary and evidence </w:t>
            </w:r>
            <w:proofErr w:type="gramStart"/>
            <w:r w:rsidRPr="00B85CA9">
              <w:rPr>
                <w:rFonts w:ascii="Arial" w:eastAsia="Calibri" w:hAnsi="Arial" w:cs="Arial"/>
                <w:b/>
                <w:bCs/>
                <w:color w:val="000000" w:themeColor="text1"/>
                <w:sz w:val="22"/>
                <w:szCs w:val="22"/>
                <w:lang w:val="en-GB"/>
              </w:rPr>
              <w:t>based</w:t>
            </w:r>
            <w:proofErr w:type="gramEnd"/>
          </w:p>
          <w:p w14:paraId="12BE3236" w14:textId="77777777" w:rsidR="00E95227" w:rsidRPr="00B85CA9" w:rsidRDefault="00E95227" w:rsidP="004816AB">
            <w:pPr>
              <w:rPr>
                <w:rFonts w:ascii="Arial" w:eastAsia="Calibri" w:hAnsi="Arial" w:cs="Arial"/>
                <w:color w:val="000000" w:themeColor="text1"/>
                <w:sz w:val="22"/>
                <w:szCs w:val="22"/>
              </w:rPr>
            </w:pPr>
            <w:r w:rsidRPr="00B85CA9">
              <w:rPr>
                <w:rFonts w:ascii="Arial" w:eastAsia="Calibri" w:hAnsi="Arial" w:cs="Arial"/>
                <w:color w:val="000000" w:themeColor="text1"/>
                <w:sz w:val="22"/>
                <w:szCs w:val="22"/>
              </w:rPr>
              <w:t xml:space="preserve">Models of funding and care are based on data, evidence and sharing of best practice. To facilitate this, a shared national primary care data resource should be developed, with data collected once and used for multiple purposes. It can collect evolving data on the work, needs, </w:t>
            </w:r>
            <w:proofErr w:type="gramStart"/>
            <w:r w:rsidRPr="00B85CA9">
              <w:rPr>
                <w:rFonts w:ascii="Arial" w:eastAsia="Calibri" w:hAnsi="Arial" w:cs="Arial"/>
                <w:color w:val="000000" w:themeColor="text1"/>
                <w:sz w:val="22"/>
                <w:szCs w:val="22"/>
              </w:rPr>
              <w:t>outcomes</w:t>
            </w:r>
            <w:proofErr w:type="gramEnd"/>
            <w:r w:rsidRPr="00B85CA9">
              <w:rPr>
                <w:rFonts w:ascii="Arial" w:eastAsia="Calibri" w:hAnsi="Arial" w:cs="Arial"/>
                <w:color w:val="000000" w:themeColor="text1"/>
                <w:sz w:val="22"/>
                <w:szCs w:val="22"/>
              </w:rPr>
              <w:t xml:space="preserve"> and costs in primary care. Growth in digital maturity, </w:t>
            </w:r>
            <w:proofErr w:type="gramStart"/>
            <w:r w:rsidRPr="00B85CA9">
              <w:rPr>
                <w:rFonts w:ascii="Arial" w:eastAsia="Calibri" w:hAnsi="Arial" w:cs="Arial"/>
                <w:color w:val="000000" w:themeColor="text1"/>
                <w:sz w:val="22"/>
                <w:szCs w:val="22"/>
              </w:rPr>
              <w:t>leadership</w:t>
            </w:r>
            <w:proofErr w:type="gramEnd"/>
            <w:r w:rsidRPr="00B85CA9">
              <w:rPr>
                <w:rFonts w:ascii="Arial" w:eastAsia="Calibri" w:hAnsi="Arial" w:cs="Arial"/>
                <w:color w:val="000000" w:themeColor="text1"/>
                <w:sz w:val="22"/>
                <w:szCs w:val="22"/>
              </w:rPr>
              <w:t xml:space="preserve"> and clinical governance functions across the sector from government investment in education, training and new roles can support this. Data and data exchange will increasingly be used to inform planning and decision making for primary care and across the health system.</w:t>
            </w:r>
          </w:p>
          <w:p w14:paraId="25990834" w14:textId="77777777" w:rsidR="00E95227" w:rsidRPr="00B85CA9" w:rsidRDefault="00E95227" w:rsidP="004816AB">
            <w:pPr>
              <w:rPr>
                <w:rFonts w:ascii="Arial" w:eastAsia="Calibri" w:hAnsi="Arial" w:cs="Arial"/>
                <w:color w:val="000000" w:themeColor="text1"/>
                <w:sz w:val="22"/>
                <w:szCs w:val="22"/>
              </w:rPr>
            </w:pPr>
          </w:p>
          <w:p w14:paraId="7ADC6A69" w14:textId="77777777" w:rsidR="00E95227" w:rsidRPr="00B85CA9" w:rsidRDefault="00E95227" w:rsidP="004816AB">
            <w:pPr>
              <w:rPr>
                <w:rFonts w:ascii="Arial" w:eastAsia="Calibri" w:hAnsi="Arial" w:cs="Arial"/>
                <w:b/>
                <w:bCs/>
                <w:color w:val="000000" w:themeColor="text1"/>
                <w:sz w:val="22"/>
                <w:szCs w:val="22"/>
                <w:lang w:val="en-GB"/>
              </w:rPr>
            </w:pPr>
            <w:r w:rsidRPr="00B85CA9">
              <w:rPr>
                <w:rFonts w:ascii="Arial" w:eastAsia="Calibri" w:hAnsi="Arial" w:cs="Arial"/>
                <w:b/>
                <w:bCs/>
                <w:color w:val="000000" w:themeColor="text1"/>
                <w:sz w:val="22"/>
                <w:szCs w:val="22"/>
                <w:lang w:val="en-GB"/>
              </w:rPr>
              <w:t>Principle 5: Transparency, simplicity, and accountability</w:t>
            </w:r>
          </w:p>
          <w:p w14:paraId="74EB2ED5" w14:textId="77777777" w:rsidR="00E95227" w:rsidRPr="00B85CA9" w:rsidRDefault="00E95227" w:rsidP="004816AB">
            <w:pPr>
              <w:rPr>
                <w:rFonts w:ascii="Arial" w:eastAsia="Calibri" w:hAnsi="Arial" w:cs="Arial"/>
                <w:color w:val="000000" w:themeColor="text1"/>
                <w:sz w:val="22"/>
                <w:szCs w:val="22"/>
              </w:rPr>
            </w:pPr>
            <w:r w:rsidRPr="00B85CA9">
              <w:rPr>
                <w:rFonts w:ascii="Arial" w:eastAsia="Calibri" w:hAnsi="Arial" w:cs="Arial"/>
                <w:color w:val="000000" w:themeColor="text1"/>
                <w:sz w:val="22"/>
                <w:szCs w:val="22"/>
              </w:rPr>
              <w:t xml:space="preserve">Funding models are easy to understand, efficient to administer for general practices and funders, enable planning, and minimise unintended consequences. General practices are held accountable for the provision of care, use of funding and provision of data on service delivery and health outcomes. Indicators will be used to show ongoing improvement in infrastructure (digital, physical, systems), knowledge sharing and replication of success, data use and team impact. </w:t>
            </w:r>
          </w:p>
          <w:p w14:paraId="7D70A8C5" w14:textId="77777777" w:rsidR="00E95227" w:rsidRPr="00B85CA9" w:rsidRDefault="00E95227" w:rsidP="004816AB">
            <w:pPr>
              <w:rPr>
                <w:rFonts w:ascii="Arial" w:eastAsia="Calibri" w:hAnsi="Arial" w:cs="Arial"/>
                <w:color w:val="000000" w:themeColor="text1"/>
                <w:sz w:val="22"/>
                <w:szCs w:val="22"/>
              </w:rPr>
            </w:pPr>
          </w:p>
          <w:p w14:paraId="66079675" w14:textId="77777777" w:rsidR="00E95227" w:rsidRPr="00B85CA9" w:rsidRDefault="00E95227" w:rsidP="004816AB">
            <w:pPr>
              <w:rPr>
                <w:rFonts w:ascii="Arial" w:eastAsia="Calibri" w:hAnsi="Arial" w:cs="Arial"/>
                <w:b/>
                <w:bCs/>
                <w:color w:val="000000" w:themeColor="text1"/>
                <w:sz w:val="22"/>
                <w:szCs w:val="22"/>
                <w:lang w:val="en-GB"/>
              </w:rPr>
            </w:pPr>
            <w:r w:rsidRPr="00B85CA9">
              <w:rPr>
                <w:rFonts w:ascii="Arial" w:eastAsia="Calibri" w:hAnsi="Arial" w:cs="Arial"/>
                <w:b/>
                <w:bCs/>
                <w:color w:val="000000" w:themeColor="text1"/>
                <w:sz w:val="22"/>
                <w:szCs w:val="22"/>
                <w:lang w:val="en-GB"/>
              </w:rPr>
              <w:t>Principle 6: Integration and prevention</w:t>
            </w:r>
          </w:p>
          <w:p w14:paraId="4C240150" w14:textId="77777777" w:rsidR="00E95227" w:rsidRPr="00EA0A9E" w:rsidRDefault="00E95227" w:rsidP="004816AB">
            <w:pPr>
              <w:rPr>
                <w:rFonts w:eastAsia="Calibri" w:cstheme="minorBidi"/>
                <w:color w:val="000000" w:themeColor="text1"/>
                <w:sz w:val="22"/>
                <w:szCs w:val="22"/>
              </w:rPr>
            </w:pPr>
            <w:r w:rsidRPr="00B85CA9">
              <w:rPr>
                <w:rFonts w:ascii="Arial" w:eastAsia="Calibri" w:hAnsi="Arial" w:cs="Arial"/>
                <w:color w:val="000000" w:themeColor="text1"/>
                <w:sz w:val="22"/>
                <w:szCs w:val="22"/>
              </w:rPr>
              <w:t xml:space="preserve">Funding should promote integration across the </w:t>
            </w:r>
            <w:r w:rsidRPr="00B85CA9">
              <w:rPr>
                <w:rFonts w:ascii="Arial" w:eastAsia="Calibri" w:hAnsi="Arial" w:cs="Arial"/>
                <w:color w:val="000000" w:themeColor="text1"/>
                <w:sz w:val="22"/>
                <w:szCs w:val="22"/>
                <w:lang w:val="en-GB"/>
              </w:rPr>
              <w:t xml:space="preserve">continuum of health and social care. </w:t>
            </w:r>
            <w:r w:rsidRPr="00B85CA9">
              <w:rPr>
                <w:rFonts w:ascii="Arial" w:eastAsia="Calibri" w:hAnsi="Arial" w:cs="Arial"/>
                <w:color w:val="000000" w:themeColor="text1"/>
                <w:sz w:val="22"/>
                <w:szCs w:val="22"/>
              </w:rPr>
              <w:t>Health funding should encourage community development, including care pathways, care neighbourhoods and place-based responses.</w:t>
            </w:r>
            <w:r w:rsidRPr="00B85CA9">
              <w:rPr>
                <w:rFonts w:ascii="Arial" w:eastAsia="Calibri" w:hAnsi="Arial" w:cs="Arial"/>
                <w:color w:val="000000" w:themeColor="text1"/>
                <w:sz w:val="22"/>
                <w:szCs w:val="22"/>
                <w:lang w:val="en-GB"/>
              </w:rPr>
              <w:t xml:space="preserve"> Patient outcomes will be improved through general practices and providers working together across the health and social care system, including state and territory health services. This will help to create a health system that is patient-centred rather than the current ‘sickness model’ that overly focuses on acute and crisis presentations.</w:t>
            </w:r>
          </w:p>
        </w:tc>
      </w:tr>
    </w:tbl>
    <w:p w14:paraId="47491207" w14:textId="77777777" w:rsidR="007241B0" w:rsidRDefault="007241B0" w:rsidP="00237137">
      <w:pPr>
        <w:rPr>
          <w:lang w:val="en-AU" w:eastAsia="en-US"/>
        </w:rPr>
        <w:sectPr w:rsidR="007241B0" w:rsidSect="007241B0">
          <w:headerReference w:type="first" r:id="rId19"/>
          <w:footerReference w:type="first" r:id="rId20"/>
          <w:pgSz w:w="12240" w:h="15840"/>
          <w:pgMar w:top="720" w:right="720" w:bottom="720" w:left="720" w:header="720" w:footer="720" w:gutter="0"/>
          <w:cols w:space="720"/>
          <w:titlePg/>
          <w:docGrid w:linePitch="360"/>
        </w:sectPr>
      </w:pPr>
    </w:p>
    <w:p w14:paraId="44A40809" w14:textId="33E398CE" w:rsidR="00301D92" w:rsidRPr="00B85CA9" w:rsidRDefault="00301D92" w:rsidP="00301D92">
      <w:pPr>
        <w:pStyle w:val="Heading2"/>
        <w:rPr>
          <w:rFonts w:ascii="Arial" w:eastAsia="Times New Roman" w:hAnsi="Arial" w:cs="Arial"/>
          <w:b/>
          <w:bCs/>
          <w:color w:val="3F4A75"/>
          <w:kern w:val="28"/>
          <w:sz w:val="44"/>
          <w:szCs w:val="36"/>
          <w:lang w:val="en-AU" w:eastAsia="en-US"/>
        </w:rPr>
      </w:pPr>
      <w:r w:rsidRPr="00B85CA9">
        <w:rPr>
          <w:rFonts w:ascii="Arial" w:eastAsia="Times New Roman" w:hAnsi="Arial" w:cs="Arial"/>
          <w:b/>
          <w:bCs/>
          <w:color w:val="3F4A75"/>
          <w:kern w:val="28"/>
          <w:sz w:val="44"/>
          <w:szCs w:val="36"/>
          <w:lang w:val="en-AU" w:eastAsia="en-US"/>
        </w:rPr>
        <w:lastRenderedPageBreak/>
        <w:t xml:space="preserve">Proposed recommendations </w:t>
      </w:r>
    </w:p>
    <w:p w14:paraId="0095DD26" w14:textId="226D5B03" w:rsidR="00E473EC" w:rsidRPr="00B85CA9" w:rsidRDefault="00E473EC" w:rsidP="00E473EC">
      <w:pPr>
        <w:pStyle w:val="Heading2"/>
        <w:rPr>
          <w:rFonts w:ascii="Arial" w:eastAsia="Times New Roman" w:hAnsi="Arial" w:cs="Arial"/>
          <w:b/>
          <w:bCs/>
          <w:iCs/>
          <w:color w:val="358189"/>
          <w:sz w:val="36"/>
          <w:szCs w:val="28"/>
          <w:lang w:val="en-AU" w:eastAsia="en-US"/>
        </w:rPr>
      </w:pPr>
      <w:r w:rsidRPr="00B85CA9">
        <w:rPr>
          <w:rFonts w:ascii="Arial" w:eastAsia="Times New Roman" w:hAnsi="Arial" w:cs="Arial"/>
          <w:b/>
          <w:bCs/>
          <w:iCs/>
          <w:color w:val="358189"/>
          <w:sz w:val="36"/>
          <w:szCs w:val="28"/>
          <w:lang w:val="en-AU" w:eastAsia="en-US"/>
        </w:rPr>
        <w:t>1 - Simplified general practice payment architecture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7D4EF" w:themeFill="text2" w:themeFillTint="33"/>
        <w:tblLook w:val="04A0" w:firstRow="1" w:lastRow="0" w:firstColumn="1" w:lastColumn="0" w:noHBand="0" w:noVBand="1"/>
      </w:tblPr>
      <w:tblGrid>
        <w:gridCol w:w="9360"/>
      </w:tblGrid>
      <w:tr w:rsidR="00E473EC" w14:paraId="3AA13928" w14:textId="77777777" w:rsidTr="00134B2F">
        <w:trPr>
          <w:trHeight w:val="8935"/>
        </w:trPr>
        <w:tc>
          <w:tcPr>
            <w:tcW w:w="5000" w:type="pct"/>
            <w:shd w:val="clear" w:color="auto" w:fill="B7D4EF" w:themeFill="text2" w:themeFillTint="33"/>
          </w:tcPr>
          <w:p w14:paraId="27225A20" w14:textId="77777777" w:rsidR="00722C80" w:rsidRDefault="00E473EC" w:rsidP="00722C80">
            <w:pPr>
              <w:pStyle w:val="paragraph"/>
              <w:spacing w:before="120" w:beforeAutospacing="0" w:after="0" w:afterAutospacing="0" w:line="276" w:lineRule="auto"/>
              <w:textAlignment w:val="baseline"/>
              <w:rPr>
                <w:rStyle w:val="normaltextrun"/>
                <w:rFonts w:ascii="Arial" w:eastAsiaTheme="majorEastAsia" w:hAnsi="Arial" w:cs="Arial"/>
                <w:b/>
                <w:bCs/>
                <w:color w:val="0F4761" w:themeColor="accent1" w:themeShade="BF"/>
                <w:sz w:val="24"/>
                <w:szCs w:val="24"/>
              </w:rPr>
            </w:pPr>
            <w:r w:rsidRPr="00722C80">
              <w:rPr>
                <w:rStyle w:val="normaltextrun"/>
                <w:rFonts w:ascii="Arial" w:eastAsiaTheme="majorEastAsia" w:hAnsi="Arial" w:cs="Arial"/>
                <w:b/>
                <w:bCs/>
                <w:color w:val="0F4761" w:themeColor="accent1" w:themeShade="BF"/>
                <w:sz w:val="24"/>
                <w:szCs w:val="24"/>
              </w:rPr>
              <w:t xml:space="preserve">Recommendation 1a: </w:t>
            </w:r>
          </w:p>
          <w:p w14:paraId="29EB0292" w14:textId="090BDCCD" w:rsidR="00E473EC" w:rsidRPr="00722C80" w:rsidRDefault="00E473EC" w:rsidP="00722C80">
            <w:pPr>
              <w:pStyle w:val="paragraph"/>
              <w:spacing w:before="120" w:beforeAutospacing="0" w:after="0" w:afterAutospacing="0" w:line="276" w:lineRule="auto"/>
              <w:textAlignment w:val="baseline"/>
              <w:rPr>
                <w:rStyle w:val="normaltextrun"/>
                <w:rFonts w:ascii="Arial" w:eastAsiaTheme="majorEastAsia" w:hAnsi="Arial" w:cs="Arial"/>
                <w:color w:val="0F4761" w:themeColor="accent1" w:themeShade="BF"/>
                <w:sz w:val="24"/>
                <w:szCs w:val="24"/>
              </w:rPr>
            </w:pPr>
            <w:r w:rsidRPr="00722C80">
              <w:rPr>
                <w:rStyle w:val="normaltextrun"/>
                <w:rFonts w:ascii="Arial" w:eastAsiaTheme="majorEastAsia" w:hAnsi="Arial" w:cs="Arial"/>
                <w:color w:val="0F4761" w:themeColor="accent1" w:themeShade="BF"/>
                <w:sz w:val="24"/>
                <w:szCs w:val="24"/>
              </w:rPr>
              <w:t>The Australian Government should introduce a new, simplified general practice payment architecture that better supports community and patient needs and encourages high quality, accessible, multidisciplinary care</w:t>
            </w:r>
            <w:r w:rsidR="00722C80" w:rsidRPr="00722C80">
              <w:rPr>
                <w:rStyle w:val="normaltextrun"/>
                <w:rFonts w:ascii="Arial" w:eastAsiaTheme="majorEastAsia" w:hAnsi="Arial" w:cs="Arial"/>
                <w:color w:val="0F4761" w:themeColor="accent1" w:themeShade="BF"/>
                <w:sz w:val="24"/>
                <w:szCs w:val="24"/>
              </w:rPr>
              <w:t>.</w:t>
            </w:r>
            <w:r w:rsidR="00722C80" w:rsidRPr="00722C80">
              <w:rPr>
                <w:rStyle w:val="normaltextrun"/>
                <w:rFonts w:ascii="Arial" w:eastAsiaTheme="majorEastAsia" w:hAnsi="Arial" w:cs="Arial"/>
                <w:color w:val="0F4761" w:themeColor="accent1" w:themeShade="BF"/>
                <w:sz w:val="22"/>
                <w:szCs w:val="22"/>
              </w:rPr>
              <w:t xml:space="preserve"> </w:t>
            </w:r>
          </w:p>
          <w:p w14:paraId="37CE6601" w14:textId="77777777" w:rsidR="00E473EC" w:rsidRPr="00722C80" w:rsidRDefault="00E473EC" w:rsidP="0098242B">
            <w:pPr>
              <w:pStyle w:val="paragraph"/>
              <w:spacing w:before="0" w:beforeAutospacing="0" w:after="0" w:afterAutospacing="0" w:line="276" w:lineRule="auto"/>
              <w:ind w:left="1843" w:hanging="1843"/>
              <w:textAlignment w:val="baseline"/>
              <w:rPr>
                <w:rStyle w:val="normaltextrun"/>
                <w:rFonts w:ascii="Arial" w:eastAsiaTheme="majorEastAsia" w:hAnsi="Arial" w:cs="Arial"/>
                <w:sz w:val="22"/>
                <w:szCs w:val="22"/>
              </w:rPr>
            </w:pPr>
          </w:p>
          <w:p w14:paraId="042C1716" w14:textId="77777777" w:rsidR="00E473EC" w:rsidRPr="00722C80" w:rsidRDefault="00E473EC" w:rsidP="000C3253">
            <w:pPr>
              <w:pStyle w:val="paragraph"/>
              <w:spacing w:before="60" w:beforeAutospacing="0" w:after="60" w:afterAutospacing="0" w:line="276" w:lineRule="auto"/>
              <w:textAlignment w:val="baseline"/>
              <w:rPr>
                <w:rStyle w:val="normaltextrun"/>
                <w:rFonts w:ascii="Arial" w:eastAsiaTheme="majorEastAsia" w:hAnsi="Arial" w:cs="Arial"/>
                <w:sz w:val="22"/>
                <w:szCs w:val="22"/>
              </w:rPr>
            </w:pPr>
            <w:r w:rsidRPr="00722C80">
              <w:rPr>
                <w:rStyle w:val="normaltextrun"/>
                <w:rFonts w:ascii="Arial" w:eastAsiaTheme="majorEastAsia" w:hAnsi="Arial" w:cs="Arial"/>
                <w:sz w:val="22"/>
                <w:szCs w:val="22"/>
              </w:rPr>
              <w:t>In doing so, the new payment architecture should:</w:t>
            </w:r>
          </w:p>
          <w:p w14:paraId="2A7E5334" w14:textId="77777777" w:rsidR="00E473EC" w:rsidRPr="00722C80" w:rsidRDefault="00E473EC" w:rsidP="000C3253">
            <w:pPr>
              <w:pStyle w:val="paragraph"/>
              <w:numPr>
                <w:ilvl w:val="0"/>
                <w:numId w:val="3"/>
              </w:numPr>
              <w:spacing w:before="60" w:beforeAutospacing="0" w:after="60" w:afterAutospacing="0"/>
              <w:ind w:left="425" w:hanging="357"/>
              <w:textAlignment w:val="baseline"/>
              <w:rPr>
                <w:rStyle w:val="normaltextrun"/>
                <w:rFonts w:ascii="Arial" w:eastAsiaTheme="majorEastAsia" w:hAnsi="Arial" w:cs="Arial"/>
                <w:sz w:val="22"/>
                <w:szCs w:val="22"/>
              </w:rPr>
            </w:pPr>
            <w:r w:rsidRPr="00722C80">
              <w:rPr>
                <w:rStyle w:val="normaltextrun"/>
                <w:rFonts w:ascii="Arial" w:eastAsiaTheme="majorEastAsia" w:hAnsi="Arial" w:cs="Arial"/>
                <w:sz w:val="22"/>
                <w:szCs w:val="22"/>
              </w:rPr>
              <w:t xml:space="preserve">comprise a new baseline practice payment </w:t>
            </w:r>
            <w:proofErr w:type="gramStart"/>
            <w:r w:rsidRPr="00722C80">
              <w:rPr>
                <w:rStyle w:val="normaltextrun"/>
                <w:rFonts w:ascii="Arial" w:eastAsiaTheme="majorEastAsia" w:hAnsi="Arial" w:cs="Arial"/>
                <w:sz w:val="22"/>
                <w:szCs w:val="22"/>
              </w:rPr>
              <w:t>that</w:t>
            </w:r>
            <w:proofErr w:type="gramEnd"/>
          </w:p>
          <w:p w14:paraId="4B4AABCF" w14:textId="528DC9FF" w:rsidR="00E473EC" w:rsidRPr="00722C80" w:rsidRDefault="00E473EC" w:rsidP="000C3253">
            <w:pPr>
              <w:pStyle w:val="paragraph"/>
              <w:numPr>
                <w:ilvl w:val="1"/>
                <w:numId w:val="3"/>
              </w:numPr>
              <w:spacing w:before="60" w:beforeAutospacing="0" w:after="60" w:afterAutospacing="0"/>
              <w:ind w:left="993"/>
              <w:textAlignment w:val="baseline"/>
              <w:rPr>
                <w:rStyle w:val="normaltextrun"/>
                <w:rFonts w:ascii="Arial" w:eastAsiaTheme="majorEastAsia" w:hAnsi="Arial" w:cs="Arial"/>
              </w:rPr>
            </w:pPr>
            <w:r w:rsidRPr="00722C80">
              <w:rPr>
                <w:rStyle w:val="normaltextrun"/>
                <w:rFonts w:ascii="Arial" w:eastAsiaTheme="majorEastAsia" w:hAnsi="Arial" w:cs="Arial"/>
                <w:sz w:val="22"/>
                <w:szCs w:val="22"/>
              </w:rPr>
              <w:t>enables general practices to flexibly provide multidisciplinary care appropriate to their patient cohorts</w:t>
            </w:r>
            <w:r w:rsidR="000C3253">
              <w:rPr>
                <w:rStyle w:val="normaltextrun"/>
                <w:rFonts w:ascii="Arial" w:eastAsiaTheme="majorEastAsia" w:hAnsi="Arial" w:cs="Arial"/>
                <w:sz w:val="22"/>
                <w:szCs w:val="22"/>
              </w:rPr>
              <w:t>.</w:t>
            </w:r>
          </w:p>
          <w:p w14:paraId="0AAE0DB4" w14:textId="248B1E18" w:rsidR="00E473EC" w:rsidRPr="00722C80" w:rsidRDefault="00E473EC" w:rsidP="000C3253">
            <w:pPr>
              <w:pStyle w:val="paragraph"/>
              <w:numPr>
                <w:ilvl w:val="1"/>
                <w:numId w:val="3"/>
              </w:numPr>
              <w:spacing w:before="60" w:beforeAutospacing="0" w:after="60" w:afterAutospacing="0"/>
              <w:ind w:left="993"/>
              <w:rPr>
                <w:rStyle w:val="normaltextrun"/>
                <w:rFonts w:ascii="Arial" w:eastAsiaTheme="majorEastAsia" w:hAnsi="Arial" w:cs="Arial"/>
              </w:rPr>
            </w:pPr>
            <w:r w:rsidRPr="00722C80">
              <w:rPr>
                <w:rStyle w:val="normaltextrun"/>
                <w:rFonts w:ascii="Arial" w:eastAsiaTheme="majorEastAsia" w:hAnsi="Arial" w:cs="Arial"/>
                <w:sz w:val="22"/>
                <w:szCs w:val="22"/>
              </w:rPr>
              <w:t>includes funding for coordination of the work of the primary care team</w:t>
            </w:r>
            <w:r w:rsidR="000C3253">
              <w:rPr>
                <w:rStyle w:val="normaltextrun"/>
                <w:rFonts w:ascii="Arial" w:eastAsiaTheme="majorEastAsia" w:hAnsi="Arial" w:cs="Arial"/>
                <w:sz w:val="22"/>
                <w:szCs w:val="22"/>
              </w:rPr>
              <w:t>.</w:t>
            </w:r>
          </w:p>
          <w:p w14:paraId="52505C46" w14:textId="77777777" w:rsidR="00E473EC" w:rsidRPr="00722C80" w:rsidRDefault="00E473EC" w:rsidP="000C3253">
            <w:pPr>
              <w:pStyle w:val="paragraph"/>
              <w:numPr>
                <w:ilvl w:val="1"/>
                <w:numId w:val="3"/>
              </w:numPr>
              <w:spacing w:before="60" w:beforeAutospacing="0" w:after="60" w:afterAutospacing="0"/>
              <w:ind w:left="993"/>
              <w:textAlignment w:val="baseline"/>
              <w:rPr>
                <w:rStyle w:val="normaltextrun"/>
                <w:rFonts w:ascii="Arial" w:eastAsiaTheme="majorEastAsia" w:hAnsi="Arial" w:cs="Arial"/>
                <w:sz w:val="22"/>
                <w:szCs w:val="22"/>
              </w:rPr>
            </w:pPr>
            <w:r w:rsidRPr="00722C80">
              <w:rPr>
                <w:rStyle w:val="normaltextrun"/>
                <w:rFonts w:ascii="Arial" w:eastAsiaTheme="majorEastAsia" w:hAnsi="Arial" w:cs="Arial"/>
                <w:sz w:val="22"/>
                <w:szCs w:val="22"/>
              </w:rPr>
              <w:t xml:space="preserve">is calculated based on patient need, </w:t>
            </w:r>
            <w:proofErr w:type="gramStart"/>
            <w:r w:rsidRPr="00722C80">
              <w:rPr>
                <w:rStyle w:val="normaltextrun"/>
                <w:rFonts w:ascii="Arial" w:eastAsiaTheme="majorEastAsia" w:hAnsi="Arial" w:cs="Arial"/>
                <w:sz w:val="22"/>
                <w:szCs w:val="22"/>
              </w:rPr>
              <w:t>complexity</w:t>
            </w:r>
            <w:proofErr w:type="gramEnd"/>
            <w:r w:rsidRPr="00722C80">
              <w:rPr>
                <w:rStyle w:val="normaltextrun"/>
                <w:rFonts w:ascii="Arial" w:eastAsiaTheme="majorEastAsia" w:hAnsi="Arial" w:cs="Arial"/>
                <w:sz w:val="22"/>
                <w:szCs w:val="22"/>
              </w:rPr>
              <w:t xml:space="preserve"> and rurality. </w:t>
            </w:r>
          </w:p>
          <w:p w14:paraId="6FF0D7DF" w14:textId="080E4C20" w:rsidR="00E473EC" w:rsidRPr="00722C80" w:rsidRDefault="00E473EC" w:rsidP="000C3253">
            <w:pPr>
              <w:pStyle w:val="paragraph"/>
              <w:numPr>
                <w:ilvl w:val="0"/>
                <w:numId w:val="3"/>
              </w:numPr>
              <w:spacing w:before="60" w:beforeAutospacing="0" w:after="60" w:afterAutospacing="0"/>
              <w:ind w:left="425" w:hanging="357"/>
              <w:textAlignment w:val="baseline"/>
              <w:rPr>
                <w:rStyle w:val="normaltextrun"/>
                <w:rFonts w:ascii="Arial" w:eastAsiaTheme="majorEastAsia" w:hAnsi="Arial" w:cs="Arial"/>
                <w:sz w:val="22"/>
                <w:szCs w:val="22"/>
              </w:rPr>
            </w:pPr>
            <w:r w:rsidRPr="00722C80">
              <w:rPr>
                <w:rStyle w:val="normaltextrun"/>
                <w:rFonts w:ascii="Arial" w:eastAsiaTheme="majorEastAsia" w:hAnsi="Arial" w:cs="Arial"/>
                <w:sz w:val="22"/>
                <w:szCs w:val="22"/>
              </w:rPr>
              <w:t>include payments and/or programs to promote quality and innovation, teaching, after-hours care, and targeted programs</w:t>
            </w:r>
            <w:r w:rsidR="000C3253">
              <w:rPr>
                <w:rStyle w:val="normaltextrun"/>
                <w:rFonts w:ascii="Arial" w:eastAsiaTheme="majorEastAsia" w:hAnsi="Arial" w:cs="Arial"/>
                <w:sz w:val="22"/>
                <w:szCs w:val="22"/>
              </w:rPr>
              <w:t>.</w:t>
            </w:r>
          </w:p>
          <w:p w14:paraId="05967C2D" w14:textId="278B0D17" w:rsidR="00E473EC" w:rsidRPr="00722C80" w:rsidRDefault="00E473EC" w:rsidP="000C3253">
            <w:pPr>
              <w:pStyle w:val="paragraph"/>
              <w:numPr>
                <w:ilvl w:val="0"/>
                <w:numId w:val="3"/>
              </w:numPr>
              <w:spacing w:before="60" w:beforeAutospacing="0" w:after="60" w:afterAutospacing="0"/>
              <w:ind w:left="425" w:hanging="357"/>
              <w:textAlignment w:val="baseline"/>
              <w:rPr>
                <w:rStyle w:val="normaltextrun"/>
                <w:rFonts w:ascii="Arial" w:eastAsiaTheme="majorEastAsia" w:hAnsi="Arial" w:cs="Arial"/>
                <w:sz w:val="22"/>
                <w:szCs w:val="22"/>
              </w:rPr>
            </w:pPr>
            <w:r w:rsidRPr="00722C80">
              <w:rPr>
                <w:rStyle w:val="normaltextrun"/>
                <w:rFonts w:ascii="Arial" w:eastAsiaTheme="majorEastAsia" w:hAnsi="Arial" w:cs="Arial"/>
                <w:sz w:val="22"/>
                <w:szCs w:val="22"/>
              </w:rPr>
              <w:t xml:space="preserve">require general practices and patients to participate in </w:t>
            </w:r>
            <w:proofErr w:type="spellStart"/>
            <w:proofErr w:type="gramStart"/>
            <w:r w:rsidRPr="00722C80">
              <w:rPr>
                <w:rStyle w:val="normaltextrun"/>
                <w:rFonts w:ascii="Arial" w:eastAsiaTheme="majorEastAsia" w:hAnsi="Arial" w:cs="Arial"/>
                <w:sz w:val="22"/>
                <w:szCs w:val="22"/>
              </w:rPr>
              <w:t>MyMedicare</w:t>
            </w:r>
            <w:proofErr w:type="spellEnd"/>
            <w:r w:rsidRPr="00722C80">
              <w:rPr>
                <w:rStyle w:val="normaltextrun"/>
                <w:rFonts w:ascii="Arial" w:eastAsiaTheme="majorEastAsia" w:hAnsi="Arial" w:cs="Arial"/>
                <w:sz w:val="22"/>
                <w:szCs w:val="22"/>
              </w:rPr>
              <w:t> </w:t>
            </w:r>
            <w:r w:rsidR="000C3253">
              <w:rPr>
                <w:rStyle w:val="normaltextrun"/>
                <w:rFonts w:ascii="Arial" w:eastAsiaTheme="majorEastAsia" w:hAnsi="Arial" w:cs="Arial"/>
                <w:sz w:val="22"/>
                <w:szCs w:val="22"/>
              </w:rPr>
              <w:t>.</w:t>
            </w:r>
            <w:proofErr w:type="gramEnd"/>
          </w:p>
          <w:p w14:paraId="79268F0E" w14:textId="1C81FE4E" w:rsidR="00E473EC" w:rsidRPr="00722C80" w:rsidRDefault="00E473EC" w:rsidP="000C3253">
            <w:pPr>
              <w:pStyle w:val="paragraph"/>
              <w:numPr>
                <w:ilvl w:val="0"/>
                <w:numId w:val="3"/>
              </w:numPr>
              <w:spacing w:before="60" w:beforeAutospacing="0" w:after="60" w:afterAutospacing="0"/>
              <w:ind w:left="425" w:hanging="357"/>
              <w:textAlignment w:val="baseline"/>
              <w:rPr>
                <w:rFonts w:ascii="Arial" w:hAnsi="Arial" w:cs="Arial"/>
                <w:sz w:val="22"/>
                <w:szCs w:val="22"/>
              </w:rPr>
            </w:pPr>
            <w:r w:rsidRPr="00722C80">
              <w:rPr>
                <w:rStyle w:val="normaltextrun"/>
                <w:rFonts w:ascii="Arial" w:eastAsiaTheme="majorEastAsia" w:hAnsi="Arial" w:cs="Arial"/>
                <w:sz w:val="22"/>
                <w:szCs w:val="22"/>
              </w:rPr>
              <w:t>require general practices to provide comprehensive service delivery information, and data to support calculation of reimbursements, planning, evaluation, monitoring of health outcomes and quality improvement</w:t>
            </w:r>
            <w:r w:rsidR="000C3253">
              <w:rPr>
                <w:rStyle w:val="normaltextrun"/>
                <w:rFonts w:ascii="Arial" w:eastAsiaTheme="majorEastAsia" w:hAnsi="Arial" w:cs="Arial"/>
                <w:sz w:val="22"/>
                <w:szCs w:val="22"/>
              </w:rPr>
              <w:t>.</w:t>
            </w:r>
          </w:p>
          <w:p w14:paraId="574AFB94" w14:textId="77777777" w:rsidR="00E473EC" w:rsidRPr="00722C80" w:rsidRDefault="00E473EC" w:rsidP="000C3253">
            <w:pPr>
              <w:pStyle w:val="paragraph"/>
              <w:numPr>
                <w:ilvl w:val="0"/>
                <w:numId w:val="3"/>
              </w:numPr>
              <w:spacing w:before="60" w:beforeAutospacing="0" w:after="60" w:afterAutospacing="0"/>
              <w:ind w:left="425" w:hanging="357"/>
              <w:textAlignment w:val="baseline"/>
              <w:rPr>
                <w:rStyle w:val="normaltextrun"/>
                <w:rFonts w:ascii="Arial" w:hAnsi="Arial" w:cs="Arial"/>
                <w:sz w:val="22"/>
                <w:szCs w:val="22"/>
              </w:rPr>
            </w:pPr>
            <w:r w:rsidRPr="00722C80">
              <w:rPr>
                <w:rStyle w:val="normaltextrun"/>
                <w:rFonts w:ascii="Arial" w:eastAsiaTheme="majorEastAsia" w:hAnsi="Arial" w:cs="Arial"/>
                <w:sz w:val="22"/>
                <w:szCs w:val="22"/>
              </w:rPr>
              <w:t>over time, replace existing Practice Incentives Programs (PIP)</w:t>
            </w:r>
            <w:r w:rsidRPr="00722C80">
              <w:rPr>
                <w:rStyle w:val="normaltextrun"/>
                <w:rFonts w:ascii="Arial" w:eastAsiaTheme="majorEastAsia" w:hAnsi="Arial" w:cs="Arial"/>
              </w:rPr>
              <w:t xml:space="preserve"> </w:t>
            </w:r>
            <w:r w:rsidRPr="00722C80">
              <w:rPr>
                <w:rStyle w:val="normaltextrun"/>
                <w:rFonts w:ascii="Arial" w:eastAsiaTheme="majorEastAsia" w:hAnsi="Arial" w:cs="Arial"/>
                <w:sz w:val="22"/>
                <w:szCs w:val="22"/>
              </w:rPr>
              <w:t>and Workforce Incentive Program (WIP)</w:t>
            </w:r>
            <w:r w:rsidRPr="00722C80">
              <w:rPr>
                <w:rStyle w:val="normaltextrun"/>
                <w:rFonts w:ascii="Arial" w:eastAsiaTheme="majorEastAsia" w:hAnsi="Arial" w:cs="Arial"/>
              </w:rPr>
              <w:t xml:space="preserve"> </w:t>
            </w:r>
            <w:r w:rsidRPr="00722C80">
              <w:rPr>
                <w:rStyle w:val="normaltextrun"/>
                <w:rFonts w:ascii="Arial" w:eastAsiaTheme="majorEastAsia" w:hAnsi="Arial" w:cs="Arial"/>
                <w:sz w:val="22"/>
                <w:szCs w:val="22"/>
              </w:rPr>
              <w:t xml:space="preserve">Payments while ensuring viability of general practices to meet patient needs. </w:t>
            </w:r>
          </w:p>
          <w:p w14:paraId="72A24164" w14:textId="77777777" w:rsidR="00E473EC" w:rsidRPr="00722C80" w:rsidRDefault="00E473EC" w:rsidP="0098242B">
            <w:pPr>
              <w:rPr>
                <w:rFonts w:ascii="Arial" w:hAnsi="Arial" w:cs="Arial"/>
                <w:sz w:val="22"/>
                <w:szCs w:val="22"/>
              </w:rPr>
            </w:pPr>
          </w:p>
          <w:p w14:paraId="16CD9FAE" w14:textId="77777777" w:rsidR="000C3253" w:rsidRPr="000C3253" w:rsidRDefault="00E473EC" w:rsidP="000C3253">
            <w:pPr>
              <w:pStyle w:val="paragraph"/>
              <w:spacing w:before="120" w:beforeAutospacing="0" w:after="0" w:afterAutospacing="0" w:line="276" w:lineRule="auto"/>
              <w:textAlignment w:val="baseline"/>
              <w:rPr>
                <w:rStyle w:val="normaltextrun"/>
                <w:rFonts w:ascii="Arial" w:eastAsiaTheme="majorEastAsia" w:hAnsi="Arial" w:cs="Arial"/>
                <w:b/>
                <w:bCs/>
                <w:color w:val="0F4761" w:themeColor="accent1" w:themeShade="BF"/>
                <w:sz w:val="24"/>
                <w:szCs w:val="24"/>
              </w:rPr>
            </w:pPr>
            <w:r w:rsidRPr="000C3253">
              <w:rPr>
                <w:rStyle w:val="normaltextrun"/>
                <w:rFonts w:ascii="Arial" w:eastAsiaTheme="majorEastAsia" w:hAnsi="Arial" w:cs="Arial"/>
                <w:b/>
                <w:bCs/>
                <w:color w:val="0F4761" w:themeColor="accent1" w:themeShade="BF"/>
                <w:sz w:val="24"/>
                <w:szCs w:val="24"/>
              </w:rPr>
              <w:t xml:space="preserve">Recommendation 1b: </w:t>
            </w:r>
          </w:p>
          <w:p w14:paraId="55B3975B" w14:textId="4A79B900" w:rsidR="00E473EC" w:rsidRPr="000C3253" w:rsidRDefault="00E473EC" w:rsidP="000C3253">
            <w:pPr>
              <w:pStyle w:val="paragraph"/>
              <w:spacing w:before="120" w:beforeAutospacing="0" w:after="0" w:afterAutospacing="0" w:line="276" w:lineRule="auto"/>
              <w:textAlignment w:val="baseline"/>
              <w:rPr>
                <w:rStyle w:val="normaltextrun"/>
                <w:rFonts w:ascii="Arial" w:eastAsiaTheme="majorEastAsia" w:hAnsi="Arial" w:cs="Arial"/>
                <w:color w:val="0F4761" w:themeColor="accent1" w:themeShade="BF"/>
                <w:sz w:val="24"/>
                <w:szCs w:val="24"/>
              </w:rPr>
            </w:pPr>
            <w:r w:rsidRPr="000C3253">
              <w:rPr>
                <w:rStyle w:val="normaltextrun"/>
                <w:rFonts w:ascii="Arial" w:eastAsiaTheme="majorEastAsia" w:hAnsi="Arial" w:cs="Arial"/>
                <w:color w:val="0F4761" w:themeColor="accent1" w:themeShade="BF"/>
                <w:sz w:val="24"/>
                <w:szCs w:val="24"/>
              </w:rPr>
              <w:t xml:space="preserve">The Australian Government should direct all current WIP provider payments to general practices, rather than individual health professionals, to enable flexibility and agility in attracting, </w:t>
            </w:r>
            <w:proofErr w:type="gramStart"/>
            <w:r w:rsidRPr="000C3253">
              <w:rPr>
                <w:rStyle w:val="normaltextrun"/>
                <w:rFonts w:ascii="Arial" w:eastAsiaTheme="majorEastAsia" w:hAnsi="Arial" w:cs="Arial"/>
                <w:color w:val="0F4761" w:themeColor="accent1" w:themeShade="BF"/>
                <w:sz w:val="24"/>
                <w:szCs w:val="24"/>
              </w:rPr>
              <w:t>recruiting</w:t>
            </w:r>
            <w:proofErr w:type="gramEnd"/>
            <w:r w:rsidRPr="000C3253">
              <w:rPr>
                <w:rStyle w:val="normaltextrun"/>
                <w:rFonts w:ascii="Arial" w:eastAsiaTheme="majorEastAsia" w:hAnsi="Arial" w:cs="Arial"/>
                <w:color w:val="0F4761" w:themeColor="accent1" w:themeShade="BF"/>
                <w:sz w:val="24"/>
                <w:szCs w:val="24"/>
              </w:rPr>
              <w:t xml:space="preserve"> and retaining health workforce professionals into rural and remote practices</w:t>
            </w:r>
            <w:r w:rsidR="000C3253">
              <w:rPr>
                <w:rStyle w:val="normaltextrun"/>
                <w:rFonts w:ascii="Arial" w:eastAsiaTheme="majorEastAsia" w:hAnsi="Arial" w:cs="Arial"/>
                <w:color w:val="0F4761" w:themeColor="accent1" w:themeShade="BF"/>
                <w:sz w:val="24"/>
                <w:szCs w:val="24"/>
              </w:rPr>
              <w:t xml:space="preserve">. </w:t>
            </w:r>
          </w:p>
          <w:p w14:paraId="65C26BFA" w14:textId="77777777" w:rsidR="00E473EC" w:rsidRPr="00722C80" w:rsidRDefault="00E473EC" w:rsidP="0098242B">
            <w:pPr>
              <w:pStyle w:val="paragraph"/>
              <w:spacing w:before="0" w:beforeAutospacing="0" w:after="0" w:afterAutospacing="0" w:line="276" w:lineRule="auto"/>
              <w:ind w:left="1880" w:hanging="1880"/>
              <w:textAlignment w:val="baseline"/>
              <w:rPr>
                <w:rStyle w:val="normaltextrun"/>
                <w:rFonts w:ascii="Arial" w:eastAsiaTheme="majorEastAsia" w:hAnsi="Arial" w:cs="Arial"/>
                <w:b/>
                <w:bCs/>
                <w:color w:val="0F4761" w:themeColor="accent1" w:themeShade="BF"/>
                <w:sz w:val="22"/>
                <w:szCs w:val="22"/>
              </w:rPr>
            </w:pPr>
          </w:p>
          <w:p w14:paraId="6EB54191" w14:textId="77777777" w:rsidR="00E473EC" w:rsidRPr="00871D89" w:rsidRDefault="00E473EC" w:rsidP="0098242B">
            <w:pPr>
              <w:rPr>
                <w:rFonts w:ascii="Calibri" w:hAnsi="Calibri" w:cs="Calibri"/>
                <w:sz w:val="22"/>
                <w:szCs w:val="22"/>
              </w:rPr>
            </w:pPr>
            <w:r w:rsidRPr="00722C80">
              <w:rPr>
                <w:rFonts w:ascii="Arial" w:hAnsi="Arial" w:cs="Arial"/>
                <w:sz w:val="22"/>
                <w:szCs w:val="22"/>
              </w:rPr>
              <w:t xml:space="preserve">In doing so, the new Baseline Program Payment should </w:t>
            </w:r>
            <w:r w:rsidRPr="00722C80">
              <w:rPr>
                <w:rStyle w:val="cf01"/>
                <w:rFonts w:ascii="Arial" w:hAnsi="Arial" w:cs="Arial"/>
                <w:sz w:val="22"/>
                <w:szCs w:val="22"/>
              </w:rPr>
              <w:t>continue to support rural and remote workforce objectives, such as maintaining services and increasing comprehensive primary care in underserved communities</w:t>
            </w:r>
            <w:r w:rsidRPr="00722C80">
              <w:rPr>
                <w:rStyle w:val="cf01"/>
                <w:rFonts w:ascii="Arial" w:eastAsiaTheme="majorEastAsia" w:hAnsi="Arial" w:cs="Arial"/>
                <w:sz w:val="22"/>
                <w:szCs w:val="22"/>
              </w:rPr>
              <w:t>.</w:t>
            </w:r>
          </w:p>
        </w:tc>
      </w:tr>
      <w:tr w:rsidR="00E473EC" w14:paraId="557FF23B" w14:textId="77777777" w:rsidTr="0098242B">
        <w:trPr>
          <w:trHeight w:val="80"/>
        </w:trPr>
        <w:tc>
          <w:tcPr>
            <w:tcW w:w="5000" w:type="pct"/>
            <w:shd w:val="clear" w:color="auto" w:fill="B7D4EF" w:themeFill="text2" w:themeFillTint="33"/>
          </w:tcPr>
          <w:p w14:paraId="561A9982" w14:textId="77777777" w:rsidR="00E473EC" w:rsidRDefault="00E473EC" w:rsidP="0098242B">
            <w:pPr>
              <w:rPr>
                <w:rFonts w:cstheme="minorHAnsi"/>
                <w:sz w:val="22"/>
                <w:szCs w:val="22"/>
              </w:rPr>
            </w:pPr>
          </w:p>
        </w:tc>
      </w:tr>
    </w:tbl>
    <w:p w14:paraId="287CB1C1" w14:textId="77777777" w:rsidR="00E473EC" w:rsidRDefault="00E473EC" w:rsidP="0098242B">
      <w:pPr>
        <w:pStyle w:val="paragraph"/>
        <w:spacing w:before="0" w:beforeAutospacing="0" w:after="0" w:afterAutospacing="0" w:line="276" w:lineRule="auto"/>
        <w:ind w:left="1880" w:hanging="1880"/>
        <w:textAlignment w:val="baseline"/>
        <w:rPr>
          <w:rStyle w:val="normaltextrun"/>
          <w:rFonts w:ascii="Calibri" w:eastAsiaTheme="majorEastAsia" w:hAnsi="Calibri" w:cs="Calibri"/>
          <w:b/>
          <w:bCs/>
          <w:color w:val="0F4761" w:themeColor="accent1" w:themeShade="BF"/>
          <w:sz w:val="22"/>
          <w:szCs w:val="22"/>
        </w:rPr>
      </w:pPr>
    </w:p>
    <w:p w14:paraId="52BBF74E" w14:textId="77777777" w:rsidR="00E473EC" w:rsidRPr="000C3253" w:rsidRDefault="00E473EC" w:rsidP="0098242B">
      <w:pPr>
        <w:spacing w:after="0" w:line="240" w:lineRule="auto"/>
        <w:rPr>
          <w:rFonts w:ascii="Arial" w:hAnsi="Arial" w:cs="Arial"/>
          <w:sz w:val="22"/>
          <w:szCs w:val="22"/>
        </w:rPr>
      </w:pPr>
      <w:r w:rsidRPr="000C3253">
        <w:rPr>
          <w:rFonts w:ascii="Arial" w:hAnsi="Arial" w:cs="Arial"/>
          <w:sz w:val="22"/>
          <w:szCs w:val="22"/>
        </w:rPr>
        <w:t>A simplified payment architecture should be implemented to promote access to quality, multidisciplinary primary care and contain the following elements:</w:t>
      </w:r>
    </w:p>
    <w:p w14:paraId="100B3C09" w14:textId="77777777" w:rsidR="00E473EC" w:rsidRPr="000C3253" w:rsidRDefault="00E473EC" w:rsidP="000C3253">
      <w:pPr>
        <w:numPr>
          <w:ilvl w:val="0"/>
          <w:numId w:val="5"/>
        </w:numPr>
        <w:spacing w:before="120" w:after="120" w:line="240" w:lineRule="auto"/>
        <w:ind w:left="425" w:hanging="357"/>
        <w:rPr>
          <w:rFonts w:ascii="Arial" w:eastAsia="Calibri" w:hAnsi="Arial" w:cs="Arial"/>
          <w:b/>
          <w:bCs/>
          <w:sz w:val="22"/>
          <w:szCs w:val="22"/>
        </w:rPr>
      </w:pPr>
      <w:r w:rsidRPr="000C3253">
        <w:rPr>
          <w:rFonts w:ascii="Arial" w:eastAsia="Calibri" w:hAnsi="Arial" w:cs="Arial"/>
          <w:b/>
          <w:bCs/>
          <w:sz w:val="22"/>
          <w:szCs w:val="22"/>
        </w:rPr>
        <w:t>Baseline Practice Payment:</w:t>
      </w:r>
      <w:r w:rsidRPr="000C3253">
        <w:rPr>
          <w:rFonts w:ascii="Arial" w:eastAsia="Calibri" w:hAnsi="Arial" w:cs="Arial"/>
          <w:sz w:val="22"/>
          <w:szCs w:val="22"/>
        </w:rPr>
        <w:t xml:space="preserve"> financial support provided to practices to embed multidisciplinary care in their service delivery. This is the core of the new payment architecture because eligibility for other incentives depends on meeting the eligibility criteria </w:t>
      </w:r>
      <w:r w:rsidRPr="000C3253">
        <w:rPr>
          <w:rFonts w:ascii="Arial" w:eastAsia="Calibri" w:hAnsi="Arial" w:cs="Arial"/>
          <w:sz w:val="22"/>
          <w:szCs w:val="22"/>
        </w:rPr>
        <w:lastRenderedPageBreak/>
        <w:t>for this payment. This payment would be higher for general practices with more complex patient needs and practices in rural areas.</w:t>
      </w:r>
    </w:p>
    <w:p w14:paraId="0E114DC6" w14:textId="77777777" w:rsidR="00BF0A1C" w:rsidRPr="000C3253" w:rsidRDefault="00BF0A1C" w:rsidP="000C3253">
      <w:pPr>
        <w:numPr>
          <w:ilvl w:val="0"/>
          <w:numId w:val="5"/>
        </w:numPr>
        <w:spacing w:before="120" w:after="120" w:line="240" w:lineRule="auto"/>
        <w:ind w:left="425" w:hanging="357"/>
        <w:rPr>
          <w:rFonts w:ascii="Arial" w:eastAsia="Calibri" w:hAnsi="Arial" w:cs="Arial"/>
          <w:sz w:val="22"/>
          <w:szCs w:val="22"/>
        </w:rPr>
      </w:pPr>
      <w:r w:rsidRPr="000C3253">
        <w:rPr>
          <w:rFonts w:ascii="Arial" w:eastAsia="Calibri" w:hAnsi="Arial" w:cs="Arial"/>
          <w:b/>
          <w:bCs/>
          <w:sz w:val="22"/>
          <w:szCs w:val="22"/>
        </w:rPr>
        <w:t xml:space="preserve">After Hours Care Support Payment: </w:t>
      </w:r>
      <w:r w:rsidRPr="000C3253">
        <w:rPr>
          <w:rFonts w:ascii="Arial" w:eastAsia="Calibri" w:hAnsi="Arial" w:cs="Arial"/>
          <w:sz w:val="22"/>
          <w:szCs w:val="22"/>
        </w:rPr>
        <w:t xml:space="preserve">financial support to general practices providing </w:t>
      </w:r>
      <w:proofErr w:type="spellStart"/>
      <w:r w:rsidRPr="000C3253">
        <w:rPr>
          <w:rFonts w:ascii="Arial" w:eastAsia="Calibri" w:hAnsi="Arial" w:cs="Arial"/>
          <w:sz w:val="22"/>
          <w:szCs w:val="22"/>
        </w:rPr>
        <w:t>deputising</w:t>
      </w:r>
      <w:proofErr w:type="spellEnd"/>
      <w:r w:rsidRPr="000C3253">
        <w:rPr>
          <w:rFonts w:ascii="Arial" w:eastAsia="Calibri" w:hAnsi="Arial" w:cs="Arial"/>
          <w:sz w:val="22"/>
          <w:szCs w:val="22"/>
        </w:rPr>
        <w:t xml:space="preserve"> after-hours services for their patients.</w:t>
      </w:r>
    </w:p>
    <w:p w14:paraId="1A0AF0CD" w14:textId="77777777" w:rsidR="00E473EC" w:rsidRPr="000C3253" w:rsidRDefault="00E473EC" w:rsidP="000C3253">
      <w:pPr>
        <w:numPr>
          <w:ilvl w:val="0"/>
          <w:numId w:val="5"/>
        </w:numPr>
        <w:spacing w:before="120" w:after="120" w:line="240" w:lineRule="auto"/>
        <w:ind w:left="425" w:hanging="357"/>
        <w:rPr>
          <w:rFonts w:ascii="Arial" w:eastAsia="Calibri" w:hAnsi="Arial" w:cs="Arial"/>
          <w:b/>
          <w:bCs/>
          <w:sz w:val="22"/>
          <w:szCs w:val="22"/>
        </w:rPr>
      </w:pPr>
      <w:r w:rsidRPr="000C3253">
        <w:rPr>
          <w:rFonts w:ascii="Arial" w:eastAsia="Calibri" w:hAnsi="Arial" w:cs="Arial"/>
          <w:b/>
          <w:bCs/>
          <w:sz w:val="22"/>
          <w:szCs w:val="22"/>
        </w:rPr>
        <w:t>Quality and Innovation Program:</w:t>
      </w:r>
      <w:r w:rsidRPr="000C3253">
        <w:rPr>
          <w:rFonts w:ascii="Arial" w:eastAsia="Calibri" w:hAnsi="Arial" w:cs="Arial"/>
          <w:sz w:val="22"/>
          <w:szCs w:val="22"/>
        </w:rPr>
        <w:t xml:space="preserve"> a structured program of payments to promote data informed continuous improvement and innovation. It would enable general practices to work with their Primary Health Network (PHN) or other sector support </w:t>
      </w:r>
      <w:proofErr w:type="spellStart"/>
      <w:r w:rsidRPr="000C3253">
        <w:rPr>
          <w:rFonts w:ascii="Arial" w:eastAsia="Calibri" w:hAnsi="Arial" w:cs="Arial"/>
          <w:sz w:val="22"/>
          <w:szCs w:val="22"/>
        </w:rPr>
        <w:t>organisations</w:t>
      </w:r>
      <w:proofErr w:type="spellEnd"/>
      <w:r w:rsidRPr="000C3253">
        <w:rPr>
          <w:rFonts w:ascii="Arial" w:eastAsia="Calibri" w:hAnsi="Arial" w:cs="Arial"/>
          <w:sz w:val="22"/>
          <w:szCs w:val="22"/>
        </w:rPr>
        <w:t xml:space="preserve"> to develop and implement a Continuous Quality Improvement (CQI) plan informed by reliable benchmarks across a growing variety of indicators.</w:t>
      </w:r>
    </w:p>
    <w:p w14:paraId="30C49F8C" w14:textId="77777777" w:rsidR="00E473EC" w:rsidRPr="000C3253" w:rsidRDefault="00E473EC" w:rsidP="000C3253">
      <w:pPr>
        <w:numPr>
          <w:ilvl w:val="0"/>
          <w:numId w:val="5"/>
        </w:numPr>
        <w:spacing w:before="120" w:after="120" w:line="240" w:lineRule="auto"/>
        <w:ind w:left="425" w:hanging="357"/>
        <w:rPr>
          <w:rFonts w:ascii="Arial" w:eastAsia="Calibri" w:hAnsi="Arial" w:cs="Arial"/>
          <w:b/>
          <w:bCs/>
          <w:sz w:val="22"/>
          <w:szCs w:val="22"/>
        </w:rPr>
      </w:pPr>
      <w:r w:rsidRPr="000C3253">
        <w:rPr>
          <w:rFonts w:ascii="Arial" w:eastAsia="Calibri" w:hAnsi="Arial" w:cs="Arial"/>
          <w:b/>
          <w:bCs/>
          <w:sz w:val="22"/>
          <w:szCs w:val="22"/>
        </w:rPr>
        <w:t xml:space="preserve">Teaching Payment: </w:t>
      </w:r>
      <w:r w:rsidRPr="000C3253">
        <w:rPr>
          <w:rFonts w:ascii="Arial" w:eastAsia="Calibri" w:hAnsi="Arial" w:cs="Arial"/>
          <w:sz w:val="22"/>
          <w:szCs w:val="22"/>
        </w:rPr>
        <w:t>a payment for providers and general practices to support quality teaching and supervision in general practices for the entire practice clinical team.</w:t>
      </w:r>
    </w:p>
    <w:p w14:paraId="022984BF" w14:textId="77777777" w:rsidR="00E473EC" w:rsidRPr="000C3253" w:rsidRDefault="00E473EC" w:rsidP="000C3253">
      <w:pPr>
        <w:numPr>
          <w:ilvl w:val="0"/>
          <w:numId w:val="5"/>
        </w:numPr>
        <w:spacing w:before="120" w:after="120" w:line="240" w:lineRule="auto"/>
        <w:ind w:left="425" w:hanging="357"/>
        <w:rPr>
          <w:rFonts w:ascii="Arial" w:eastAsia="Calibri" w:hAnsi="Arial" w:cs="Arial"/>
          <w:b/>
          <w:bCs/>
          <w:sz w:val="22"/>
          <w:szCs w:val="22"/>
        </w:rPr>
      </w:pPr>
      <w:r w:rsidRPr="000C3253">
        <w:rPr>
          <w:rFonts w:ascii="Arial" w:eastAsia="Calibri" w:hAnsi="Arial" w:cs="Arial"/>
          <w:b/>
          <w:bCs/>
          <w:sz w:val="22"/>
          <w:szCs w:val="22"/>
        </w:rPr>
        <w:t xml:space="preserve">Targeted Programs: </w:t>
      </w:r>
      <w:r w:rsidRPr="000C3253">
        <w:rPr>
          <w:rFonts w:ascii="Arial" w:eastAsia="Calibri" w:hAnsi="Arial" w:cs="Arial"/>
          <w:sz w:val="22"/>
          <w:szCs w:val="22"/>
        </w:rPr>
        <w:t>support for general practices and providers to provide specific bundles of care to priority high need populations not effectively supported through existing funding mechanisms.</w:t>
      </w:r>
    </w:p>
    <w:p w14:paraId="6F722914" w14:textId="77777777" w:rsidR="00E473EC" w:rsidRPr="000C3253" w:rsidRDefault="00E473EC" w:rsidP="0098242B">
      <w:pPr>
        <w:pStyle w:val="paragraph"/>
        <w:spacing w:before="0" w:beforeAutospacing="0" w:after="0" w:afterAutospacing="0" w:line="276" w:lineRule="auto"/>
        <w:ind w:left="1880" w:hanging="1880"/>
        <w:textAlignment w:val="baseline"/>
        <w:rPr>
          <w:rStyle w:val="normaltextrun"/>
          <w:rFonts w:ascii="Arial" w:eastAsiaTheme="majorEastAsia" w:hAnsi="Arial" w:cs="Arial"/>
          <w:b/>
          <w:bCs/>
          <w:color w:val="0F4761" w:themeColor="accent1" w:themeShade="BF"/>
          <w:sz w:val="22"/>
          <w:szCs w:val="22"/>
        </w:rPr>
      </w:pPr>
    </w:p>
    <w:p w14:paraId="449DF475" w14:textId="77777777" w:rsidR="0098242B" w:rsidRPr="000C3253" w:rsidRDefault="00E473EC" w:rsidP="0098242B">
      <w:pPr>
        <w:spacing w:after="0" w:line="240" w:lineRule="auto"/>
        <w:rPr>
          <w:rFonts w:ascii="Arial" w:eastAsia="Calibri" w:hAnsi="Arial" w:cs="Arial"/>
          <w:sz w:val="22"/>
          <w:szCs w:val="22"/>
        </w:rPr>
      </w:pPr>
      <w:r w:rsidRPr="000C3253">
        <w:rPr>
          <w:rFonts w:ascii="Arial" w:eastAsia="Calibri" w:hAnsi="Arial" w:cs="Arial"/>
          <w:sz w:val="22"/>
          <w:szCs w:val="22"/>
        </w:rPr>
        <w:t xml:space="preserve">Figure </w:t>
      </w:r>
      <w:r w:rsidR="00625FE0" w:rsidRPr="000C3253">
        <w:rPr>
          <w:rFonts w:ascii="Arial" w:eastAsia="Calibri" w:hAnsi="Arial" w:cs="Arial"/>
          <w:sz w:val="22"/>
          <w:szCs w:val="22"/>
        </w:rPr>
        <w:t>3</w:t>
      </w:r>
      <w:r w:rsidRPr="000C3253">
        <w:rPr>
          <w:rFonts w:ascii="Arial" w:eastAsia="Calibri" w:hAnsi="Arial" w:cs="Arial"/>
          <w:sz w:val="22"/>
          <w:szCs w:val="22"/>
        </w:rPr>
        <w:t xml:space="preserve"> provides an overview of the proposed payment architecture. </w:t>
      </w:r>
    </w:p>
    <w:p w14:paraId="01BE254C" w14:textId="77777777" w:rsidR="000C3253" w:rsidRDefault="000C3253" w:rsidP="0098242B">
      <w:pPr>
        <w:spacing w:after="0" w:line="240" w:lineRule="auto"/>
        <w:rPr>
          <w:rFonts w:ascii="Aptos" w:eastAsia="Calibri" w:hAnsi="Aptos" w:cs="Calibri"/>
          <w:sz w:val="22"/>
          <w:szCs w:val="22"/>
        </w:rPr>
      </w:pPr>
    </w:p>
    <w:p w14:paraId="6320EB48" w14:textId="77777777" w:rsidR="000C3253" w:rsidRDefault="000C3253" w:rsidP="0098242B">
      <w:pPr>
        <w:spacing w:after="0" w:line="240" w:lineRule="auto"/>
        <w:rPr>
          <w:rFonts w:ascii="Aptos" w:eastAsia="Calibri" w:hAnsi="Aptos" w:cs="Calibri"/>
          <w:sz w:val="22"/>
          <w:szCs w:val="22"/>
        </w:rPr>
      </w:pPr>
    </w:p>
    <w:p w14:paraId="4E579498" w14:textId="733D75CD" w:rsidR="000C3253" w:rsidRDefault="000C3253" w:rsidP="0098242B">
      <w:pPr>
        <w:spacing w:after="0" w:line="240" w:lineRule="auto"/>
        <w:rPr>
          <w:rFonts w:ascii="Aptos" w:eastAsia="Calibri" w:hAnsi="Aptos" w:cs="Calibri"/>
          <w:sz w:val="22"/>
          <w:szCs w:val="22"/>
        </w:rPr>
        <w:sectPr w:rsidR="000C3253" w:rsidSect="00004768">
          <w:pgSz w:w="12240" w:h="15840"/>
          <w:pgMar w:top="1440" w:right="1440" w:bottom="1440" w:left="1440" w:header="720" w:footer="720" w:gutter="0"/>
          <w:cols w:space="720"/>
          <w:titlePg/>
          <w:docGrid w:linePitch="360"/>
        </w:sectPr>
      </w:pPr>
    </w:p>
    <w:p w14:paraId="1CFFCDFF" w14:textId="0994FB4B" w:rsidR="0098242B" w:rsidRPr="000C3253" w:rsidRDefault="0098242B" w:rsidP="0098242B">
      <w:pPr>
        <w:pStyle w:val="Caption"/>
        <w:rPr>
          <w:rFonts w:ascii="Arial" w:eastAsia="Times New Roman" w:hAnsi="Arial" w:cs="Times New Roman"/>
          <w:bCs w:val="0"/>
          <w:smallCaps w:val="0"/>
          <w:color w:val="000000" w:themeColor="text1"/>
          <w:spacing w:val="0"/>
          <w:sz w:val="22"/>
          <w:szCs w:val="24"/>
          <w:lang w:val="en-US"/>
        </w:rPr>
      </w:pPr>
      <w:r w:rsidRPr="000C3253">
        <w:rPr>
          <w:rFonts w:ascii="Arial" w:eastAsia="Times New Roman" w:hAnsi="Arial" w:cs="Times New Roman"/>
          <w:bCs w:val="0"/>
          <w:smallCaps w:val="0"/>
          <w:color w:val="000000" w:themeColor="text1"/>
          <w:spacing w:val="0"/>
          <w:sz w:val="22"/>
          <w:szCs w:val="24"/>
          <w:lang w:val="en-US"/>
        </w:rPr>
        <w:lastRenderedPageBreak/>
        <w:t xml:space="preserve">Figure </w:t>
      </w:r>
      <w:r w:rsidR="00625FE0" w:rsidRPr="000C3253">
        <w:rPr>
          <w:rFonts w:ascii="Arial" w:eastAsia="Times New Roman" w:hAnsi="Arial" w:cs="Times New Roman"/>
          <w:bCs w:val="0"/>
          <w:smallCaps w:val="0"/>
          <w:color w:val="000000" w:themeColor="text1"/>
          <w:spacing w:val="0"/>
          <w:sz w:val="22"/>
          <w:szCs w:val="24"/>
          <w:lang w:val="en-US"/>
        </w:rPr>
        <w:t>3</w:t>
      </w:r>
      <w:r w:rsidRPr="000C3253">
        <w:rPr>
          <w:rFonts w:ascii="Arial" w:eastAsia="Times New Roman" w:hAnsi="Arial" w:cs="Times New Roman"/>
          <w:bCs w:val="0"/>
          <w:smallCaps w:val="0"/>
          <w:color w:val="000000" w:themeColor="text1"/>
          <w:spacing w:val="0"/>
          <w:sz w:val="22"/>
          <w:szCs w:val="24"/>
          <w:lang w:val="en-US"/>
        </w:rPr>
        <w:t xml:space="preserve">. Proposed </w:t>
      </w:r>
      <w:r w:rsidR="000C3253">
        <w:rPr>
          <w:rFonts w:ascii="Arial" w:eastAsia="Times New Roman" w:hAnsi="Arial" w:cs="Times New Roman"/>
          <w:bCs w:val="0"/>
          <w:smallCaps w:val="0"/>
          <w:color w:val="000000" w:themeColor="text1"/>
          <w:spacing w:val="0"/>
          <w:sz w:val="22"/>
          <w:szCs w:val="24"/>
          <w:lang w:val="en-US"/>
        </w:rPr>
        <w:t>P</w:t>
      </w:r>
      <w:r w:rsidRPr="000C3253">
        <w:rPr>
          <w:rFonts w:ascii="Arial" w:eastAsia="Times New Roman" w:hAnsi="Arial" w:cs="Times New Roman"/>
          <w:bCs w:val="0"/>
          <w:smallCaps w:val="0"/>
          <w:color w:val="000000" w:themeColor="text1"/>
          <w:spacing w:val="0"/>
          <w:sz w:val="22"/>
          <w:szCs w:val="24"/>
          <w:lang w:val="en-US"/>
        </w:rPr>
        <w:t xml:space="preserve">ayment </w:t>
      </w:r>
      <w:r w:rsidR="000C3253">
        <w:rPr>
          <w:rFonts w:ascii="Arial" w:eastAsia="Times New Roman" w:hAnsi="Arial" w:cs="Times New Roman"/>
          <w:bCs w:val="0"/>
          <w:smallCaps w:val="0"/>
          <w:color w:val="000000" w:themeColor="text1"/>
          <w:spacing w:val="0"/>
          <w:sz w:val="22"/>
          <w:szCs w:val="24"/>
          <w:lang w:val="en-US"/>
        </w:rPr>
        <w:t>A</w:t>
      </w:r>
      <w:r w:rsidRPr="000C3253">
        <w:rPr>
          <w:rFonts w:ascii="Arial" w:eastAsia="Times New Roman" w:hAnsi="Arial" w:cs="Times New Roman"/>
          <w:bCs w:val="0"/>
          <w:smallCaps w:val="0"/>
          <w:color w:val="000000" w:themeColor="text1"/>
          <w:spacing w:val="0"/>
          <w:sz w:val="22"/>
          <w:szCs w:val="24"/>
          <w:lang w:val="en-US"/>
        </w:rPr>
        <w:t>rchitecture</w:t>
      </w:r>
    </w:p>
    <w:p w14:paraId="331FF9B4" w14:textId="485D5D44" w:rsidR="0098242B" w:rsidRDefault="006E71CA" w:rsidP="00E473EC">
      <w:pPr>
        <w:spacing w:before="120" w:after="0" w:line="240" w:lineRule="auto"/>
        <w:rPr>
          <w:rFonts w:ascii="Aptos" w:eastAsia="Calibri" w:hAnsi="Aptos" w:cs="Calibri"/>
          <w:sz w:val="22"/>
          <w:szCs w:val="22"/>
        </w:rPr>
      </w:pPr>
      <w:r>
        <w:rPr>
          <w:noProof/>
        </w:rPr>
        <w:drawing>
          <wp:anchor distT="0" distB="0" distL="114300" distR="114300" simplePos="0" relativeHeight="251658240" behindDoc="1" locked="0" layoutInCell="1" allowOverlap="1" wp14:anchorId="3B26ABB1" wp14:editId="70E188C4">
            <wp:simplePos x="0" y="0"/>
            <wp:positionH relativeFrom="margin">
              <wp:posOffset>-683895</wp:posOffset>
            </wp:positionH>
            <wp:positionV relativeFrom="page">
              <wp:posOffset>1356360</wp:posOffset>
            </wp:positionV>
            <wp:extent cx="9348470" cy="5024120"/>
            <wp:effectExtent l="0" t="0" r="5080" b="5080"/>
            <wp:wrapTight wrapText="bothSides">
              <wp:wrapPolygon edited="0">
                <wp:start x="0" y="0"/>
                <wp:lineTo x="0" y="21540"/>
                <wp:lineTo x="21568" y="21540"/>
                <wp:lineTo x="21568" y="0"/>
                <wp:lineTo x="0" y="0"/>
              </wp:wrapPolygon>
            </wp:wrapTight>
            <wp:docPr id="1" name="Picture 1" descr="Graph showing the architecture to promote multidisciplinary and patient-centred primary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 showing the architecture to promote multidisciplinary and patient-centred primary care"/>
                    <pic:cNvPicPr/>
                  </pic:nvPicPr>
                  <pic:blipFill>
                    <a:blip r:embed="rId21">
                      <a:extLst>
                        <a:ext uri="{28A0092B-C50C-407E-A947-70E740481C1C}">
                          <a14:useLocalDpi xmlns:a14="http://schemas.microsoft.com/office/drawing/2010/main" val="0"/>
                        </a:ext>
                      </a:extLst>
                    </a:blip>
                    <a:stretch>
                      <a:fillRect/>
                    </a:stretch>
                  </pic:blipFill>
                  <pic:spPr>
                    <a:xfrm>
                      <a:off x="0" y="0"/>
                      <a:ext cx="9348470" cy="5024120"/>
                    </a:xfrm>
                    <a:prstGeom prst="rect">
                      <a:avLst/>
                    </a:prstGeom>
                  </pic:spPr>
                </pic:pic>
              </a:graphicData>
            </a:graphic>
            <wp14:sizeRelH relativeFrom="margin">
              <wp14:pctWidth>0</wp14:pctWidth>
            </wp14:sizeRelH>
            <wp14:sizeRelV relativeFrom="margin">
              <wp14:pctHeight>0</wp14:pctHeight>
            </wp14:sizeRelV>
          </wp:anchor>
        </w:drawing>
      </w:r>
    </w:p>
    <w:p w14:paraId="7556E30A" w14:textId="2F2A24FD" w:rsidR="0098242B" w:rsidRPr="0098242B" w:rsidRDefault="0098242B" w:rsidP="0098242B">
      <w:pPr>
        <w:tabs>
          <w:tab w:val="left" w:pos="3075"/>
        </w:tabs>
        <w:rPr>
          <w:rFonts w:ascii="Aptos" w:eastAsia="Calibri" w:hAnsi="Aptos" w:cs="Calibri"/>
          <w:sz w:val="22"/>
          <w:szCs w:val="22"/>
        </w:rPr>
        <w:sectPr w:rsidR="0098242B" w:rsidRPr="0098242B" w:rsidSect="0098242B">
          <w:pgSz w:w="15840" w:h="12240" w:orient="landscape"/>
          <w:pgMar w:top="1440" w:right="1440" w:bottom="1440" w:left="1440" w:header="720" w:footer="720" w:gutter="0"/>
          <w:cols w:space="720"/>
          <w:docGrid w:linePitch="360"/>
        </w:sectPr>
      </w:pPr>
    </w:p>
    <w:p w14:paraId="29557691" w14:textId="67018D66" w:rsidR="00E473EC" w:rsidRPr="000C3253" w:rsidRDefault="00E473EC" w:rsidP="00E473EC">
      <w:pPr>
        <w:pStyle w:val="Heading2"/>
        <w:rPr>
          <w:rFonts w:ascii="Arial" w:eastAsia="Times New Roman" w:hAnsi="Arial" w:cs="Arial"/>
          <w:b/>
          <w:bCs/>
          <w:iCs/>
          <w:color w:val="358189"/>
          <w:sz w:val="36"/>
          <w:szCs w:val="28"/>
          <w:lang w:val="en-AU" w:eastAsia="en-US"/>
        </w:rPr>
      </w:pPr>
      <w:r w:rsidRPr="000C3253">
        <w:rPr>
          <w:rFonts w:ascii="Arial" w:eastAsia="Times New Roman" w:hAnsi="Arial" w:cs="Arial"/>
          <w:b/>
          <w:bCs/>
          <w:iCs/>
          <w:color w:val="358189"/>
          <w:sz w:val="36"/>
          <w:szCs w:val="28"/>
          <w:lang w:val="en-AU" w:eastAsia="en-US"/>
        </w:rPr>
        <w:lastRenderedPageBreak/>
        <w:t>2 - Enabling reforms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7D4EF" w:themeFill="text2" w:themeFillTint="33"/>
        <w:tblLook w:val="04A0" w:firstRow="1" w:lastRow="0" w:firstColumn="1" w:lastColumn="0" w:noHBand="0" w:noVBand="1"/>
      </w:tblPr>
      <w:tblGrid>
        <w:gridCol w:w="9617"/>
      </w:tblGrid>
      <w:tr w:rsidR="00E473EC" w14:paraId="70EE6D78" w14:textId="77777777" w:rsidTr="00134B2F">
        <w:tc>
          <w:tcPr>
            <w:tcW w:w="9628" w:type="dxa"/>
            <w:shd w:val="clear" w:color="auto" w:fill="B7D4EF" w:themeFill="text2" w:themeFillTint="33"/>
          </w:tcPr>
          <w:p w14:paraId="4EB263AE" w14:textId="77777777" w:rsidR="00E473EC" w:rsidRDefault="00E473EC" w:rsidP="0098242B">
            <w:pPr>
              <w:rPr>
                <w:rFonts w:cstheme="minorHAnsi"/>
                <w:sz w:val="22"/>
                <w:szCs w:val="22"/>
              </w:rPr>
            </w:pPr>
          </w:p>
          <w:p w14:paraId="0993166B" w14:textId="77777777" w:rsidR="000C3253" w:rsidRPr="000C3253" w:rsidRDefault="00E473EC" w:rsidP="000C3253">
            <w:pPr>
              <w:pStyle w:val="paragraph"/>
              <w:spacing w:before="120" w:beforeAutospacing="0" w:after="0" w:afterAutospacing="0" w:line="276" w:lineRule="auto"/>
              <w:textAlignment w:val="baseline"/>
              <w:rPr>
                <w:rStyle w:val="normaltextrun"/>
                <w:rFonts w:ascii="Arial" w:eastAsiaTheme="majorEastAsia" w:hAnsi="Arial" w:cs="Arial"/>
                <w:b/>
                <w:bCs/>
                <w:color w:val="0F4761" w:themeColor="accent1" w:themeShade="BF"/>
                <w:sz w:val="24"/>
                <w:szCs w:val="24"/>
              </w:rPr>
            </w:pPr>
            <w:r w:rsidRPr="000C3253">
              <w:rPr>
                <w:rStyle w:val="normaltextrun"/>
                <w:rFonts w:ascii="Arial" w:eastAsiaTheme="majorEastAsia" w:hAnsi="Arial" w:cs="Arial"/>
                <w:b/>
                <w:bCs/>
                <w:color w:val="0F4761" w:themeColor="accent1" w:themeShade="BF"/>
                <w:sz w:val="24"/>
                <w:szCs w:val="24"/>
              </w:rPr>
              <w:t>Recommendation 2:</w:t>
            </w:r>
          </w:p>
          <w:p w14:paraId="2CA6DD3C" w14:textId="4FB5E0ED" w:rsidR="00E473EC" w:rsidRPr="00871D89" w:rsidRDefault="00E473EC" w:rsidP="000C3253">
            <w:pPr>
              <w:pStyle w:val="paragraph"/>
              <w:spacing w:before="120" w:beforeAutospacing="0" w:after="0" w:afterAutospacing="0" w:line="276" w:lineRule="auto"/>
              <w:textAlignment w:val="baseline"/>
              <w:rPr>
                <w:rStyle w:val="normaltextrun"/>
                <w:rFonts w:ascii="Aptos" w:eastAsiaTheme="majorEastAsia" w:hAnsi="Aptos" w:cs="Calibri"/>
                <w:b/>
                <w:color w:val="0F4761" w:themeColor="accent1" w:themeShade="BF"/>
                <w:sz w:val="22"/>
                <w:szCs w:val="22"/>
              </w:rPr>
            </w:pPr>
            <w:r w:rsidRPr="000C3253">
              <w:rPr>
                <w:rStyle w:val="normaltextrun"/>
                <w:rFonts w:ascii="Arial" w:eastAsiaTheme="majorEastAsia" w:hAnsi="Arial" w:cs="Arial"/>
                <w:color w:val="0F4761" w:themeColor="accent1" w:themeShade="BF"/>
                <w:sz w:val="24"/>
                <w:szCs w:val="24"/>
              </w:rPr>
              <w:t>The Australian Government should invest in enabling reforms to support the new general practice payments architecture within the context of a cohesive vision for primary care by 2032.</w:t>
            </w:r>
          </w:p>
          <w:p w14:paraId="1882042A" w14:textId="77777777" w:rsidR="00E473EC" w:rsidRPr="00871D89" w:rsidRDefault="00E473EC" w:rsidP="0098242B">
            <w:pPr>
              <w:pStyle w:val="paragraph"/>
              <w:spacing w:before="0" w:beforeAutospacing="0" w:after="0" w:afterAutospacing="0" w:line="276" w:lineRule="auto"/>
              <w:textAlignment w:val="baseline"/>
              <w:rPr>
                <w:rStyle w:val="normaltextrun"/>
                <w:rFonts w:ascii="Aptos" w:eastAsiaTheme="majorEastAsia" w:hAnsi="Aptos" w:cs="Calibri"/>
                <w:sz w:val="22"/>
                <w:szCs w:val="22"/>
              </w:rPr>
            </w:pPr>
          </w:p>
          <w:p w14:paraId="4EE69008" w14:textId="77777777" w:rsidR="00E473EC" w:rsidRPr="000C3253" w:rsidRDefault="00E473EC" w:rsidP="0098242B">
            <w:pPr>
              <w:pStyle w:val="paragraph"/>
              <w:spacing w:before="0" w:beforeAutospacing="0" w:after="0" w:afterAutospacing="0" w:line="276" w:lineRule="auto"/>
              <w:textAlignment w:val="baseline"/>
              <w:rPr>
                <w:rFonts w:ascii="Arial" w:hAnsi="Arial" w:cs="Arial"/>
                <w:sz w:val="22"/>
                <w:szCs w:val="22"/>
              </w:rPr>
            </w:pPr>
            <w:r w:rsidRPr="000C3253">
              <w:rPr>
                <w:rFonts w:ascii="Arial" w:hAnsi="Arial" w:cs="Arial"/>
                <w:sz w:val="22"/>
                <w:szCs w:val="22"/>
              </w:rPr>
              <w:t>The enabling reforms should:</w:t>
            </w:r>
          </w:p>
          <w:p w14:paraId="7E305566" w14:textId="4205ACBC" w:rsidR="00E473EC" w:rsidRPr="000C3253" w:rsidRDefault="00E473EC" w:rsidP="000C3253">
            <w:pPr>
              <w:pStyle w:val="paragraph"/>
              <w:numPr>
                <w:ilvl w:val="0"/>
                <w:numId w:val="3"/>
              </w:numPr>
              <w:spacing w:before="60" w:beforeAutospacing="0" w:after="60" w:afterAutospacing="0"/>
              <w:ind w:left="425" w:hanging="357"/>
              <w:textAlignment w:val="baseline"/>
              <w:rPr>
                <w:rStyle w:val="normaltextrun"/>
                <w:rFonts w:ascii="Arial" w:eastAsiaTheme="majorEastAsia" w:hAnsi="Arial" w:cs="Arial"/>
                <w:sz w:val="22"/>
                <w:szCs w:val="22"/>
              </w:rPr>
            </w:pPr>
            <w:r w:rsidRPr="000C3253">
              <w:rPr>
                <w:rStyle w:val="normaltextrun"/>
                <w:rFonts w:ascii="Arial" w:eastAsiaTheme="majorEastAsia" w:hAnsi="Arial" w:cs="Arial"/>
                <w:sz w:val="22"/>
                <w:szCs w:val="22"/>
              </w:rPr>
              <w:t>promote the provision of safe, accessible, high quality and value-based care across all primary care services through reforms to accreditation</w:t>
            </w:r>
            <w:r w:rsidR="000C3253">
              <w:rPr>
                <w:rStyle w:val="normaltextrun"/>
                <w:rFonts w:ascii="Arial" w:eastAsiaTheme="majorEastAsia" w:hAnsi="Arial" w:cs="Arial"/>
                <w:sz w:val="22"/>
                <w:szCs w:val="22"/>
              </w:rPr>
              <w:t>.</w:t>
            </w:r>
          </w:p>
          <w:p w14:paraId="1F4929BC" w14:textId="68431BEB" w:rsidR="00E473EC" w:rsidRPr="000C3253" w:rsidRDefault="00E473EC" w:rsidP="000C3253">
            <w:pPr>
              <w:pStyle w:val="paragraph"/>
              <w:numPr>
                <w:ilvl w:val="0"/>
                <w:numId w:val="3"/>
              </w:numPr>
              <w:spacing w:before="60" w:beforeAutospacing="0" w:after="60" w:afterAutospacing="0"/>
              <w:ind w:left="425" w:hanging="357"/>
              <w:textAlignment w:val="baseline"/>
              <w:rPr>
                <w:rStyle w:val="normaltextrun"/>
                <w:rFonts w:ascii="Arial" w:eastAsiaTheme="majorEastAsia" w:hAnsi="Arial" w:cs="Arial"/>
                <w:sz w:val="22"/>
                <w:szCs w:val="22"/>
              </w:rPr>
            </w:pPr>
            <w:r w:rsidRPr="000C3253">
              <w:rPr>
                <w:rStyle w:val="normaltextrun"/>
                <w:rFonts w:ascii="Arial" w:eastAsiaTheme="majorEastAsia" w:hAnsi="Arial" w:cs="Arial"/>
                <w:sz w:val="22"/>
                <w:szCs w:val="22"/>
              </w:rPr>
              <w:t>enable general practices to transition to new arrangements by funding change management activities, such as education and training to practices and clinicians, investment in digital maturity and support for clinical governance</w:t>
            </w:r>
            <w:r w:rsidR="000C3253">
              <w:rPr>
                <w:rStyle w:val="normaltextrun"/>
                <w:rFonts w:ascii="Arial" w:eastAsiaTheme="majorEastAsia" w:hAnsi="Arial" w:cs="Arial"/>
                <w:sz w:val="22"/>
                <w:szCs w:val="22"/>
              </w:rPr>
              <w:t>.</w:t>
            </w:r>
          </w:p>
          <w:p w14:paraId="54D2D88E" w14:textId="7192E3A7" w:rsidR="00E473EC" w:rsidRPr="000C3253" w:rsidRDefault="00E473EC" w:rsidP="000C3253">
            <w:pPr>
              <w:pStyle w:val="paragraph"/>
              <w:numPr>
                <w:ilvl w:val="0"/>
                <w:numId w:val="3"/>
              </w:numPr>
              <w:spacing w:before="60" w:beforeAutospacing="0" w:after="60" w:afterAutospacing="0"/>
              <w:ind w:left="425" w:hanging="357"/>
              <w:textAlignment w:val="baseline"/>
              <w:rPr>
                <w:rStyle w:val="normaltextrun"/>
                <w:rFonts w:ascii="Arial" w:eastAsiaTheme="majorEastAsia" w:hAnsi="Arial" w:cs="Arial"/>
                <w:sz w:val="22"/>
                <w:szCs w:val="22"/>
              </w:rPr>
            </w:pPr>
            <w:r w:rsidRPr="000C3253">
              <w:rPr>
                <w:rStyle w:val="normaltextrun"/>
                <w:rFonts w:ascii="Arial" w:eastAsiaTheme="majorEastAsia" w:hAnsi="Arial" w:cs="Arial"/>
                <w:sz w:val="22"/>
                <w:szCs w:val="22"/>
              </w:rPr>
              <w:t xml:space="preserve">achieve accountability and support fairness for general practices, </w:t>
            </w:r>
            <w:proofErr w:type="gramStart"/>
            <w:r w:rsidRPr="000C3253">
              <w:rPr>
                <w:rStyle w:val="normaltextrun"/>
                <w:rFonts w:ascii="Arial" w:eastAsiaTheme="majorEastAsia" w:hAnsi="Arial" w:cs="Arial"/>
                <w:sz w:val="22"/>
                <w:szCs w:val="22"/>
              </w:rPr>
              <w:t>providers</w:t>
            </w:r>
            <w:proofErr w:type="gramEnd"/>
            <w:r w:rsidRPr="000C3253">
              <w:rPr>
                <w:rStyle w:val="normaltextrun"/>
                <w:rFonts w:ascii="Arial" w:eastAsiaTheme="majorEastAsia" w:hAnsi="Arial" w:cs="Arial"/>
                <w:sz w:val="22"/>
                <w:szCs w:val="22"/>
              </w:rPr>
              <w:t xml:space="preserve"> and patients</w:t>
            </w:r>
            <w:r w:rsidR="000C3253">
              <w:rPr>
                <w:rStyle w:val="normaltextrun"/>
                <w:rFonts w:ascii="Arial" w:eastAsiaTheme="majorEastAsia" w:hAnsi="Arial" w:cs="Arial"/>
                <w:sz w:val="22"/>
                <w:szCs w:val="22"/>
              </w:rPr>
              <w:t>.</w:t>
            </w:r>
          </w:p>
          <w:p w14:paraId="37CA8F76" w14:textId="77777777" w:rsidR="00E473EC" w:rsidRDefault="00E473EC" w:rsidP="0098242B">
            <w:pPr>
              <w:rPr>
                <w:rFonts w:cstheme="minorHAnsi"/>
                <w:sz w:val="22"/>
                <w:szCs w:val="22"/>
              </w:rPr>
            </w:pPr>
          </w:p>
        </w:tc>
      </w:tr>
    </w:tbl>
    <w:p w14:paraId="05EA7900" w14:textId="77777777" w:rsidR="00E473EC" w:rsidRDefault="00E473EC" w:rsidP="0098242B">
      <w:pPr>
        <w:spacing w:after="0" w:line="240" w:lineRule="auto"/>
        <w:rPr>
          <w:rFonts w:cstheme="minorHAnsi"/>
          <w:sz w:val="22"/>
          <w:szCs w:val="22"/>
        </w:rPr>
      </w:pPr>
    </w:p>
    <w:p w14:paraId="0F30B7C4" w14:textId="77777777" w:rsidR="00E473EC" w:rsidRPr="000C3253" w:rsidRDefault="00E473EC" w:rsidP="0098242B">
      <w:pPr>
        <w:spacing w:after="0" w:line="240" w:lineRule="auto"/>
        <w:rPr>
          <w:rFonts w:ascii="Arial" w:hAnsi="Arial" w:cs="Arial"/>
          <w:sz w:val="22"/>
          <w:szCs w:val="22"/>
        </w:rPr>
      </w:pPr>
      <w:bookmarkStart w:id="0" w:name="_Hlk172803959"/>
      <w:r w:rsidRPr="000C3253">
        <w:rPr>
          <w:rFonts w:ascii="Arial" w:hAnsi="Arial" w:cs="Arial"/>
          <w:sz w:val="22"/>
          <w:szCs w:val="22"/>
        </w:rPr>
        <w:t>Enabling reforms are required to support effective delivery of the new general practice payment architecture, including:</w:t>
      </w:r>
    </w:p>
    <w:p w14:paraId="5B06879C" w14:textId="77777777" w:rsidR="00E473EC" w:rsidRPr="000C3253" w:rsidRDefault="00E473EC" w:rsidP="000C3253">
      <w:pPr>
        <w:numPr>
          <w:ilvl w:val="0"/>
          <w:numId w:val="5"/>
        </w:numPr>
        <w:spacing w:before="120" w:after="120" w:line="240" w:lineRule="auto"/>
        <w:ind w:left="425" w:hanging="357"/>
        <w:rPr>
          <w:rFonts w:ascii="Arial" w:eastAsia="Calibri" w:hAnsi="Arial" w:cs="Arial"/>
          <w:sz w:val="22"/>
          <w:szCs w:val="22"/>
        </w:rPr>
      </w:pPr>
      <w:r w:rsidRPr="000C3253">
        <w:rPr>
          <w:rFonts w:ascii="Arial" w:eastAsia="Calibri" w:hAnsi="Arial" w:cs="Arial"/>
          <w:sz w:val="22"/>
          <w:szCs w:val="22"/>
        </w:rPr>
        <w:t>Accreditation</w:t>
      </w:r>
    </w:p>
    <w:p w14:paraId="51184371" w14:textId="4855DD66" w:rsidR="006A52E0" w:rsidRPr="000C3253" w:rsidRDefault="003361F1" w:rsidP="000C3253">
      <w:pPr>
        <w:numPr>
          <w:ilvl w:val="1"/>
          <w:numId w:val="5"/>
        </w:numPr>
        <w:spacing w:before="120" w:after="120" w:line="240" w:lineRule="auto"/>
        <w:rPr>
          <w:rFonts w:ascii="Arial" w:hAnsi="Arial" w:cs="Arial"/>
          <w:sz w:val="22"/>
          <w:szCs w:val="22"/>
        </w:rPr>
      </w:pPr>
      <w:r w:rsidRPr="000C3253">
        <w:rPr>
          <w:rFonts w:ascii="Arial" w:hAnsi="Arial" w:cs="Arial"/>
          <w:sz w:val="22"/>
          <w:szCs w:val="22"/>
        </w:rPr>
        <w:t xml:space="preserve">Eligibility for accreditation should be expanded to include non-traditional general practice models where these deliver high-quality, </w:t>
      </w:r>
      <w:proofErr w:type="gramStart"/>
      <w:r w:rsidRPr="000C3253">
        <w:rPr>
          <w:rFonts w:ascii="Arial" w:hAnsi="Arial" w:cs="Arial"/>
          <w:sz w:val="22"/>
          <w:szCs w:val="22"/>
        </w:rPr>
        <w:t>holistic</w:t>
      </w:r>
      <w:proofErr w:type="gramEnd"/>
      <w:r w:rsidRPr="000C3253">
        <w:rPr>
          <w:rFonts w:ascii="Arial" w:hAnsi="Arial" w:cs="Arial"/>
          <w:sz w:val="22"/>
          <w:szCs w:val="22"/>
        </w:rPr>
        <w:t xml:space="preserve"> and comprehensive primary care. </w:t>
      </w:r>
      <w:r w:rsidR="006A52E0" w:rsidRPr="000C3253">
        <w:rPr>
          <w:rFonts w:ascii="Arial" w:hAnsi="Arial" w:cs="Arial"/>
          <w:sz w:val="22"/>
          <w:szCs w:val="22"/>
        </w:rPr>
        <w:t>Th</w:t>
      </w:r>
      <w:r w:rsidR="004E2E62" w:rsidRPr="000C3253">
        <w:rPr>
          <w:rFonts w:ascii="Arial" w:hAnsi="Arial" w:cs="Arial"/>
          <w:sz w:val="22"/>
          <w:szCs w:val="22"/>
        </w:rPr>
        <w:t>is would include</w:t>
      </w:r>
      <w:r w:rsidR="006A52E0" w:rsidRPr="000C3253">
        <w:rPr>
          <w:rFonts w:ascii="Arial" w:hAnsi="Arial" w:cs="Arial"/>
          <w:sz w:val="22"/>
          <w:szCs w:val="22"/>
        </w:rPr>
        <w:t xml:space="preserve"> use of the Australian Commission on Safety and Quality in Health Care’s </w:t>
      </w:r>
      <w:r w:rsidR="006A52E0" w:rsidRPr="000C3253">
        <w:rPr>
          <w:rFonts w:ascii="Arial" w:hAnsi="Arial" w:cs="Arial"/>
          <w:i/>
          <w:iCs/>
          <w:sz w:val="22"/>
          <w:szCs w:val="22"/>
        </w:rPr>
        <w:t>National Safety and Quality Primary and Community Health Care Standards</w:t>
      </w:r>
      <w:r w:rsidR="006A52E0" w:rsidRPr="000C3253">
        <w:rPr>
          <w:rFonts w:ascii="Arial" w:hAnsi="Arial" w:cs="Arial"/>
          <w:sz w:val="22"/>
          <w:szCs w:val="22"/>
        </w:rPr>
        <w:t>, </w:t>
      </w:r>
      <w:r w:rsidR="004E2E62" w:rsidRPr="000C3253">
        <w:rPr>
          <w:rFonts w:ascii="Arial" w:hAnsi="Arial" w:cs="Arial"/>
          <w:sz w:val="22"/>
          <w:szCs w:val="22"/>
        </w:rPr>
        <w:t xml:space="preserve">for services not currently </w:t>
      </w:r>
      <w:r w:rsidR="006226E9" w:rsidRPr="000C3253">
        <w:rPr>
          <w:rFonts w:ascii="Arial" w:hAnsi="Arial" w:cs="Arial"/>
          <w:sz w:val="22"/>
          <w:szCs w:val="22"/>
        </w:rPr>
        <w:t xml:space="preserve">eligible to be </w:t>
      </w:r>
      <w:r w:rsidR="004E2E62" w:rsidRPr="000C3253">
        <w:rPr>
          <w:rFonts w:ascii="Arial" w:hAnsi="Arial" w:cs="Arial"/>
          <w:sz w:val="22"/>
          <w:szCs w:val="22"/>
        </w:rPr>
        <w:t xml:space="preserve">accredited, </w:t>
      </w:r>
      <w:r w:rsidR="006A52E0" w:rsidRPr="000C3253">
        <w:rPr>
          <w:rFonts w:ascii="Arial" w:hAnsi="Arial" w:cs="Arial"/>
          <w:sz w:val="22"/>
          <w:szCs w:val="22"/>
        </w:rPr>
        <w:t xml:space="preserve">to increase the participation of primary care providers in Commonwealth funded programs. </w:t>
      </w:r>
    </w:p>
    <w:bookmarkEnd w:id="0"/>
    <w:p w14:paraId="248D485C" w14:textId="77777777" w:rsidR="00E473EC" w:rsidRPr="000C3253" w:rsidRDefault="00E473EC" w:rsidP="000C3253">
      <w:pPr>
        <w:numPr>
          <w:ilvl w:val="0"/>
          <w:numId w:val="5"/>
        </w:numPr>
        <w:spacing w:before="120" w:after="120" w:line="240" w:lineRule="auto"/>
        <w:ind w:left="425" w:hanging="357"/>
        <w:rPr>
          <w:rFonts w:ascii="Arial" w:eastAsia="Calibri" w:hAnsi="Arial" w:cs="Arial"/>
          <w:sz w:val="22"/>
          <w:szCs w:val="22"/>
        </w:rPr>
      </w:pPr>
      <w:r w:rsidRPr="000C3253">
        <w:rPr>
          <w:rFonts w:ascii="Arial" w:eastAsia="Calibri" w:hAnsi="Arial" w:cs="Arial"/>
          <w:sz w:val="22"/>
          <w:szCs w:val="22"/>
        </w:rPr>
        <w:t xml:space="preserve">Change </w:t>
      </w:r>
      <w:proofErr w:type="gramStart"/>
      <w:r w:rsidRPr="000C3253">
        <w:rPr>
          <w:rFonts w:ascii="Arial" w:eastAsia="Calibri" w:hAnsi="Arial" w:cs="Arial"/>
          <w:sz w:val="22"/>
          <w:szCs w:val="22"/>
        </w:rPr>
        <w:t>management</w:t>
      </w:r>
      <w:proofErr w:type="gramEnd"/>
    </w:p>
    <w:p w14:paraId="6B253C7A" w14:textId="2030CC9A" w:rsidR="00FD0108" w:rsidRPr="000C3253" w:rsidRDefault="00FD0108" w:rsidP="000C3253">
      <w:pPr>
        <w:numPr>
          <w:ilvl w:val="1"/>
          <w:numId w:val="5"/>
        </w:numPr>
        <w:spacing w:before="120" w:after="120" w:line="240" w:lineRule="auto"/>
        <w:rPr>
          <w:rFonts w:ascii="Arial" w:eastAsia="Calibri" w:hAnsi="Arial" w:cs="Arial"/>
          <w:sz w:val="22"/>
          <w:szCs w:val="22"/>
        </w:rPr>
      </w:pPr>
      <w:r w:rsidRPr="000C3253">
        <w:rPr>
          <w:rFonts w:ascii="Arial" w:hAnsi="Arial" w:cs="Arial"/>
          <w:sz w:val="22"/>
          <w:szCs w:val="22"/>
        </w:rPr>
        <w:t xml:space="preserve">The Government should design and implement a change management program that includes appropriate phasing of reforms, resourcing, </w:t>
      </w:r>
      <w:proofErr w:type="gramStart"/>
      <w:r w:rsidRPr="000C3253">
        <w:rPr>
          <w:rFonts w:ascii="Arial" w:hAnsi="Arial" w:cs="Arial"/>
          <w:sz w:val="22"/>
          <w:szCs w:val="22"/>
        </w:rPr>
        <w:t>communication</w:t>
      </w:r>
      <w:proofErr w:type="gramEnd"/>
      <w:r w:rsidRPr="000C3253">
        <w:rPr>
          <w:rFonts w:ascii="Arial" w:hAnsi="Arial" w:cs="Arial"/>
          <w:sz w:val="22"/>
          <w:szCs w:val="22"/>
        </w:rPr>
        <w:t xml:space="preserve"> and training.</w:t>
      </w:r>
    </w:p>
    <w:p w14:paraId="5B1DBF59" w14:textId="77777777" w:rsidR="00E473EC" w:rsidRPr="000C3253" w:rsidRDefault="00E473EC" w:rsidP="000C3253">
      <w:pPr>
        <w:numPr>
          <w:ilvl w:val="0"/>
          <w:numId w:val="5"/>
        </w:numPr>
        <w:spacing w:before="120" w:after="120" w:line="240" w:lineRule="auto"/>
        <w:ind w:left="425" w:hanging="357"/>
        <w:rPr>
          <w:rFonts w:ascii="Arial" w:eastAsia="Calibri" w:hAnsi="Arial" w:cs="Arial"/>
          <w:sz w:val="22"/>
          <w:szCs w:val="22"/>
        </w:rPr>
      </w:pPr>
      <w:r w:rsidRPr="000C3253">
        <w:rPr>
          <w:rFonts w:ascii="Arial" w:eastAsia="Calibri" w:hAnsi="Arial" w:cs="Arial"/>
          <w:sz w:val="22"/>
          <w:szCs w:val="22"/>
        </w:rPr>
        <w:t>Compliance</w:t>
      </w:r>
    </w:p>
    <w:p w14:paraId="3911D2C0" w14:textId="61F559D0" w:rsidR="00FD0108" w:rsidRPr="000C3253" w:rsidRDefault="00FD0108" w:rsidP="000C3253">
      <w:pPr>
        <w:numPr>
          <w:ilvl w:val="1"/>
          <w:numId w:val="5"/>
        </w:numPr>
        <w:spacing w:before="120" w:after="120" w:line="240" w:lineRule="auto"/>
        <w:rPr>
          <w:rFonts w:ascii="Arial" w:eastAsia="Calibri" w:hAnsi="Arial" w:cs="Arial"/>
          <w:sz w:val="22"/>
          <w:szCs w:val="22"/>
        </w:rPr>
      </w:pPr>
      <w:r w:rsidRPr="000C3253">
        <w:rPr>
          <w:rFonts w:ascii="Arial" w:eastAsia="Calibri" w:hAnsi="Arial" w:cs="Arial"/>
          <w:sz w:val="22"/>
          <w:szCs w:val="22"/>
        </w:rPr>
        <w:t>Flexibility in blended funding models should be accompanied with an appropriate, robust, and unified accountability and compliance framework. Legislation could be an option for regulating the framework.</w:t>
      </w:r>
    </w:p>
    <w:p w14:paraId="1F428F94" w14:textId="77777777" w:rsidR="00E473EC" w:rsidRPr="000C3253" w:rsidRDefault="00E473EC" w:rsidP="0098242B">
      <w:pPr>
        <w:spacing w:after="0" w:line="240" w:lineRule="auto"/>
        <w:rPr>
          <w:rFonts w:ascii="Arial" w:hAnsi="Arial" w:cs="Arial"/>
          <w:sz w:val="22"/>
          <w:szCs w:val="22"/>
        </w:rPr>
      </w:pPr>
    </w:p>
    <w:p w14:paraId="578AD6DD" w14:textId="77777777" w:rsidR="00E473EC" w:rsidRPr="000C3253" w:rsidRDefault="00E473EC" w:rsidP="0098242B">
      <w:pPr>
        <w:spacing w:after="0" w:line="240" w:lineRule="auto"/>
        <w:rPr>
          <w:rFonts w:ascii="Arial" w:hAnsi="Arial" w:cs="Arial"/>
          <w:sz w:val="22"/>
          <w:szCs w:val="22"/>
        </w:rPr>
      </w:pPr>
      <w:r w:rsidRPr="000C3253">
        <w:rPr>
          <w:rFonts w:ascii="Arial" w:hAnsi="Arial" w:cs="Arial"/>
          <w:sz w:val="22"/>
          <w:szCs w:val="22"/>
        </w:rPr>
        <w:t xml:space="preserve">Investment in these enablers will be crucial to the success of the new payment architecture. </w:t>
      </w:r>
    </w:p>
    <w:p w14:paraId="2DD8B9F5" w14:textId="2766EE7D" w:rsidR="000C3253" w:rsidRDefault="000C3253" w:rsidP="0098242B">
      <w:pPr>
        <w:spacing w:after="0" w:line="240" w:lineRule="auto"/>
        <w:rPr>
          <w:rFonts w:ascii="Arial" w:eastAsia="Times New Roman" w:hAnsi="Arial" w:cs="Arial"/>
          <w:b/>
          <w:bCs/>
          <w:iCs/>
          <w:color w:val="358189"/>
          <w:sz w:val="36"/>
          <w:szCs w:val="28"/>
          <w:lang w:val="en-AU" w:eastAsia="en-US"/>
        </w:rPr>
      </w:pPr>
      <w:r>
        <w:rPr>
          <w:rFonts w:ascii="Arial" w:eastAsia="Times New Roman" w:hAnsi="Arial" w:cs="Arial"/>
          <w:b/>
          <w:bCs/>
          <w:iCs/>
          <w:color w:val="358189"/>
          <w:sz w:val="36"/>
          <w:szCs w:val="28"/>
          <w:lang w:val="en-AU" w:eastAsia="en-US"/>
        </w:rPr>
        <w:br w:type="page"/>
      </w:r>
    </w:p>
    <w:p w14:paraId="0461BBAC" w14:textId="2CB56442" w:rsidR="00E473EC" w:rsidRPr="000C3253" w:rsidRDefault="00E473EC" w:rsidP="0098242B">
      <w:pPr>
        <w:pStyle w:val="Heading2"/>
        <w:spacing w:before="0"/>
        <w:rPr>
          <w:rFonts w:ascii="Arial" w:eastAsia="Times New Roman" w:hAnsi="Arial" w:cs="Arial"/>
          <w:b/>
          <w:bCs/>
          <w:iCs/>
          <w:color w:val="358189"/>
          <w:sz w:val="36"/>
          <w:szCs w:val="28"/>
          <w:lang w:val="en-AU" w:eastAsia="en-US"/>
        </w:rPr>
      </w:pPr>
      <w:r w:rsidRPr="000C3253">
        <w:rPr>
          <w:rFonts w:ascii="Arial" w:eastAsia="Times New Roman" w:hAnsi="Arial" w:cs="Arial"/>
          <w:b/>
          <w:bCs/>
          <w:iCs/>
          <w:color w:val="358189"/>
          <w:sz w:val="36"/>
          <w:szCs w:val="28"/>
          <w:lang w:val="en-AU" w:eastAsia="en-US"/>
        </w:rPr>
        <w:lastRenderedPageBreak/>
        <w:t>3 - Independent pricing of primary care payments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1E4F5" w:themeFill="accent1" w:themeFillTint="33"/>
        <w:tblLook w:val="04A0" w:firstRow="1" w:lastRow="0" w:firstColumn="1" w:lastColumn="0" w:noHBand="0" w:noVBand="1"/>
      </w:tblPr>
      <w:tblGrid>
        <w:gridCol w:w="9617"/>
      </w:tblGrid>
      <w:tr w:rsidR="00E473EC" w14:paraId="3F414B07" w14:textId="77777777" w:rsidTr="00134B2F">
        <w:tc>
          <w:tcPr>
            <w:tcW w:w="9628" w:type="dxa"/>
            <w:shd w:val="clear" w:color="auto" w:fill="A5C9EB" w:themeFill="text2" w:themeFillTint="40"/>
          </w:tcPr>
          <w:p w14:paraId="2804398F" w14:textId="77777777" w:rsidR="000C3253" w:rsidRDefault="00E473EC" w:rsidP="000C3253">
            <w:pPr>
              <w:pStyle w:val="paragraph"/>
              <w:spacing w:before="120" w:beforeAutospacing="0" w:after="0" w:afterAutospacing="0" w:line="276" w:lineRule="auto"/>
              <w:textAlignment w:val="baseline"/>
              <w:rPr>
                <w:rStyle w:val="normaltextrun"/>
                <w:rFonts w:ascii="Arial" w:eastAsiaTheme="majorEastAsia" w:hAnsi="Arial" w:cs="Arial"/>
                <w:b/>
                <w:bCs/>
                <w:color w:val="0F4761" w:themeColor="accent1" w:themeShade="BF"/>
                <w:sz w:val="24"/>
                <w:szCs w:val="24"/>
              </w:rPr>
            </w:pPr>
            <w:r w:rsidRPr="000C3253">
              <w:rPr>
                <w:rStyle w:val="normaltextrun"/>
                <w:rFonts w:ascii="Arial" w:eastAsiaTheme="majorEastAsia" w:hAnsi="Arial" w:cs="Arial"/>
                <w:b/>
                <w:bCs/>
                <w:color w:val="0F4761" w:themeColor="accent1" w:themeShade="BF"/>
                <w:sz w:val="24"/>
                <w:szCs w:val="24"/>
              </w:rPr>
              <w:t>Recommendation 3:</w:t>
            </w:r>
          </w:p>
          <w:p w14:paraId="4C3CC7E8" w14:textId="1B415D92" w:rsidR="00E473EC" w:rsidRPr="000C3253" w:rsidRDefault="00E473EC" w:rsidP="000C3253">
            <w:pPr>
              <w:pStyle w:val="paragraph"/>
              <w:spacing w:before="120" w:beforeAutospacing="0" w:after="0" w:afterAutospacing="0" w:line="276" w:lineRule="auto"/>
              <w:textAlignment w:val="baseline"/>
              <w:rPr>
                <w:rStyle w:val="normaltextrun"/>
                <w:rFonts w:ascii="Arial" w:eastAsiaTheme="majorEastAsia" w:hAnsi="Arial" w:cs="Arial"/>
                <w:color w:val="0F4761" w:themeColor="accent1" w:themeShade="BF"/>
                <w:sz w:val="24"/>
                <w:szCs w:val="24"/>
              </w:rPr>
            </w:pPr>
            <w:r w:rsidRPr="000C3253">
              <w:rPr>
                <w:rStyle w:val="normaltextrun"/>
                <w:rFonts w:ascii="Arial" w:eastAsiaTheme="majorEastAsia" w:hAnsi="Arial" w:cs="Arial"/>
                <w:color w:val="0F4761" w:themeColor="accent1" w:themeShade="BF"/>
                <w:sz w:val="24"/>
                <w:szCs w:val="24"/>
              </w:rPr>
              <w:t xml:space="preserve">While maintaining the principle that general practices </w:t>
            </w:r>
            <w:proofErr w:type="gramStart"/>
            <w:r w:rsidRPr="000C3253">
              <w:rPr>
                <w:rStyle w:val="normaltextrun"/>
                <w:rFonts w:ascii="Arial" w:eastAsiaTheme="majorEastAsia" w:hAnsi="Arial" w:cs="Arial"/>
                <w:color w:val="0F4761" w:themeColor="accent1" w:themeShade="BF"/>
                <w:sz w:val="24"/>
                <w:szCs w:val="24"/>
              </w:rPr>
              <w:t>are able to</w:t>
            </w:r>
            <w:proofErr w:type="gramEnd"/>
            <w:r w:rsidRPr="000C3253">
              <w:rPr>
                <w:rStyle w:val="normaltextrun"/>
                <w:rFonts w:ascii="Arial" w:eastAsiaTheme="majorEastAsia" w:hAnsi="Arial" w:cs="Arial"/>
                <w:color w:val="0F4761" w:themeColor="accent1" w:themeShade="BF"/>
                <w:sz w:val="24"/>
                <w:szCs w:val="24"/>
              </w:rPr>
              <w:t xml:space="preserve"> establish fees for medical services that consider their own costs and economic imperatives, the Australian Government should commission an independent primary care pricing authority to determine Commonwealth payments to general practices and primary care</w:t>
            </w:r>
            <w:r w:rsidR="000C3253">
              <w:rPr>
                <w:rStyle w:val="normaltextrun"/>
                <w:rFonts w:ascii="Arial" w:eastAsiaTheme="majorEastAsia" w:hAnsi="Arial" w:cs="Arial"/>
                <w:color w:val="0F4761" w:themeColor="accent1" w:themeShade="BF"/>
                <w:sz w:val="24"/>
                <w:szCs w:val="24"/>
              </w:rPr>
              <w:t>.</w:t>
            </w:r>
          </w:p>
          <w:p w14:paraId="52CDF93B" w14:textId="77777777" w:rsidR="00E473EC" w:rsidRPr="00871D89" w:rsidRDefault="00E473EC" w:rsidP="0098242B">
            <w:pPr>
              <w:pStyle w:val="paragraph"/>
              <w:spacing w:before="0" w:beforeAutospacing="0" w:after="0" w:afterAutospacing="0" w:line="276" w:lineRule="auto"/>
              <w:textAlignment w:val="baseline"/>
              <w:rPr>
                <w:rStyle w:val="normaltextrun"/>
                <w:rFonts w:ascii="Aptos" w:eastAsiaTheme="majorEastAsia" w:hAnsi="Aptos" w:cs="Calibri"/>
                <w:sz w:val="22"/>
                <w:szCs w:val="22"/>
              </w:rPr>
            </w:pPr>
          </w:p>
          <w:p w14:paraId="42DF2021" w14:textId="77777777" w:rsidR="00E473EC" w:rsidRPr="000C3253" w:rsidRDefault="00E473EC" w:rsidP="0098242B">
            <w:pPr>
              <w:pStyle w:val="paragraph"/>
              <w:spacing w:before="0" w:beforeAutospacing="0" w:after="0" w:afterAutospacing="0" w:line="276" w:lineRule="auto"/>
              <w:ind w:left="1843" w:hanging="1843"/>
              <w:textAlignment w:val="baseline"/>
              <w:rPr>
                <w:rStyle w:val="normaltextrun"/>
                <w:rFonts w:ascii="Arial" w:eastAsiaTheme="majorEastAsia" w:hAnsi="Arial" w:cs="Arial"/>
                <w:sz w:val="22"/>
                <w:szCs w:val="22"/>
              </w:rPr>
            </w:pPr>
            <w:r w:rsidRPr="000C3253">
              <w:rPr>
                <w:rStyle w:val="normaltextrun"/>
                <w:rFonts w:ascii="Arial" w:eastAsiaTheme="majorEastAsia" w:hAnsi="Arial" w:cs="Arial"/>
                <w:sz w:val="22"/>
                <w:szCs w:val="22"/>
              </w:rPr>
              <w:t xml:space="preserve">A new independent primary care pricing authority should: </w:t>
            </w:r>
          </w:p>
          <w:p w14:paraId="04E067B6" w14:textId="77777777" w:rsidR="00E473EC" w:rsidRPr="000C3253" w:rsidRDefault="00E473EC" w:rsidP="000C3253">
            <w:pPr>
              <w:pStyle w:val="paragraph"/>
              <w:numPr>
                <w:ilvl w:val="0"/>
                <w:numId w:val="4"/>
              </w:numPr>
              <w:spacing w:before="120" w:beforeAutospacing="0" w:after="120" w:afterAutospacing="0" w:line="276" w:lineRule="auto"/>
              <w:ind w:left="714" w:hanging="357"/>
              <w:textAlignment w:val="baseline"/>
              <w:rPr>
                <w:rStyle w:val="normaltextrun"/>
                <w:rFonts w:ascii="Arial" w:eastAsiaTheme="majorEastAsia" w:hAnsi="Arial" w:cs="Arial"/>
                <w:sz w:val="22"/>
                <w:szCs w:val="22"/>
              </w:rPr>
            </w:pPr>
            <w:r w:rsidRPr="000C3253">
              <w:rPr>
                <w:rStyle w:val="normaltextrun"/>
                <w:rFonts w:ascii="Arial" w:eastAsiaTheme="majorEastAsia" w:hAnsi="Arial" w:cs="Arial"/>
                <w:sz w:val="22"/>
                <w:szCs w:val="22"/>
              </w:rPr>
              <w:t xml:space="preserve">provide evidence-based recommendations and advice to the Minister for Health and Aged Care (the Minister) on the payment design and level of MBS rebates, including the level of blended payment mix in primary care </w:t>
            </w:r>
            <w:proofErr w:type="gramStart"/>
            <w:r w:rsidRPr="000C3253">
              <w:rPr>
                <w:rStyle w:val="normaltextrun"/>
                <w:rFonts w:ascii="Arial" w:eastAsiaTheme="majorEastAsia" w:hAnsi="Arial" w:cs="Arial"/>
                <w:sz w:val="22"/>
                <w:szCs w:val="22"/>
              </w:rPr>
              <w:t>expenditure</w:t>
            </w:r>
            <w:proofErr w:type="gramEnd"/>
          </w:p>
          <w:p w14:paraId="2FF75CCD" w14:textId="77777777" w:rsidR="00E473EC" w:rsidRPr="000C3253" w:rsidRDefault="00E473EC" w:rsidP="000C3253">
            <w:pPr>
              <w:pStyle w:val="paragraph"/>
              <w:numPr>
                <w:ilvl w:val="0"/>
                <w:numId w:val="4"/>
              </w:numPr>
              <w:spacing w:before="120" w:beforeAutospacing="0" w:after="120" w:afterAutospacing="0" w:line="276" w:lineRule="auto"/>
              <w:ind w:left="714" w:hanging="357"/>
              <w:textAlignment w:val="baseline"/>
              <w:rPr>
                <w:rStyle w:val="normaltextrun"/>
                <w:rFonts w:ascii="Arial" w:eastAsiaTheme="majorEastAsia" w:hAnsi="Arial" w:cs="Arial"/>
                <w:sz w:val="22"/>
                <w:szCs w:val="22"/>
              </w:rPr>
            </w:pPr>
            <w:r w:rsidRPr="000C3253">
              <w:rPr>
                <w:rStyle w:val="normaltextrun"/>
                <w:rFonts w:ascii="Arial" w:eastAsiaTheme="majorEastAsia" w:hAnsi="Arial" w:cs="Arial"/>
                <w:sz w:val="22"/>
                <w:szCs w:val="22"/>
              </w:rPr>
              <w:t xml:space="preserve">gather data on the costs of providing team based primary care services, which will underpin pricing recommendations to the </w:t>
            </w:r>
            <w:proofErr w:type="gramStart"/>
            <w:r w:rsidRPr="000C3253">
              <w:rPr>
                <w:rStyle w:val="normaltextrun"/>
                <w:rFonts w:ascii="Arial" w:eastAsiaTheme="majorEastAsia" w:hAnsi="Arial" w:cs="Arial"/>
                <w:sz w:val="22"/>
                <w:szCs w:val="22"/>
              </w:rPr>
              <w:t>Minister</w:t>
            </w:r>
            <w:proofErr w:type="gramEnd"/>
            <w:r w:rsidRPr="000C3253">
              <w:rPr>
                <w:rStyle w:val="normaltextrun"/>
                <w:rFonts w:ascii="Arial" w:eastAsiaTheme="majorEastAsia" w:hAnsi="Arial" w:cs="Arial"/>
                <w:sz w:val="22"/>
                <w:szCs w:val="22"/>
              </w:rPr>
              <w:t xml:space="preserve"> </w:t>
            </w:r>
          </w:p>
          <w:p w14:paraId="3FAFFA57" w14:textId="77777777" w:rsidR="00E473EC" w:rsidRPr="000C3253" w:rsidRDefault="00E473EC" w:rsidP="000C3253">
            <w:pPr>
              <w:pStyle w:val="paragraph"/>
              <w:numPr>
                <w:ilvl w:val="0"/>
                <w:numId w:val="4"/>
              </w:numPr>
              <w:spacing w:before="120" w:beforeAutospacing="0" w:after="120" w:afterAutospacing="0" w:line="276" w:lineRule="auto"/>
              <w:ind w:left="714" w:hanging="357"/>
              <w:rPr>
                <w:rStyle w:val="normaltextrun"/>
                <w:rFonts w:ascii="Arial" w:eastAsiaTheme="majorEastAsia" w:hAnsi="Arial" w:cs="Arial"/>
                <w:sz w:val="22"/>
                <w:szCs w:val="22"/>
              </w:rPr>
            </w:pPr>
            <w:r w:rsidRPr="000C3253">
              <w:rPr>
                <w:rStyle w:val="normaltextrun"/>
                <w:rFonts w:ascii="Arial" w:eastAsiaTheme="majorEastAsia" w:hAnsi="Arial" w:cs="Arial"/>
                <w:sz w:val="22"/>
                <w:szCs w:val="22"/>
              </w:rPr>
              <w:t xml:space="preserve">contribute to the growth in publicly available data on the primary care sector, </w:t>
            </w:r>
            <w:proofErr w:type="gramStart"/>
            <w:r w:rsidRPr="000C3253">
              <w:rPr>
                <w:rStyle w:val="normaltextrun"/>
                <w:rFonts w:ascii="Arial" w:eastAsiaTheme="majorEastAsia" w:hAnsi="Arial" w:cs="Arial"/>
                <w:sz w:val="22"/>
                <w:szCs w:val="22"/>
              </w:rPr>
              <w:t>including  its</w:t>
            </w:r>
            <w:proofErr w:type="gramEnd"/>
            <w:r w:rsidRPr="000C3253">
              <w:rPr>
                <w:rStyle w:val="normaltextrun"/>
                <w:rFonts w:ascii="Arial" w:eastAsiaTheme="majorEastAsia" w:hAnsi="Arial" w:cs="Arial"/>
                <w:sz w:val="22"/>
                <w:szCs w:val="22"/>
              </w:rPr>
              <w:t xml:space="preserve"> scale, performance, infrastructure, training activities and research engagement</w:t>
            </w:r>
          </w:p>
          <w:p w14:paraId="5D23BB96" w14:textId="77777777" w:rsidR="00E473EC" w:rsidRPr="000C3253" w:rsidRDefault="00E473EC" w:rsidP="000C3253">
            <w:pPr>
              <w:pStyle w:val="paragraph"/>
              <w:numPr>
                <w:ilvl w:val="0"/>
                <w:numId w:val="4"/>
              </w:numPr>
              <w:spacing w:before="120" w:beforeAutospacing="0" w:after="120" w:afterAutospacing="0" w:line="276" w:lineRule="auto"/>
              <w:ind w:left="714" w:hanging="357"/>
              <w:textAlignment w:val="baseline"/>
              <w:rPr>
                <w:rStyle w:val="normaltextrun"/>
                <w:rFonts w:ascii="Arial" w:eastAsiaTheme="majorEastAsia" w:hAnsi="Arial" w:cs="Arial"/>
                <w:sz w:val="22"/>
                <w:szCs w:val="22"/>
              </w:rPr>
            </w:pPr>
            <w:r w:rsidRPr="000C3253">
              <w:rPr>
                <w:rStyle w:val="normaltextrun"/>
                <w:rFonts w:ascii="Arial" w:eastAsiaTheme="majorEastAsia" w:hAnsi="Arial" w:cs="Arial"/>
                <w:sz w:val="22"/>
                <w:szCs w:val="22"/>
              </w:rPr>
              <w:t xml:space="preserve">support the Government and the Department of Health and Aged Care in the ongoing design, implementation, and evaluation of general practice </w:t>
            </w:r>
            <w:proofErr w:type="gramStart"/>
            <w:r w:rsidRPr="000C3253">
              <w:rPr>
                <w:rStyle w:val="normaltextrun"/>
                <w:rFonts w:ascii="Arial" w:eastAsiaTheme="majorEastAsia" w:hAnsi="Arial" w:cs="Arial"/>
                <w:sz w:val="22"/>
                <w:szCs w:val="22"/>
              </w:rPr>
              <w:t>payments</w:t>
            </w:r>
            <w:proofErr w:type="gramEnd"/>
            <w:r w:rsidRPr="000C3253">
              <w:rPr>
                <w:rStyle w:val="normaltextrun"/>
                <w:rFonts w:ascii="Arial" w:eastAsiaTheme="majorEastAsia" w:hAnsi="Arial" w:cs="Arial"/>
                <w:sz w:val="22"/>
                <w:szCs w:val="22"/>
              </w:rPr>
              <w:t xml:space="preserve"> </w:t>
            </w:r>
          </w:p>
          <w:p w14:paraId="3EE05D7B" w14:textId="77777777" w:rsidR="00E473EC" w:rsidRPr="000C3253" w:rsidRDefault="00E473EC" w:rsidP="000C3253">
            <w:pPr>
              <w:pStyle w:val="paragraph"/>
              <w:numPr>
                <w:ilvl w:val="0"/>
                <w:numId w:val="4"/>
              </w:numPr>
              <w:spacing w:before="120" w:beforeAutospacing="0" w:after="120" w:afterAutospacing="0" w:line="276" w:lineRule="auto"/>
              <w:ind w:left="714" w:hanging="357"/>
              <w:textAlignment w:val="baseline"/>
              <w:rPr>
                <w:rStyle w:val="normaltextrun"/>
                <w:rFonts w:ascii="Arial" w:eastAsiaTheme="majorEastAsia" w:hAnsi="Arial" w:cs="Arial"/>
                <w:sz w:val="22"/>
                <w:szCs w:val="22"/>
              </w:rPr>
            </w:pPr>
            <w:r w:rsidRPr="000C3253">
              <w:rPr>
                <w:rStyle w:val="normaltextrun"/>
                <w:rFonts w:ascii="Arial" w:eastAsiaTheme="majorEastAsia" w:hAnsi="Arial" w:cs="Arial"/>
                <w:sz w:val="22"/>
                <w:szCs w:val="22"/>
              </w:rPr>
              <w:t xml:space="preserve">regularly report on the financial sustainability of the primary care sector, including the cost-effectiveness of providing primary care compared to the secondary and tertiary care </w:t>
            </w:r>
            <w:proofErr w:type="gramStart"/>
            <w:r w:rsidRPr="000C3253">
              <w:rPr>
                <w:rStyle w:val="normaltextrun"/>
                <w:rFonts w:ascii="Arial" w:eastAsiaTheme="majorEastAsia" w:hAnsi="Arial" w:cs="Arial"/>
                <w:sz w:val="22"/>
                <w:szCs w:val="22"/>
              </w:rPr>
              <w:t>sectors</w:t>
            </w:r>
            <w:proofErr w:type="gramEnd"/>
          </w:p>
          <w:p w14:paraId="406F186B" w14:textId="77777777" w:rsidR="00E473EC" w:rsidRPr="000C3253" w:rsidRDefault="00E473EC" w:rsidP="000C3253">
            <w:pPr>
              <w:pStyle w:val="paragraph"/>
              <w:numPr>
                <w:ilvl w:val="0"/>
                <w:numId w:val="4"/>
              </w:numPr>
              <w:spacing w:before="120" w:beforeAutospacing="0" w:after="120" w:afterAutospacing="0" w:line="276" w:lineRule="auto"/>
              <w:ind w:left="714" w:hanging="357"/>
              <w:textAlignment w:val="baseline"/>
              <w:rPr>
                <w:rStyle w:val="normaltextrun"/>
                <w:rFonts w:ascii="Arial" w:eastAsiaTheme="majorEastAsia" w:hAnsi="Arial" w:cs="Arial"/>
                <w:sz w:val="22"/>
                <w:szCs w:val="22"/>
              </w:rPr>
            </w:pPr>
            <w:r w:rsidRPr="000C3253">
              <w:rPr>
                <w:rStyle w:val="normaltextrun"/>
                <w:rFonts w:ascii="Arial" w:eastAsiaTheme="majorEastAsia" w:hAnsi="Arial" w:cs="Arial"/>
                <w:sz w:val="22"/>
                <w:szCs w:val="22"/>
              </w:rPr>
              <w:t xml:space="preserve">monitor innovations in funding arrangements, for </w:t>
            </w:r>
            <w:proofErr w:type="gramStart"/>
            <w:r w:rsidRPr="000C3253">
              <w:rPr>
                <w:rStyle w:val="normaltextrun"/>
                <w:rFonts w:ascii="Arial" w:eastAsiaTheme="majorEastAsia" w:hAnsi="Arial" w:cs="Arial"/>
                <w:sz w:val="22"/>
                <w:szCs w:val="22"/>
              </w:rPr>
              <w:t>example  pooled</w:t>
            </w:r>
            <w:proofErr w:type="gramEnd"/>
            <w:r w:rsidRPr="000C3253">
              <w:rPr>
                <w:rStyle w:val="normaltextrun"/>
                <w:rFonts w:ascii="Arial" w:eastAsiaTheme="majorEastAsia" w:hAnsi="Arial" w:cs="Arial"/>
                <w:sz w:val="22"/>
                <w:szCs w:val="22"/>
              </w:rPr>
              <w:t xml:space="preserve"> funding across hospital and primary care settings. </w:t>
            </w:r>
          </w:p>
          <w:p w14:paraId="01088775" w14:textId="77777777" w:rsidR="00E473EC" w:rsidRDefault="00E473EC" w:rsidP="0098242B">
            <w:pPr>
              <w:rPr>
                <w:rFonts w:cstheme="minorHAnsi"/>
                <w:sz w:val="22"/>
                <w:szCs w:val="22"/>
              </w:rPr>
            </w:pPr>
          </w:p>
        </w:tc>
      </w:tr>
    </w:tbl>
    <w:p w14:paraId="46E815DF" w14:textId="77777777" w:rsidR="00E473EC" w:rsidRDefault="00E473EC" w:rsidP="0098242B">
      <w:pPr>
        <w:spacing w:after="0" w:line="240" w:lineRule="auto"/>
        <w:rPr>
          <w:rFonts w:cstheme="minorHAnsi"/>
          <w:sz w:val="22"/>
          <w:szCs w:val="22"/>
        </w:rPr>
      </w:pPr>
    </w:p>
    <w:p w14:paraId="035B8A77" w14:textId="6FFAB137" w:rsidR="008409E3" w:rsidRPr="000C3253" w:rsidRDefault="008409E3" w:rsidP="008409E3">
      <w:pPr>
        <w:spacing w:after="0" w:line="240" w:lineRule="auto"/>
        <w:rPr>
          <w:rFonts w:ascii="Arial" w:hAnsi="Arial" w:cs="Arial"/>
          <w:sz w:val="22"/>
          <w:szCs w:val="22"/>
        </w:rPr>
      </w:pPr>
      <w:r w:rsidRPr="000C3253">
        <w:rPr>
          <w:rFonts w:ascii="Arial" w:hAnsi="Arial" w:cs="Arial"/>
          <w:sz w:val="22"/>
          <w:szCs w:val="22"/>
        </w:rPr>
        <w:t xml:space="preserve">The Panel </w:t>
      </w:r>
      <w:r w:rsidR="00E95227" w:rsidRPr="000C3253">
        <w:rPr>
          <w:rFonts w:ascii="Arial" w:hAnsi="Arial" w:cs="Arial"/>
          <w:sz w:val="22"/>
          <w:szCs w:val="22"/>
        </w:rPr>
        <w:t>has formed the view</w:t>
      </w:r>
      <w:r w:rsidRPr="000C3253">
        <w:rPr>
          <w:rFonts w:ascii="Arial" w:hAnsi="Arial" w:cs="Arial"/>
          <w:sz w:val="22"/>
          <w:szCs w:val="22"/>
        </w:rPr>
        <w:t xml:space="preserve"> that independent pricing will allow a transparent and nationally equitable approach for the Commonwealth contribution toward the costs of these services. It will </w:t>
      </w:r>
      <w:proofErr w:type="spellStart"/>
      <w:r w:rsidRPr="000C3253">
        <w:rPr>
          <w:rFonts w:ascii="Arial" w:hAnsi="Arial" w:cs="Arial"/>
          <w:sz w:val="22"/>
          <w:szCs w:val="22"/>
        </w:rPr>
        <w:t>recognise</w:t>
      </w:r>
      <w:proofErr w:type="spellEnd"/>
      <w:r w:rsidRPr="000C3253">
        <w:rPr>
          <w:rFonts w:ascii="Arial" w:hAnsi="Arial" w:cs="Arial"/>
          <w:sz w:val="22"/>
          <w:szCs w:val="22"/>
        </w:rPr>
        <w:t xml:space="preserve"> variations in costs and prices that are outside the control of providers.</w:t>
      </w:r>
    </w:p>
    <w:p w14:paraId="34263B5F" w14:textId="77777777" w:rsidR="008409E3" w:rsidRPr="000C3253" w:rsidRDefault="008409E3" w:rsidP="0098242B">
      <w:pPr>
        <w:spacing w:after="0" w:line="240" w:lineRule="auto"/>
        <w:rPr>
          <w:rFonts w:ascii="Arial" w:hAnsi="Arial" w:cs="Arial"/>
          <w:sz w:val="22"/>
          <w:szCs w:val="22"/>
        </w:rPr>
      </w:pPr>
    </w:p>
    <w:p w14:paraId="509BF882" w14:textId="2B38912D" w:rsidR="00E473EC" w:rsidRPr="000C3253" w:rsidRDefault="00E473EC" w:rsidP="0098242B">
      <w:pPr>
        <w:spacing w:after="0" w:line="240" w:lineRule="auto"/>
        <w:rPr>
          <w:rFonts w:ascii="Arial" w:hAnsi="Arial" w:cs="Arial"/>
          <w:sz w:val="22"/>
          <w:szCs w:val="22"/>
        </w:rPr>
      </w:pPr>
      <w:r w:rsidRPr="000C3253">
        <w:rPr>
          <w:rFonts w:ascii="Arial" w:hAnsi="Arial" w:cs="Arial"/>
          <w:sz w:val="22"/>
          <w:szCs w:val="22"/>
        </w:rPr>
        <w:t>Fairness in setting the levels and mix of payments to general practices is essential to help ensure financial sustainability.  It will also reinforce that general practices are being rewarded for the care they provide under a blended payments model. Good primary care can only be delivered over the long term if practices and clinicians are receiving a fair reward for delivering care. Efficient pricing signals, including payments which cover costs and provide incentives for high value care, are critical to stimulating an effective system that rewards integration, shared risk and community-based/patient-</w:t>
      </w:r>
      <w:proofErr w:type="spellStart"/>
      <w:r w:rsidRPr="000C3253">
        <w:rPr>
          <w:rFonts w:ascii="Arial" w:hAnsi="Arial" w:cs="Arial"/>
          <w:sz w:val="22"/>
          <w:szCs w:val="22"/>
        </w:rPr>
        <w:t>centred</w:t>
      </w:r>
      <w:proofErr w:type="spellEnd"/>
      <w:r w:rsidRPr="000C3253">
        <w:rPr>
          <w:rFonts w:ascii="Arial" w:hAnsi="Arial" w:cs="Arial"/>
          <w:sz w:val="22"/>
          <w:szCs w:val="22"/>
        </w:rPr>
        <w:t xml:space="preserve"> healthcare. </w:t>
      </w:r>
    </w:p>
    <w:p w14:paraId="0A996DAB" w14:textId="77777777" w:rsidR="00E473EC" w:rsidRPr="000C3253" w:rsidRDefault="00E473EC" w:rsidP="0098242B">
      <w:pPr>
        <w:spacing w:after="0" w:line="240" w:lineRule="auto"/>
        <w:rPr>
          <w:rFonts w:ascii="Arial" w:hAnsi="Arial" w:cs="Arial"/>
          <w:sz w:val="22"/>
          <w:szCs w:val="22"/>
        </w:rPr>
      </w:pPr>
    </w:p>
    <w:p w14:paraId="361D90C8" w14:textId="11A5DEBF" w:rsidR="000C3253" w:rsidRDefault="000C3253" w:rsidP="0098242B">
      <w:pPr>
        <w:spacing w:after="0" w:line="240" w:lineRule="auto"/>
        <w:rPr>
          <w:sz w:val="22"/>
          <w:szCs w:val="22"/>
        </w:rPr>
      </w:pPr>
      <w:r>
        <w:rPr>
          <w:sz w:val="22"/>
          <w:szCs w:val="22"/>
        </w:rPr>
        <w:br w:type="page"/>
      </w:r>
    </w:p>
    <w:p w14:paraId="0F3E80FF" w14:textId="2F51CB47" w:rsidR="00E473EC" w:rsidRPr="000C3253" w:rsidRDefault="00E473EC" w:rsidP="0098242B">
      <w:pPr>
        <w:pStyle w:val="Heading2"/>
        <w:spacing w:before="0"/>
        <w:rPr>
          <w:rFonts w:ascii="Arial" w:eastAsia="Times New Roman" w:hAnsi="Arial" w:cs="Arial"/>
          <w:b/>
          <w:bCs/>
          <w:iCs/>
          <w:color w:val="358189"/>
          <w:sz w:val="36"/>
          <w:szCs w:val="28"/>
          <w:lang w:val="en-AU" w:eastAsia="en-US"/>
        </w:rPr>
      </w:pPr>
      <w:r w:rsidRPr="000C3253">
        <w:rPr>
          <w:rFonts w:ascii="Arial" w:eastAsia="Times New Roman" w:hAnsi="Arial" w:cs="Arial"/>
          <w:b/>
          <w:bCs/>
          <w:iCs/>
          <w:color w:val="358189"/>
          <w:sz w:val="36"/>
          <w:szCs w:val="28"/>
          <w:lang w:val="en-AU" w:eastAsia="en-US"/>
        </w:rPr>
        <w:lastRenderedPageBreak/>
        <w:t>4 - Effective transition to the new payment model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7D4EF" w:themeFill="text2" w:themeFillTint="33"/>
        <w:tblLook w:val="04A0" w:firstRow="1" w:lastRow="0" w:firstColumn="1" w:lastColumn="0" w:noHBand="0" w:noVBand="1"/>
      </w:tblPr>
      <w:tblGrid>
        <w:gridCol w:w="9617"/>
      </w:tblGrid>
      <w:tr w:rsidR="00E473EC" w14:paraId="59A78D4B" w14:textId="77777777" w:rsidTr="00134B2F">
        <w:tc>
          <w:tcPr>
            <w:tcW w:w="9628" w:type="dxa"/>
            <w:shd w:val="clear" w:color="auto" w:fill="B7D4EF" w:themeFill="text2" w:themeFillTint="33"/>
          </w:tcPr>
          <w:p w14:paraId="4DF243F9" w14:textId="77777777" w:rsidR="000C3253" w:rsidRDefault="00E473EC" w:rsidP="000C3253">
            <w:pPr>
              <w:pStyle w:val="paragraph"/>
              <w:spacing w:before="120" w:beforeAutospacing="0" w:after="0" w:afterAutospacing="0" w:line="276" w:lineRule="auto"/>
              <w:textAlignment w:val="baseline"/>
              <w:rPr>
                <w:rStyle w:val="normaltextrun"/>
                <w:rFonts w:ascii="Arial" w:eastAsiaTheme="majorEastAsia" w:hAnsi="Arial" w:cs="Arial"/>
                <w:b/>
                <w:bCs/>
                <w:color w:val="0F4761" w:themeColor="accent1" w:themeShade="BF"/>
                <w:sz w:val="24"/>
                <w:szCs w:val="24"/>
              </w:rPr>
            </w:pPr>
            <w:r w:rsidRPr="000C3253">
              <w:rPr>
                <w:rStyle w:val="normaltextrun"/>
                <w:rFonts w:ascii="Arial" w:eastAsiaTheme="majorEastAsia" w:hAnsi="Arial" w:cs="Arial"/>
                <w:b/>
                <w:bCs/>
                <w:color w:val="0F4761" w:themeColor="accent1" w:themeShade="BF"/>
                <w:sz w:val="24"/>
                <w:szCs w:val="24"/>
              </w:rPr>
              <w:t>Recommendation 4:</w:t>
            </w:r>
          </w:p>
          <w:p w14:paraId="6BE7804A" w14:textId="622678FA" w:rsidR="00E473EC" w:rsidRPr="000C3253" w:rsidRDefault="00E473EC" w:rsidP="000C3253">
            <w:pPr>
              <w:pStyle w:val="paragraph"/>
              <w:spacing w:before="120" w:beforeAutospacing="0" w:after="0" w:afterAutospacing="0" w:line="276" w:lineRule="auto"/>
              <w:textAlignment w:val="baseline"/>
              <w:rPr>
                <w:rStyle w:val="normaltextrun"/>
                <w:rFonts w:ascii="Arial" w:eastAsiaTheme="majorEastAsia" w:hAnsi="Arial" w:cs="Arial"/>
                <w:color w:val="0F4761" w:themeColor="accent1" w:themeShade="BF"/>
                <w:sz w:val="24"/>
                <w:szCs w:val="24"/>
              </w:rPr>
            </w:pPr>
            <w:r w:rsidRPr="000C3253">
              <w:rPr>
                <w:rStyle w:val="normaltextrun"/>
                <w:rFonts w:ascii="Arial" w:eastAsiaTheme="majorEastAsia" w:hAnsi="Arial" w:cs="Arial"/>
                <w:color w:val="0F4761" w:themeColor="accent1" w:themeShade="BF"/>
                <w:sz w:val="24"/>
                <w:szCs w:val="24"/>
              </w:rPr>
              <w:t>The Australian Government should facilitate an effective transition to the new payment model to achieve the vision for general practice</w:t>
            </w:r>
            <w:r w:rsidR="000C3253" w:rsidRPr="000C3253">
              <w:rPr>
                <w:rStyle w:val="normaltextrun"/>
                <w:rFonts w:ascii="Arial" w:eastAsiaTheme="majorEastAsia" w:hAnsi="Arial" w:cs="Arial"/>
                <w:color w:val="0F4761" w:themeColor="accent1" w:themeShade="BF"/>
                <w:sz w:val="24"/>
                <w:szCs w:val="24"/>
              </w:rPr>
              <w:t>.</w:t>
            </w:r>
            <w:r w:rsidRPr="000C3253">
              <w:rPr>
                <w:rStyle w:val="normaltextrun"/>
                <w:rFonts w:ascii="Arial" w:eastAsiaTheme="majorEastAsia" w:hAnsi="Arial" w:cs="Arial"/>
                <w:color w:val="0F4761" w:themeColor="accent1" w:themeShade="BF"/>
                <w:sz w:val="24"/>
                <w:szCs w:val="24"/>
              </w:rPr>
              <w:t xml:space="preserve"> </w:t>
            </w:r>
          </w:p>
          <w:p w14:paraId="2B3185EE" w14:textId="77777777" w:rsidR="00E473EC" w:rsidRPr="000C3253" w:rsidRDefault="00E473EC" w:rsidP="000C3253">
            <w:pPr>
              <w:pStyle w:val="paragraph"/>
              <w:spacing w:before="120" w:beforeAutospacing="0" w:after="0" w:afterAutospacing="0" w:line="276" w:lineRule="auto"/>
              <w:textAlignment w:val="baseline"/>
              <w:rPr>
                <w:rStyle w:val="normaltextrun"/>
                <w:rFonts w:ascii="Arial" w:eastAsiaTheme="majorEastAsia" w:hAnsi="Arial" w:cs="Arial"/>
                <w:b/>
                <w:bCs/>
                <w:color w:val="0F4761" w:themeColor="accent1" w:themeShade="BF"/>
                <w:sz w:val="24"/>
                <w:szCs w:val="24"/>
              </w:rPr>
            </w:pPr>
          </w:p>
          <w:p w14:paraId="25EBB66E" w14:textId="77777777" w:rsidR="00E473EC" w:rsidRPr="000C3253" w:rsidRDefault="00E473EC" w:rsidP="0098242B">
            <w:pPr>
              <w:pStyle w:val="paragraph"/>
              <w:spacing w:before="0" w:beforeAutospacing="0" w:after="0" w:afterAutospacing="0" w:line="276" w:lineRule="auto"/>
              <w:textAlignment w:val="baseline"/>
              <w:rPr>
                <w:rStyle w:val="normaltextrun"/>
                <w:rFonts w:ascii="Arial" w:eastAsiaTheme="majorEastAsia" w:hAnsi="Arial" w:cs="Arial"/>
                <w:color w:val="0F4761" w:themeColor="accent1" w:themeShade="BF"/>
                <w:sz w:val="22"/>
                <w:szCs w:val="22"/>
              </w:rPr>
            </w:pPr>
            <w:r w:rsidRPr="000C3253">
              <w:rPr>
                <w:rStyle w:val="normaltextrun"/>
                <w:rFonts w:ascii="Arial" w:eastAsiaTheme="majorEastAsia" w:hAnsi="Arial" w:cs="Arial"/>
                <w:sz w:val="22"/>
                <w:szCs w:val="22"/>
              </w:rPr>
              <w:t>The transition should include:</w:t>
            </w:r>
          </w:p>
          <w:p w14:paraId="5EC271ED" w14:textId="78FC00A2" w:rsidR="00E473EC" w:rsidRPr="000C3253" w:rsidRDefault="00E473EC" w:rsidP="000C3253">
            <w:pPr>
              <w:pStyle w:val="paragraph"/>
              <w:numPr>
                <w:ilvl w:val="0"/>
                <w:numId w:val="3"/>
              </w:numPr>
              <w:spacing w:before="120" w:beforeAutospacing="0" w:after="120" w:afterAutospacing="0"/>
              <w:ind w:left="425" w:hanging="357"/>
              <w:textAlignment w:val="baseline"/>
              <w:rPr>
                <w:rStyle w:val="normaltextrun"/>
                <w:rFonts w:ascii="Arial" w:eastAsiaTheme="majorEastAsia" w:hAnsi="Arial" w:cs="Arial"/>
                <w:sz w:val="22"/>
                <w:szCs w:val="22"/>
              </w:rPr>
            </w:pPr>
            <w:r w:rsidRPr="000C3253">
              <w:rPr>
                <w:rStyle w:val="normaltextrun"/>
                <w:rFonts w:ascii="Arial" w:eastAsiaTheme="majorEastAsia" w:hAnsi="Arial" w:cs="Arial"/>
                <w:sz w:val="22"/>
                <w:szCs w:val="22"/>
              </w:rPr>
              <w:t xml:space="preserve">a </w:t>
            </w:r>
            <w:proofErr w:type="gramStart"/>
            <w:r w:rsidRPr="000C3253">
              <w:rPr>
                <w:rStyle w:val="normaltextrun"/>
                <w:rFonts w:ascii="Arial" w:eastAsiaTheme="majorEastAsia" w:hAnsi="Arial" w:cs="Arial"/>
                <w:sz w:val="22"/>
                <w:szCs w:val="22"/>
              </w:rPr>
              <w:t>Government</w:t>
            </w:r>
            <w:proofErr w:type="gramEnd"/>
            <w:r w:rsidRPr="000C3253">
              <w:rPr>
                <w:rStyle w:val="normaltextrun"/>
                <w:rFonts w:ascii="Arial" w:eastAsiaTheme="majorEastAsia" w:hAnsi="Arial" w:cs="Arial"/>
                <w:sz w:val="22"/>
                <w:szCs w:val="22"/>
              </w:rPr>
              <w:t xml:space="preserve"> commitment to continuity of services and funding including research and modelling of the effects of reforms on the primary care sector including through the Medical Research Future Fund (MRFF)</w:t>
            </w:r>
            <w:r w:rsidR="000C3253">
              <w:rPr>
                <w:rStyle w:val="normaltextrun"/>
                <w:rFonts w:ascii="Arial" w:eastAsiaTheme="majorEastAsia" w:hAnsi="Arial" w:cs="Arial"/>
                <w:sz w:val="22"/>
                <w:szCs w:val="22"/>
              </w:rPr>
              <w:t>.</w:t>
            </w:r>
          </w:p>
          <w:p w14:paraId="64997460" w14:textId="76B143AE" w:rsidR="00E473EC" w:rsidRPr="000C3253" w:rsidRDefault="00E473EC" w:rsidP="000C3253">
            <w:pPr>
              <w:pStyle w:val="paragraph"/>
              <w:numPr>
                <w:ilvl w:val="0"/>
                <w:numId w:val="3"/>
              </w:numPr>
              <w:spacing w:before="120" w:beforeAutospacing="0" w:after="120" w:afterAutospacing="0"/>
              <w:ind w:left="425" w:hanging="357"/>
              <w:textAlignment w:val="baseline"/>
              <w:rPr>
                <w:rStyle w:val="normaltextrun"/>
                <w:rFonts w:ascii="Arial" w:eastAsiaTheme="majorEastAsia" w:hAnsi="Arial" w:cs="Arial"/>
                <w:sz w:val="22"/>
                <w:szCs w:val="22"/>
              </w:rPr>
            </w:pPr>
            <w:r w:rsidRPr="000C3253">
              <w:rPr>
                <w:rStyle w:val="normaltextrun"/>
                <w:rFonts w:ascii="Arial" w:eastAsiaTheme="majorEastAsia" w:hAnsi="Arial" w:cs="Arial"/>
                <w:sz w:val="22"/>
                <w:szCs w:val="22"/>
              </w:rPr>
              <w:t>a phased approach to implementing the reforms which delivers more funding to primary care in the early phases of the roll-out</w:t>
            </w:r>
            <w:r w:rsidR="000C3253">
              <w:rPr>
                <w:rStyle w:val="normaltextrun"/>
                <w:rFonts w:ascii="Arial" w:eastAsiaTheme="majorEastAsia" w:hAnsi="Arial" w:cs="Arial"/>
                <w:sz w:val="22"/>
                <w:szCs w:val="22"/>
              </w:rPr>
              <w:t>.</w:t>
            </w:r>
          </w:p>
          <w:p w14:paraId="6E127A90" w14:textId="097E5BBB" w:rsidR="00E473EC" w:rsidRPr="000C3253" w:rsidRDefault="00E473EC" w:rsidP="000C3253">
            <w:pPr>
              <w:pStyle w:val="paragraph"/>
              <w:numPr>
                <w:ilvl w:val="0"/>
                <w:numId w:val="3"/>
              </w:numPr>
              <w:spacing w:before="120" w:beforeAutospacing="0" w:after="120" w:afterAutospacing="0"/>
              <w:ind w:left="425" w:hanging="357"/>
              <w:textAlignment w:val="baseline"/>
              <w:rPr>
                <w:rStyle w:val="normaltextrun"/>
                <w:rFonts w:ascii="Arial" w:eastAsiaTheme="majorEastAsia" w:hAnsi="Arial" w:cs="Arial"/>
                <w:sz w:val="22"/>
                <w:szCs w:val="22"/>
              </w:rPr>
            </w:pPr>
            <w:r w:rsidRPr="000C3253">
              <w:rPr>
                <w:rStyle w:val="normaltextrun"/>
                <w:rFonts w:ascii="Arial" w:eastAsiaTheme="majorEastAsia" w:hAnsi="Arial" w:cs="Arial"/>
                <w:sz w:val="22"/>
                <w:szCs w:val="22"/>
              </w:rPr>
              <w:t>partnership and engagement with the primary care sector during the design and implementation of these reforms, including investment in education and training for the sector to transition to the new payment model</w:t>
            </w:r>
            <w:r w:rsidR="000C3253">
              <w:rPr>
                <w:rStyle w:val="normaltextrun"/>
                <w:rFonts w:ascii="Arial" w:eastAsiaTheme="majorEastAsia" w:hAnsi="Arial" w:cs="Arial"/>
                <w:sz w:val="22"/>
                <w:szCs w:val="22"/>
              </w:rPr>
              <w:t>.</w:t>
            </w:r>
          </w:p>
          <w:p w14:paraId="55F4D189" w14:textId="77777777" w:rsidR="00E473EC" w:rsidRPr="000C3253" w:rsidRDefault="00E473EC" w:rsidP="000C3253">
            <w:pPr>
              <w:pStyle w:val="paragraph"/>
              <w:numPr>
                <w:ilvl w:val="0"/>
                <w:numId w:val="3"/>
              </w:numPr>
              <w:spacing w:before="120" w:beforeAutospacing="0" w:after="120" w:afterAutospacing="0"/>
              <w:ind w:left="425" w:hanging="357"/>
              <w:textAlignment w:val="baseline"/>
              <w:rPr>
                <w:rStyle w:val="normaltextrun"/>
                <w:rFonts w:ascii="Arial" w:eastAsiaTheme="majorEastAsia" w:hAnsi="Arial" w:cs="Arial"/>
                <w:sz w:val="22"/>
                <w:szCs w:val="22"/>
              </w:rPr>
            </w:pPr>
            <w:r w:rsidRPr="000C3253">
              <w:rPr>
                <w:rStyle w:val="normaltextrun"/>
                <w:rFonts w:ascii="Arial" w:eastAsiaTheme="majorEastAsia" w:hAnsi="Arial" w:cs="Arial"/>
                <w:sz w:val="22"/>
                <w:szCs w:val="22"/>
              </w:rPr>
              <w:t>continuous, clear communication with stakeholders and the primary care sector</w:t>
            </w:r>
          </w:p>
          <w:p w14:paraId="2C174BEA" w14:textId="77777777" w:rsidR="00E473EC" w:rsidRPr="000C3253" w:rsidRDefault="00E473EC" w:rsidP="000C3253">
            <w:pPr>
              <w:pStyle w:val="paragraph"/>
              <w:numPr>
                <w:ilvl w:val="0"/>
                <w:numId w:val="3"/>
              </w:numPr>
              <w:spacing w:before="120" w:beforeAutospacing="0" w:after="120" w:afterAutospacing="0"/>
              <w:ind w:left="425" w:hanging="357"/>
              <w:textAlignment w:val="baseline"/>
              <w:rPr>
                <w:rStyle w:val="normaltextrun"/>
                <w:rFonts w:ascii="Arial" w:eastAsiaTheme="majorEastAsia" w:hAnsi="Arial" w:cs="Arial"/>
                <w:sz w:val="22"/>
                <w:szCs w:val="22"/>
              </w:rPr>
            </w:pPr>
            <w:r w:rsidRPr="000C3253">
              <w:rPr>
                <w:rStyle w:val="normaltextrun"/>
                <w:rFonts w:ascii="Arial" w:eastAsiaTheme="majorEastAsia" w:hAnsi="Arial" w:cs="Arial"/>
                <w:sz w:val="22"/>
                <w:szCs w:val="22"/>
              </w:rPr>
              <w:t>a continuous cycle of monitoring and evaluating reform outcomes and using these learnings to refine and test subsequent funding model evolutions.</w:t>
            </w:r>
          </w:p>
          <w:p w14:paraId="14C80D01" w14:textId="77777777" w:rsidR="00E473EC" w:rsidRDefault="00E473EC" w:rsidP="0098242B">
            <w:pPr>
              <w:rPr>
                <w:rFonts w:cstheme="minorHAnsi"/>
                <w:sz w:val="22"/>
                <w:szCs w:val="22"/>
              </w:rPr>
            </w:pPr>
          </w:p>
        </w:tc>
      </w:tr>
    </w:tbl>
    <w:p w14:paraId="0BE45D5A" w14:textId="77777777" w:rsidR="00E473EC" w:rsidRDefault="00E473EC" w:rsidP="0098242B">
      <w:pPr>
        <w:spacing w:after="0" w:line="240" w:lineRule="auto"/>
        <w:rPr>
          <w:rFonts w:cstheme="minorHAnsi"/>
          <w:sz w:val="22"/>
          <w:szCs w:val="22"/>
        </w:rPr>
      </w:pPr>
    </w:p>
    <w:p w14:paraId="60F9880A" w14:textId="44F0A382" w:rsidR="008409E3" w:rsidRPr="000C3253" w:rsidRDefault="008409E3" w:rsidP="008409E3">
      <w:pPr>
        <w:spacing w:after="0" w:line="240" w:lineRule="auto"/>
        <w:rPr>
          <w:rFonts w:ascii="Arial" w:hAnsi="Arial" w:cs="Arial"/>
          <w:sz w:val="22"/>
          <w:szCs w:val="22"/>
        </w:rPr>
      </w:pPr>
      <w:r w:rsidRPr="000C3253">
        <w:rPr>
          <w:rFonts w:ascii="Arial" w:hAnsi="Arial" w:cs="Arial"/>
          <w:sz w:val="22"/>
          <w:szCs w:val="22"/>
        </w:rPr>
        <w:t xml:space="preserve">Implementing the new payment model represents a significant reform – the Panel believes it should be implemented carefully and thoughtfully but purposefully. At the same time, patients will continue to need care and providers need financial certainty to be able to plan for the transition to the new arrangements. </w:t>
      </w:r>
    </w:p>
    <w:p w14:paraId="49DC2F1B" w14:textId="77777777" w:rsidR="008409E3" w:rsidRPr="000C3253" w:rsidRDefault="008409E3" w:rsidP="008409E3">
      <w:pPr>
        <w:spacing w:after="0" w:line="240" w:lineRule="auto"/>
        <w:rPr>
          <w:rFonts w:ascii="Arial" w:hAnsi="Arial" w:cs="Arial"/>
          <w:sz w:val="22"/>
          <w:szCs w:val="22"/>
        </w:rPr>
      </w:pPr>
    </w:p>
    <w:p w14:paraId="52DDF6C6" w14:textId="77777777" w:rsidR="00E473EC" w:rsidRPr="000C3253" w:rsidRDefault="00E473EC" w:rsidP="0098242B">
      <w:pPr>
        <w:spacing w:after="0" w:line="240" w:lineRule="auto"/>
        <w:rPr>
          <w:rFonts w:ascii="Arial" w:hAnsi="Arial" w:cs="Arial"/>
          <w:sz w:val="22"/>
          <w:szCs w:val="22"/>
        </w:rPr>
      </w:pPr>
      <w:r w:rsidRPr="000C3253">
        <w:rPr>
          <w:rFonts w:ascii="Arial" w:hAnsi="Arial" w:cs="Arial"/>
          <w:sz w:val="22"/>
          <w:szCs w:val="22"/>
        </w:rPr>
        <w:t>A carefully planned and implemented change management program will be critical to the transition to the new payment model and should include the following elements:</w:t>
      </w:r>
    </w:p>
    <w:p w14:paraId="2850E2CC" w14:textId="1F70EE19" w:rsidR="00E473EC" w:rsidRPr="000C3253" w:rsidRDefault="00E473EC" w:rsidP="000C3253">
      <w:pPr>
        <w:numPr>
          <w:ilvl w:val="0"/>
          <w:numId w:val="5"/>
        </w:numPr>
        <w:spacing w:before="120" w:after="120" w:line="240" w:lineRule="auto"/>
        <w:ind w:left="425" w:hanging="357"/>
        <w:rPr>
          <w:rFonts w:ascii="Arial" w:eastAsia="Calibri" w:hAnsi="Arial" w:cs="Arial"/>
          <w:sz w:val="22"/>
          <w:szCs w:val="22"/>
        </w:rPr>
      </w:pPr>
      <w:r w:rsidRPr="000C3253">
        <w:rPr>
          <w:rFonts w:ascii="Arial" w:eastAsia="Calibri" w:hAnsi="Arial" w:cs="Arial"/>
          <w:sz w:val="22"/>
          <w:szCs w:val="22"/>
        </w:rPr>
        <w:t>a commitment to continuity of existing services and funding</w:t>
      </w:r>
    </w:p>
    <w:p w14:paraId="42196FEB" w14:textId="0AC6E9D2" w:rsidR="00E473EC" w:rsidRPr="000C3253" w:rsidRDefault="00E473EC" w:rsidP="000C3253">
      <w:pPr>
        <w:numPr>
          <w:ilvl w:val="0"/>
          <w:numId w:val="5"/>
        </w:numPr>
        <w:spacing w:before="120" w:after="120" w:line="240" w:lineRule="auto"/>
        <w:ind w:left="425" w:hanging="357"/>
        <w:rPr>
          <w:rFonts w:ascii="Arial" w:eastAsia="Calibri" w:hAnsi="Arial" w:cs="Arial"/>
          <w:sz w:val="22"/>
          <w:szCs w:val="22"/>
        </w:rPr>
      </w:pPr>
      <w:r w:rsidRPr="000C3253">
        <w:rPr>
          <w:rFonts w:ascii="Arial" w:eastAsia="Calibri" w:hAnsi="Arial" w:cs="Arial"/>
          <w:sz w:val="22"/>
          <w:szCs w:val="22"/>
        </w:rPr>
        <w:t>a phased approach</w:t>
      </w:r>
      <w:r w:rsidR="008409E3" w:rsidRPr="000C3253">
        <w:rPr>
          <w:rFonts w:ascii="Arial" w:eastAsia="Calibri" w:hAnsi="Arial" w:cs="Arial"/>
          <w:sz w:val="22"/>
          <w:szCs w:val="22"/>
        </w:rPr>
        <w:t xml:space="preserve">, including a commitment to not disrupt existing care and support to practices to adopt new arrangements </w:t>
      </w:r>
      <w:proofErr w:type="gramStart"/>
      <w:r w:rsidR="008409E3" w:rsidRPr="000C3253">
        <w:rPr>
          <w:rFonts w:ascii="Arial" w:eastAsia="Calibri" w:hAnsi="Arial" w:cs="Arial"/>
          <w:sz w:val="22"/>
          <w:szCs w:val="22"/>
        </w:rPr>
        <w:t>gradually</w:t>
      </w:r>
      <w:proofErr w:type="gramEnd"/>
    </w:p>
    <w:p w14:paraId="64E772F8" w14:textId="77777777" w:rsidR="00E473EC" w:rsidRPr="000C3253" w:rsidRDefault="00E473EC" w:rsidP="000C3253">
      <w:pPr>
        <w:numPr>
          <w:ilvl w:val="0"/>
          <w:numId w:val="5"/>
        </w:numPr>
        <w:spacing w:before="120" w:after="120" w:line="240" w:lineRule="auto"/>
        <w:ind w:left="425" w:hanging="357"/>
        <w:rPr>
          <w:rFonts w:ascii="Arial" w:hAnsi="Arial" w:cs="Arial"/>
          <w:sz w:val="22"/>
          <w:szCs w:val="22"/>
        </w:rPr>
      </w:pPr>
      <w:r w:rsidRPr="000C3253">
        <w:rPr>
          <w:rFonts w:ascii="Arial" w:eastAsia="Calibri" w:hAnsi="Arial" w:cs="Arial"/>
          <w:sz w:val="22"/>
          <w:szCs w:val="22"/>
        </w:rPr>
        <w:t>partnership and engagement with primary care stakeholders</w:t>
      </w:r>
    </w:p>
    <w:p w14:paraId="1E3283D0" w14:textId="1AE3BB21" w:rsidR="00E473EC" w:rsidRPr="000C3253" w:rsidRDefault="008409E3" w:rsidP="000C3253">
      <w:pPr>
        <w:numPr>
          <w:ilvl w:val="0"/>
          <w:numId w:val="5"/>
        </w:numPr>
        <w:spacing w:before="120" w:after="120" w:line="240" w:lineRule="auto"/>
        <w:ind w:left="425" w:hanging="357"/>
        <w:rPr>
          <w:rFonts w:ascii="Arial" w:hAnsi="Arial" w:cs="Arial"/>
          <w:sz w:val="22"/>
          <w:szCs w:val="22"/>
        </w:rPr>
      </w:pPr>
      <w:r w:rsidRPr="000C3253">
        <w:rPr>
          <w:rFonts w:ascii="Arial" w:eastAsia="Calibri" w:hAnsi="Arial" w:cs="Arial"/>
          <w:sz w:val="22"/>
          <w:szCs w:val="22"/>
        </w:rPr>
        <w:t xml:space="preserve">clear and consistent </w:t>
      </w:r>
      <w:r w:rsidR="00E473EC" w:rsidRPr="000C3253">
        <w:rPr>
          <w:rFonts w:ascii="Arial" w:eastAsia="Calibri" w:hAnsi="Arial" w:cs="Arial"/>
          <w:sz w:val="22"/>
          <w:szCs w:val="22"/>
        </w:rPr>
        <w:t>communication</w:t>
      </w:r>
      <w:r w:rsidRPr="000C3253">
        <w:rPr>
          <w:rFonts w:ascii="Arial" w:eastAsia="Calibri" w:hAnsi="Arial" w:cs="Arial"/>
          <w:sz w:val="22"/>
          <w:szCs w:val="22"/>
        </w:rPr>
        <w:t xml:space="preserve"> from the Government, to explain the reforms and the transition </w:t>
      </w:r>
      <w:proofErr w:type="gramStart"/>
      <w:r w:rsidRPr="000C3253">
        <w:rPr>
          <w:rFonts w:ascii="Arial" w:eastAsia="Calibri" w:hAnsi="Arial" w:cs="Arial"/>
          <w:sz w:val="22"/>
          <w:szCs w:val="22"/>
        </w:rPr>
        <w:t>pathway</w:t>
      </w:r>
      <w:proofErr w:type="gramEnd"/>
    </w:p>
    <w:p w14:paraId="12F795BC" w14:textId="77777777" w:rsidR="00E473EC" w:rsidRPr="000C3253" w:rsidRDefault="00E473EC" w:rsidP="000C3253">
      <w:pPr>
        <w:numPr>
          <w:ilvl w:val="0"/>
          <w:numId w:val="5"/>
        </w:numPr>
        <w:spacing w:before="120" w:after="120" w:line="240" w:lineRule="auto"/>
        <w:ind w:left="425" w:hanging="357"/>
        <w:rPr>
          <w:rFonts w:ascii="Arial" w:eastAsia="Calibri" w:hAnsi="Arial" w:cs="Arial"/>
          <w:sz w:val="22"/>
          <w:szCs w:val="22"/>
        </w:rPr>
      </w:pPr>
      <w:r w:rsidRPr="000C3253">
        <w:rPr>
          <w:rFonts w:ascii="Arial" w:eastAsia="Calibri" w:hAnsi="Arial" w:cs="Arial"/>
          <w:sz w:val="22"/>
          <w:szCs w:val="22"/>
        </w:rPr>
        <w:t>a continual cycle of monitoring, evaluation, and learning.</w:t>
      </w:r>
    </w:p>
    <w:p w14:paraId="1E15330B" w14:textId="257B6122" w:rsidR="004E090A" w:rsidRPr="000C3253" w:rsidRDefault="004E090A">
      <w:pPr>
        <w:rPr>
          <w:rFonts w:ascii="Arial" w:eastAsiaTheme="majorEastAsia" w:hAnsi="Arial" w:cs="Arial"/>
          <w:color w:val="0F4761" w:themeColor="accent1" w:themeShade="BF"/>
          <w:sz w:val="40"/>
          <w:szCs w:val="40"/>
        </w:rPr>
      </w:pPr>
    </w:p>
    <w:p w14:paraId="02CE1F77" w14:textId="77777777" w:rsidR="00FD0108" w:rsidRDefault="00FD0108">
      <w:pPr>
        <w:rPr>
          <w:rFonts w:asciiTheme="majorHAnsi" w:eastAsiaTheme="majorEastAsia" w:hAnsiTheme="majorHAnsi" w:cstheme="majorBidi"/>
          <w:color w:val="0F4761" w:themeColor="accent1" w:themeShade="BF"/>
          <w:sz w:val="40"/>
          <w:szCs w:val="40"/>
        </w:rPr>
      </w:pPr>
      <w:r>
        <w:br w:type="page"/>
      </w:r>
    </w:p>
    <w:p w14:paraId="7EFFF05D" w14:textId="51A35A5A" w:rsidR="00042D0B" w:rsidRPr="000C3253" w:rsidRDefault="00042D0B" w:rsidP="00042D0B">
      <w:pPr>
        <w:pStyle w:val="Heading1"/>
        <w:rPr>
          <w:rFonts w:ascii="Arial" w:eastAsia="Times New Roman" w:hAnsi="Arial" w:cs="Arial"/>
          <w:b/>
          <w:bCs/>
          <w:color w:val="3F4A75"/>
          <w:kern w:val="28"/>
          <w:sz w:val="44"/>
          <w:szCs w:val="36"/>
          <w:lang w:val="en-AU" w:eastAsia="en-US"/>
        </w:rPr>
      </w:pPr>
      <w:r w:rsidRPr="000C3253">
        <w:rPr>
          <w:rFonts w:ascii="Arial" w:eastAsia="Times New Roman" w:hAnsi="Arial" w:cs="Arial"/>
          <w:b/>
          <w:bCs/>
          <w:color w:val="3F4A75"/>
          <w:kern w:val="28"/>
          <w:sz w:val="44"/>
          <w:szCs w:val="36"/>
          <w:lang w:val="en-AU" w:eastAsia="en-US"/>
        </w:rPr>
        <w:lastRenderedPageBreak/>
        <w:t>Appendix 1 – Expert Advisory Panel members</w:t>
      </w:r>
      <w:r w:rsidR="00933F1A" w:rsidRPr="000C3253">
        <w:rPr>
          <w:rFonts w:ascii="Arial" w:eastAsia="Times New Roman" w:hAnsi="Arial" w:cs="Arial"/>
          <w:b/>
          <w:bCs/>
          <w:color w:val="3F4A75"/>
          <w:kern w:val="28"/>
          <w:sz w:val="44"/>
          <w:szCs w:val="36"/>
          <w:lang w:val="en-AU" w:eastAsia="en-US"/>
        </w:rPr>
        <w:t xml:space="preserve"> and the Terms of Reference for the Review</w:t>
      </w:r>
    </w:p>
    <w:p w14:paraId="4B6C608C" w14:textId="6236F0B0" w:rsidR="001F1C3C" w:rsidRPr="0084048C" w:rsidRDefault="001F1C3C" w:rsidP="0077255B">
      <w:pPr>
        <w:rPr>
          <w:rFonts w:ascii="Arial" w:eastAsia="Calibri" w:hAnsi="Arial" w:cs="Arial"/>
          <w:color w:val="000000" w:themeColor="text1"/>
          <w:sz w:val="22"/>
          <w:szCs w:val="22"/>
          <w:lang w:val="en-GB"/>
        </w:rPr>
      </w:pPr>
      <w:r w:rsidRPr="0084048C">
        <w:rPr>
          <w:rFonts w:ascii="Arial" w:eastAsia="Calibri" w:hAnsi="Arial" w:cs="Arial"/>
          <w:color w:val="000000" w:themeColor="text1"/>
          <w:sz w:val="22"/>
          <w:szCs w:val="22"/>
          <w:lang w:val="en-GB"/>
        </w:rPr>
        <w:t>Panel members were jointly nominated by key peak bodies</w:t>
      </w:r>
      <w:r w:rsidR="001C7192" w:rsidRPr="0084048C">
        <w:rPr>
          <w:rFonts w:ascii="Arial" w:eastAsia="Calibri" w:hAnsi="Arial" w:cs="Arial"/>
          <w:color w:val="000000" w:themeColor="text1"/>
          <w:sz w:val="22"/>
          <w:szCs w:val="22"/>
          <w:lang w:val="en-GB"/>
        </w:rPr>
        <w:t>, comprising of experts from primary care, First Nations, health economics and health systems perspectives.</w:t>
      </w:r>
    </w:p>
    <w:tbl>
      <w:tblPr>
        <w:tblW w:w="0" w:type="auto"/>
        <w:tblInd w:w="-1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932"/>
        <w:gridCol w:w="6084"/>
      </w:tblGrid>
      <w:tr w:rsidR="00E95227" w:rsidRPr="0084048C" w14:paraId="2D9BAEFA" w14:textId="77777777" w:rsidTr="00E95227">
        <w:tc>
          <w:tcPr>
            <w:tcW w:w="293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FA6BCD6" w14:textId="77777777" w:rsidR="00E95227" w:rsidRPr="0084048C" w:rsidRDefault="00E95227" w:rsidP="005F3048">
            <w:pPr>
              <w:spacing w:after="0"/>
              <w:rPr>
                <w:rFonts w:ascii="Arial" w:hAnsi="Arial" w:cs="Arial"/>
                <w:color w:val="313131"/>
                <w:sz w:val="22"/>
                <w:szCs w:val="22"/>
                <w:lang w:eastAsia="en-AU"/>
              </w:rPr>
            </w:pPr>
            <w:r w:rsidRPr="0084048C">
              <w:rPr>
                <w:rFonts w:ascii="Arial" w:hAnsi="Arial" w:cs="Arial"/>
                <w:b/>
                <w:bCs/>
                <w:color w:val="313131"/>
                <w:sz w:val="22"/>
                <w:szCs w:val="22"/>
                <w:lang w:eastAsia="en-AU"/>
              </w:rPr>
              <w:t>Member</w:t>
            </w:r>
          </w:p>
        </w:tc>
        <w:tc>
          <w:tcPr>
            <w:tcW w:w="608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AA741FE" w14:textId="77777777" w:rsidR="00E95227" w:rsidRPr="0084048C" w:rsidRDefault="00E95227" w:rsidP="005F3048">
            <w:pPr>
              <w:spacing w:after="0"/>
              <w:rPr>
                <w:rFonts w:ascii="Arial" w:hAnsi="Arial" w:cs="Arial"/>
                <w:color w:val="313131"/>
                <w:sz w:val="22"/>
                <w:szCs w:val="22"/>
                <w:lang w:eastAsia="en-AU"/>
              </w:rPr>
            </w:pPr>
            <w:r w:rsidRPr="0084048C">
              <w:rPr>
                <w:rFonts w:ascii="Arial" w:hAnsi="Arial" w:cs="Arial"/>
                <w:b/>
                <w:bCs/>
                <w:color w:val="313131"/>
                <w:sz w:val="22"/>
                <w:szCs w:val="22"/>
                <w:lang w:eastAsia="en-AU"/>
              </w:rPr>
              <w:t>Expertise / Role</w:t>
            </w:r>
          </w:p>
        </w:tc>
      </w:tr>
      <w:tr w:rsidR="00E95227" w:rsidRPr="0084048C" w14:paraId="4F43330A" w14:textId="77777777" w:rsidTr="00E95227">
        <w:tc>
          <w:tcPr>
            <w:tcW w:w="293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8947068" w14:textId="20BE366C" w:rsidR="00E95227" w:rsidRPr="0084048C" w:rsidRDefault="00E95227" w:rsidP="005F3048">
            <w:pPr>
              <w:spacing w:after="0"/>
              <w:rPr>
                <w:rFonts w:ascii="Arial" w:hAnsi="Arial" w:cs="Arial"/>
                <w:color w:val="313131"/>
                <w:sz w:val="22"/>
                <w:szCs w:val="22"/>
                <w:lang w:eastAsia="en-AU"/>
              </w:rPr>
            </w:pPr>
            <w:proofErr w:type="spellStart"/>
            <w:r w:rsidRPr="0084048C">
              <w:rPr>
                <w:rFonts w:ascii="Arial" w:hAnsi="Arial" w:cs="Arial"/>
                <w:color w:val="313131"/>
                <w:sz w:val="22"/>
                <w:szCs w:val="22"/>
                <w:lang w:eastAsia="en-AU"/>
              </w:rPr>
              <w:t>Mr</w:t>
            </w:r>
            <w:proofErr w:type="spellEnd"/>
            <w:r w:rsidRPr="0084048C">
              <w:rPr>
                <w:rFonts w:ascii="Arial" w:hAnsi="Arial" w:cs="Arial"/>
                <w:color w:val="313131"/>
                <w:sz w:val="22"/>
                <w:szCs w:val="22"/>
                <w:lang w:eastAsia="en-AU"/>
              </w:rPr>
              <w:t xml:space="preserve"> Mark Roddam (Chair – ex offic</w:t>
            </w:r>
            <w:r w:rsidR="003361F1" w:rsidRPr="0084048C">
              <w:rPr>
                <w:rFonts w:ascii="Arial" w:hAnsi="Arial" w:cs="Arial"/>
                <w:color w:val="313131"/>
                <w:sz w:val="22"/>
                <w:szCs w:val="22"/>
                <w:lang w:eastAsia="en-AU"/>
              </w:rPr>
              <w:t>i</w:t>
            </w:r>
            <w:r w:rsidRPr="0084048C">
              <w:rPr>
                <w:rFonts w:ascii="Arial" w:hAnsi="Arial" w:cs="Arial"/>
                <w:color w:val="313131"/>
                <w:sz w:val="22"/>
                <w:szCs w:val="22"/>
                <w:lang w:eastAsia="en-AU"/>
              </w:rPr>
              <w:t>o)</w:t>
            </w:r>
          </w:p>
        </w:tc>
        <w:tc>
          <w:tcPr>
            <w:tcW w:w="608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1A9197B" w14:textId="77777777" w:rsidR="00E95227" w:rsidRPr="0084048C" w:rsidRDefault="00E95227" w:rsidP="005F3048">
            <w:pPr>
              <w:spacing w:after="0"/>
              <w:rPr>
                <w:rFonts w:ascii="Arial" w:hAnsi="Arial" w:cs="Arial"/>
                <w:color w:val="313131"/>
                <w:sz w:val="22"/>
                <w:szCs w:val="22"/>
                <w:lang w:eastAsia="en-AU"/>
              </w:rPr>
            </w:pPr>
            <w:r w:rsidRPr="0084048C">
              <w:rPr>
                <w:rFonts w:ascii="Arial" w:hAnsi="Arial" w:cs="Arial"/>
                <w:color w:val="313131"/>
                <w:sz w:val="22"/>
                <w:szCs w:val="22"/>
                <w:lang w:eastAsia="en-AU"/>
              </w:rPr>
              <w:t xml:space="preserve">First Assistant Secretary, Primary Care division, Department of </w:t>
            </w:r>
            <w:proofErr w:type="gramStart"/>
            <w:r w:rsidRPr="0084048C">
              <w:rPr>
                <w:rFonts w:ascii="Arial" w:hAnsi="Arial" w:cs="Arial"/>
                <w:color w:val="313131"/>
                <w:sz w:val="22"/>
                <w:szCs w:val="22"/>
                <w:lang w:eastAsia="en-AU"/>
              </w:rPr>
              <w:t>Health</w:t>
            </w:r>
            <w:proofErr w:type="gramEnd"/>
            <w:r w:rsidRPr="0084048C">
              <w:rPr>
                <w:rFonts w:ascii="Arial" w:hAnsi="Arial" w:cs="Arial"/>
                <w:color w:val="313131"/>
                <w:sz w:val="22"/>
                <w:szCs w:val="22"/>
                <w:lang w:eastAsia="en-AU"/>
              </w:rPr>
              <w:t xml:space="preserve"> and Aged Care</w:t>
            </w:r>
          </w:p>
        </w:tc>
      </w:tr>
      <w:tr w:rsidR="00E95227" w:rsidRPr="0084048C" w14:paraId="3BB9FDFE" w14:textId="77777777" w:rsidTr="00E95227">
        <w:tc>
          <w:tcPr>
            <w:tcW w:w="293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6009D8AE" w14:textId="244030D3" w:rsidR="00E95227" w:rsidRPr="0084048C" w:rsidRDefault="00E95227" w:rsidP="005F3048">
            <w:pPr>
              <w:spacing w:after="0"/>
              <w:rPr>
                <w:rFonts w:ascii="Arial" w:hAnsi="Arial" w:cs="Arial"/>
                <w:color w:val="313131"/>
                <w:sz w:val="22"/>
                <w:szCs w:val="22"/>
                <w:lang w:eastAsia="en-AU"/>
              </w:rPr>
            </w:pPr>
            <w:r w:rsidRPr="0084048C">
              <w:rPr>
                <w:rFonts w:ascii="Arial" w:hAnsi="Arial" w:cs="Arial"/>
                <w:color w:val="313131"/>
                <w:sz w:val="22"/>
                <w:szCs w:val="22"/>
                <w:lang w:eastAsia="en-AU"/>
              </w:rPr>
              <w:t>Prof. Ant</w:t>
            </w:r>
            <w:r w:rsidR="00A0094E" w:rsidRPr="0084048C">
              <w:rPr>
                <w:rFonts w:ascii="Arial" w:hAnsi="Arial" w:cs="Arial"/>
                <w:color w:val="313131"/>
                <w:sz w:val="22"/>
                <w:szCs w:val="22"/>
                <w:lang w:eastAsia="en-AU"/>
              </w:rPr>
              <w:t>h</w:t>
            </w:r>
            <w:r w:rsidRPr="0084048C">
              <w:rPr>
                <w:rFonts w:ascii="Arial" w:hAnsi="Arial" w:cs="Arial"/>
                <w:color w:val="313131"/>
                <w:sz w:val="22"/>
                <w:szCs w:val="22"/>
                <w:lang w:eastAsia="en-AU"/>
              </w:rPr>
              <w:t xml:space="preserve">ony Scott </w:t>
            </w:r>
          </w:p>
          <w:p w14:paraId="74CA6C8A" w14:textId="77777777" w:rsidR="00E95227" w:rsidRPr="0084048C" w:rsidRDefault="00E95227" w:rsidP="005F3048">
            <w:pPr>
              <w:spacing w:after="0"/>
              <w:rPr>
                <w:rFonts w:ascii="Arial" w:hAnsi="Arial" w:cs="Arial"/>
                <w:color w:val="313131"/>
                <w:sz w:val="22"/>
                <w:szCs w:val="22"/>
                <w:lang w:eastAsia="en-AU"/>
              </w:rPr>
            </w:pPr>
            <w:r w:rsidRPr="0084048C">
              <w:rPr>
                <w:rFonts w:ascii="Arial" w:hAnsi="Arial" w:cs="Arial"/>
                <w:i/>
                <w:iCs/>
                <w:color w:val="313131"/>
                <w:sz w:val="22"/>
                <w:szCs w:val="22"/>
                <w:lang w:eastAsia="en-AU"/>
              </w:rPr>
              <w:t>(from January 2024)</w:t>
            </w:r>
          </w:p>
        </w:tc>
        <w:tc>
          <w:tcPr>
            <w:tcW w:w="608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2E8CDA4C" w14:textId="5FC1CDA6" w:rsidR="00E95227" w:rsidRPr="0084048C" w:rsidRDefault="00E95227" w:rsidP="005F3048">
            <w:pPr>
              <w:spacing w:after="0"/>
              <w:rPr>
                <w:rFonts w:ascii="Arial" w:hAnsi="Arial" w:cs="Arial"/>
                <w:color w:val="313131"/>
                <w:sz w:val="22"/>
                <w:szCs w:val="22"/>
                <w:lang w:eastAsia="en-AU"/>
              </w:rPr>
            </w:pPr>
            <w:r w:rsidRPr="0084048C">
              <w:rPr>
                <w:rFonts w:ascii="Arial" w:hAnsi="Arial" w:cs="Arial"/>
                <w:color w:val="313131"/>
                <w:sz w:val="22"/>
                <w:szCs w:val="22"/>
                <w:lang w:eastAsia="en-AU"/>
              </w:rPr>
              <w:t>Health Economist</w:t>
            </w:r>
          </w:p>
          <w:p w14:paraId="6C9F70DF" w14:textId="4701AC72" w:rsidR="00E95227" w:rsidRPr="0084048C" w:rsidRDefault="00AB6879" w:rsidP="005F3048">
            <w:pPr>
              <w:spacing w:after="0"/>
              <w:rPr>
                <w:rFonts w:ascii="Arial" w:hAnsi="Arial" w:cs="Arial"/>
                <w:color w:val="313131"/>
                <w:sz w:val="22"/>
                <w:szCs w:val="22"/>
                <w:lang w:eastAsia="en-AU"/>
              </w:rPr>
            </w:pPr>
            <w:r w:rsidRPr="0084048C">
              <w:rPr>
                <w:rFonts w:ascii="Arial" w:hAnsi="Arial" w:cs="Arial"/>
                <w:color w:val="313131"/>
                <w:sz w:val="22"/>
                <w:szCs w:val="22"/>
                <w:lang w:eastAsia="en-AU"/>
              </w:rPr>
              <w:t>Professor and Director, Centre for Health Economics, Monash Business School, Monash University</w:t>
            </w:r>
          </w:p>
        </w:tc>
      </w:tr>
      <w:tr w:rsidR="00E95227" w:rsidRPr="0084048C" w14:paraId="05DC8BC9" w14:textId="77777777" w:rsidTr="00E95227">
        <w:tc>
          <w:tcPr>
            <w:tcW w:w="293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6951D12A" w14:textId="77777777" w:rsidR="00E95227" w:rsidRPr="0084048C" w:rsidRDefault="00E95227" w:rsidP="005F3048">
            <w:pPr>
              <w:spacing w:after="0"/>
              <w:rPr>
                <w:rFonts w:ascii="Arial" w:hAnsi="Arial" w:cs="Arial"/>
                <w:color w:val="313131"/>
                <w:sz w:val="22"/>
                <w:szCs w:val="22"/>
                <w:lang w:eastAsia="en-AU"/>
              </w:rPr>
            </w:pPr>
            <w:r w:rsidRPr="0084048C">
              <w:rPr>
                <w:rFonts w:ascii="Arial" w:hAnsi="Arial" w:cs="Arial"/>
                <w:color w:val="313131"/>
                <w:sz w:val="22"/>
                <w:szCs w:val="22"/>
                <w:lang w:eastAsia="en-AU"/>
              </w:rPr>
              <w:t>Dr Clara Tuck Meng Soo</w:t>
            </w:r>
          </w:p>
        </w:tc>
        <w:tc>
          <w:tcPr>
            <w:tcW w:w="608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506BF67C" w14:textId="247808BD" w:rsidR="00E95227" w:rsidRPr="0084048C" w:rsidRDefault="00E95227" w:rsidP="005F3048">
            <w:pPr>
              <w:spacing w:after="0"/>
              <w:rPr>
                <w:rFonts w:ascii="Arial" w:hAnsi="Arial" w:cs="Arial"/>
                <w:color w:val="313131"/>
                <w:sz w:val="22"/>
                <w:szCs w:val="22"/>
                <w:lang w:eastAsia="en-AU"/>
              </w:rPr>
            </w:pPr>
            <w:r w:rsidRPr="0084048C">
              <w:rPr>
                <w:rFonts w:ascii="Arial" w:hAnsi="Arial" w:cs="Arial"/>
                <w:color w:val="313131"/>
                <w:sz w:val="22"/>
                <w:szCs w:val="22"/>
                <w:lang w:eastAsia="en-AU"/>
              </w:rPr>
              <w:t xml:space="preserve">General Practitioner with an expertise in priority populations health </w:t>
            </w:r>
          </w:p>
          <w:p w14:paraId="58DBDDE5" w14:textId="47AD0BBB" w:rsidR="00E95227" w:rsidRPr="0084048C" w:rsidRDefault="00E95227" w:rsidP="005F3048">
            <w:pPr>
              <w:spacing w:after="0"/>
              <w:rPr>
                <w:rFonts w:ascii="Arial" w:hAnsi="Arial" w:cs="Arial"/>
                <w:color w:val="313131"/>
                <w:sz w:val="22"/>
                <w:szCs w:val="22"/>
                <w:lang w:eastAsia="en-AU"/>
              </w:rPr>
            </w:pPr>
            <w:r w:rsidRPr="0084048C">
              <w:rPr>
                <w:rFonts w:ascii="Arial" w:hAnsi="Arial" w:cs="Arial"/>
                <w:color w:val="313131"/>
                <w:sz w:val="22"/>
                <w:szCs w:val="22"/>
                <w:lang w:eastAsia="en-AU"/>
              </w:rPr>
              <w:t xml:space="preserve">Practice Principal, </w:t>
            </w:r>
            <w:r w:rsidR="005B20EF">
              <w:rPr>
                <w:rFonts w:ascii="Arial" w:hAnsi="Arial" w:cs="Arial"/>
                <w:color w:val="313131"/>
                <w:sz w:val="22"/>
                <w:szCs w:val="22"/>
                <w:lang w:eastAsia="en-AU"/>
              </w:rPr>
              <w:t>East Canberra</w:t>
            </w:r>
            <w:r w:rsidRPr="0084048C">
              <w:rPr>
                <w:rFonts w:ascii="Arial" w:hAnsi="Arial" w:cs="Arial"/>
                <w:color w:val="313131"/>
                <w:sz w:val="22"/>
                <w:szCs w:val="22"/>
                <w:lang w:eastAsia="en-AU"/>
              </w:rPr>
              <w:t xml:space="preserve"> General Practice </w:t>
            </w:r>
          </w:p>
        </w:tc>
      </w:tr>
      <w:tr w:rsidR="00E95227" w:rsidRPr="0084048C" w14:paraId="1849CD68" w14:textId="77777777" w:rsidTr="00E95227">
        <w:tc>
          <w:tcPr>
            <w:tcW w:w="293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6E5504A2" w14:textId="77777777" w:rsidR="00A21251" w:rsidRPr="0084048C" w:rsidRDefault="00E95227" w:rsidP="005F3048">
            <w:pPr>
              <w:spacing w:after="0"/>
              <w:rPr>
                <w:rFonts w:ascii="Arial" w:hAnsi="Arial" w:cs="Arial"/>
                <w:color w:val="313131"/>
                <w:sz w:val="22"/>
                <w:szCs w:val="22"/>
                <w:lang w:eastAsia="en-AU"/>
              </w:rPr>
            </w:pPr>
            <w:r w:rsidRPr="0084048C">
              <w:rPr>
                <w:rFonts w:ascii="Arial" w:hAnsi="Arial" w:cs="Arial"/>
                <w:color w:val="313131"/>
                <w:sz w:val="22"/>
                <w:szCs w:val="22"/>
                <w:lang w:eastAsia="en-AU"/>
              </w:rPr>
              <w:t xml:space="preserve">Dr Dawn Casey PSM </w:t>
            </w:r>
          </w:p>
          <w:p w14:paraId="78EB5F94" w14:textId="5B873DA7" w:rsidR="00E95227" w:rsidRPr="0084048C" w:rsidRDefault="00E95227" w:rsidP="005F3048">
            <w:pPr>
              <w:spacing w:after="0"/>
              <w:rPr>
                <w:rFonts w:ascii="Arial" w:hAnsi="Arial" w:cs="Arial"/>
                <w:color w:val="313131"/>
                <w:sz w:val="22"/>
                <w:szCs w:val="22"/>
                <w:lang w:eastAsia="en-AU"/>
              </w:rPr>
            </w:pPr>
            <w:r w:rsidRPr="0084048C">
              <w:rPr>
                <w:rFonts w:ascii="Arial" w:hAnsi="Arial" w:cs="Arial"/>
                <w:color w:val="313131"/>
                <w:sz w:val="22"/>
                <w:szCs w:val="22"/>
                <w:lang w:eastAsia="en-AU"/>
              </w:rPr>
              <w:t>(</w:t>
            </w:r>
            <w:r w:rsidR="009C1AA3" w:rsidRPr="0084048C">
              <w:rPr>
                <w:rFonts w:ascii="Arial" w:hAnsi="Arial" w:cs="Arial"/>
                <w:color w:val="313131"/>
                <w:sz w:val="22"/>
                <w:szCs w:val="22"/>
                <w:lang w:eastAsia="en-AU"/>
              </w:rPr>
              <w:t>Proxy</w:t>
            </w:r>
            <w:r w:rsidRPr="0084048C">
              <w:rPr>
                <w:rFonts w:ascii="Arial" w:hAnsi="Arial" w:cs="Arial"/>
                <w:color w:val="313131"/>
                <w:sz w:val="22"/>
                <w:szCs w:val="22"/>
                <w:lang w:eastAsia="en-AU"/>
              </w:rPr>
              <w:t xml:space="preserve"> Dr Jason Agostino)</w:t>
            </w:r>
          </w:p>
        </w:tc>
        <w:tc>
          <w:tcPr>
            <w:tcW w:w="608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4639102F" w14:textId="437965AD" w:rsidR="00E95227" w:rsidRPr="0084048C" w:rsidRDefault="00E95227" w:rsidP="005F3048">
            <w:pPr>
              <w:spacing w:after="0"/>
              <w:rPr>
                <w:rFonts w:ascii="Arial" w:hAnsi="Arial" w:cs="Arial"/>
                <w:color w:val="313131"/>
                <w:sz w:val="22"/>
                <w:szCs w:val="22"/>
                <w:lang w:eastAsia="en-AU"/>
              </w:rPr>
            </w:pPr>
            <w:r w:rsidRPr="0084048C">
              <w:rPr>
                <w:rFonts w:ascii="Arial" w:hAnsi="Arial" w:cs="Arial"/>
                <w:color w:val="313131"/>
                <w:sz w:val="22"/>
                <w:szCs w:val="22"/>
                <w:lang w:eastAsia="en-AU"/>
              </w:rPr>
              <w:t>First Nations Health</w:t>
            </w:r>
          </w:p>
          <w:p w14:paraId="162EB105" w14:textId="77777777" w:rsidR="00E95227" w:rsidRPr="0084048C" w:rsidRDefault="00E95227" w:rsidP="005F3048">
            <w:pPr>
              <w:spacing w:after="0"/>
              <w:rPr>
                <w:rFonts w:ascii="Arial" w:hAnsi="Arial" w:cs="Arial"/>
                <w:color w:val="313131"/>
                <w:sz w:val="22"/>
                <w:szCs w:val="22"/>
                <w:lang w:eastAsia="en-AU"/>
              </w:rPr>
            </w:pPr>
            <w:r w:rsidRPr="0084048C">
              <w:rPr>
                <w:rFonts w:ascii="Arial" w:hAnsi="Arial" w:cs="Arial"/>
                <w:color w:val="313131"/>
                <w:sz w:val="22"/>
                <w:szCs w:val="22"/>
                <w:lang w:eastAsia="en-AU"/>
              </w:rPr>
              <w:t xml:space="preserve">Deputy Chief Executive Officer, National Aboriginal Community Controlled Health </w:t>
            </w:r>
            <w:proofErr w:type="spellStart"/>
            <w:r w:rsidRPr="0084048C">
              <w:rPr>
                <w:rFonts w:ascii="Arial" w:hAnsi="Arial" w:cs="Arial"/>
                <w:color w:val="313131"/>
                <w:sz w:val="22"/>
                <w:szCs w:val="22"/>
                <w:lang w:eastAsia="en-AU"/>
              </w:rPr>
              <w:t>Organisation</w:t>
            </w:r>
            <w:proofErr w:type="spellEnd"/>
          </w:p>
        </w:tc>
      </w:tr>
      <w:tr w:rsidR="00E95227" w:rsidRPr="0084048C" w14:paraId="3EBBCB11" w14:textId="77777777" w:rsidTr="00E95227">
        <w:tc>
          <w:tcPr>
            <w:tcW w:w="293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6259D849" w14:textId="77777777" w:rsidR="00E95227" w:rsidRPr="0084048C" w:rsidRDefault="00E95227" w:rsidP="005F3048">
            <w:pPr>
              <w:spacing w:after="0"/>
              <w:rPr>
                <w:rFonts w:ascii="Arial" w:hAnsi="Arial" w:cs="Arial"/>
                <w:color w:val="313131"/>
                <w:sz w:val="22"/>
                <w:szCs w:val="22"/>
                <w:lang w:eastAsia="en-AU"/>
              </w:rPr>
            </w:pPr>
            <w:proofErr w:type="spellStart"/>
            <w:r w:rsidRPr="0084048C">
              <w:rPr>
                <w:rFonts w:ascii="Arial" w:hAnsi="Arial" w:cs="Arial"/>
                <w:color w:val="313131"/>
                <w:sz w:val="22"/>
                <w:szCs w:val="22"/>
                <w:lang w:eastAsia="en-AU"/>
              </w:rPr>
              <w:t>Ms</w:t>
            </w:r>
            <w:proofErr w:type="spellEnd"/>
            <w:r w:rsidRPr="0084048C">
              <w:rPr>
                <w:rFonts w:ascii="Arial" w:hAnsi="Arial" w:cs="Arial"/>
                <w:color w:val="313131"/>
                <w:sz w:val="22"/>
                <w:szCs w:val="22"/>
                <w:lang w:eastAsia="en-AU"/>
              </w:rPr>
              <w:t xml:space="preserve"> Denise Lyons</w:t>
            </w:r>
          </w:p>
        </w:tc>
        <w:tc>
          <w:tcPr>
            <w:tcW w:w="608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30D4688D" w14:textId="6DFDB4DB" w:rsidR="00E95227" w:rsidRPr="0084048C" w:rsidRDefault="00E95227" w:rsidP="005F3048">
            <w:pPr>
              <w:spacing w:after="0"/>
              <w:rPr>
                <w:rFonts w:ascii="Arial" w:hAnsi="Arial" w:cs="Arial"/>
                <w:color w:val="313131"/>
                <w:sz w:val="22"/>
                <w:szCs w:val="22"/>
                <w:lang w:eastAsia="en-AU"/>
              </w:rPr>
            </w:pPr>
            <w:r w:rsidRPr="0084048C">
              <w:rPr>
                <w:rFonts w:ascii="Arial" w:hAnsi="Arial" w:cs="Arial"/>
                <w:color w:val="313131"/>
                <w:sz w:val="22"/>
                <w:szCs w:val="22"/>
                <w:lang w:eastAsia="en-AU"/>
              </w:rPr>
              <w:t>Nurse Practitioner</w:t>
            </w:r>
          </w:p>
          <w:p w14:paraId="5FBBB280" w14:textId="77777777" w:rsidR="00E95227" w:rsidRPr="0084048C" w:rsidRDefault="00E95227" w:rsidP="005F3048">
            <w:pPr>
              <w:spacing w:after="0"/>
              <w:rPr>
                <w:rFonts w:ascii="Arial" w:hAnsi="Arial" w:cs="Arial"/>
                <w:color w:val="313131"/>
                <w:sz w:val="22"/>
                <w:szCs w:val="22"/>
                <w:lang w:eastAsia="en-AU"/>
              </w:rPr>
            </w:pPr>
            <w:r w:rsidRPr="0084048C">
              <w:rPr>
                <w:rFonts w:ascii="Arial" w:hAnsi="Arial" w:cs="Arial"/>
                <w:color w:val="313131"/>
                <w:sz w:val="22"/>
                <w:szCs w:val="22"/>
                <w:lang w:eastAsia="en-AU"/>
              </w:rPr>
              <w:t xml:space="preserve">Board member, Australia Primary Health Care Nurses Association </w:t>
            </w:r>
          </w:p>
        </w:tc>
      </w:tr>
      <w:tr w:rsidR="00E95227" w:rsidRPr="0084048C" w14:paraId="6A0C32AC" w14:textId="77777777" w:rsidTr="00E95227">
        <w:tc>
          <w:tcPr>
            <w:tcW w:w="293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456A1A9A" w14:textId="77777777" w:rsidR="00E95227" w:rsidRPr="0084048C" w:rsidRDefault="00E95227" w:rsidP="005F3048">
            <w:pPr>
              <w:spacing w:after="0"/>
              <w:rPr>
                <w:rFonts w:ascii="Arial" w:hAnsi="Arial" w:cs="Arial"/>
                <w:color w:val="313131"/>
                <w:sz w:val="22"/>
                <w:szCs w:val="22"/>
                <w:lang w:eastAsia="en-AU"/>
              </w:rPr>
            </w:pPr>
            <w:r w:rsidRPr="0084048C">
              <w:rPr>
                <w:rFonts w:ascii="Arial" w:hAnsi="Arial" w:cs="Arial"/>
                <w:color w:val="313131"/>
                <w:sz w:val="22"/>
                <w:szCs w:val="22"/>
                <w:lang w:eastAsia="en-AU"/>
              </w:rPr>
              <w:t>Prof. Henry Cutler</w:t>
            </w:r>
          </w:p>
        </w:tc>
        <w:tc>
          <w:tcPr>
            <w:tcW w:w="608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05401237" w14:textId="28BB6817" w:rsidR="00E95227" w:rsidRPr="0084048C" w:rsidRDefault="00E95227" w:rsidP="005F3048">
            <w:pPr>
              <w:spacing w:after="0"/>
              <w:rPr>
                <w:rFonts w:ascii="Arial" w:hAnsi="Arial" w:cs="Arial"/>
                <w:color w:val="313131"/>
                <w:sz w:val="22"/>
                <w:szCs w:val="22"/>
                <w:lang w:eastAsia="en-AU"/>
              </w:rPr>
            </w:pPr>
            <w:r w:rsidRPr="0084048C">
              <w:rPr>
                <w:rFonts w:ascii="Arial" w:hAnsi="Arial" w:cs="Arial"/>
                <w:color w:val="313131"/>
                <w:sz w:val="22"/>
                <w:szCs w:val="22"/>
                <w:lang w:eastAsia="en-AU"/>
              </w:rPr>
              <w:t xml:space="preserve">Health Economist </w:t>
            </w:r>
          </w:p>
          <w:p w14:paraId="0607887F" w14:textId="77777777" w:rsidR="00E95227" w:rsidRPr="0084048C" w:rsidRDefault="00E95227" w:rsidP="005F3048">
            <w:pPr>
              <w:spacing w:after="0"/>
              <w:rPr>
                <w:rFonts w:ascii="Arial" w:hAnsi="Arial" w:cs="Arial"/>
                <w:color w:val="313131"/>
                <w:sz w:val="22"/>
                <w:szCs w:val="22"/>
                <w:lang w:eastAsia="en-AU"/>
              </w:rPr>
            </w:pPr>
            <w:r w:rsidRPr="0084048C">
              <w:rPr>
                <w:rFonts w:ascii="Arial" w:hAnsi="Arial" w:cs="Arial"/>
                <w:color w:val="313131"/>
                <w:sz w:val="22"/>
                <w:szCs w:val="22"/>
                <w:lang w:eastAsia="en-AU"/>
              </w:rPr>
              <w:t>Director, Centre for Health Economy, Macquarie Business School</w:t>
            </w:r>
          </w:p>
        </w:tc>
      </w:tr>
      <w:tr w:rsidR="00E95227" w:rsidRPr="0084048C" w14:paraId="3B4D9554" w14:textId="77777777" w:rsidTr="00E95227">
        <w:tc>
          <w:tcPr>
            <w:tcW w:w="293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7100D5B6" w14:textId="77777777" w:rsidR="00E95227" w:rsidRPr="0084048C" w:rsidRDefault="00E95227" w:rsidP="005F3048">
            <w:pPr>
              <w:spacing w:after="0"/>
              <w:rPr>
                <w:rFonts w:ascii="Arial" w:hAnsi="Arial" w:cs="Arial"/>
                <w:color w:val="313131"/>
                <w:sz w:val="22"/>
                <w:szCs w:val="22"/>
                <w:lang w:eastAsia="en-AU"/>
              </w:rPr>
            </w:pPr>
            <w:r w:rsidRPr="0084048C">
              <w:rPr>
                <w:rFonts w:ascii="Arial" w:hAnsi="Arial" w:cs="Arial"/>
                <w:color w:val="313131"/>
                <w:sz w:val="22"/>
                <w:szCs w:val="22"/>
                <w:lang w:eastAsia="en-AU"/>
              </w:rPr>
              <w:t>Dr Paul Mara AM</w:t>
            </w:r>
          </w:p>
        </w:tc>
        <w:tc>
          <w:tcPr>
            <w:tcW w:w="608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318E8E93" w14:textId="1BFDD084" w:rsidR="00E95227" w:rsidRPr="0084048C" w:rsidRDefault="00E95227" w:rsidP="005F3048">
            <w:pPr>
              <w:spacing w:after="0"/>
              <w:rPr>
                <w:rFonts w:ascii="Arial" w:hAnsi="Arial" w:cs="Arial"/>
                <w:color w:val="313131"/>
                <w:sz w:val="22"/>
                <w:szCs w:val="22"/>
                <w:lang w:eastAsia="en-AU"/>
              </w:rPr>
            </w:pPr>
            <w:r w:rsidRPr="0084048C">
              <w:rPr>
                <w:rFonts w:ascii="Arial" w:hAnsi="Arial" w:cs="Arial"/>
                <w:color w:val="313131"/>
                <w:sz w:val="22"/>
                <w:szCs w:val="22"/>
                <w:lang w:eastAsia="en-AU"/>
              </w:rPr>
              <w:t>Rural and remote general practitioner</w:t>
            </w:r>
          </w:p>
          <w:p w14:paraId="450065C8" w14:textId="77777777" w:rsidR="00E95227" w:rsidRPr="0084048C" w:rsidRDefault="00E95227" w:rsidP="005F3048">
            <w:pPr>
              <w:spacing w:after="0"/>
              <w:rPr>
                <w:rFonts w:ascii="Arial" w:hAnsi="Arial" w:cs="Arial"/>
                <w:color w:val="313131"/>
                <w:sz w:val="22"/>
                <w:szCs w:val="22"/>
                <w:lang w:eastAsia="en-AU"/>
              </w:rPr>
            </w:pPr>
            <w:r w:rsidRPr="0084048C">
              <w:rPr>
                <w:rFonts w:ascii="Arial" w:hAnsi="Arial" w:cs="Arial"/>
                <w:color w:val="313131"/>
                <w:sz w:val="22"/>
                <w:szCs w:val="22"/>
                <w:lang w:eastAsia="en-AU"/>
              </w:rPr>
              <w:t>Managing Director, Quality Practice Accreditation</w:t>
            </w:r>
          </w:p>
        </w:tc>
      </w:tr>
      <w:tr w:rsidR="00E95227" w:rsidRPr="0084048C" w14:paraId="1F142964" w14:textId="77777777" w:rsidTr="00E95227">
        <w:tc>
          <w:tcPr>
            <w:tcW w:w="293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2A669208" w14:textId="77777777" w:rsidR="00E95227" w:rsidRPr="0084048C" w:rsidRDefault="00E95227" w:rsidP="005F3048">
            <w:pPr>
              <w:spacing w:after="0"/>
              <w:rPr>
                <w:rFonts w:ascii="Arial" w:hAnsi="Arial" w:cs="Arial"/>
                <w:color w:val="313131"/>
                <w:sz w:val="22"/>
                <w:szCs w:val="22"/>
                <w:lang w:eastAsia="en-AU"/>
              </w:rPr>
            </w:pPr>
            <w:proofErr w:type="spellStart"/>
            <w:r w:rsidRPr="0084048C">
              <w:rPr>
                <w:rFonts w:ascii="Arial" w:hAnsi="Arial" w:cs="Arial"/>
                <w:color w:val="313131"/>
                <w:sz w:val="22"/>
                <w:szCs w:val="22"/>
                <w:lang w:eastAsia="en-AU"/>
              </w:rPr>
              <w:t>Ms</w:t>
            </w:r>
            <w:proofErr w:type="spellEnd"/>
            <w:r w:rsidRPr="0084048C">
              <w:rPr>
                <w:rFonts w:ascii="Arial" w:hAnsi="Arial" w:cs="Arial"/>
                <w:color w:val="313131"/>
                <w:sz w:val="22"/>
                <w:szCs w:val="22"/>
                <w:lang w:eastAsia="en-AU"/>
              </w:rPr>
              <w:t xml:space="preserve"> Sinead O’Brien</w:t>
            </w:r>
          </w:p>
        </w:tc>
        <w:tc>
          <w:tcPr>
            <w:tcW w:w="608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740B9556" w14:textId="49A8721B" w:rsidR="00E95227" w:rsidRPr="0084048C" w:rsidRDefault="00E95227" w:rsidP="005F3048">
            <w:pPr>
              <w:spacing w:after="0"/>
              <w:rPr>
                <w:rFonts w:ascii="Arial" w:hAnsi="Arial" w:cs="Arial"/>
                <w:color w:val="313131"/>
                <w:sz w:val="22"/>
                <w:szCs w:val="22"/>
                <w:lang w:eastAsia="en-AU"/>
              </w:rPr>
            </w:pPr>
            <w:r w:rsidRPr="0084048C">
              <w:rPr>
                <w:rFonts w:ascii="Arial" w:hAnsi="Arial" w:cs="Arial"/>
                <w:color w:val="313131"/>
                <w:sz w:val="22"/>
                <w:szCs w:val="22"/>
                <w:lang w:eastAsia="en-AU"/>
              </w:rPr>
              <w:t>State and Territory Representative</w:t>
            </w:r>
          </w:p>
          <w:p w14:paraId="7B6CFC33" w14:textId="77777777" w:rsidR="00E95227" w:rsidRPr="0084048C" w:rsidRDefault="00E95227" w:rsidP="005F3048">
            <w:pPr>
              <w:spacing w:after="0"/>
              <w:rPr>
                <w:rFonts w:ascii="Arial" w:hAnsi="Arial" w:cs="Arial"/>
                <w:color w:val="313131"/>
                <w:sz w:val="22"/>
                <w:szCs w:val="22"/>
                <w:lang w:eastAsia="en-AU"/>
              </w:rPr>
            </w:pPr>
            <w:r w:rsidRPr="0084048C">
              <w:rPr>
                <w:rFonts w:ascii="Arial" w:hAnsi="Arial" w:cs="Arial"/>
                <w:color w:val="313131"/>
                <w:sz w:val="22"/>
                <w:szCs w:val="22"/>
                <w:lang w:eastAsia="en-AU"/>
              </w:rPr>
              <w:t>Deputy Chief Executive (Strategy and Governance), Department of Health and Wellbeing South Australia</w:t>
            </w:r>
          </w:p>
        </w:tc>
      </w:tr>
      <w:tr w:rsidR="00E95227" w:rsidRPr="0084048C" w14:paraId="606E8088" w14:textId="77777777" w:rsidTr="00E95227">
        <w:tc>
          <w:tcPr>
            <w:tcW w:w="293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6384945A" w14:textId="77777777" w:rsidR="00E95227" w:rsidRPr="0084048C" w:rsidRDefault="00E95227" w:rsidP="005F3048">
            <w:pPr>
              <w:spacing w:after="0"/>
              <w:rPr>
                <w:rFonts w:ascii="Arial" w:hAnsi="Arial" w:cs="Arial"/>
                <w:color w:val="313131"/>
                <w:sz w:val="22"/>
                <w:szCs w:val="22"/>
                <w:lang w:eastAsia="en-AU"/>
              </w:rPr>
            </w:pPr>
            <w:r w:rsidRPr="0084048C">
              <w:rPr>
                <w:rFonts w:ascii="Arial" w:hAnsi="Arial" w:cs="Arial"/>
                <w:color w:val="313131"/>
                <w:sz w:val="22"/>
                <w:szCs w:val="22"/>
                <w:lang w:eastAsia="en-AU"/>
              </w:rPr>
              <w:t>Emeritus Prof. Stephen Duckett AM</w:t>
            </w:r>
          </w:p>
        </w:tc>
        <w:tc>
          <w:tcPr>
            <w:tcW w:w="608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50D4FD45" w14:textId="433665D2" w:rsidR="00E95227" w:rsidRPr="0084048C" w:rsidRDefault="00E95227" w:rsidP="005F3048">
            <w:pPr>
              <w:spacing w:after="0"/>
              <w:rPr>
                <w:rFonts w:ascii="Arial" w:hAnsi="Arial" w:cs="Arial"/>
                <w:color w:val="313131"/>
                <w:sz w:val="22"/>
                <w:szCs w:val="22"/>
                <w:lang w:eastAsia="en-AU"/>
              </w:rPr>
            </w:pPr>
            <w:r w:rsidRPr="0084048C">
              <w:rPr>
                <w:rFonts w:ascii="Arial" w:hAnsi="Arial" w:cs="Arial"/>
                <w:color w:val="313131"/>
                <w:sz w:val="22"/>
                <w:szCs w:val="22"/>
                <w:lang w:eastAsia="en-AU"/>
              </w:rPr>
              <w:t xml:space="preserve">Health System Financing </w:t>
            </w:r>
          </w:p>
          <w:p w14:paraId="1605327C" w14:textId="77777777" w:rsidR="00E95227" w:rsidRPr="0084048C" w:rsidRDefault="00E95227" w:rsidP="005F3048">
            <w:pPr>
              <w:spacing w:after="0"/>
              <w:rPr>
                <w:rFonts w:ascii="Arial" w:hAnsi="Arial" w:cs="Arial"/>
                <w:color w:val="313131"/>
                <w:sz w:val="22"/>
                <w:szCs w:val="22"/>
                <w:lang w:eastAsia="en-AU"/>
              </w:rPr>
            </w:pPr>
            <w:r w:rsidRPr="0084048C">
              <w:rPr>
                <w:rFonts w:ascii="Arial" w:hAnsi="Arial" w:cs="Arial"/>
                <w:color w:val="313131"/>
                <w:sz w:val="22"/>
                <w:szCs w:val="22"/>
                <w:lang w:eastAsia="en-AU"/>
              </w:rPr>
              <w:t>Honorary Professor in the School of Population and Global Health University of Melbourne</w:t>
            </w:r>
          </w:p>
        </w:tc>
      </w:tr>
      <w:tr w:rsidR="00E95227" w:rsidRPr="0084048C" w14:paraId="7F7D428F" w14:textId="77777777" w:rsidTr="00E95227">
        <w:tc>
          <w:tcPr>
            <w:tcW w:w="293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0A45D82C" w14:textId="77777777" w:rsidR="00E95227" w:rsidRPr="0084048C" w:rsidRDefault="00E95227" w:rsidP="005F3048">
            <w:pPr>
              <w:spacing w:after="0"/>
              <w:rPr>
                <w:rFonts w:ascii="Arial" w:hAnsi="Arial" w:cs="Arial"/>
                <w:color w:val="313131"/>
                <w:sz w:val="22"/>
                <w:szCs w:val="22"/>
                <w:lang w:eastAsia="en-AU"/>
              </w:rPr>
            </w:pPr>
            <w:r w:rsidRPr="0084048C">
              <w:rPr>
                <w:rFonts w:ascii="Arial" w:hAnsi="Arial" w:cs="Arial"/>
                <w:color w:val="313131"/>
                <w:sz w:val="22"/>
                <w:szCs w:val="22"/>
                <w:lang w:eastAsia="en-AU"/>
              </w:rPr>
              <w:t>Tracey Johnson</w:t>
            </w:r>
          </w:p>
        </w:tc>
        <w:tc>
          <w:tcPr>
            <w:tcW w:w="608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16FEBE23" w14:textId="38D2B0EE" w:rsidR="00E95227" w:rsidRPr="0084048C" w:rsidRDefault="00E95227" w:rsidP="005F3048">
            <w:pPr>
              <w:spacing w:after="0"/>
              <w:rPr>
                <w:rFonts w:ascii="Arial" w:hAnsi="Arial" w:cs="Arial"/>
                <w:color w:val="313131"/>
                <w:sz w:val="22"/>
                <w:szCs w:val="22"/>
                <w:lang w:eastAsia="en-AU"/>
              </w:rPr>
            </w:pPr>
            <w:r w:rsidRPr="0084048C">
              <w:rPr>
                <w:rFonts w:ascii="Arial" w:hAnsi="Arial" w:cs="Arial"/>
                <w:color w:val="313131"/>
                <w:sz w:val="22"/>
                <w:szCs w:val="22"/>
                <w:lang w:eastAsia="en-AU"/>
              </w:rPr>
              <w:t>Practice Manager and Chief Executive Officer</w:t>
            </w:r>
          </w:p>
          <w:p w14:paraId="45D10A19" w14:textId="77777777" w:rsidR="00E95227" w:rsidRPr="0084048C" w:rsidRDefault="00E95227" w:rsidP="005F3048">
            <w:pPr>
              <w:spacing w:after="0"/>
              <w:rPr>
                <w:rFonts w:ascii="Arial" w:hAnsi="Arial" w:cs="Arial"/>
                <w:color w:val="313131"/>
                <w:sz w:val="22"/>
                <w:szCs w:val="22"/>
                <w:lang w:eastAsia="en-AU"/>
              </w:rPr>
            </w:pPr>
            <w:r w:rsidRPr="0084048C">
              <w:rPr>
                <w:rFonts w:ascii="Arial" w:hAnsi="Arial" w:cs="Arial"/>
                <w:color w:val="313131"/>
                <w:sz w:val="22"/>
                <w:szCs w:val="22"/>
                <w:lang w:eastAsia="en-AU"/>
              </w:rPr>
              <w:t>Chief Executive Officer and Company Secretary, Inala Primary Care</w:t>
            </w:r>
          </w:p>
        </w:tc>
      </w:tr>
    </w:tbl>
    <w:p w14:paraId="5E227ADA" w14:textId="5DAE0EDA" w:rsidR="00933F1A" w:rsidRPr="000C3253" w:rsidRDefault="00933F1A" w:rsidP="00933F1A">
      <w:pPr>
        <w:pStyle w:val="Heading2"/>
        <w:rPr>
          <w:rFonts w:ascii="Arial" w:eastAsia="Times New Roman" w:hAnsi="Arial" w:cs="Arial"/>
          <w:b/>
          <w:bCs/>
          <w:iCs/>
          <w:color w:val="358189"/>
          <w:sz w:val="36"/>
          <w:szCs w:val="28"/>
          <w:lang w:val="en-AU" w:eastAsia="en-US"/>
        </w:rPr>
      </w:pPr>
      <w:r w:rsidRPr="000C3253">
        <w:rPr>
          <w:rFonts w:ascii="Arial" w:eastAsia="Times New Roman" w:hAnsi="Arial" w:cs="Arial"/>
          <w:b/>
          <w:bCs/>
          <w:iCs/>
          <w:color w:val="358189"/>
          <w:sz w:val="36"/>
          <w:szCs w:val="28"/>
          <w:lang w:val="en-AU" w:eastAsia="en-US"/>
        </w:rPr>
        <w:lastRenderedPageBreak/>
        <w:t>Scope of the Review – Terms of Reference </w:t>
      </w:r>
    </w:p>
    <w:p w14:paraId="2DDD1EE2" w14:textId="1F66DCEC" w:rsidR="00E95227" w:rsidRPr="0084048C" w:rsidRDefault="00E95227" w:rsidP="005F3048">
      <w:pPr>
        <w:pStyle w:val="paragraph"/>
        <w:spacing w:before="120" w:beforeAutospacing="0" w:after="0" w:afterAutospacing="0"/>
        <w:ind w:right="585"/>
        <w:textAlignment w:val="baseline"/>
        <w:rPr>
          <w:rStyle w:val="eop"/>
          <w:rFonts w:ascii="Arial" w:hAnsi="Arial" w:cs="Arial"/>
          <w:sz w:val="22"/>
          <w:szCs w:val="22"/>
        </w:rPr>
      </w:pPr>
      <w:r w:rsidRPr="0084048C">
        <w:rPr>
          <w:rStyle w:val="normaltextrun"/>
          <w:rFonts w:ascii="Arial" w:eastAsiaTheme="majorEastAsia" w:hAnsi="Arial" w:cs="Arial"/>
          <w:sz w:val="22"/>
          <w:szCs w:val="22"/>
          <w:lang w:val="en-US"/>
        </w:rPr>
        <w:t xml:space="preserve">The Review of General Practice Incentives (the Review) will redesign current general practice incentive programs to better align with Strengthening Medicare recommendations for </w:t>
      </w:r>
      <w:r w:rsidR="005F3048" w:rsidRPr="0084048C">
        <w:rPr>
          <w:rStyle w:val="normaltextrun"/>
          <w:rFonts w:ascii="Arial" w:eastAsiaTheme="majorEastAsia" w:hAnsi="Arial" w:cs="Arial"/>
          <w:sz w:val="22"/>
          <w:szCs w:val="22"/>
          <w:lang w:val="en-US"/>
        </w:rPr>
        <w:t>r</w:t>
      </w:r>
      <w:r w:rsidRPr="0084048C">
        <w:rPr>
          <w:rStyle w:val="normaltextrun"/>
          <w:rFonts w:ascii="Arial" w:eastAsiaTheme="majorEastAsia" w:hAnsi="Arial" w:cs="Arial"/>
          <w:sz w:val="22"/>
          <w:szCs w:val="22"/>
          <w:lang w:val="en-US"/>
        </w:rPr>
        <w:t>eform.</w:t>
      </w:r>
      <w:r w:rsidRPr="0084048C">
        <w:rPr>
          <w:rStyle w:val="eop"/>
          <w:rFonts w:ascii="Arial" w:hAnsi="Arial" w:cs="Arial"/>
          <w:sz w:val="22"/>
          <w:szCs w:val="22"/>
        </w:rPr>
        <w:t> </w:t>
      </w:r>
    </w:p>
    <w:p w14:paraId="74E5908C" w14:textId="77777777" w:rsidR="005F3048" w:rsidRPr="0084048C" w:rsidRDefault="005F3048" w:rsidP="005F3048">
      <w:pPr>
        <w:pStyle w:val="paragraph"/>
        <w:spacing w:before="120" w:beforeAutospacing="0" w:after="0" w:afterAutospacing="0"/>
        <w:textAlignment w:val="baseline"/>
        <w:rPr>
          <w:rStyle w:val="normaltextrun"/>
          <w:rFonts w:ascii="Arial" w:eastAsiaTheme="majorEastAsia" w:hAnsi="Arial" w:cs="Arial"/>
          <w:sz w:val="22"/>
          <w:szCs w:val="22"/>
          <w:lang w:val="en-US"/>
        </w:rPr>
      </w:pPr>
    </w:p>
    <w:p w14:paraId="16F6969A" w14:textId="585FF923" w:rsidR="00E95227" w:rsidRPr="0084048C" w:rsidRDefault="00E95227" w:rsidP="005F3048">
      <w:pPr>
        <w:pStyle w:val="paragraph"/>
        <w:spacing w:before="120" w:beforeAutospacing="0" w:after="0" w:afterAutospacing="0"/>
        <w:textAlignment w:val="baseline"/>
        <w:rPr>
          <w:rFonts w:ascii="Arial" w:hAnsi="Arial" w:cs="Arial"/>
          <w:sz w:val="22"/>
          <w:szCs w:val="22"/>
        </w:rPr>
      </w:pPr>
      <w:r w:rsidRPr="0084048C">
        <w:rPr>
          <w:rStyle w:val="normaltextrun"/>
          <w:rFonts w:ascii="Arial" w:eastAsiaTheme="majorEastAsia" w:hAnsi="Arial" w:cs="Arial"/>
          <w:sz w:val="22"/>
          <w:szCs w:val="22"/>
          <w:lang w:val="en-US"/>
        </w:rPr>
        <w:t>The Review will make recommendations on:</w:t>
      </w:r>
      <w:r w:rsidRPr="0084048C">
        <w:rPr>
          <w:rStyle w:val="eop"/>
          <w:rFonts w:ascii="Arial" w:hAnsi="Arial" w:cs="Arial"/>
          <w:sz w:val="22"/>
          <w:szCs w:val="22"/>
        </w:rPr>
        <w:t>  </w:t>
      </w:r>
    </w:p>
    <w:p w14:paraId="0CFC44E6" w14:textId="77777777" w:rsidR="00E95227" w:rsidRPr="0084048C" w:rsidRDefault="00E95227" w:rsidP="005F3048">
      <w:pPr>
        <w:pStyle w:val="paragraph"/>
        <w:numPr>
          <w:ilvl w:val="0"/>
          <w:numId w:val="34"/>
        </w:numPr>
        <w:spacing w:before="120" w:beforeAutospacing="0" w:after="0" w:afterAutospacing="0"/>
        <w:ind w:left="357" w:hanging="357"/>
        <w:textAlignment w:val="baseline"/>
        <w:rPr>
          <w:rFonts w:ascii="Arial" w:hAnsi="Arial" w:cs="Arial"/>
          <w:sz w:val="22"/>
          <w:szCs w:val="22"/>
        </w:rPr>
      </w:pPr>
      <w:r w:rsidRPr="0084048C">
        <w:rPr>
          <w:rStyle w:val="normaltextrun"/>
          <w:rFonts w:ascii="Arial" w:eastAsiaTheme="majorEastAsia" w:hAnsi="Arial" w:cs="Arial"/>
          <w:sz w:val="22"/>
          <w:szCs w:val="22"/>
          <w:lang w:val="en-US"/>
        </w:rPr>
        <w:t>The effectiveness and efficiency of existing general practice incentives including the Practice Incentives Program, Workforce Incentives Program and agreed other general practice incentive programs, to assess if they are fit for purpose to drive patient-centered multidisciplinary primary care.</w:t>
      </w:r>
      <w:r w:rsidRPr="0084048C">
        <w:rPr>
          <w:rStyle w:val="eop"/>
          <w:rFonts w:ascii="Arial" w:hAnsi="Arial" w:cs="Arial"/>
          <w:sz w:val="22"/>
          <w:szCs w:val="22"/>
        </w:rPr>
        <w:t> </w:t>
      </w:r>
    </w:p>
    <w:p w14:paraId="44EBF2D0" w14:textId="77777777" w:rsidR="00E95227" w:rsidRPr="0084048C" w:rsidRDefault="00E95227" w:rsidP="005F3048">
      <w:pPr>
        <w:pStyle w:val="paragraph"/>
        <w:numPr>
          <w:ilvl w:val="0"/>
          <w:numId w:val="34"/>
        </w:numPr>
        <w:spacing w:before="120" w:beforeAutospacing="0" w:after="0" w:afterAutospacing="0"/>
        <w:ind w:left="357" w:hanging="357"/>
        <w:textAlignment w:val="baseline"/>
        <w:rPr>
          <w:rFonts w:ascii="Arial" w:hAnsi="Arial" w:cs="Arial"/>
          <w:sz w:val="22"/>
          <w:szCs w:val="22"/>
        </w:rPr>
      </w:pPr>
      <w:r w:rsidRPr="0084048C">
        <w:rPr>
          <w:rStyle w:val="normaltextrun"/>
          <w:rFonts w:ascii="Arial" w:eastAsiaTheme="majorEastAsia" w:hAnsi="Arial" w:cs="Arial"/>
          <w:sz w:val="22"/>
          <w:szCs w:val="22"/>
          <w:lang w:val="en-US"/>
        </w:rPr>
        <w:t>Options for the design of new blended funding models to better address the future primary care needs of Australia, including the growth in complex chronic disease and multidisciplinary models of care.</w:t>
      </w:r>
      <w:r w:rsidRPr="0084048C">
        <w:rPr>
          <w:rStyle w:val="eop"/>
          <w:rFonts w:ascii="Arial" w:hAnsi="Arial" w:cs="Arial"/>
          <w:sz w:val="22"/>
          <w:szCs w:val="22"/>
        </w:rPr>
        <w:t> </w:t>
      </w:r>
    </w:p>
    <w:p w14:paraId="2ACEE570" w14:textId="77777777" w:rsidR="00E95227" w:rsidRPr="0084048C" w:rsidRDefault="00E95227" w:rsidP="005F3048">
      <w:pPr>
        <w:pStyle w:val="paragraph"/>
        <w:spacing w:before="120" w:beforeAutospacing="0" w:after="0" w:afterAutospacing="0"/>
        <w:textAlignment w:val="baseline"/>
        <w:rPr>
          <w:rStyle w:val="normaltextrun"/>
          <w:rFonts w:ascii="Arial" w:eastAsiaTheme="majorEastAsia" w:hAnsi="Arial" w:cs="Arial"/>
          <w:sz w:val="22"/>
          <w:szCs w:val="22"/>
          <w:lang w:val="en-US"/>
        </w:rPr>
      </w:pPr>
    </w:p>
    <w:p w14:paraId="5E44C54A" w14:textId="77777777" w:rsidR="00E95227" w:rsidRPr="0084048C" w:rsidRDefault="00E95227" w:rsidP="005F3048">
      <w:pPr>
        <w:pStyle w:val="paragraph"/>
        <w:spacing w:before="120" w:beforeAutospacing="0" w:after="0" w:afterAutospacing="0"/>
        <w:textAlignment w:val="baseline"/>
        <w:rPr>
          <w:rFonts w:ascii="Arial" w:hAnsi="Arial" w:cs="Arial"/>
          <w:sz w:val="22"/>
          <w:szCs w:val="22"/>
        </w:rPr>
      </w:pPr>
      <w:r w:rsidRPr="0084048C">
        <w:rPr>
          <w:rStyle w:val="normaltextrun"/>
          <w:rFonts w:ascii="Arial" w:eastAsiaTheme="majorEastAsia" w:hAnsi="Arial" w:cs="Arial"/>
          <w:sz w:val="22"/>
          <w:szCs w:val="22"/>
          <w:lang w:val="en-US"/>
        </w:rPr>
        <w:t>In making recommendations, the Review will consider:</w:t>
      </w:r>
      <w:r w:rsidRPr="0084048C">
        <w:rPr>
          <w:rStyle w:val="eop"/>
          <w:rFonts w:ascii="Arial" w:hAnsi="Arial" w:cs="Arial"/>
          <w:sz w:val="22"/>
          <w:szCs w:val="22"/>
        </w:rPr>
        <w:t>  </w:t>
      </w:r>
    </w:p>
    <w:p w14:paraId="0F518C4A" w14:textId="77777777" w:rsidR="00E95227" w:rsidRPr="0084048C" w:rsidRDefault="00E95227" w:rsidP="005F3048">
      <w:pPr>
        <w:pStyle w:val="paragraph"/>
        <w:numPr>
          <w:ilvl w:val="0"/>
          <w:numId w:val="35"/>
        </w:numPr>
        <w:tabs>
          <w:tab w:val="clear" w:pos="720"/>
        </w:tabs>
        <w:spacing w:before="120" w:beforeAutospacing="0" w:after="0" w:afterAutospacing="0"/>
        <w:ind w:left="426" w:hanging="357"/>
        <w:textAlignment w:val="baseline"/>
        <w:rPr>
          <w:rFonts w:ascii="Arial" w:hAnsi="Arial" w:cs="Arial"/>
          <w:sz w:val="22"/>
          <w:szCs w:val="22"/>
        </w:rPr>
      </w:pPr>
      <w:r w:rsidRPr="0084048C">
        <w:rPr>
          <w:rStyle w:val="normaltextrun"/>
          <w:rFonts w:ascii="Arial" w:eastAsiaTheme="majorEastAsia" w:hAnsi="Arial" w:cs="Arial"/>
          <w:sz w:val="22"/>
          <w:szCs w:val="22"/>
          <w:lang w:val="en-US"/>
        </w:rPr>
        <w:t>Existing data and evaluations on the effectiveness of current general practice incentives.</w:t>
      </w:r>
      <w:r w:rsidRPr="0084048C">
        <w:rPr>
          <w:rStyle w:val="eop"/>
          <w:rFonts w:ascii="Arial" w:hAnsi="Arial" w:cs="Arial"/>
          <w:sz w:val="22"/>
          <w:szCs w:val="22"/>
        </w:rPr>
        <w:t> </w:t>
      </w:r>
    </w:p>
    <w:p w14:paraId="467FB5A5" w14:textId="77777777" w:rsidR="00E95227" w:rsidRPr="0084048C" w:rsidRDefault="00E95227" w:rsidP="005F3048">
      <w:pPr>
        <w:pStyle w:val="paragraph"/>
        <w:numPr>
          <w:ilvl w:val="0"/>
          <w:numId w:val="35"/>
        </w:numPr>
        <w:tabs>
          <w:tab w:val="clear" w:pos="720"/>
        </w:tabs>
        <w:spacing w:before="120" w:beforeAutospacing="0" w:after="0" w:afterAutospacing="0"/>
        <w:ind w:left="426" w:hanging="357"/>
        <w:textAlignment w:val="baseline"/>
        <w:rPr>
          <w:rFonts w:ascii="Arial" w:hAnsi="Arial" w:cs="Arial"/>
          <w:sz w:val="22"/>
          <w:szCs w:val="22"/>
        </w:rPr>
      </w:pPr>
      <w:r w:rsidRPr="0084048C">
        <w:rPr>
          <w:rStyle w:val="normaltextrun"/>
          <w:rFonts w:ascii="Arial" w:eastAsiaTheme="majorEastAsia" w:hAnsi="Arial" w:cs="Arial"/>
          <w:sz w:val="22"/>
          <w:szCs w:val="22"/>
          <w:lang w:val="en-US"/>
        </w:rPr>
        <w:t>A literature and international evidence review on best practice blended funding models for general practice and primary care.</w:t>
      </w:r>
      <w:r w:rsidRPr="0084048C">
        <w:rPr>
          <w:rStyle w:val="eop"/>
          <w:rFonts w:ascii="Arial" w:hAnsi="Arial" w:cs="Arial"/>
          <w:sz w:val="22"/>
          <w:szCs w:val="22"/>
        </w:rPr>
        <w:t> </w:t>
      </w:r>
    </w:p>
    <w:p w14:paraId="2C684EB6" w14:textId="77777777" w:rsidR="00E95227" w:rsidRPr="0084048C" w:rsidRDefault="00E95227" w:rsidP="005F3048">
      <w:pPr>
        <w:pStyle w:val="paragraph"/>
        <w:numPr>
          <w:ilvl w:val="0"/>
          <w:numId w:val="35"/>
        </w:numPr>
        <w:tabs>
          <w:tab w:val="clear" w:pos="720"/>
        </w:tabs>
        <w:spacing w:before="120" w:beforeAutospacing="0" w:after="0" w:afterAutospacing="0"/>
        <w:ind w:left="426" w:hanging="357"/>
        <w:textAlignment w:val="baseline"/>
        <w:rPr>
          <w:rFonts w:ascii="Arial" w:hAnsi="Arial" w:cs="Arial"/>
          <w:sz w:val="22"/>
          <w:szCs w:val="22"/>
        </w:rPr>
      </w:pPr>
      <w:r w:rsidRPr="0084048C">
        <w:rPr>
          <w:rStyle w:val="normaltextrun"/>
          <w:rFonts w:ascii="Arial" w:eastAsiaTheme="majorEastAsia" w:hAnsi="Arial" w:cs="Arial"/>
          <w:sz w:val="22"/>
          <w:szCs w:val="22"/>
          <w:lang w:val="en-US"/>
        </w:rPr>
        <w:t>Opportunities to</w:t>
      </w:r>
    </w:p>
    <w:p w14:paraId="38A078CE" w14:textId="77777777" w:rsidR="00E95227" w:rsidRPr="0084048C" w:rsidRDefault="00E95227" w:rsidP="005F3048">
      <w:pPr>
        <w:pStyle w:val="paragraph"/>
        <w:numPr>
          <w:ilvl w:val="1"/>
          <w:numId w:val="35"/>
        </w:numPr>
        <w:tabs>
          <w:tab w:val="clear" w:pos="1440"/>
        </w:tabs>
        <w:spacing w:before="120" w:beforeAutospacing="0" w:after="0" w:afterAutospacing="0"/>
        <w:ind w:left="851" w:hanging="357"/>
        <w:textAlignment w:val="baseline"/>
        <w:rPr>
          <w:rFonts w:ascii="Arial" w:hAnsi="Arial" w:cs="Arial"/>
          <w:sz w:val="22"/>
          <w:szCs w:val="22"/>
        </w:rPr>
      </w:pPr>
      <w:r w:rsidRPr="0084048C">
        <w:rPr>
          <w:rStyle w:val="normaltextrun"/>
          <w:rFonts w:ascii="Arial" w:eastAsiaTheme="majorEastAsia" w:hAnsi="Arial" w:cs="Arial"/>
          <w:sz w:val="22"/>
          <w:szCs w:val="22"/>
          <w:lang w:val="en-US"/>
        </w:rPr>
        <w:t xml:space="preserve">improve targeting of payments to support multidisciplinary wholistic person-centered care for people who need it </w:t>
      </w:r>
      <w:proofErr w:type="gramStart"/>
      <w:r w:rsidRPr="0084048C">
        <w:rPr>
          <w:rStyle w:val="normaltextrun"/>
          <w:rFonts w:ascii="Arial" w:eastAsiaTheme="majorEastAsia" w:hAnsi="Arial" w:cs="Arial"/>
          <w:sz w:val="22"/>
          <w:szCs w:val="22"/>
          <w:lang w:val="en-US"/>
        </w:rPr>
        <w:t>most</w:t>
      </w:r>
      <w:proofErr w:type="gramEnd"/>
    </w:p>
    <w:p w14:paraId="7F4744C2" w14:textId="77777777" w:rsidR="00E95227" w:rsidRPr="0084048C" w:rsidRDefault="00E95227" w:rsidP="005F3048">
      <w:pPr>
        <w:pStyle w:val="paragraph"/>
        <w:numPr>
          <w:ilvl w:val="1"/>
          <w:numId w:val="35"/>
        </w:numPr>
        <w:tabs>
          <w:tab w:val="clear" w:pos="1440"/>
        </w:tabs>
        <w:spacing w:before="120" w:beforeAutospacing="0" w:after="0" w:afterAutospacing="0"/>
        <w:ind w:left="851" w:hanging="357"/>
        <w:textAlignment w:val="baseline"/>
        <w:rPr>
          <w:rFonts w:ascii="Arial" w:hAnsi="Arial" w:cs="Arial"/>
          <w:sz w:val="22"/>
          <w:szCs w:val="22"/>
        </w:rPr>
      </w:pPr>
      <w:r w:rsidRPr="0084048C">
        <w:rPr>
          <w:rStyle w:val="normaltextrun"/>
          <w:rFonts w:ascii="Arial" w:eastAsiaTheme="majorEastAsia" w:hAnsi="Arial" w:cs="Arial"/>
          <w:sz w:val="22"/>
          <w:szCs w:val="22"/>
          <w:lang w:val="en-US"/>
        </w:rPr>
        <w:t xml:space="preserve">streamline and simplify the number of payments and payment </w:t>
      </w:r>
      <w:proofErr w:type="gramStart"/>
      <w:r w:rsidRPr="0084048C">
        <w:rPr>
          <w:rStyle w:val="normaltextrun"/>
          <w:rFonts w:ascii="Arial" w:eastAsiaTheme="majorEastAsia" w:hAnsi="Arial" w:cs="Arial"/>
          <w:sz w:val="22"/>
          <w:szCs w:val="22"/>
          <w:lang w:val="en-US"/>
        </w:rPr>
        <w:t>requirements</w:t>
      </w:r>
      <w:proofErr w:type="gramEnd"/>
    </w:p>
    <w:p w14:paraId="6C25C314" w14:textId="77777777" w:rsidR="00E95227" w:rsidRPr="0084048C" w:rsidRDefault="00E95227" w:rsidP="005F3048">
      <w:pPr>
        <w:pStyle w:val="paragraph"/>
        <w:numPr>
          <w:ilvl w:val="1"/>
          <w:numId w:val="35"/>
        </w:numPr>
        <w:tabs>
          <w:tab w:val="clear" w:pos="1440"/>
        </w:tabs>
        <w:spacing w:before="120" w:beforeAutospacing="0" w:after="0" w:afterAutospacing="0"/>
        <w:ind w:left="851" w:hanging="357"/>
        <w:textAlignment w:val="baseline"/>
        <w:rPr>
          <w:rFonts w:ascii="Arial" w:hAnsi="Arial" w:cs="Arial"/>
          <w:sz w:val="22"/>
          <w:szCs w:val="22"/>
        </w:rPr>
      </w:pPr>
      <w:r w:rsidRPr="0084048C">
        <w:rPr>
          <w:rStyle w:val="normaltextrun"/>
          <w:rFonts w:ascii="Arial" w:eastAsiaTheme="majorEastAsia" w:hAnsi="Arial" w:cs="Arial"/>
          <w:sz w:val="22"/>
          <w:szCs w:val="22"/>
          <w:lang w:val="en-US"/>
        </w:rPr>
        <w:t xml:space="preserve">support data-driven quality improvement, with a focus on complex and chronic disease </w:t>
      </w:r>
      <w:proofErr w:type="gramStart"/>
      <w:r w:rsidRPr="0084048C">
        <w:rPr>
          <w:rStyle w:val="normaltextrun"/>
          <w:rFonts w:ascii="Arial" w:eastAsiaTheme="majorEastAsia" w:hAnsi="Arial" w:cs="Arial"/>
          <w:sz w:val="22"/>
          <w:szCs w:val="22"/>
          <w:lang w:val="en-US"/>
        </w:rPr>
        <w:t>management</w:t>
      </w:r>
      <w:proofErr w:type="gramEnd"/>
    </w:p>
    <w:p w14:paraId="7FB9D929" w14:textId="77777777" w:rsidR="00E95227" w:rsidRPr="0084048C" w:rsidRDefault="00E95227" w:rsidP="005F3048">
      <w:pPr>
        <w:pStyle w:val="paragraph"/>
        <w:numPr>
          <w:ilvl w:val="1"/>
          <w:numId w:val="35"/>
        </w:numPr>
        <w:tabs>
          <w:tab w:val="clear" w:pos="1440"/>
        </w:tabs>
        <w:spacing w:before="120" w:beforeAutospacing="0" w:after="0" w:afterAutospacing="0"/>
        <w:ind w:left="851" w:hanging="357"/>
        <w:textAlignment w:val="baseline"/>
        <w:rPr>
          <w:rFonts w:ascii="Arial" w:hAnsi="Arial" w:cs="Arial"/>
          <w:sz w:val="22"/>
          <w:szCs w:val="22"/>
        </w:rPr>
      </w:pPr>
      <w:r w:rsidRPr="0084048C">
        <w:rPr>
          <w:rStyle w:val="normaltextrun"/>
          <w:rFonts w:ascii="Arial" w:eastAsiaTheme="majorEastAsia" w:hAnsi="Arial" w:cs="Arial"/>
          <w:sz w:val="22"/>
          <w:szCs w:val="22"/>
          <w:lang w:val="en-US"/>
        </w:rPr>
        <w:t xml:space="preserve">implement more effective compliance </w:t>
      </w:r>
      <w:proofErr w:type="gramStart"/>
      <w:r w:rsidRPr="0084048C">
        <w:rPr>
          <w:rStyle w:val="normaltextrun"/>
          <w:rFonts w:ascii="Arial" w:eastAsiaTheme="majorEastAsia" w:hAnsi="Arial" w:cs="Arial"/>
          <w:sz w:val="22"/>
          <w:szCs w:val="22"/>
          <w:lang w:val="en-US"/>
        </w:rPr>
        <w:t>arrangements</w:t>
      </w:r>
      <w:proofErr w:type="gramEnd"/>
    </w:p>
    <w:p w14:paraId="17CD06B0" w14:textId="77777777" w:rsidR="00E95227" w:rsidRPr="0084048C" w:rsidRDefault="00E95227" w:rsidP="005F3048">
      <w:pPr>
        <w:pStyle w:val="paragraph"/>
        <w:numPr>
          <w:ilvl w:val="1"/>
          <w:numId w:val="35"/>
        </w:numPr>
        <w:tabs>
          <w:tab w:val="clear" w:pos="1440"/>
        </w:tabs>
        <w:spacing w:before="120" w:beforeAutospacing="0" w:after="0" w:afterAutospacing="0"/>
        <w:ind w:left="851" w:hanging="357"/>
        <w:textAlignment w:val="baseline"/>
        <w:rPr>
          <w:rFonts w:ascii="Arial" w:hAnsi="Arial" w:cs="Arial"/>
          <w:sz w:val="22"/>
          <w:szCs w:val="22"/>
        </w:rPr>
      </w:pPr>
      <w:r w:rsidRPr="0084048C">
        <w:rPr>
          <w:rStyle w:val="normaltextrun"/>
          <w:rFonts w:ascii="Arial" w:eastAsiaTheme="majorEastAsia" w:hAnsi="Arial" w:cs="Arial"/>
          <w:sz w:val="22"/>
          <w:szCs w:val="22"/>
          <w:lang w:val="en-US"/>
        </w:rPr>
        <w:t xml:space="preserve">better support people facing barriers to </w:t>
      </w:r>
      <w:proofErr w:type="gramStart"/>
      <w:r w:rsidRPr="0084048C">
        <w:rPr>
          <w:rStyle w:val="normaltextrun"/>
          <w:rFonts w:ascii="Arial" w:eastAsiaTheme="majorEastAsia" w:hAnsi="Arial" w:cs="Arial"/>
          <w:sz w:val="22"/>
          <w:szCs w:val="22"/>
          <w:lang w:val="en-US"/>
        </w:rPr>
        <w:t>access</w:t>
      </w:r>
      <w:proofErr w:type="gramEnd"/>
    </w:p>
    <w:p w14:paraId="2F864D1A" w14:textId="77777777" w:rsidR="00E95227" w:rsidRPr="0084048C" w:rsidRDefault="00E95227" w:rsidP="005F3048">
      <w:pPr>
        <w:pStyle w:val="paragraph"/>
        <w:numPr>
          <w:ilvl w:val="1"/>
          <w:numId w:val="35"/>
        </w:numPr>
        <w:tabs>
          <w:tab w:val="clear" w:pos="1440"/>
        </w:tabs>
        <w:spacing w:before="120" w:beforeAutospacing="0" w:after="0" w:afterAutospacing="0"/>
        <w:ind w:left="851" w:hanging="357"/>
        <w:textAlignment w:val="baseline"/>
        <w:rPr>
          <w:rFonts w:ascii="Arial" w:hAnsi="Arial" w:cs="Arial"/>
          <w:sz w:val="22"/>
          <w:szCs w:val="22"/>
        </w:rPr>
      </w:pPr>
      <w:proofErr w:type="spellStart"/>
      <w:r w:rsidRPr="0084048C">
        <w:rPr>
          <w:rStyle w:val="normaltextrun"/>
          <w:rFonts w:ascii="Arial" w:eastAsiaTheme="majorEastAsia" w:hAnsi="Arial" w:cs="Arial"/>
          <w:sz w:val="22"/>
          <w:szCs w:val="22"/>
          <w:lang w:val="en-US"/>
        </w:rPr>
        <w:t>prioritising</w:t>
      </w:r>
      <w:proofErr w:type="spellEnd"/>
      <w:r w:rsidRPr="0084048C">
        <w:rPr>
          <w:rStyle w:val="normaltextrun"/>
          <w:rFonts w:ascii="Arial" w:eastAsiaTheme="majorEastAsia" w:hAnsi="Arial" w:cs="Arial"/>
          <w:color w:val="000000"/>
          <w:sz w:val="22"/>
          <w:szCs w:val="22"/>
          <w:lang w:val="en-US"/>
        </w:rPr>
        <w:t xml:space="preserve"> options to redesign funding arrangements which will be reinvested into general practice, the Panel will not be asked to consider any cuts to </w:t>
      </w:r>
      <w:proofErr w:type="gramStart"/>
      <w:r w:rsidRPr="0084048C">
        <w:rPr>
          <w:rStyle w:val="normaltextrun"/>
          <w:rFonts w:ascii="Arial" w:eastAsiaTheme="majorEastAsia" w:hAnsi="Arial" w:cs="Arial"/>
          <w:color w:val="000000"/>
          <w:sz w:val="22"/>
          <w:szCs w:val="22"/>
          <w:lang w:val="en-US"/>
        </w:rPr>
        <w:t>funding</w:t>
      </w:r>
      <w:proofErr w:type="gramEnd"/>
    </w:p>
    <w:p w14:paraId="4E48BD01" w14:textId="77777777" w:rsidR="00E95227" w:rsidRPr="0084048C" w:rsidRDefault="00E95227" w:rsidP="005F3048">
      <w:pPr>
        <w:pStyle w:val="paragraph"/>
        <w:numPr>
          <w:ilvl w:val="1"/>
          <w:numId w:val="35"/>
        </w:numPr>
        <w:tabs>
          <w:tab w:val="clear" w:pos="1440"/>
        </w:tabs>
        <w:spacing w:before="120" w:beforeAutospacing="0" w:after="0" w:afterAutospacing="0"/>
        <w:ind w:left="851" w:hanging="357"/>
        <w:textAlignment w:val="baseline"/>
        <w:rPr>
          <w:rFonts w:ascii="Arial" w:hAnsi="Arial" w:cs="Arial"/>
          <w:sz w:val="22"/>
          <w:szCs w:val="22"/>
        </w:rPr>
      </w:pPr>
      <w:r w:rsidRPr="0084048C">
        <w:rPr>
          <w:rStyle w:val="normaltextrun"/>
          <w:rFonts w:ascii="Arial" w:eastAsiaTheme="majorEastAsia" w:hAnsi="Arial" w:cs="Arial"/>
          <w:color w:val="000000"/>
          <w:sz w:val="22"/>
          <w:szCs w:val="22"/>
          <w:lang w:val="en-US"/>
        </w:rPr>
        <w:t>consider how to improve linkages to the secondary and tertiary care sectors and promote a One Health System approach.</w:t>
      </w:r>
      <w:r w:rsidRPr="0084048C">
        <w:rPr>
          <w:rStyle w:val="eop"/>
          <w:rFonts w:ascii="Arial" w:hAnsi="Arial" w:cs="Arial"/>
          <w:color w:val="000000"/>
          <w:sz w:val="22"/>
          <w:szCs w:val="22"/>
        </w:rPr>
        <w:t> </w:t>
      </w:r>
    </w:p>
    <w:p w14:paraId="5787B20B" w14:textId="77777777" w:rsidR="00E95227" w:rsidRPr="0084048C" w:rsidRDefault="00E95227" w:rsidP="005F3048">
      <w:pPr>
        <w:pStyle w:val="paragraph"/>
        <w:numPr>
          <w:ilvl w:val="0"/>
          <w:numId w:val="35"/>
        </w:numPr>
        <w:tabs>
          <w:tab w:val="clear" w:pos="720"/>
        </w:tabs>
        <w:spacing w:before="120" w:beforeAutospacing="0" w:after="0" w:afterAutospacing="0"/>
        <w:ind w:left="426" w:hanging="357"/>
        <w:textAlignment w:val="baseline"/>
        <w:rPr>
          <w:rStyle w:val="normaltextrun"/>
          <w:rFonts w:ascii="Arial" w:eastAsiaTheme="majorEastAsia" w:hAnsi="Arial" w:cs="Arial"/>
          <w:lang w:val="en-US"/>
        </w:rPr>
      </w:pPr>
      <w:r w:rsidRPr="0084048C">
        <w:rPr>
          <w:rStyle w:val="normaltextrun"/>
          <w:rFonts w:ascii="Arial" w:eastAsiaTheme="majorEastAsia" w:hAnsi="Arial" w:cs="Arial"/>
          <w:sz w:val="22"/>
          <w:szCs w:val="22"/>
          <w:lang w:val="en-US"/>
        </w:rPr>
        <w:t xml:space="preserve">How to further enhance quality and continuity of care through new incentives supported by </w:t>
      </w:r>
      <w:proofErr w:type="spellStart"/>
      <w:r w:rsidRPr="0084048C">
        <w:rPr>
          <w:rStyle w:val="normaltextrun"/>
          <w:rFonts w:ascii="Arial" w:eastAsiaTheme="majorEastAsia" w:hAnsi="Arial" w:cs="Arial"/>
          <w:sz w:val="22"/>
          <w:szCs w:val="22"/>
          <w:lang w:val="en-US"/>
        </w:rPr>
        <w:t>MyMedicare</w:t>
      </w:r>
      <w:proofErr w:type="spellEnd"/>
      <w:r w:rsidRPr="0084048C">
        <w:rPr>
          <w:rStyle w:val="normaltextrun"/>
          <w:rFonts w:ascii="Arial" w:eastAsiaTheme="majorEastAsia" w:hAnsi="Arial" w:cs="Arial"/>
          <w:sz w:val="22"/>
          <w:szCs w:val="22"/>
          <w:lang w:val="en-US"/>
        </w:rPr>
        <w:t>.</w:t>
      </w:r>
      <w:r w:rsidRPr="0084048C">
        <w:rPr>
          <w:rStyle w:val="normaltextrun"/>
          <w:rFonts w:ascii="Arial" w:eastAsiaTheme="majorEastAsia" w:hAnsi="Arial" w:cs="Arial"/>
          <w:lang w:val="en-US"/>
        </w:rPr>
        <w:t> </w:t>
      </w:r>
    </w:p>
    <w:p w14:paraId="0BC6324E" w14:textId="77777777" w:rsidR="00E95227" w:rsidRPr="0084048C" w:rsidRDefault="00E95227" w:rsidP="005F3048">
      <w:pPr>
        <w:pStyle w:val="paragraph"/>
        <w:numPr>
          <w:ilvl w:val="0"/>
          <w:numId w:val="35"/>
        </w:numPr>
        <w:tabs>
          <w:tab w:val="clear" w:pos="720"/>
        </w:tabs>
        <w:spacing w:before="120" w:beforeAutospacing="0" w:after="0" w:afterAutospacing="0"/>
        <w:ind w:left="426" w:hanging="357"/>
        <w:textAlignment w:val="baseline"/>
        <w:rPr>
          <w:rStyle w:val="normaltextrun"/>
          <w:rFonts w:ascii="Arial" w:eastAsiaTheme="majorEastAsia" w:hAnsi="Arial" w:cs="Arial"/>
          <w:lang w:val="en-US"/>
        </w:rPr>
      </w:pPr>
      <w:r w:rsidRPr="0084048C">
        <w:rPr>
          <w:rStyle w:val="normaltextrun"/>
          <w:rFonts w:ascii="Arial" w:eastAsiaTheme="majorEastAsia" w:hAnsi="Arial" w:cs="Arial"/>
          <w:sz w:val="22"/>
          <w:szCs w:val="22"/>
          <w:lang w:val="en-US"/>
        </w:rPr>
        <w:t>The role of accreditation as a prerequisite to receive incentive payments in ensuring safety and quality of care as a foundation to blended funding reforms.</w:t>
      </w:r>
      <w:r w:rsidRPr="0084048C">
        <w:rPr>
          <w:rStyle w:val="normaltextrun"/>
          <w:rFonts w:ascii="Arial" w:eastAsiaTheme="majorEastAsia" w:hAnsi="Arial" w:cs="Arial"/>
          <w:lang w:val="en-US"/>
        </w:rPr>
        <w:t> </w:t>
      </w:r>
    </w:p>
    <w:p w14:paraId="4D8499CD" w14:textId="77777777" w:rsidR="00E95227" w:rsidRPr="0084048C" w:rsidRDefault="00E95227" w:rsidP="005F3048">
      <w:pPr>
        <w:pStyle w:val="paragraph"/>
        <w:numPr>
          <w:ilvl w:val="0"/>
          <w:numId w:val="35"/>
        </w:numPr>
        <w:tabs>
          <w:tab w:val="clear" w:pos="720"/>
        </w:tabs>
        <w:spacing w:before="120" w:beforeAutospacing="0" w:after="0" w:afterAutospacing="0"/>
        <w:ind w:left="426" w:hanging="357"/>
        <w:textAlignment w:val="baseline"/>
        <w:rPr>
          <w:rStyle w:val="normaltextrun"/>
          <w:rFonts w:ascii="Arial" w:eastAsiaTheme="majorEastAsia" w:hAnsi="Arial" w:cs="Arial"/>
          <w:lang w:val="en-US"/>
        </w:rPr>
      </w:pPr>
      <w:r w:rsidRPr="0084048C">
        <w:rPr>
          <w:rStyle w:val="normaltextrun"/>
          <w:rFonts w:ascii="Arial" w:eastAsiaTheme="majorEastAsia" w:hAnsi="Arial" w:cs="Arial"/>
          <w:sz w:val="22"/>
          <w:szCs w:val="22"/>
          <w:lang w:val="en-US"/>
        </w:rPr>
        <w:t>The eligibility and role of emerging, non-GP led and non-traditional models of primary care practice.</w:t>
      </w:r>
      <w:r w:rsidRPr="0084048C">
        <w:rPr>
          <w:rStyle w:val="normaltextrun"/>
          <w:rFonts w:ascii="Arial" w:eastAsiaTheme="majorEastAsia" w:hAnsi="Arial" w:cs="Arial"/>
          <w:lang w:val="en-US"/>
        </w:rPr>
        <w:t> </w:t>
      </w:r>
    </w:p>
    <w:p w14:paraId="730D218A" w14:textId="77777777" w:rsidR="00E95227" w:rsidRPr="0084048C" w:rsidRDefault="00E95227" w:rsidP="005F3048">
      <w:pPr>
        <w:pStyle w:val="paragraph"/>
        <w:numPr>
          <w:ilvl w:val="0"/>
          <w:numId w:val="35"/>
        </w:numPr>
        <w:tabs>
          <w:tab w:val="clear" w:pos="720"/>
        </w:tabs>
        <w:spacing w:before="120" w:beforeAutospacing="0" w:after="0" w:afterAutospacing="0"/>
        <w:ind w:left="426" w:hanging="357"/>
        <w:textAlignment w:val="baseline"/>
        <w:rPr>
          <w:rStyle w:val="normaltextrun"/>
          <w:rFonts w:ascii="Arial" w:eastAsiaTheme="majorEastAsia" w:hAnsi="Arial" w:cs="Arial"/>
          <w:lang w:val="en-US"/>
        </w:rPr>
      </w:pPr>
      <w:r w:rsidRPr="0084048C">
        <w:rPr>
          <w:rStyle w:val="normaltextrun"/>
          <w:rFonts w:ascii="Arial" w:eastAsiaTheme="majorEastAsia" w:hAnsi="Arial" w:cs="Arial"/>
          <w:sz w:val="22"/>
          <w:szCs w:val="22"/>
          <w:lang w:val="en-US"/>
        </w:rPr>
        <w:t>Contributions from the primary care sector and consumers (see below).</w:t>
      </w:r>
      <w:r w:rsidRPr="0084048C">
        <w:rPr>
          <w:rStyle w:val="normaltextrun"/>
          <w:rFonts w:ascii="Arial" w:eastAsiaTheme="majorEastAsia" w:hAnsi="Arial" w:cs="Arial"/>
          <w:lang w:val="en-US"/>
        </w:rPr>
        <w:t> </w:t>
      </w:r>
    </w:p>
    <w:p w14:paraId="59CCA3B1" w14:textId="77777777" w:rsidR="00E95227" w:rsidRPr="0084048C" w:rsidRDefault="00E95227" w:rsidP="005F3048">
      <w:pPr>
        <w:pStyle w:val="paragraph"/>
        <w:numPr>
          <w:ilvl w:val="0"/>
          <w:numId w:val="35"/>
        </w:numPr>
        <w:tabs>
          <w:tab w:val="clear" w:pos="720"/>
        </w:tabs>
        <w:spacing w:before="120" w:beforeAutospacing="0" w:after="0" w:afterAutospacing="0"/>
        <w:ind w:left="426" w:hanging="357"/>
        <w:textAlignment w:val="baseline"/>
        <w:rPr>
          <w:rFonts w:ascii="Arial" w:hAnsi="Arial" w:cs="Arial"/>
          <w:sz w:val="22"/>
          <w:szCs w:val="22"/>
        </w:rPr>
      </w:pPr>
      <w:r w:rsidRPr="0084048C">
        <w:rPr>
          <w:rStyle w:val="normaltextrun"/>
          <w:rFonts w:ascii="Arial" w:eastAsiaTheme="majorEastAsia" w:hAnsi="Arial" w:cs="Arial"/>
          <w:sz w:val="22"/>
          <w:szCs w:val="22"/>
          <w:lang w:val="en-US"/>
        </w:rPr>
        <w:t>Implementation options to support a transition from activity-based to quality and outcome- based payments.</w:t>
      </w:r>
      <w:r w:rsidRPr="0084048C">
        <w:rPr>
          <w:rStyle w:val="eop"/>
          <w:rFonts w:ascii="Arial" w:hAnsi="Arial" w:cs="Arial"/>
          <w:sz w:val="22"/>
          <w:szCs w:val="22"/>
        </w:rPr>
        <w:t> </w:t>
      </w:r>
      <w:r w:rsidRPr="0084048C">
        <w:rPr>
          <w:rStyle w:val="eop"/>
          <w:rFonts w:ascii="Arial" w:hAnsi="Arial" w:cs="Arial"/>
          <w:sz w:val="22"/>
          <w:szCs w:val="22"/>
        </w:rPr>
        <w:br/>
      </w:r>
    </w:p>
    <w:p w14:paraId="261D7980" w14:textId="3D2BC843" w:rsidR="0004770D" w:rsidRPr="0084048C" w:rsidRDefault="005D6387" w:rsidP="0084048C">
      <w:pPr>
        <w:pStyle w:val="Heading1"/>
        <w:keepLines w:val="0"/>
        <w:spacing w:before="240" w:after="60" w:line="240" w:lineRule="auto"/>
        <w:rPr>
          <w:rFonts w:ascii="Arial" w:eastAsia="Times New Roman" w:hAnsi="Arial" w:cs="Arial"/>
          <w:b/>
          <w:bCs/>
          <w:color w:val="3F4A75"/>
          <w:kern w:val="28"/>
          <w:sz w:val="44"/>
          <w:szCs w:val="36"/>
          <w:lang w:val="en-AU" w:eastAsia="en-US"/>
        </w:rPr>
      </w:pPr>
      <w:r w:rsidRPr="0084048C">
        <w:rPr>
          <w:rFonts w:ascii="Arial" w:eastAsia="Times New Roman" w:hAnsi="Arial" w:cs="Arial"/>
          <w:b/>
          <w:bCs/>
          <w:color w:val="3F4A75"/>
          <w:kern w:val="28"/>
          <w:sz w:val="44"/>
          <w:szCs w:val="36"/>
          <w:lang w:val="en-AU" w:eastAsia="en-US"/>
        </w:rPr>
        <w:lastRenderedPageBreak/>
        <w:t xml:space="preserve">Appendix 2 </w:t>
      </w:r>
      <w:r w:rsidR="00E473EC" w:rsidRPr="0084048C">
        <w:rPr>
          <w:rFonts w:ascii="Arial" w:eastAsia="Times New Roman" w:hAnsi="Arial" w:cs="Arial"/>
          <w:b/>
          <w:bCs/>
          <w:color w:val="3F4A75"/>
          <w:kern w:val="28"/>
          <w:sz w:val="44"/>
          <w:szCs w:val="36"/>
          <w:lang w:val="en-AU" w:eastAsia="en-US"/>
        </w:rPr>
        <w:t>–</w:t>
      </w:r>
      <w:r w:rsidRPr="0084048C">
        <w:rPr>
          <w:rFonts w:ascii="Arial" w:eastAsia="Times New Roman" w:hAnsi="Arial" w:cs="Arial"/>
          <w:b/>
          <w:bCs/>
          <w:color w:val="3F4A75"/>
          <w:kern w:val="28"/>
          <w:sz w:val="44"/>
          <w:szCs w:val="36"/>
          <w:lang w:val="en-AU" w:eastAsia="en-US"/>
        </w:rPr>
        <w:t xml:space="preserve"> </w:t>
      </w:r>
      <w:r w:rsidR="00CD039B" w:rsidRPr="0084048C">
        <w:rPr>
          <w:rFonts w:ascii="Arial" w:eastAsia="Times New Roman" w:hAnsi="Arial" w:cs="Arial"/>
          <w:b/>
          <w:bCs/>
          <w:color w:val="3F4A75"/>
          <w:kern w:val="28"/>
          <w:sz w:val="44"/>
          <w:szCs w:val="36"/>
          <w:lang w:val="en-AU" w:eastAsia="en-US"/>
        </w:rPr>
        <w:t>Summary of information that has informed the Panel’s proposed Review recommendations</w:t>
      </w:r>
      <w:r w:rsidR="0060300C" w:rsidRPr="0084048C">
        <w:rPr>
          <w:rFonts w:ascii="Arial" w:eastAsia="Times New Roman" w:hAnsi="Arial" w:cs="Arial"/>
          <w:b/>
          <w:bCs/>
          <w:color w:val="3F4A75"/>
          <w:kern w:val="28"/>
          <w:sz w:val="44"/>
          <w:szCs w:val="36"/>
          <w:lang w:val="en-AU" w:eastAsia="en-US"/>
        </w:rPr>
        <w:t>.</w:t>
      </w:r>
      <w:r w:rsidR="00E473EC" w:rsidRPr="0084048C">
        <w:rPr>
          <w:rFonts w:ascii="Arial" w:eastAsia="Times New Roman" w:hAnsi="Arial" w:cs="Arial"/>
          <w:b/>
          <w:bCs/>
          <w:color w:val="3F4A75"/>
          <w:kern w:val="28"/>
          <w:sz w:val="44"/>
          <w:szCs w:val="36"/>
          <w:lang w:val="en-AU" w:eastAsia="en-US"/>
        </w:rPr>
        <w:t xml:space="preserve"> </w:t>
      </w:r>
    </w:p>
    <w:p w14:paraId="30B7BD66" w14:textId="03D64EE0" w:rsidR="00B737F6" w:rsidRPr="0084048C" w:rsidRDefault="00B737F6" w:rsidP="00B737F6">
      <w:pPr>
        <w:rPr>
          <w:rFonts w:ascii="Arial" w:eastAsia="Calibri" w:hAnsi="Arial" w:cs="Arial"/>
          <w:color w:val="000000" w:themeColor="text1"/>
          <w:sz w:val="22"/>
          <w:szCs w:val="22"/>
          <w:lang w:val="en-GB"/>
        </w:rPr>
      </w:pPr>
      <w:r w:rsidRPr="0084048C">
        <w:rPr>
          <w:rFonts w:ascii="Arial" w:hAnsi="Arial" w:cs="Arial"/>
          <w:sz w:val="22"/>
          <w:szCs w:val="22"/>
        </w:rPr>
        <w:t xml:space="preserve">The Review has been informed by commissioned work and consultation with stakeholders. </w:t>
      </w:r>
      <w:r w:rsidRPr="0084048C">
        <w:rPr>
          <w:rFonts w:ascii="Arial" w:eastAsia="Calibri" w:hAnsi="Arial" w:cs="Arial"/>
          <w:color w:val="000000" w:themeColor="text1"/>
          <w:sz w:val="22"/>
          <w:szCs w:val="22"/>
          <w:lang w:val="en-GB"/>
        </w:rPr>
        <w:t xml:space="preserve">The Panel met 13 times across 2023-2024 to consider discussion papers on key themes, review commissioned work for the purposes of this review, and hear from other prominent experts including the leads of other primary care reviews. </w:t>
      </w:r>
    </w:p>
    <w:p w14:paraId="13E9C4EE" w14:textId="77777777" w:rsidR="00B737F6" w:rsidRPr="0084048C" w:rsidRDefault="00B737F6" w:rsidP="0084048C">
      <w:pPr>
        <w:pStyle w:val="Heading2"/>
        <w:keepLines w:val="0"/>
        <w:spacing w:before="240" w:after="60" w:line="240" w:lineRule="auto"/>
        <w:rPr>
          <w:rFonts w:ascii="Arial" w:eastAsia="Times New Roman" w:hAnsi="Arial" w:cs="Arial"/>
          <w:b/>
          <w:bCs/>
          <w:iCs/>
          <w:color w:val="358189"/>
          <w:sz w:val="36"/>
          <w:szCs w:val="28"/>
          <w:lang w:val="en-AU" w:eastAsia="en-US"/>
        </w:rPr>
      </w:pPr>
      <w:r w:rsidRPr="0084048C">
        <w:rPr>
          <w:rFonts w:ascii="Arial" w:eastAsia="Times New Roman" w:hAnsi="Arial" w:cs="Arial"/>
          <w:b/>
          <w:bCs/>
          <w:iCs/>
          <w:color w:val="358189"/>
          <w:sz w:val="36"/>
          <w:szCs w:val="28"/>
          <w:lang w:val="en-AU" w:eastAsia="en-US"/>
        </w:rPr>
        <w:t>Effectiveness Review of General Practice Incentives</w:t>
      </w:r>
    </w:p>
    <w:p w14:paraId="0A348DE5" w14:textId="6A97AA39" w:rsidR="00B737F6" w:rsidRPr="0084048C" w:rsidRDefault="00B737F6" w:rsidP="00B737F6">
      <w:pPr>
        <w:rPr>
          <w:rFonts w:ascii="Arial" w:hAnsi="Arial" w:cs="Arial"/>
          <w:sz w:val="22"/>
          <w:szCs w:val="22"/>
        </w:rPr>
      </w:pPr>
      <w:r w:rsidRPr="0084048C">
        <w:rPr>
          <w:rFonts w:ascii="Arial" w:hAnsi="Arial" w:cs="Arial"/>
          <w:sz w:val="22"/>
          <w:szCs w:val="22"/>
        </w:rPr>
        <w:t xml:space="preserve">The department commissioned KPMG to conduct an effectiveness review of the PIP and WIP, which included open submission consultation via the department’s Consultation Hub. </w:t>
      </w:r>
    </w:p>
    <w:p w14:paraId="73017D89" w14:textId="77777777" w:rsidR="00E5385D" w:rsidRPr="0084048C" w:rsidRDefault="00E5385D" w:rsidP="00E5385D">
      <w:pPr>
        <w:rPr>
          <w:rFonts w:ascii="Arial" w:hAnsi="Arial" w:cs="Arial"/>
          <w:sz w:val="22"/>
          <w:szCs w:val="22"/>
        </w:rPr>
      </w:pPr>
      <w:r w:rsidRPr="0084048C">
        <w:rPr>
          <w:rFonts w:ascii="Arial" w:hAnsi="Arial" w:cs="Arial"/>
          <w:sz w:val="22"/>
          <w:szCs w:val="22"/>
        </w:rPr>
        <w:t>This review aimed to evaluate the effectiveness of the incentives in meeting their stated objectives, their alignment with broader policy goals, and their efficiency and sustainability.</w:t>
      </w:r>
    </w:p>
    <w:p w14:paraId="1D343CD8" w14:textId="40DA0383" w:rsidR="00B737F6" w:rsidRPr="0084048C" w:rsidRDefault="00E5385D" w:rsidP="00B737F6">
      <w:pPr>
        <w:contextualSpacing/>
        <w:rPr>
          <w:rFonts w:ascii="Arial" w:hAnsi="Arial" w:cs="Arial"/>
          <w:sz w:val="22"/>
          <w:szCs w:val="22"/>
        </w:rPr>
      </w:pPr>
      <w:r w:rsidRPr="0084048C">
        <w:rPr>
          <w:rFonts w:ascii="Arial" w:hAnsi="Arial" w:cs="Arial"/>
          <w:sz w:val="22"/>
          <w:szCs w:val="22"/>
        </w:rPr>
        <w:t>Based on the available evidence, analysis by KPMG informed the following observations about the</w:t>
      </w:r>
      <w:r w:rsidR="00B737F6" w:rsidRPr="0084048C">
        <w:rPr>
          <w:rFonts w:ascii="Arial" w:hAnsi="Arial" w:cs="Arial"/>
          <w:sz w:val="22"/>
          <w:szCs w:val="22"/>
        </w:rPr>
        <w:t xml:space="preserve"> incentive landscape:</w:t>
      </w:r>
    </w:p>
    <w:p w14:paraId="780EFC36" w14:textId="06C5A251" w:rsidR="00B737F6" w:rsidRPr="0084048C" w:rsidRDefault="00B737F6" w:rsidP="00B737F6">
      <w:pPr>
        <w:pStyle w:val="ListParagraph"/>
        <w:numPr>
          <w:ilvl w:val="0"/>
          <w:numId w:val="12"/>
        </w:numPr>
        <w:spacing w:line="278" w:lineRule="auto"/>
        <w:rPr>
          <w:rFonts w:ascii="Arial" w:hAnsi="Arial" w:cs="Arial"/>
          <w:sz w:val="22"/>
          <w:szCs w:val="22"/>
        </w:rPr>
      </w:pPr>
      <w:r w:rsidRPr="0084048C">
        <w:rPr>
          <w:rFonts w:ascii="Arial" w:hAnsi="Arial" w:cs="Arial"/>
          <w:sz w:val="22"/>
          <w:szCs w:val="22"/>
        </w:rPr>
        <w:t>Incentives do not</w:t>
      </w:r>
      <w:r w:rsidR="00E5385D" w:rsidRPr="0084048C">
        <w:rPr>
          <w:rFonts w:ascii="Arial" w:hAnsi="Arial" w:cs="Arial"/>
          <w:sz w:val="22"/>
          <w:szCs w:val="22"/>
        </w:rPr>
        <w:t xml:space="preserve"> clearly align</w:t>
      </w:r>
      <w:r w:rsidRPr="0084048C">
        <w:rPr>
          <w:rFonts w:ascii="Arial" w:hAnsi="Arial" w:cs="Arial"/>
          <w:sz w:val="22"/>
          <w:szCs w:val="22"/>
        </w:rPr>
        <w:t xml:space="preserve"> with broader policy and are not responsive to emerging sector trends.</w:t>
      </w:r>
    </w:p>
    <w:p w14:paraId="71EEAA56" w14:textId="77777777" w:rsidR="00B737F6" w:rsidRPr="0084048C" w:rsidRDefault="00B737F6" w:rsidP="00B737F6">
      <w:pPr>
        <w:pStyle w:val="ListParagraph"/>
        <w:numPr>
          <w:ilvl w:val="0"/>
          <w:numId w:val="12"/>
        </w:numPr>
        <w:spacing w:line="278" w:lineRule="auto"/>
        <w:rPr>
          <w:rFonts w:ascii="Arial" w:hAnsi="Arial" w:cs="Arial"/>
          <w:sz w:val="22"/>
          <w:szCs w:val="22"/>
        </w:rPr>
      </w:pPr>
      <w:r w:rsidRPr="0084048C">
        <w:rPr>
          <w:rFonts w:ascii="Arial" w:hAnsi="Arial" w:cs="Arial"/>
          <w:sz w:val="22"/>
          <w:szCs w:val="22"/>
        </w:rPr>
        <w:t xml:space="preserve">Incentives have limited influence on </w:t>
      </w:r>
      <w:proofErr w:type="spellStart"/>
      <w:r w:rsidRPr="0084048C">
        <w:rPr>
          <w:rFonts w:ascii="Arial" w:hAnsi="Arial" w:cs="Arial"/>
          <w:sz w:val="22"/>
          <w:szCs w:val="22"/>
        </w:rPr>
        <w:t>behaviour</w:t>
      </w:r>
      <w:proofErr w:type="spellEnd"/>
      <w:r w:rsidRPr="0084048C">
        <w:rPr>
          <w:rFonts w:ascii="Arial" w:hAnsi="Arial" w:cs="Arial"/>
          <w:sz w:val="22"/>
          <w:szCs w:val="22"/>
        </w:rPr>
        <w:t>, and poorly resourced practices lack the administrative capacity to fully engage in them.</w:t>
      </w:r>
    </w:p>
    <w:p w14:paraId="6C0995DB" w14:textId="3BC7BB65" w:rsidR="00B737F6" w:rsidRPr="0084048C" w:rsidRDefault="00E5385D" w:rsidP="00B737F6">
      <w:pPr>
        <w:pStyle w:val="ListParagraph"/>
        <w:numPr>
          <w:ilvl w:val="0"/>
          <w:numId w:val="12"/>
        </w:numPr>
        <w:spacing w:line="278" w:lineRule="auto"/>
        <w:rPr>
          <w:rFonts w:ascii="Arial" w:hAnsi="Arial" w:cs="Arial"/>
          <w:sz w:val="22"/>
          <w:szCs w:val="22"/>
        </w:rPr>
      </w:pPr>
      <w:r w:rsidRPr="0084048C">
        <w:rPr>
          <w:rFonts w:ascii="Arial" w:hAnsi="Arial" w:cs="Arial"/>
          <w:sz w:val="22"/>
          <w:szCs w:val="22"/>
        </w:rPr>
        <w:t>Some stakeholders find the</w:t>
      </w:r>
      <w:r w:rsidR="00B737F6" w:rsidRPr="0084048C">
        <w:rPr>
          <w:rFonts w:ascii="Arial" w:hAnsi="Arial" w:cs="Arial"/>
          <w:sz w:val="22"/>
          <w:szCs w:val="22"/>
        </w:rPr>
        <w:t xml:space="preserve"> administration </w:t>
      </w:r>
      <w:r w:rsidRPr="0084048C">
        <w:rPr>
          <w:rFonts w:ascii="Arial" w:hAnsi="Arial" w:cs="Arial"/>
          <w:sz w:val="22"/>
          <w:szCs w:val="22"/>
        </w:rPr>
        <w:t xml:space="preserve">of incentives </w:t>
      </w:r>
      <w:r w:rsidR="00B737F6" w:rsidRPr="0084048C">
        <w:rPr>
          <w:rFonts w:ascii="Arial" w:hAnsi="Arial" w:cs="Arial"/>
          <w:sz w:val="22"/>
          <w:szCs w:val="22"/>
        </w:rPr>
        <w:t>burdensome, and practices noted a conflict between incentive requirements and desired outcomes.</w:t>
      </w:r>
    </w:p>
    <w:p w14:paraId="46C6F30F" w14:textId="39B83A7F" w:rsidR="00B737F6" w:rsidRPr="0084048C" w:rsidRDefault="00B737F6" w:rsidP="00B737F6">
      <w:pPr>
        <w:pStyle w:val="ListParagraph"/>
        <w:numPr>
          <w:ilvl w:val="0"/>
          <w:numId w:val="12"/>
        </w:numPr>
        <w:spacing w:line="278" w:lineRule="auto"/>
        <w:rPr>
          <w:rFonts w:ascii="Arial" w:hAnsi="Arial" w:cs="Arial"/>
          <w:sz w:val="22"/>
          <w:szCs w:val="22"/>
        </w:rPr>
      </w:pPr>
      <w:r w:rsidRPr="0084048C">
        <w:rPr>
          <w:rFonts w:ascii="Arial" w:hAnsi="Arial" w:cs="Arial"/>
          <w:sz w:val="22"/>
          <w:szCs w:val="22"/>
        </w:rPr>
        <w:t xml:space="preserve">Practices rely on incentives for financial sustainability, rather than drivers of </w:t>
      </w:r>
      <w:proofErr w:type="spellStart"/>
      <w:r w:rsidRPr="0084048C">
        <w:rPr>
          <w:rFonts w:ascii="Arial" w:hAnsi="Arial" w:cs="Arial"/>
          <w:sz w:val="22"/>
          <w:szCs w:val="22"/>
        </w:rPr>
        <w:t>behavioural</w:t>
      </w:r>
      <w:proofErr w:type="spellEnd"/>
      <w:r w:rsidRPr="0084048C">
        <w:rPr>
          <w:rFonts w:ascii="Arial" w:hAnsi="Arial" w:cs="Arial"/>
          <w:sz w:val="22"/>
          <w:szCs w:val="22"/>
        </w:rPr>
        <w:t xml:space="preserve"> change. Stakeholders expressed concern over other government initiatives conflicting with incentive outcomes in the mid-to-long term. </w:t>
      </w:r>
    </w:p>
    <w:p w14:paraId="48D03015" w14:textId="77777777" w:rsidR="003B5354" w:rsidRDefault="003B5354" w:rsidP="003B5354">
      <w:pPr>
        <w:pStyle w:val="ListParagraph"/>
        <w:spacing w:line="278" w:lineRule="auto"/>
        <w:rPr>
          <w:rFonts w:ascii="Aptos" w:hAnsi="Aptos"/>
          <w:sz w:val="22"/>
          <w:szCs w:val="22"/>
        </w:rPr>
      </w:pPr>
    </w:p>
    <w:p w14:paraId="59677411" w14:textId="77777777" w:rsidR="00B737F6" w:rsidRPr="0084048C" w:rsidRDefault="00B737F6" w:rsidP="0084048C">
      <w:pPr>
        <w:pStyle w:val="Heading2"/>
        <w:keepLines w:val="0"/>
        <w:spacing w:before="240" w:after="60" w:line="240" w:lineRule="auto"/>
        <w:rPr>
          <w:rFonts w:ascii="Arial" w:eastAsia="Times New Roman" w:hAnsi="Arial" w:cs="Arial"/>
          <w:b/>
          <w:bCs/>
          <w:iCs/>
          <w:color w:val="358189"/>
          <w:sz w:val="36"/>
          <w:szCs w:val="28"/>
          <w:lang w:val="en-AU" w:eastAsia="en-US"/>
        </w:rPr>
      </w:pPr>
      <w:r w:rsidRPr="0084048C">
        <w:rPr>
          <w:rFonts w:ascii="Arial" w:eastAsia="Times New Roman" w:hAnsi="Arial" w:cs="Arial"/>
          <w:b/>
          <w:bCs/>
          <w:iCs/>
          <w:color w:val="358189"/>
          <w:sz w:val="36"/>
          <w:szCs w:val="28"/>
          <w:lang w:val="en-AU" w:eastAsia="en-US"/>
        </w:rPr>
        <w:t>Literature and International Evidence Review</w:t>
      </w:r>
    </w:p>
    <w:p w14:paraId="42BE0967" w14:textId="2BD1EF40" w:rsidR="003B5354" w:rsidRPr="0084048C" w:rsidRDefault="003B5354" w:rsidP="003B5354">
      <w:pPr>
        <w:spacing w:before="120" w:after="0" w:line="240" w:lineRule="auto"/>
        <w:rPr>
          <w:rFonts w:ascii="Arial" w:hAnsi="Arial" w:cs="Arial"/>
          <w:sz w:val="22"/>
          <w:szCs w:val="22"/>
        </w:rPr>
      </w:pPr>
      <w:r w:rsidRPr="0084048C">
        <w:rPr>
          <w:rFonts w:ascii="Arial" w:hAnsi="Arial" w:cs="Arial"/>
          <w:sz w:val="22"/>
          <w:szCs w:val="22"/>
        </w:rPr>
        <w:t xml:space="preserve">The department commissioned the Centre for Future Health Systems and the Centre for Primary Health Care and Equity at the University of New South Wales (UNSW) to undertake an international literature and evidence review to determine how blended funding models drive access and quality of care and how they promote multidisciplinary team care arrangements across providers in countries around the world. The review found that, while blended payment models show promise, evidence on the cost-effectiveness of pay-for-performance or capitation models is lacking, and that cost-benefit analysis should be considered before implementing specific incentives. </w:t>
      </w:r>
    </w:p>
    <w:p w14:paraId="0F7B8A70" w14:textId="77777777" w:rsidR="003B5354" w:rsidRPr="0084048C" w:rsidRDefault="003B5354" w:rsidP="003B5354">
      <w:pPr>
        <w:spacing w:before="120" w:after="0" w:line="240" w:lineRule="auto"/>
        <w:rPr>
          <w:rFonts w:ascii="Arial" w:hAnsi="Arial" w:cs="Arial"/>
          <w:sz w:val="22"/>
          <w:szCs w:val="22"/>
        </w:rPr>
      </w:pPr>
    </w:p>
    <w:p w14:paraId="117AB23F" w14:textId="77777777" w:rsidR="003B5354" w:rsidRPr="0084048C" w:rsidRDefault="003B5354" w:rsidP="003B5354">
      <w:pPr>
        <w:spacing w:before="120" w:after="0" w:line="240" w:lineRule="auto"/>
        <w:rPr>
          <w:rFonts w:ascii="Arial" w:hAnsi="Arial" w:cs="Arial"/>
          <w:sz w:val="22"/>
          <w:szCs w:val="22"/>
        </w:rPr>
      </w:pPr>
      <w:r w:rsidRPr="0084048C">
        <w:rPr>
          <w:rFonts w:ascii="Arial" w:hAnsi="Arial" w:cs="Arial"/>
          <w:sz w:val="22"/>
          <w:szCs w:val="22"/>
        </w:rPr>
        <w:t>In addition, the review found that:</w:t>
      </w:r>
    </w:p>
    <w:p w14:paraId="2B14E046" w14:textId="77777777" w:rsidR="003B5354" w:rsidRPr="0084048C" w:rsidRDefault="003B5354" w:rsidP="003B5354">
      <w:pPr>
        <w:spacing w:before="120" w:after="0" w:line="240" w:lineRule="auto"/>
        <w:rPr>
          <w:rFonts w:ascii="Arial" w:hAnsi="Arial" w:cs="Arial"/>
          <w:sz w:val="22"/>
          <w:szCs w:val="22"/>
        </w:rPr>
      </w:pPr>
    </w:p>
    <w:p w14:paraId="5AEC988C" w14:textId="77777777" w:rsidR="003B5354" w:rsidRPr="0084048C" w:rsidRDefault="003B5354" w:rsidP="003B5354">
      <w:pPr>
        <w:pStyle w:val="ListParagraph"/>
        <w:numPr>
          <w:ilvl w:val="0"/>
          <w:numId w:val="12"/>
        </w:numPr>
        <w:spacing w:line="278" w:lineRule="auto"/>
        <w:rPr>
          <w:rFonts w:ascii="Arial" w:hAnsi="Arial" w:cs="Arial"/>
          <w:sz w:val="22"/>
          <w:szCs w:val="22"/>
        </w:rPr>
      </w:pPr>
      <w:r w:rsidRPr="0084048C">
        <w:rPr>
          <w:rFonts w:ascii="Arial" w:hAnsi="Arial" w:cs="Arial"/>
          <w:sz w:val="22"/>
          <w:szCs w:val="22"/>
        </w:rPr>
        <w:t>Pay for Performance (P4P) payments, blended with capitation and/or Fee for Service (FFS) payments, can improve quality of multidisciplinary primary care.</w:t>
      </w:r>
    </w:p>
    <w:p w14:paraId="41A518C3" w14:textId="77777777" w:rsidR="003B5354" w:rsidRPr="0084048C" w:rsidRDefault="003B5354" w:rsidP="003B5354">
      <w:pPr>
        <w:pStyle w:val="ListParagraph"/>
        <w:numPr>
          <w:ilvl w:val="0"/>
          <w:numId w:val="12"/>
        </w:numPr>
        <w:spacing w:line="278" w:lineRule="auto"/>
        <w:rPr>
          <w:rFonts w:ascii="Arial" w:hAnsi="Arial" w:cs="Arial"/>
          <w:sz w:val="22"/>
          <w:szCs w:val="22"/>
        </w:rPr>
      </w:pPr>
      <w:r w:rsidRPr="0084048C">
        <w:rPr>
          <w:rFonts w:ascii="Arial" w:hAnsi="Arial" w:cs="Arial"/>
          <w:sz w:val="22"/>
          <w:szCs w:val="22"/>
        </w:rPr>
        <w:lastRenderedPageBreak/>
        <w:t>Blended P4P and incentive models may push providers to focus on more easily measurable aspects of care over less tangible ones.</w:t>
      </w:r>
    </w:p>
    <w:p w14:paraId="75B3CBE0" w14:textId="77777777" w:rsidR="003B5354" w:rsidRPr="0084048C" w:rsidRDefault="003B5354" w:rsidP="003B5354">
      <w:pPr>
        <w:pStyle w:val="ListParagraph"/>
        <w:numPr>
          <w:ilvl w:val="0"/>
          <w:numId w:val="12"/>
        </w:numPr>
        <w:spacing w:line="278" w:lineRule="auto"/>
        <w:rPr>
          <w:rFonts w:ascii="Arial" w:hAnsi="Arial" w:cs="Arial"/>
          <w:sz w:val="22"/>
          <w:szCs w:val="22"/>
        </w:rPr>
      </w:pPr>
      <w:r w:rsidRPr="0084048C">
        <w:rPr>
          <w:rFonts w:ascii="Arial" w:hAnsi="Arial" w:cs="Arial"/>
          <w:sz w:val="22"/>
          <w:szCs w:val="22"/>
        </w:rPr>
        <w:t>Capitated services may result in a reduction in provision, while FFS services may result in an increase.</w:t>
      </w:r>
    </w:p>
    <w:p w14:paraId="0DA144D1" w14:textId="77777777" w:rsidR="003B5354" w:rsidRPr="003B5354" w:rsidRDefault="003B5354" w:rsidP="003B5354">
      <w:pPr>
        <w:pStyle w:val="ListParagraph"/>
        <w:numPr>
          <w:ilvl w:val="0"/>
          <w:numId w:val="12"/>
        </w:numPr>
        <w:spacing w:line="278" w:lineRule="auto"/>
        <w:rPr>
          <w:rFonts w:ascii="Aptos" w:hAnsi="Aptos"/>
          <w:sz w:val="22"/>
          <w:szCs w:val="22"/>
        </w:rPr>
      </w:pPr>
      <w:r w:rsidRPr="0084048C">
        <w:rPr>
          <w:rFonts w:ascii="Arial" w:hAnsi="Arial" w:cs="Arial"/>
          <w:sz w:val="22"/>
          <w:szCs w:val="22"/>
        </w:rPr>
        <w:t xml:space="preserve">Provider </w:t>
      </w:r>
      <w:proofErr w:type="spellStart"/>
      <w:r w:rsidRPr="0084048C">
        <w:rPr>
          <w:rFonts w:ascii="Arial" w:hAnsi="Arial" w:cs="Arial"/>
          <w:sz w:val="22"/>
          <w:szCs w:val="22"/>
        </w:rPr>
        <w:t>behaviour</w:t>
      </w:r>
      <w:proofErr w:type="spellEnd"/>
      <w:r w:rsidRPr="0084048C">
        <w:rPr>
          <w:rFonts w:ascii="Arial" w:hAnsi="Arial" w:cs="Arial"/>
          <w:sz w:val="22"/>
          <w:szCs w:val="22"/>
        </w:rPr>
        <w:t xml:space="preserve"> interventions are highly context specific, making broad conclusions difficult to draw.</w:t>
      </w:r>
    </w:p>
    <w:p w14:paraId="176E6749" w14:textId="5FBCC179" w:rsidR="00E473EC" w:rsidRPr="003B5354" w:rsidRDefault="00E473EC" w:rsidP="00E473EC">
      <w:pPr>
        <w:spacing w:before="120" w:after="0" w:line="240" w:lineRule="auto"/>
        <w:rPr>
          <w:rFonts w:ascii="Aptos" w:hAnsi="Aptos"/>
          <w:sz w:val="22"/>
          <w:szCs w:val="22"/>
        </w:rPr>
      </w:pPr>
    </w:p>
    <w:p w14:paraId="56B3DF04" w14:textId="77777777" w:rsidR="00004768" w:rsidRDefault="00004768" w:rsidP="00CA7EF2">
      <w:pPr>
        <w:spacing w:before="120" w:after="0" w:line="240" w:lineRule="auto"/>
        <w:rPr>
          <w:rFonts w:ascii="Aptos" w:hAnsi="Aptos"/>
          <w:sz w:val="22"/>
          <w:szCs w:val="22"/>
        </w:rPr>
        <w:sectPr w:rsidR="00004768" w:rsidSect="005F3048">
          <w:headerReference w:type="default" r:id="rId22"/>
          <w:pgSz w:w="12240" w:h="15840"/>
          <w:pgMar w:top="1440" w:right="1183" w:bottom="851" w:left="1440" w:header="720" w:footer="371" w:gutter="0"/>
          <w:cols w:space="720"/>
          <w:docGrid w:linePitch="360"/>
        </w:sectPr>
      </w:pPr>
    </w:p>
    <w:p w14:paraId="3C8A252C" w14:textId="77777777" w:rsidR="00CA7EF2" w:rsidRDefault="00CA7EF2" w:rsidP="00CA7EF2">
      <w:pPr>
        <w:spacing w:before="120" w:after="0" w:line="240" w:lineRule="auto"/>
        <w:rPr>
          <w:rFonts w:ascii="Aptos" w:hAnsi="Aptos"/>
          <w:sz w:val="22"/>
          <w:szCs w:val="22"/>
        </w:rPr>
      </w:pPr>
    </w:p>
    <w:p w14:paraId="302FC760" w14:textId="77777777" w:rsidR="00004768" w:rsidRDefault="00004768" w:rsidP="00CA7EF2">
      <w:pPr>
        <w:spacing w:before="120" w:after="0" w:line="240" w:lineRule="auto"/>
        <w:rPr>
          <w:rFonts w:ascii="Aptos" w:hAnsi="Aptos"/>
          <w:sz w:val="22"/>
          <w:szCs w:val="22"/>
        </w:rPr>
      </w:pPr>
    </w:p>
    <w:p w14:paraId="129FD1F3" w14:textId="77777777" w:rsidR="00004768" w:rsidRDefault="00004768" w:rsidP="00CA7EF2">
      <w:pPr>
        <w:spacing w:before="120" w:after="0" w:line="240" w:lineRule="auto"/>
        <w:rPr>
          <w:rFonts w:ascii="Aptos" w:hAnsi="Aptos"/>
          <w:sz w:val="22"/>
          <w:szCs w:val="22"/>
        </w:rPr>
      </w:pPr>
    </w:p>
    <w:p w14:paraId="53C68C63" w14:textId="77777777" w:rsidR="00004768" w:rsidRPr="003B5354" w:rsidRDefault="00004768" w:rsidP="00CA7EF2">
      <w:pPr>
        <w:spacing w:before="120" w:after="0" w:line="240" w:lineRule="auto"/>
        <w:rPr>
          <w:rFonts w:ascii="Aptos" w:hAnsi="Aptos"/>
          <w:sz w:val="22"/>
          <w:szCs w:val="22"/>
        </w:rPr>
      </w:pPr>
    </w:p>
    <w:p w14:paraId="3962A0C5" w14:textId="47665185" w:rsidR="00E473EC" w:rsidRDefault="00E473EC" w:rsidP="00823F3B">
      <w:pPr>
        <w:spacing w:before="120" w:after="0" w:line="240" w:lineRule="auto"/>
        <w:rPr>
          <w:rFonts w:ascii="Aptos" w:hAnsi="Aptos"/>
          <w:sz w:val="22"/>
          <w:szCs w:val="22"/>
        </w:rPr>
      </w:pPr>
    </w:p>
    <w:p w14:paraId="09AF9E64" w14:textId="77777777" w:rsidR="00004768" w:rsidRPr="00004768" w:rsidRDefault="00004768" w:rsidP="00004768">
      <w:pPr>
        <w:spacing w:before="120" w:after="0" w:line="276" w:lineRule="auto"/>
        <w:jc w:val="center"/>
        <w:rPr>
          <w:rFonts w:ascii="Arial" w:eastAsia="Times New Roman" w:hAnsi="Arial" w:cs="Times New Roman"/>
          <w:b/>
          <w:bCs/>
          <w:color w:val="000000"/>
          <w:szCs w:val="20"/>
          <w:lang w:val="en-AU" w:eastAsia="en-US"/>
        </w:rPr>
      </w:pPr>
      <w:r w:rsidRPr="00004768">
        <w:rPr>
          <w:rFonts w:ascii="Arial" w:eastAsia="Times New Roman" w:hAnsi="Arial" w:cs="Times New Roman"/>
          <w:b/>
          <w:bCs/>
          <w:color w:val="000000"/>
          <w:szCs w:val="20"/>
          <w:lang w:val="en-AU" w:eastAsia="en-US"/>
        </w:rPr>
        <w:t>Health.gov.au</w:t>
      </w:r>
    </w:p>
    <w:p w14:paraId="315C0B04" w14:textId="45C9B5EB" w:rsidR="00004768" w:rsidRPr="00004768" w:rsidRDefault="00004768" w:rsidP="00004768">
      <w:pPr>
        <w:spacing w:before="120" w:after="0" w:line="276" w:lineRule="auto"/>
        <w:jc w:val="center"/>
        <w:rPr>
          <w:rFonts w:ascii="Arial" w:eastAsia="Times New Roman" w:hAnsi="Arial" w:cs="Times New Roman"/>
          <w:color w:val="000000"/>
          <w:sz w:val="22"/>
          <w:lang w:val="en-AU" w:eastAsia="en-US"/>
        </w:rPr>
      </w:pPr>
      <w:r w:rsidRPr="00004768">
        <w:rPr>
          <w:rFonts w:ascii="Arial" w:eastAsia="Times New Roman" w:hAnsi="Arial" w:cs="Times New Roman"/>
          <w:color w:val="000000"/>
          <w:sz w:val="22"/>
          <w:lang w:val="en-AU" w:eastAsia="en-US"/>
        </w:rPr>
        <w:t xml:space="preserve">All information in this publication is correct as </w:t>
      </w:r>
      <w:proofErr w:type="gramStart"/>
      <w:r w:rsidRPr="00004768">
        <w:rPr>
          <w:rFonts w:ascii="Arial" w:eastAsia="Times New Roman" w:hAnsi="Arial" w:cs="Times New Roman"/>
          <w:color w:val="000000"/>
          <w:sz w:val="22"/>
          <w:lang w:val="en-AU" w:eastAsia="en-US"/>
        </w:rPr>
        <w:t>at</w:t>
      </w:r>
      <w:proofErr w:type="gramEnd"/>
      <w:r w:rsidRPr="00004768">
        <w:rPr>
          <w:rFonts w:ascii="Arial" w:eastAsia="Times New Roman" w:hAnsi="Arial" w:cs="Times New Roman"/>
          <w:color w:val="000000"/>
          <w:sz w:val="22"/>
          <w:lang w:val="en-AU" w:eastAsia="en-US"/>
        </w:rPr>
        <w:t xml:space="preserve"> </w:t>
      </w:r>
      <w:r>
        <w:rPr>
          <w:rFonts w:ascii="Arial" w:eastAsia="Times New Roman" w:hAnsi="Arial" w:cs="Times New Roman"/>
          <w:color w:val="000000"/>
          <w:sz w:val="22"/>
          <w:lang w:val="en-AU" w:eastAsia="en-US"/>
        </w:rPr>
        <w:t>July</w:t>
      </w:r>
      <w:r w:rsidRPr="00004768">
        <w:rPr>
          <w:rFonts w:ascii="Arial" w:eastAsia="Times New Roman" w:hAnsi="Arial" w:cs="Times New Roman"/>
          <w:color w:val="000000"/>
          <w:sz w:val="22"/>
          <w:lang w:val="en-AU" w:eastAsia="en-US"/>
        </w:rPr>
        <w:t xml:space="preserve"> </w:t>
      </w:r>
      <w:r>
        <w:rPr>
          <w:rFonts w:ascii="Arial" w:eastAsia="Times New Roman" w:hAnsi="Arial" w:cs="Times New Roman"/>
          <w:color w:val="000000"/>
          <w:sz w:val="22"/>
          <w:lang w:val="en-AU" w:eastAsia="en-US"/>
        </w:rPr>
        <w:t>2024</w:t>
      </w:r>
    </w:p>
    <w:p w14:paraId="78648CD8" w14:textId="77777777" w:rsidR="00004768" w:rsidRDefault="00004768" w:rsidP="00004768">
      <w:pPr>
        <w:spacing w:before="120" w:after="0"/>
        <w:rPr>
          <w:rFonts w:ascii="Aptos" w:hAnsi="Aptos"/>
          <w:sz w:val="22"/>
          <w:szCs w:val="22"/>
        </w:rPr>
      </w:pPr>
    </w:p>
    <w:p w14:paraId="6B0F1F3C" w14:textId="77777777" w:rsidR="00004768" w:rsidRDefault="00004768" w:rsidP="00004768">
      <w:pPr>
        <w:spacing w:before="120" w:after="0"/>
        <w:rPr>
          <w:rFonts w:ascii="Aptos" w:hAnsi="Aptos"/>
          <w:sz w:val="22"/>
          <w:szCs w:val="22"/>
        </w:rPr>
      </w:pPr>
    </w:p>
    <w:p w14:paraId="0C9DB010" w14:textId="187807B8" w:rsidR="00004768" w:rsidRPr="00004768" w:rsidRDefault="00004768" w:rsidP="00004768">
      <w:pPr>
        <w:tabs>
          <w:tab w:val="left" w:pos="3705"/>
        </w:tabs>
        <w:rPr>
          <w:rFonts w:ascii="Aptos" w:hAnsi="Aptos"/>
          <w:sz w:val="22"/>
          <w:szCs w:val="22"/>
        </w:rPr>
      </w:pPr>
      <w:r>
        <w:rPr>
          <w:rFonts w:ascii="Aptos" w:hAnsi="Aptos"/>
          <w:sz w:val="22"/>
          <w:szCs w:val="22"/>
        </w:rPr>
        <w:tab/>
      </w:r>
    </w:p>
    <w:sectPr w:rsidR="00004768" w:rsidRPr="00004768" w:rsidSect="005F3048">
      <w:headerReference w:type="default" r:id="rId23"/>
      <w:footerReference w:type="default" r:id="rId24"/>
      <w:pgSz w:w="12240" w:h="15840"/>
      <w:pgMar w:top="1440" w:right="1183" w:bottom="851" w:left="1440" w:header="720" w:footer="3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F3EFD" w14:textId="77777777" w:rsidR="00091F93" w:rsidRDefault="00091F93" w:rsidP="005E0967">
      <w:pPr>
        <w:spacing w:after="0" w:line="240" w:lineRule="auto"/>
      </w:pPr>
      <w:r>
        <w:separator/>
      </w:r>
    </w:p>
  </w:endnote>
  <w:endnote w:type="continuationSeparator" w:id="0">
    <w:p w14:paraId="04416802" w14:textId="77777777" w:rsidR="00091F93" w:rsidRDefault="00091F93" w:rsidP="005E0967">
      <w:pPr>
        <w:spacing w:after="0" w:line="240" w:lineRule="auto"/>
      </w:pPr>
      <w:r>
        <w:continuationSeparator/>
      </w:r>
    </w:p>
  </w:endnote>
  <w:endnote w:type="continuationNotice" w:id="1">
    <w:p w14:paraId="17071805" w14:textId="77777777" w:rsidR="00091F93" w:rsidRDefault="00091F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086166"/>
      <w:docPartObj>
        <w:docPartGallery w:val="Page Numbers (Bottom of Page)"/>
        <w:docPartUnique/>
      </w:docPartObj>
    </w:sdtPr>
    <w:sdtEndPr>
      <w:rPr>
        <w:rFonts w:ascii="Arial" w:hAnsi="Arial" w:cs="Arial"/>
        <w:noProof/>
        <w:sz w:val="20"/>
        <w:szCs w:val="20"/>
      </w:rPr>
    </w:sdtEndPr>
    <w:sdtContent>
      <w:p w14:paraId="4888279B" w14:textId="29DD1EC3" w:rsidR="00C80003" w:rsidRPr="007241B0" w:rsidRDefault="00004768" w:rsidP="00004768">
        <w:pPr>
          <w:pStyle w:val="Footer"/>
          <w:rPr>
            <w:rFonts w:ascii="Arial" w:hAnsi="Arial" w:cs="Arial"/>
            <w:noProof/>
            <w:sz w:val="20"/>
            <w:szCs w:val="20"/>
          </w:rPr>
        </w:pPr>
        <w:r w:rsidRPr="00004768">
          <w:rPr>
            <w:rFonts w:ascii="Arial" w:hAnsi="Arial" w:cs="Arial"/>
            <w:sz w:val="20"/>
            <w:szCs w:val="20"/>
          </w:rPr>
          <w:t>Consultation Briefing: Review of General Practice Incentives</w:t>
        </w:r>
        <w:r>
          <w:rPr>
            <w:rFonts w:ascii="Arial" w:hAnsi="Arial" w:cs="Arial"/>
            <w:sz w:val="20"/>
            <w:szCs w:val="20"/>
          </w:rPr>
          <w:t xml:space="preserve"> </w:t>
        </w:r>
        <w:r>
          <w:tab/>
        </w:r>
        <w:r w:rsidR="00C80003" w:rsidRPr="007241B0">
          <w:rPr>
            <w:rFonts w:ascii="Arial" w:hAnsi="Arial" w:cs="Arial"/>
            <w:sz w:val="20"/>
            <w:szCs w:val="20"/>
          </w:rPr>
          <w:fldChar w:fldCharType="begin"/>
        </w:r>
        <w:r w:rsidR="00C80003" w:rsidRPr="007241B0">
          <w:rPr>
            <w:rFonts w:ascii="Arial" w:hAnsi="Arial" w:cs="Arial"/>
            <w:sz w:val="20"/>
            <w:szCs w:val="20"/>
          </w:rPr>
          <w:instrText xml:space="preserve"> PAGE   \* MERGEFORMAT </w:instrText>
        </w:r>
        <w:r w:rsidR="00C80003" w:rsidRPr="007241B0">
          <w:rPr>
            <w:rFonts w:ascii="Arial" w:hAnsi="Arial" w:cs="Arial"/>
            <w:sz w:val="20"/>
            <w:szCs w:val="20"/>
          </w:rPr>
          <w:fldChar w:fldCharType="separate"/>
        </w:r>
        <w:r w:rsidR="00C80003" w:rsidRPr="007241B0">
          <w:rPr>
            <w:rFonts w:ascii="Arial" w:hAnsi="Arial" w:cs="Arial"/>
            <w:noProof/>
            <w:sz w:val="20"/>
            <w:szCs w:val="20"/>
          </w:rPr>
          <w:t>2</w:t>
        </w:r>
        <w:r w:rsidR="00C80003" w:rsidRPr="007241B0">
          <w:rPr>
            <w:rFonts w:ascii="Arial" w:hAnsi="Arial" w:cs="Arial"/>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594589"/>
      <w:docPartObj>
        <w:docPartGallery w:val="Page Numbers (Bottom of Page)"/>
        <w:docPartUnique/>
      </w:docPartObj>
    </w:sdtPr>
    <w:sdtEndPr>
      <w:rPr>
        <w:rFonts w:ascii="Arial" w:hAnsi="Arial" w:cs="Arial"/>
        <w:noProof/>
        <w:sz w:val="20"/>
        <w:szCs w:val="20"/>
      </w:rPr>
    </w:sdtEndPr>
    <w:sdtContent>
      <w:p w14:paraId="5D88DA6F" w14:textId="509168A0" w:rsidR="007241B0" w:rsidRPr="007241B0" w:rsidRDefault="007241B0" w:rsidP="007241B0">
        <w:pPr>
          <w:pStyle w:val="Footer"/>
          <w:rPr>
            <w:rFonts w:ascii="Arial" w:hAnsi="Arial" w:cs="Arial"/>
            <w:noProof/>
            <w:sz w:val="20"/>
            <w:szCs w:val="20"/>
          </w:rPr>
        </w:pPr>
        <w:r>
          <w:tab/>
        </w:r>
      </w:p>
    </w:sdtContent>
  </w:sdt>
  <w:p w14:paraId="2F73B214" w14:textId="0709A2CC" w:rsidR="00F10E6E" w:rsidRPr="007241B0" w:rsidRDefault="00F10E6E" w:rsidP="00F10E6E">
    <w:pPr>
      <w:pStyle w:val="Footer"/>
      <w:rPr>
        <w:rFonts w:ascii="Arial" w:hAnsi="Arial" w:cs="Arial"/>
        <w:noProo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77028"/>
      <w:docPartObj>
        <w:docPartGallery w:val="Page Numbers (Bottom of Page)"/>
        <w:docPartUnique/>
      </w:docPartObj>
    </w:sdtPr>
    <w:sdtEndPr>
      <w:rPr>
        <w:rFonts w:ascii="Arial" w:hAnsi="Arial" w:cs="Arial"/>
        <w:noProof/>
        <w:sz w:val="20"/>
        <w:szCs w:val="20"/>
      </w:rPr>
    </w:sdtEndPr>
    <w:sdtContent>
      <w:p w14:paraId="1FDC21C5" w14:textId="77777777" w:rsidR="00F10E6E" w:rsidRPr="007241B0" w:rsidRDefault="00F10E6E" w:rsidP="007241B0">
        <w:pPr>
          <w:pStyle w:val="Footer"/>
          <w:rPr>
            <w:rFonts w:ascii="Arial" w:hAnsi="Arial" w:cs="Arial"/>
            <w:noProof/>
            <w:sz w:val="20"/>
            <w:szCs w:val="20"/>
          </w:rPr>
        </w:pPr>
        <w:r>
          <w:tab/>
        </w:r>
      </w:p>
    </w:sdtContent>
  </w:sdt>
  <w:sdt>
    <w:sdtPr>
      <w:id w:val="-2068486851"/>
      <w:docPartObj>
        <w:docPartGallery w:val="Page Numbers (Bottom of Page)"/>
        <w:docPartUnique/>
      </w:docPartObj>
    </w:sdtPr>
    <w:sdtEndPr>
      <w:rPr>
        <w:rFonts w:ascii="Arial" w:hAnsi="Arial" w:cs="Arial"/>
        <w:noProof/>
        <w:sz w:val="20"/>
        <w:szCs w:val="20"/>
      </w:rPr>
    </w:sdtEndPr>
    <w:sdtContent>
      <w:p w14:paraId="5B085091" w14:textId="77777777" w:rsidR="00F10E6E" w:rsidRPr="007241B0" w:rsidRDefault="00F10E6E" w:rsidP="00F10E6E">
        <w:pPr>
          <w:pStyle w:val="Footer"/>
          <w:rPr>
            <w:rFonts w:ascii="Arial" w:hAnsi="Arial" w:cs="Arial"/>
            <w:noProof/>
            <w:sz w:val="20"/>
            <w:szCs w:val="20"/>
          </w:rPr>
        </w:pPr>
        <w:r w:rsidRPr="00004768">
          <w:rPr>
            <w:rFonts w:ascii="Arial" w:hAnsi="Arial" w:cs="Arial"/>
            <w:sz w:val="20"/>
            <w:szCs w:val="20"/>
          </w:rPr>
          <w:t>Consultation Briefing: Review of General Practice Incentives</w:t>
        </w:r>
        <w:r>
          <w:rPr>
            <w:rFonts w:ascii="Arial" w:hAnsi="Arial" w:cs="Arial"/>
            <w:sz w:val="20"/>
            <w:szCs w:val="20"/>
          </w:rPr>
          <w:t xml:space="preserve"> </w:t>
        </w:r>
        <w:r>
          <w:tab/>
        </w:r>
        <w:r w:rsidRPr="007241B0">
          <w:rPr>
            <w:rFonts w:ascii="Arial" w:hAnsi="Arial" w:cs="Arial"/>
            <w:sz w:val="20"/>
            <w:szCs w:val="20"/>
          </w:rPr>
          <w:fldChar w:fldCharType="begin"/>
        </w:r>
        <w:r w:rsidRPr="007241B0">
          <w:rPr>
            <w:rFonts w:ascii="Arial" w:hAnsi="Arial" w:cs="Arial"/>
            <w:sz w:val="20"/>
            <w:szCs w:val="20"/>
          </w:rPr>
          <w:instrText xml:space="preserve"> PAGE   \* MERGEFORMAT </w:instrText>
        </w:r>
        <w:r w:rsidRPr="007241B0">
          <w:rPr>
            <w:rFonts w:ascii="Arial" w:hAnsi="Arial" w:cs="Arial"/>
            <w:sz w:val="20"/>
            <w:szCs w:val="20"/>
          </w:rPr>
          <w:fldChar w:fldCharType="separate"/>
        </w:r>
        <w:r>
          <w:rPr>
            <w:rFonts w:ascii="Arial" w:hAnsi="Arial" w:cs="Arial"/>
            <w:sz w:val="20"/>
            <w:szCs w:val="20"/>
          </w:rPr>
          <w:t>3</w:t>
        </w:r>
        <w:r w:rsidRPr="007241B0">
          <w:rPr>
            <w:rFonts w:ascii="Arial" w:hAnsi="Arial" w:cs="Arial"/>
            <w:noProof/>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413558"/>
      <w:docPartObj>
        <w:docPartGallery w:val="Page Numbers (Bottom of Page)"/>
        <w:docPartUnique/>
      </w:docPartObj>
    </w:sdtPr>
    <w:sdtEndPr>
      <w:rPr>
        <w:i/>
        <w:iCs/>
        <w:noProof/>
      </w:rPr>
    </w:sdtEndPr>
    <w:sdtContent>
      <w:p w14:paraId="5268AA58" w14:textId="7A1D236A" w:rsidR="007241B0" w:rsidRPr="007241B0" w:rsidRDefault="007241B0" w:rsidP="007241B0">
        <w:pPr>
          <w:pStyle w:val="Footer"/>
          <w:rPr>
            <w:i/>
            <w:iCs/>
            <w:noProof/>
          </w:rPr>
        </w:pPr>
        <w:r w:rsidRPr="007241B0">
          <w:rPr>
            <w:i/>
            <w:iCs/>
          </w:rPr>
          <w:t>TRIM: D24-2951071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F29AC" w14:textId="77777777" w:rsidR="00091F93" w:rsidRDefault="00091F93" w:rsidP="005E0967">
      <w:pPr>
        <w:spacing w:after="0" w:line="240" w:lineRule="auto"/>
      </w:pPr>
      <w:r>
        <w:separator/>
      </w:r>
    </w:p>
  </w:footnote>
  <w:footnote w:type="continuationSeparator" w:id="0">
    <w:p w14:paraId="35442A4B" w14:textId="77777777" w:rsidR="00091F93" w:rsidRDefault="00091F93" w:rsidP="005E0967">
      <w:pPr>
        <w:spacing w:after="0" w:line="240" w:lineRule="auto"/>
      </w:pPr>
      <w:r>
        <w:continuationSeparator/>
      </w:r>
    </w:p>
  </w:footnote>
  <w:footnote w:type="continuationNotice" w:id="1">
    <w:p w14:paraId="7E8877C7" w14:textId="77777777" w:rsidR="00091F93" w:rsidRDefault="00091F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5E9E" w14:textId="563D76D8" w:rsidR="00004768" w:rsidRDefault="00004768">
    <w:pPr>
      <w:pStyle w:val="Header"/>
    </w:pPr>
    <w:r>
      <w:rPr>
        <w:noProof/>
      </w:rPr>
      <w:drawing>
        <wp:anchor distT="0" distB="0" distL="114300" distR="114300" simplePos="0" relativeHeight="251660288" behindDoc="1" locked="0" layoutInCell="1" allowOverlap="1" wp14:anchorId="0F05316F" wp14:editId="6DFC5EB2">
          <wp:simplePos x="0" y="0"/>
          <wp:positionH relativeFrom="margin">
            <wp:posOffset>-657225</wp:posOffset>
          </wp:positionH>
          <wp:positionV relativeFrom="paragraph">
            <wp:posOffset>-304800</wp:posOffset>
          </wp:positionV>
          <wp:extent cx="2990850" cy="623570"/>
          <wp:effectExtent l="0" t="0" r="0" b="5080"/>
          <wp:wrapTight wrapText="bothSides">
            <wp:wrapPolygon edited="0">
              <wp:start x="0" y="0"/>
              <wp:lineTo x="0" y="21116"/>
              <wp:lineTo x="21462" y="21116"/>
              <wp:lineTo x="21462" y="0"/>
              <wp:lineTo x="0" y="0"/>
            </wp:wrapPolygon>
          </wp:wrapTight>
          <wp:docPr id="9" name="Picture 9" descr="Australian Government Department of Health and Aged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ustralian Government Department of Health and Aged Care logo"/>
                  <pic:cNvPicPr/>
                </pic:nvPicPr>
                <pic:blipFill>
                  <a:blip r:embed="rId1">
                    <a:extLst>
                      <a:ext uri="{28A0092B-C50C-407E-A947-70E740481C1C}">
                        <a14:useLocalDpi xmlns:a14="http://schemas.microsoft.com/office/drawing/2010/main" val="0"/>
                      </a:ext>
                    </a:extLst>
                  </a:blip>
                  <a:stretch>
                    <a:fillRect/>
                  </a:stretch>
                </pic:blipFill>
                <pic:spPr>
                  <a:xfrm>
                    <a:off x="0" y="0"/>
                    <a:ext cx="2990850" cy="62357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9264" behindDoc="1" locked="0" layoutInCell="1" allowOverlap="1" wp14:anchorId="68001407" wp14:editId="46CE588F">
          <wp:simplePos x="0" y="0"/>
          <wp:positionH relativeFrom="page">
            <wp:posOffset>-114300</wp:posOffset>
          </wp:positionH>
          <wp:positionV relativeFrom="margin">
            <wp:posOffset>-28575</wp:posOffset>
          </wp:positionV>
          <wp:extent cx="7767320" cy="10077450"/>
          <wp:effectExtent l="0" t="0" r="508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l="-1472" t="9016" r="1472" b="-9016"/>
                  <a:stretch/>
                </pic:blipFill>
                <pic:spPr>
                  <a:xfrm>
                    <a:off x="0" y="0"/>
                    <a:ext cx="7767320" cy="100774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F9A0" w14:textId="0A7861B5" w:rsidR="007241B0" w:rsidRDefault="007241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96C7" w14:textId="60092DDB" w:rsidR="00301D92" w:rsidRDefault="00301D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694EB" w14:textId="793BFC3F" w:rsidR="00004768" w:rsidRDefault="00004768">
    <w:pPr>
      <w:pStyle w:val="Header"/>
    </w:pPr>
    <w:r>
      <w:rPr>
        <w:noProof/>
        <w:lang w:eastAsia="en-AU"/>
      </w:rPr>
      <w:drawing>
        <wp:anchor distT="0" distB="0" distL="114300" distR="114300" simplePos="0" relativeHeight="251662336" behindDoc="1" locked="0" layoutInCell="1" allowOverlap="1" wp14:anchorId="0D48E6EA" wp14:editId="61CB9351">
          <wp:simplePos x="0" y="0"/>
          <wp:positionH relativeFrom="page">
            <wp:posOffset>-114300</wp:posOffset>
          </wp:positionH>
          <wp:positionV relativeFrom="margin">
            <wp:align>top</wp:align>
          </wp:positionV>
          <wp:extent cx="7767320" cy="10077450"/>
          <wp:effectExtent l="0" t="0" r="508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72" t="9016" r="1472" b="-9016"/>
                  <a:stretch/>
                </pic:blipFill>
                <pic:spPr>
                  <a:xfrm>
                    <a:off x="0" y="0"/>
                    <a:ext cx="7767320" cy="100774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701"/>
    <w:multiLevelType w:val="multilevel"/>
    <w:tmpl w:val="D0AC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E4BCD"/>
    <w:multiLevelType w:val="multilevel"/>
    <w:tmpl w:val="737E2B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0053BBC"/>
    <w:multiLevelType w:val="hybridMultilevel"/>
    <w:tmpl w:val="A4FCCA02"/>
    <w:lvl w:ilvl="0" w:tplc="FFFFFFFF">
      <w:start w:val="1"/>
      <w:numFmt w:val="bullet"/>
      <w:lvlText w:val=""/>
      <w:lvlJc w:val="left"/>
      <w:pPr>
        <w:ind w:left="1485" w:hanging="360"/>
      </w:pPr>
      <w:rPr>
        <w:rFonts w:ascii="Symbol" w:hAnsi="Symbol" w:hint="default"/>
        <w:color w:val="000000" w:themeColor="text1"/>
      </w:rPr>
    </w:lvl>
    <w:lvl w:ilvl="1" w:tplc="0C090003">
      <w:start w:val="1"/>
      <w:numFmt w:val="bullet"/>
      <w:lvlText w:val="o"/>
      <w:lvlJc w:val="left"/>
      <w:pPr>
        <w:ind w:left="927" w:hanging="360"/>
      </w:pPr>
      <w:rPr>
        <w:rFonts w:ascii="Courier New" w:hAnsi="Courier New" w:cs="Courier New" w:hint="default"/>
      </w:r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3" w15:restartNumberingAfterBreak="0">
    <w:nsid w:val="116D47B8"/>
    <w:multiLevelType w:val="multilevel"/>
    <w:tmpl w:val="2C42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255266"/>
    <w:multiLevelType w:val="hybridMultilevel"/>
    <w:tmpl w:val="CFB6F5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61B3EFB"/>
    <w:multiLevelType w:val="hybridMultilevel"/>
    <w:tmpl w:val="FCEEE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D050BA"/>
    <w:multiLevelType w:val="hybridMultilevel"/>
    <w:tmpl w:val="52AC02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A80AFC"/>
    <w:multiLevelType w:val="multilevel"/>
    <w:tmpl w:val="3A28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143D01"/>
    <w:multiLevelType w:val="multilevel"/>
    <w:tmpl w:val="0E02C6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5FD632D"/>
    <w:multiLevelType w:val="hybridMultilevel"/>
    <w:tmpl w:val="A94C4B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416EDC"/>
    <w:multiLevelType w:val="hybridMultilevel"/>
    <w:tmpl w:val="77AC6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EF13EE"/>
    <w:multiLevelType w:val="multilevel"/>
    <w:tmpl w:val="897C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C07AEC"/>
    <w:multiLevelType w:val="multilevel"/>
    <w:tmpl w:val="2108A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725670"/>
    <w:multiLevelType w:val="hybridMultilevel"/>
    <w:tmpl w:val="AA6209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F05555F"/>
    <w:multiLevelType w:val="multilevel"/>
    <w:tmpl w:val="EA02F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1D4CCA"/>
    <w:multiLevelType w:val="hybridMultilevel"/>
    <w:tmpl w:val="4E4045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C567D8"/>
    <w:multiLevelType w:val="multilevel"/>
    <w:tmpl w:val="1CFA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DA1D9E"/>
    <w:multiLevelType w:val="multilevel"/>
    <w:tmpl w:val="CF3488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D10282B"/>
    <w:multiLevelType w:val="hybridMultilevel"/>
    <w:tmpl w:val="7178A1CC"/>
    <w:lvl w:ilvl="0" w:tplc="33A461F0">
      <w:start w:val="1"/>
      <w:numFmt w:val="bullet"/>
      <w:lvlText w:val=""/>
      <w:lvlJc w:val="left"/>
      <w:pPr>
        <w:ind w:left="720" w:hanging="360"/>
      </w:pPr>
      <w:rPr>
        <w:rFonts w:ascii="Symbol" w:hAnsi="Symbol" w:hint="default"/>
      </w:rPr>
    </w:lvl>
    <w:lvl w:ilvl="1" w:tplc="B0D44570">
      <w:start w:val="1"/>
      <w:numFmt w:val="bullet"/>
      <w:lvlText w:val="o"/>
      <w:lvlJc w:val="left"/>
      <w:pPr>
        <w:ind w:left="1440" w:hanging="360"/>
      </w:pPr>
      <w:rPr>
        <w:rFonts w:ascii="Courier New" w:hAnsi="Courier New" w:cs="Courier New" w:hint="default"/>
      </w:rPr>
    </w:lvl>
    <w:lvl w:ilvl="2" w:tplc="3B76A27C">
      <w:start w:val="1"/>
      <w:numFmt w:val="bullet"/>
      <w:lvlText w:val=""/>
      <w:lvlJc w:val="left"/>
      <w:pPr>
        <w:ind w:left="2160" w:hanging="360"/>
      </w:pPr>
      <w:rPr>
        <w:rFonts w:ascii="Wingdings" w:hAnsi="Wingdings" w:hint="default"/>
      </w:rPr>
    </w:lvl>
    <w:lvl w:ilvl="3" w:tplc="078E30AC">
      <w:start w:val="1"/>
      <w:numFmt w:val="bullet"/>
      <w:lvlText w:val=""/>
      <w:lvlJc w:val="left"/>
      <w:pPr>
        <w:ind w:left="2880" w:hanging="360"/>
      </w:pPr>
      <w:rPr>
        <w:rFonts w:ascii="Symbol" w:hAnsi="Symbol" w:hint="default"/>
      </w:rPr>
    </w:lvl>
    <w:lvl w:ilvl="4" w:tplc="98CC548A">
      <w:start w:val="1"/>
      <w:numFmt w:val="bullet"/>
      <w:lvlText w:val="o"/>
      <w:lvlJc w:val="left"/>
      <w:pPr>
        <w:ind w:left="3600" w:hanging="360"/>
      </w:pPr>
      <w:rPr>
        <w:rFonts w:ascii="Courier New" w:hAnsi="Courier New" w:cs="Courier New" w:hint="default"/>
      </w:rPr>
    </w:lvl>
    <w:lvl w:ilvl="5" w:tplc="931059AC">
      <w:start w:val="1"/>
      <w:numFmt w:val="bullet"/>
      <w:lvlText w:val=""/>
      <w:lvlJc w:val="left"/>
      <w:pPr>
        <w:ind w:left="4320" w:hanging="360"/>
      </w:pPr>
      <w:rPr>
        <w:rFonts w:ascii="Wingdings" w:hAnsi="Wingdings" w:hint="default"/>
      </w:rPr>
    </w:lvl>
    <w:lvl w:ilvl="6" w:tplc="8B7ED0F6">
      <w:start w:val="1"/>
      <w:numFmt w:val="bullet"/>
      <w:lvlText w:val=""/>
      <w:lvlJc w:val="left"/>
      <w:pPr>
        <w:ind w:left="5040" w:hanging="360"/>
      </w:pPr>
      <w:rPr>
        <w:rFonts w:ascii="Symbol" w:hAnsi="Symbol" w:hint="default"/>
      </w:rPr>
    </w:lvl>
    <w:lvl w:ilvl="7" w:tplc="EE8E6890">
      <w:start w:val="1"/>
      <w:numFmt w:val="bullet"/>
      <w:lvlText w:val="o"/>
      <w:lvlJc w:val="left"/>
      <w:pPr>
        <w:ind w:left="5760" w:hanging="360"/>
      </w:pPr>
      <w:rPr>
        <w:rFonts w:ascii="Courier New" w:hAnsi="Courier New" w:cs="Courier New" w:hint="default"/>
      </w:rPr>
    </w:lvl>
    <w:lvl w:ilvl="8" w:tplc="DABAA566">
      <w:start w:val="1"/>
      <w:numFmt w:val="bullet"/>
      <w:lvlText w:val=""/>
      <w:lvlJc w:val="left"/>
      <w:pPr>
        <w:ind w:left="6480" w:hanging="360"/>
      </w:pPr>
      <w:rPr>
        <w:rFonts w:ascii="Wingdings" w:hAnsi="Wingdings" w:hint="default"/>
      </w:rPr>
    </w:lvl>
  </w:abstractNum>
  <w:abstractNum w:abstractNumId="19" w15:restartNumberingAfterBreak="0">
    <w:nsid w:val="4DE22FCC"/>
    <w:multiLevelType w:val="multilevel"/>
    <w:tmpl w:val="B5BA34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F9A1462"/>
    <w:multiLevelType w:val="hybridMultilevel"/>
    <w:tmpl w:val="584CB1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A56350"/>
    <w:multiLevelType w:val="hybridMultilevel"/>
    <w:tmpl w:val="8E34F540"/>
    <w:lvl w:ilvl="0" w:tplc="B20AA688">
      <w:start w:val="1"/>
      <w:numFmt w:val="decimal"/>
      <w:lvlText w:val="%1."/>
      <w:lvlJc w:val="left"/>
      <w:pPr>
        <w:ind w:left="720" w:hanging="360"/>
      </w:pPr>
    </w:lvl>
    <w:lvl w:ilvl="1" w:tplc="4D3C87CA">
      <w:start w:val="1"/>
      <w:numFmt w:val="bullet"/>
      <w:lvlText w:val="o"/>
      <w:lvlJc w:val="left"/>
      <w:pPr>
        <w:ind w:left="1440" w:hanging="360"/>
      </w:pPr>
      <w:rPr>
        <w:rFonts w:ascii="Courier New" w:hAnsi="Courier New" w:cs="Courier New" w:hint="default"/>
      </w:rPr>
    </w:lvl>
    <w:lvl w:ilvl="2" w:tplc="FBBAADD6">
      <w:start w:val="1"/>
      <w:numFmt w:val="bullet"/>
      <w:lvlText w:val=""/>
      <w:lvlJc w:val="left"/>
      <w:pPr>
        <w:ind w:left="2160" w:hanging="360"/>
      </w:pPr>
      <w:rPr>
        <w:rFonts w:ascii="Wingdings" w:hAnsi="Wingdings" w:hint="default"/>
      </w:rPr>
    </w:lvl>
    <w:lvl w:ilvl="3" w:tplc="6C706DC0">
      <w:start w:val="1"/>
      <w:numFmt w:val="bullet"/>
      <w:lvlText w:val=""/>
      <w:lvlJc w:val="left"/>
      <w:pPr>
        <w:ind w:left="2880" w:hanging="360"/>
      </w:pPr>
      <w:rPr>
        <w:rFonts w:ascii="Symbol" w:hAnsi="Symbol" w:hint="default"/>
      </w:rPr>
    </w:lvl>
    <w:lvl w:ilvl="4" w:tplc="F3A4A55A">
      <w:start w:val="1"/>
      <w:numFmt w:val="bullet"/>
      <w:lvlText w:val="o"/>
      <w:lvlJc w:val="left"/>
      <w:pPr>
        <w:ind w:left="3600" w:hanging="360"/>
      </w:pPr>
      <w:rPr>
        <w:rFonts w:ascii="Courier New" w:hAnsi="Courier New" w:cs="Courier New" w:hint="default"/>
      </w:rPr>
    </w:lvl>
    <w:lvl w:ilvl="5" w:tplc="F1D4D804">
      <w:start w:val="1"/>
      <w:numFmt w:val="bullet"/>
      <w:lvlText w:val=""/>
      <w:lvlJc w:val="left"/>
      <w:pPr>
        <w:ind w:left="4320" w:hanging="360"/>
      </w:pPr>
      <w:rPr>
        <w:rFonts w:ascii="Wingdings" w:hAnsi="Wingdings" w:hint="default"/>
      </w:rPr>
    </w:lvl>
    <w:lvl w:ilvl="6" w:tplc="C0527AC6">
      <w:start w:val="1"/>
      <w:numFmt w:val="bullet"/>
      <w:lvlText w:val=""/>
      <w:lvlJc w:val="left"/>
      <w:pPr>
        <w:ind w:left="5040" w:hanging="360"/>
      </w:pPr>
      <w:rPr>
        <w:rFonts w:ascii="Symbol" w:hAnsi="Symbol" w:hint="default"/>
      </w:rPr>
    </w:lvl>
    <w:lvl w:ilvl="7" w:tplc="9BD02004">
      <w:start w:val="1"/>
      <w:numFmt w:val="bullet"/>
      <w:lvlText w:val="o"/>
      <w:lvlJc w:val="left"/>
      <w:pPr>
        <w:ind w:left="5760" w:hanging="360"/>
      </w:pPr>
      <w:rPr>
        <w:rFonts w:ascii="Courier New" w:hAnsi="Courier New" w:cs="Courier New" w:hint="default"/>
      </w:rPr>
    </w:lvl>
    <w:lvl w:ilvl="8" w:tplc="9E709A40">
      <w:start w:val="1"/>
      <w:numFmt w:val="bullet"/>
      <w:lvlText w:val=""/>
      <w:lvlJc w:val="left"/>
      <w:pPr>
        <w:ind w:left="6480" w:hanging="360"/>
      </w:pPr>
      <w:rPr>
        <w:rFonts w:ascii="Wingdings" w:hAnsi="Wingdings" w:hint="default"/>
      </w:rPr>
    </w:lvl>
  </w:abstractNum>
  <w:abstractNum w:abstractNumId="22" w15:restartNumberingAfterBreak="0">
    <w:nsid w:val="557F36E7"/>
    <w:multiLevelType w:val="multilevel"/>
    <w:tmpl w:val="D758FA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8C0A46"/>
    <w:multiLevelType w:val="multilevel"/>
    <w:tmpl w:val="A396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58714E"/>
    <w:multiLevelType w:val="multilevel"/>
    <w:tmpl w:val="13C82D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2C73E59"/>
    <w:multiLevelType w:val="multilevel"/>
    <w:tmpl w:val="31502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AC72570"/>
    <w:multiLevelType w:val="multilevel"/>
    <w:tmpl w:val="C916F5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6C2355CC"/>
    <w:multiLevelType w:val="hybridMultilevel"/>
    <w:tmpl w:val="59BABE6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D257173"/>
    <w:multiLevelType w:val="hybridMultilevel"/>
    <w:tmpl w:val="126E66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393089"/>
    <w:multiLevelType w:val="multilevel"/>
    <w:tmpl w:val="4B76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4272E0"/>
    <w:multiLevelType w:val="hybridMultilevel"/>
    <w:tmpl w:val="A00C8B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B3358E"/>
    <w:multiLevelType w:val="multilevel"/>
    <w:tmpl w:val="8D0A48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938365206">
    <w:abstractNumId w:val="15"/>
  </w:num>
  <w:num w:numId="2" w16cid:durableId="276302122">
    <w:abstractNumId w:val="9"/>
  </w:num>
  <w:num w:numId="3" w16cid:durableId="981889209">
    <w:abstractNumId w:val="28"/>
  </w:num>
  <w:num w:numId="4" w16cid:durableId="1617181094">
    <w:abstractNumId w:val="10"/>
  </w:num>
  <w:num w:numId="5" w16cid:durableId="1517422677">
    <w:abstractNumId w:val="2"/>
  </w:num>
  <w:num w:numId="6" w16cid:durableId="2023431450">
    <w:abstractNumId w:val="5"/>
  </w:num>
  <w:num w:numId="7" w16cid:durableId="1905679124">
    <w:abstractNumId w:val="13"/>
  </w:num>
  <w:num w:numId="8" w16cid:durableId="1981223379">
    <w:abstractNumId w:val="30"/>
  </w:num>
  <w:num w:numId="9" w16cid:durableId="1753040964">
    <w:abstractNumId w:val="6"/>
  </w:num>
  <w:num w:numId="10" w16cid:durableId="2138378691">
    <w:abstractNumId w:val="20"/>
  </w:num>
  <w:num w:numId="11" w16cid:durableId="1946036009">
    <w:abstractNumId w:val="4"/>
  </w:num>
  <w:num w:numId="12" w16cid:durableId="1586187134">
    <w:abstractNumId w:val="5"/>
  </w:num>
  <w:num w:numId="13" w16cid:durableId="1120421077">
    <w:abstractNumId w:val="20"/>
  </w:num>
  <w:num w:numId="14" w16cid:durableId="985939543">
    <w:abstractNumId w:val="30"/>
  </w:num>
  <w:num w:numId="15" w16cid:durableId="1963069948">
    <w:abstractNumId w:val="21"/>
    <w:lvlOverride w:ilvl="0">
      <w:startOverride w:val="1"/>
    </w:lvlOverride>
    <w:lvlOverride w:ilvl="1"/>
    <w:lvlOverride w:ilvl="2"/>
    <w:lvlOverride w:ilvl="3"/>
    <w:lvlOverride w:ilvl="4"/>
    <w:lvlOverride w:ilvl="5"/>
    <w:lvlOverride w:ilvl="6"/>
    <w:lvlOverride w:ilvl="7"/>
    <w:lvlOverride w:ilvl="8"/>
  </w:num>
  <w:num w:numId="16" w16cid:durableId="1092165782">
    <w:abstractNumId w:val="18"/>
  </w:num>
  <w:num w:numId="17" w16cid:durableId="578293398">
    <w:abstractNumId w:val="14"/>
  </w:num>
  <w:num w:numId="18" w16cid:durableId="382487837">
    <w:abstractNumId w:val="22"/>
  </w:num>
  <w:num w:numId="19" w16cid:durableId="2115010212">
    <w:abstractNumId w:val="29"/>
  </w:num>
  <w:num w:numId="20" w16cid:durableId="798959431">
    <w:abstractNumId w:val="23"/>
  </w:num>
  <w:num w:numId="21" w16cid:durableId="1839074892">
    <w:abstractNumId w:val="12"/>
  </w:num>
  <w:num w:numId="22" w16cid:durableId="604732828">
    <w:abstractNumId w:val="31"/>
  </w:num>
  <w:num w:numId="23" w16cid:durableId="2018843799">
    <w:abstractNumId w:val="24"/>
  </w:num>
  <w:num w:numId="24" w16cid:durableId="902955799">
    <w:abstractNumId w:val="17"/>
  </w:num>
  <w:num w:numId="25" w16cid:durableId="1704479393">
    <w:abstractNumId w:val="1"/>
  </w:num>
  <w:num w:numId="26" w16cid:durableId="1835023320">
    <w:abstractNumId w:val="19"/>
  </w:num>
  <w:num w:numId="27" w16cid:durableId="1289623021">
    <w:abstractNumId w:val="8"/>
  </w:num>
  <w:num w:numId="28" w16cid:durableId="656343784">
    <w:abstractNumId w:val="26"/>
  </w:num>
  <w:num w:numId="29" w16cid:durableId="716315927">
    <w:abstractNumId w:val="16"/>
  </w:num>
  <w:num w:numId="30" w16cid:durableId="1305886755">
    <w:abstractNumId w:val="11"/>
  </w:num>
  <w:num w:numId="31" w16cid:durableId="248732100">
    <w:abstractNumId w:val="7"/>
  </w:num>
  <w:num w:numId="32" w16cid:durableId="1463307162">
    <w:abstractNumId w:val="0"/>
  </w:num>
  <w:num w:numId="33" w16cid:durableId="57632520">
    <w:abstractNumId w:val="3"/>
  </w:num>
  <w:num w:numId="34" w16cid:durableId="1611930382">
    <w:abstractNumId w:val="27"/>
  </w:num>
  <w:num w:numId="35" w16cid:durableId="13007253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CF5EA3"/>
    <w:rsid w:val="00004768"/>
    <w:rsid w:val="000069D0"/>
    <w:rsid w:val="00010529"/>
    <w:rsid w:val="000111F1"/>
    <w:rsid w:val="00011375"/>
    <w:rsid w:val="00021AEB"/>
    <w:rsid w:val="00027B1A"/>
    <w:rsid w:val="00033EE8"/>
    <w:rsid w:val="00042D0B"/>
    <w:rsid w:val="0004770D"/>
    <w:rsid w:val="00047C49"/>
    <w:rsid w:val="0005662F"/>
    <w:rsid w:val="00057FB4"/>
    <w:rsid w:val="00074CFB"/>
    <w:rsid w:val="00087FA8"/>
    <w:rsid w:val="00091F93"/>
    <w:rsid w:val="000951DD"/>
    <w:rsid w:val="000A4BF3"/>
    <w:rsid w:val="000B05AA"/>
    <w:rsid w:val="000B0612"/>
    <w:rsid w:val="000C03F4"/>
    <w:rsid w:val="000C313B"/>
    <w:rsid w:val="000C3253"/>
    <w:rsid w:val="000D12D7"/>
    <w:rsid w:val="000D325E"/>
    <w:rsid w:val="000E342D"/>
    <w:rsid w:val="000E62DF"/>
    <w:rsid w:val="000F53E1"/>
    <w:rsid w:val="0011136D"/>
    <w:rsid w:val="00116E4D"/>
    <w:rsid w:val="00122A39"/>
    <w:rsid w:val="00123F71"/>
    <w:rsid w:val="00124E4F"/>
    <w:rsid w:val="00127505"/>
    <w:rsid w:val="00131F9F"/>
    <w:rsid w:val="00136BD9"/>
    <w:rsid w:val="00137CA5"/>
    <w:rsid w:val="001428CE"/>
    <w:rsid w:val="001435CC"/>
    <w:rsid w:val="00143839"/>
    <w:rsid w:val="00150A72"/>
    <w:rsid w:val="00152622"/>
    <w:rsid w:val="00152F86"/>
    <w:rsid w:val="00160488"/>
    <w:rsid w:val="00160888"/>
    <w:rsid w:val="00171AD7"/>
    <w:rsid w:val="001746AB"/>
    <w:rsid w:val="00180673"/>
    <w:rsid w:val="0018623F"/>
    <w:rsid w:val="00191996"/>
    <w:rsid w:val="001942D9"/>
    <w:rsid w:val="001A39E3"/>
    <w:rsid w:val="001A3E4E"/>
    <w:rsid w:val="001A4EBA"/>
    <w:rsid w:val="001A5D5F"/>
    <w:rsid w:val="001A6ABA"/>
    <w:rsid w:val="001B0059"/>
    <w:rsid w:val="001B34EB"/>
    <w:rsid w:val="001B3951"/>
    <w:rsid w:val="001B7ECE"/>
    <w:rsid w:val="001C16E6"/>
    <w:rsid w:val="001C6624"/>
    <w:rsid w:val="001C7192"/>
    <w:rsid w:val="001D62CB"/>
    <w:rsid w:val="001D7767"/>
    <w:rsid w:val="001F1C3C"/>
    <w:rsid w:val="002141F3"/>
    <w:rsid w:val="00215810"/>
    <w:rsid w:val="00222A2C"/>
    <w:rsid w:val="0023572F"/>
    <w:rsid w:val="00237137"/>
    <w:rsid w:val="00242217"/>
    <w:rsid w:val="00243FBB"/>
    <w:rsid w:val="00246ED0"/>
    <w:rsid w:val="0025062D"/>
    <w:rsid w:val="00255DD2"/>
    <w:rsid w:val="00256532"/>
    <w:rsid w:val="002635D2"/>
    <w:rsid w:val="00274D05"/>
    <w:rsid w:val="002760D6"/>
    <w:rsid w:val="00281F8C"/>
    <w:rsid w:val="00283A49"/>
    <w:rsid w:val="00284951"/>
    <w:rsid w:val="00296F52"/>
    <w:rsid w:val="002A557A"/>
    <w:rsid w:val="002B70D0"/>
    <w:rsid w:val="002B736B"/>
    <w:rsid w:val="002C2C39"/>
    <w:rsid w:val="002D4E52"/>
    <w:rsid w:val="002D583E"/>
    <w:rsid w:val="002E46B0"/>
    <w:rsid w:val="002E4CA7"/>
    <w:rsid w:val="002E601B"/>
    <w:rsid w:val="002E6A7D"/>
    <w:rsid w:val="002F1040"/>
    <w:rsid w:val="002F2E0B"/>
    <w:rsid w:val="00301D92"/>
    <w:rsid w:val="00305629"/>
    <w:rsid w:val="003118B6"/>
    <w:rsid w:val="003154AA"/>
    <w:rsid w:val="00317747"/>
    <w:rsid w:val="003213FE"/>
    <w:rsid w:val="0032724D"/>
    <w:rsid w:val="003361F1"/>
    <w:rsid w:val="003412A3"/>
    <w:rsid w:val="00345319"/>
    <w:rsid w:val="0034645E"/>
    <w:rsid w:val="00347E4E"/>
    <w:rsid w:val="00352C06"/>
    <w:rsid w:val="00363E10"/>
    <w:rsid w:val="00366357"/>
    <w:rsid w:val="00366E6D"/>
    <w:rsid w:val="00367EBE"/>
    <w:rsid w:val="00370DE3"/>
    <w:rsid w:val="003830FA"/>
    <w:rsid w:val="003921A1"/>
    <w:rsid w:val="003958F6"/>
    <w:rsid w:val="00396CD1"/>
    <w:rsid w:val="00396E57"/>
    <w:rsid w:val="003978E2"/>
    <w:rsid w:val="003A1CC9"/>
    <w:rsid w:val="003A4CA0"/>
    <w:rsid w:val="003A5022"/>
    <w:rsid w:val="003B5354"/>
    <w:rsid w:val="003B722A"/>
    <w:rsid w:val="00400AD8"/>
    <w:rsid w:val="0040588D"/>
    <w:rsid w:val="00407E04"/>
    <w:rsid w:val="0041192D"/>
    <w:rsid w:val="00414FCC"/>
    <w:rsid w:val="0042272A"/>
    <w:rsid w:val="00424063"/>
    <w:rsid w:val="004240FD"/>
    <w:rsid w:val="004300FD"/>
    <w:rsid w:val="00430CFF"/>
    <w:rsid w:val="0043413A"/>
    <w:rsid w:val="004522B6"/>
    <w:rsid w:val="0046661C"/>
    <w:rsid w:val="0047079E"/>
    <w:rsid w:val="00472FF0"/>
    <w:rsid w:val="004847BD"/>
    <w:rsid w:val="0049088F"/>
    <w:rsid w:val="004A0728"/>
    <w:rsid w:val="004A0B7E"/>
    <w:rsid w:val="004A24EA"/>
    <w:rsid w:val="004A4055"/>
    <w:rsid w:val="004A4928"/>
    <w:rsid w:val="004A64B3"/>
    <w:rsid w:val="004A7332"/>
    <w:rsid w:val="004B6461"/>
    <w:rsid w:val="004C5DB6"/>
    <w:rsid w:val="004D1912"/>
    <w:rsid w:val="004E090A"/>
    <w:rsid w:val="004E2E62"/>
    <w:rsid w:val="004F4077"/>
    <w:rsid w:val="005021E2"/>
    <w:rsid w:val="00503AEB"/>
    <w:rsid w:val="00505811"/>
    <w:rsid w:val="00512EB3"/>
    <w:rsid w:val="005139AA"/>
    <w:rsid w:val="00516F39"/>
    <w:rsid w:val="00525D5D"/>
    <w:rsid w:val="005354B2"/>
    <w:rsid w:val="0053591A"/>
    <w:rsid w:val="00537560"/>
    <w:rsid w:val="00546784"/>
    <w:rsid w:val="00553944"/>
    <w:rsid w:val="00556607"/>
    <w:rsid w:val="0056141F"/>
    <w:rsid w:val="00567A65"/>
    <w:rsid w:val="005779BB"/>
    <w:rsid w:val="00577B7C"/>
    <w:rsid w:val="005801C4"/>
    <w:rsid w:val="0058169F"/>
    <w:rsid w:val="005829C0"/>
    <w:rsid w:val="00591941"/>
    <w:rsid w:val="00592EBC"/>
    <w:rsid w:val="00596C07"/>
    <w:rsid w:val="005A04D1"/>
    <w:rsid w:val="005A1331"/>
    <w:rsid w:val="005B1EB9"/>
    <w:rsid w:val="005B20EF"/>
    <w:rsid w:val="005B30FC"/>
    <w:rsid w:val="005B332E"/>
    <w:rsid w:val="005C0C7B"/>
    <w:rsid w:val="005D6387"/>
    <w:rsid w:val="005E0967"/>
    <w:rsid w:val="005E7E6D"/>
    <w:rsid w:val="005F07B1"/>
    <w:rsid w:val="005F3048"/>
    <w:rsid w:val="005F4EB3"/>
    <w:rsid w:val="005F6953"/>
    <w:rsid w:val="00601159"/>
    <w:rsid w:val="0060300C"/>
    <w:rsid w:val="00604674"/>
    <w:rsid w:val="006057EA"/>
    <w:rsid w:val="0061775E"/>
    <w:rsid w:val="00617BA2"/>
    <w:rsid w:val="006226E9"/>
    <w:rsid w:val="00622F04"/>
    <w:rsid w:val="00625FE0"/>
    <w:rsid w:val="0063254E"/>
    <w:rsid w:val="00636643"/>
    <w:rsid w:val="00645437"/>
    <w:rsid w:val="00652DC8"/>
    <w:rsid w:val="00661E96"/>
    <w:rsid w:val="00673D4E"/>
    <w:rsid w:val="006A4155"/>
    <w:rsid w:val="006A4BA0"/>
    <w:rsid w:val="006A52E0"/>
    <w:rsid w:val="006B3851"/>
    <w:rsid w:val="006B7CAD"/>
    <w:rsid w:val="006C16FB"/>
    <w:rsid w:val="006E71CA"/>
    <w:rsid w:val="006F0036"/>
    <w:rsid w:val="006F045A"/>
    <w:rsid w:val="006F0647"/>
    <w:rsid w:val="006F184B"/>
    <w:rsid w:val="006F55AC"/>
    <w:rsid w:val="0070301F"/>
    <w:rsid w:val="00703ADB"/>
    <w:rsid w:val="007073E1"/>
    <w:rsid w:val="007214B5"/>
    <w:rsid w:val="00722C80"/>
    <w:rsid w:val="007241B0"/>
    <w:rsid w:val="00731430"/>
    <w:rsid w:val="0073215E"/>
    <w:rsid w:val="007353D6"/>
    <w:rsid w:val="00745290"/>
    <w:rsid w:val="00746F5C"/>
    <w:rsid w:val="00754636"/>
    <w:rsid w:val="00757B70"/>
    <w:rsid w:val="00770556"/>
    <w:rsid w:val="0077255B"/>
    <w:rsid w:val="0077748A"/>
    <w:rsid w:val="00781A71"/>
    <w:rsid w:val="00784698"/>
    <w:rsid w:val="00791834"/>
    <w:rsid w:val="00791D13"/>
    <w:rsid w:val="00792401"/>
    <w:rsid w:val="00793C54"/>
    <w:rsid w:val="00793F87"/>
    <w:rsid w:val="007963CD"/>
    <w:rsid w:val="0079722F"/>
    <w:rsid w:val="007A3843"/>
    <w:rsid w:val="007A4DFB"/>
    <w:rsid w:val="007A5E44"/>
    <w:rsid w:val="007A6B4E"/>
    <w:rsid w:val="007D4727"/>
    <w:rsid w:val="007E0B5C"/>
    <w:rsid w:val="007E152B"/>
    <w:rsid w:val="007E2549"/>
    <w:rsid w:val="007E7E97"/>
    <w:rsid w:val="008012DB"/>
    <w:rsid w:val="00805491"/>
    <w:rsid w:val="0080753D"/>
    <w:rsid w:val="008216A1"/>
    <w:rsid w:val="00822F99"/>
    <w:rsid w:val="00823F3B"/>
    <w:rsid w:val="00831C7E"/>
    <w:rsid w:val="0084048C"/>
    <w:rsid w:val="008409E3"/>
    <w:rsid w:val="008437A7"/>
    <w:rsid w:val="00850A10"/>
    <w:rsid w:val="00853249"/>
    <w:rsid w:val="008554EA"/>
    <w:rsid w:val="008577F1"/>
    <w:rsid w:val="00871D89"/>
    <w:rsid w:val="00874187"/>
    <w:rsid w:val="00882BD5"/>
    <w:rsid w:val="008869D9"/>
    <w:rsid w:val="00887235"/>
    <w:rsid w:val="00893388"/>
    <w:rsid w:val="008B250B"/>
    <w:rsid w:val="008C7632"/>
    <w:rsid w:val="008E625C"/>
    <w:rsid w:val="008F2634"/>
    <w:rsid w:val="008F2FB4"/>
    <w:rsid w:val="008F49D8"/>
    <w:rsid w:val="00901EC1"/>
    <w:rsid w:val="0090594D"/>
    <w:rsid w:val="009237A3"/>
    <w:rsid w:val="00923B1D"/>
    <w:rsid w:val="00930651"/>
    <w:rsid w:val="00930A40"/>
    <w:rsid w:val="0093213B"/>
    <w:rsid w:val="00933F1A"/>
    <w:rsid w:val="0094375D"/>
    <w:rsid w:val="009505C9"/>
    <w:rsid w:val="0095061B"/>
    <w:rsid w:val="00953A03"/>
    <w:rsid w:val="00953DF6"/>
    <w:rsid w:val="009574C0"/>
    <w:rsid w:val="00960BF0"/>
    <w:rsid w:val="00971DA7"/>
    <w:rsid w:val="009757F1"/>
    <w:rsid w:val="009773F4"/>
    <w:rsid w:val="0098242B"/>
    <w:rsid w:val="009826B3"/>
    <w:rsid w:val="009A0EC7"/>
    <w:rsid w:val="009B3F00"/>
    <w:rsid w:val="009B7834"/>
    <w:rsid w:val="009C1AA3"/>
    <w:rsid w:val="009C6B2B"/>
    <w:rsid w:val="009E5288"/>
    <w:rsid w:val="009F11D5"/>
    <w:rsid w:val="009F6CF6"/>
    <w:rsid w:val="00A0094E"/>
    <w:rsid w:val="00A1103C"/>
    <w:rsid w:val="00A21251"/>
    <w:rsid w:val="00A21BCB"/>
    <w:rsid w:val="00A3097C"/>
    <w:rsid w:val="00A33125"/>
    <w:rsid w:val="00A3530A"/>
    <w:rsid w:val="00A5329C"/>
    <w:rsid w:val="00A53C29"/>
    <w:rsid w:val="00A64E37"/>
    <w:rsid w:val="00A66164"/>
    <w:rsid w:val="00A670DD"/>
    <w:rsid w:val="00A70DC4"/>
    <w:rsid w:val="00A7498E"/>
    <w:rsid w:val="00A76005"/>
    <w:rsid w:val="00A836CC"/>
    <w:rsid w:val="00A91104"/>
    <w:rsid w:val="00A92FA6"/>
    <w:rsid w:val="00AA6B77"/>
    <w:rsid w:val="00AA772A"/>
    <w:rsid w:val="00AB6879"/>
    <w:rsid w:val="00AB7F98"/>
    <w:rsid w:val="00AC2B23"/>
    <w:rsid w:val="00AE49D3"/>
    <w:rsid w:val="00AE6079"/>
    <w:rsid w:val="00B04939"/>
    <w:rsid w:val="00B0727E"/>
    <w:rsid w:val="00B113F1"/>
    <w:rsid w:val="00B16E43"/>
    <w:rsid w:val="00B231C5"/>
    <w:rsid w:val="00B25186"/>
    <w:rsid w:val="00B25D4C"/>
    <w:rsid w:val="00B268CA"/>
    <w:rsid w:val="00B30E9F"/>
    <w:rsid w:val="00B31C87"/>
    <w:rsid w:val="00B32691"/>
    <w:rsid w:val="00B44912"/>
    <w:rsid w:val="00B50B5F"/>
    <w:rsid w:val="00B52330"/>
    <w:rsid w:val="00B71AB7"/>
    <w:rsid w:val="00B737F6"/>
    <w:rsid w:val="00B75FA8"/>
    <w:rsid w:val="00B77022"/>
    <w:rsid w:val="00B825D0"/>
    <w:rsid w:val="00B839CC"/>
    <w:rsid w:val="00B842B9"/>
    <w:rsid w:val="00B85CA9"/>
    <w:rsid w:val="00B90087"/>
    <w:rsid w:val="00BB2923"/>
    <w:rsid w:val="00BB39ED"/>
    <w:rsid w:val="00BC5F19"/>
    <w:rsid w:val="00BC610E"/>
    <w:rsid w:val="00BC7C24"/>
    <w:rsid w:val="00BD36B8"/>
    <w:rsid w:val="00BD407A"/>
    <w:rsid w:val="00BE25FD"/>
    <w:rsid w:val="00BF0A1C"/>
    <w:rsid w:val="00BF2EE9"/>
    <w:rsid w:val="00BF74B3"/>
    <w:rsid w:val="00C021D8"/>
    <w:rsid w:val="00C039D9"/>
    <w:rsid w:val="00C05981"/>
    <w:rsid w:val="00C13AC1"/>
    <w:rsid w:val="00C16187"/>
    <w:rsid w:val="00C1768D"/>
    <w:rsid w:val="00C21DAF"/>
    <w:rsid w:val="00C2314E"/>
    <w:rsid w:val="00C24D32"/>
    <w:rsid w:val="00C264AD"/>
    <w:rsid w:val="00C272F0"/>
    <w:rsid w:val="00C473A2"/>
    <w:rsid w:val="00C504A1"/>
    <w:rsid w:val="00C65E68"/>
    <w:rsid w:val="00C72D71"/>
    <w:rsid w:val="00C74F52"/>
    <w:rsid w:val="00C80003"/>
    <w:rsid w:val="00C84715"/>
    <w:rsid w:val="00C86FDF"/>
    <w:rsid w:val="00CA064F"/>
    <w:rsid w:val="00CA70E3"/>
    <w:rsid w:val="00CA7EF2"/>
    <w:rsid w:val="00CB52E4"/>
    <w:rsid w:val="00CB53EA"/>
    <w:rsid w:val="00CD039B"/>
    <w:rsid w:val="00CD344B"/>
    <w:rsid w:val="00CD36EF"/>
    <w:rsid w:val="00CD6426"/>
    <w:rsid w:val="00CF6FCC"/>
    <w:rsid w:val="00D17FEE"/>
    <w:rsid w:val="00D337C7"/>
    <w:rsid w:val="00D33DD2"/>
    <w:rsid w:val="00D40595"/>
    <w:rsid w:val="00D5197E"/>
    <w:rsid w:val="00D6071E"/>
    <w:rsid w:val="00D74D08"/>
    <w:rsid w:val="00D74E32"/>
    <w:rsid w:val="00D7531D"/>
    <w:rsid w:val="00D80C8A"/>
    <w:rsid w:val="00D81B4A"/>
    <w:rsid w:val="00D93E4B"/>
    <w:rsid w:val="00DA514D"/>
    <w:rsid w:val="00DB411F"/>
    <w:rsid w:val="00DC19A8"/>
    <w:rsid w:val="00DC6FD1"/>
    <w:rsid w:val="00DC7678"/>
    <w:rsid w:val="00DD3523"/>
    <w:rsid w:val="00DD3695"/>
    <w:rsid w:val="00DD496B"/>
    <w:rsid w:val="00DE0444"/>
    <w:rsid w:val="00DE2939"/>
    <w:rsid w:val="00DE296D"/>
    <w:rsid w:val="00DE3CA0"/>
    <w:rsid w:val="00DE4988"/>
    <w:rsid w:val="00DE6113"/>
    <w:rsid w:val="00E03B03"/>
    <w:rsid w:val="00E060DC"/>
    <w:rsid w:val="00E073C8"/>
    <w:rsid w:val="00E07F96"/>
    <w:rsid w:val="00E137A7"/>
    <w:rsid w:val="00E423A9"/>
    <w:rsid w:val="00E44798"/>
    <w:rsid w:val="00E473EC"/>
    <w:rsid w:val="00E5385D"/>
    <w:rsid w:val="00E60686"/>
    <w:rsid w:val="00E65B61"/>
    <w:rsid w:val="00E803F1"/>
    <w:rsid w:val="00E919DF"/>
    <w:rsid w:val="00E93704"/>
    <w:rsid w:val="00E94552"/>
    <w:rsid w:val="00E95227"/>
    <w:rsid w:val="00E972BE"/>
    <w:rsid w:val="00EA3F91"/>
    <w:rsid w:val="00EA65DD"/>
    <w:rsid w:val="00EC2A19"/>
    <w:rsid w:val="00EC30E0"/>
    <w:rsid w:val="00ED4C37"/>
    <w:rsid w:val="00ED5005"/>
    <w:rsid w:val="00ED5F82"/>
    <w:rsid w:val="00EE0EA0"/>
    <w:rsid w:val="00EF538C"/>
    <w:rsid w:val="00F00682"/>
    <w:rsid w:val="00F07615"/>
    <w:rsid w:val="00F10E6E"/>
    <w:rsid w:val="00F11D57"/>
    <w:rsid w:val="00F13295"/>
    <w:rsid w:val="00F14D28"/>
    <w:rsid w:val="00F152AF"/>
    <w:rsid w:val="00F17B65"/>
    <w:rsid w:val="00F20C26"/>
    <w:rsid w:val="00F21B2A"/>
    <w:rsid w:val="00F23DED"/>
    <w:rsid w:val="00F2533D"/>
    <w:rsid w:val="00F25B33"/>
    <w:rsid w:val="00F32515"/>
    <w:rsid w:val="00F35B17"/>
    <w:rsid w:val="00F41A13"/>
    <w:rsid w:val="00F54DAA"/>
    <w:rsid w:val="00F6335A"/>
    <w:rsid w:val="00F706AD"/>
    <w:rsid w:val="00F7382F"/>
    <w:rsid w:val="00F84867"/>
    <w:rsid w:val="00FA4D02"/>
    <w:rsid w:val="00FA5892"/>
    <w:rsid w:val="00FA77EA"/>
    <w:rsid w:val="00FB56C0"/>
    <w:rsid w:val="00FC5D0B"/>
    <w:rsid w:val="00FC60C3"/>
    <w:rsid w:val="00FD0108"/>
    <w:rsid w:val="00FD1139"/>
    <w:rsid w:val="00FD142F"/>
    <w:rsid w:val="00FD2281"/>
    <w:rsid w:val="00FD2486"/>
    <w:rsid w:val="00FE0B7C"/>
    <w:rsid w:val="00FE1324"/>
    <w:rsid w:val="00FE3E0E"/>
    <w:rsid w:val="00FE7A91"/>
    <w:rsid w:val="00FF2A76"/>
    <w:rsid w:val="00FF4C6A"/>
    <w:rsid w:val="00FF61EF"/>
    <w:rsid w:val="08CF5EA3"/>
    <w:rsid w:val="794A2D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F5EA3"/>
  <w15:chartTrackingRefBased/>
  <w15:docId w15:val="{E698BF5F-D720-4716-8491-4A12B7C04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aliases w:val="Bullet point,List Paragraph1,List Paragraph11,Recommendation,Figure_name,Numbered Indented Text,Bullet- First level,List NUmber,Listenabsatz1,lp1,Bullets,CV text,Dot pt,F5 List Paragraph,FooterText,L,List Paragraph111,List Paragraph2,列"/>
    <w:basedOn w:val="Normal"/>
    <w:link w:val="ListParagraphChar"/>
    <w:uiPriority w:val="34"/>
    <w:qFormat/>
    <w:rsid w:val="00F20C26"/>
    <w:pPr>
      <w:ind w:left="720"/>
      <w:contextualSpacing/>
    </w:pPr>
  </w:style>
  <w:style w:type="character" w:customStyle="1" w:styleId="normaltextrun">
    <w:name w:val="normaltextrun"/>
    <w:basedOn w:val="DefaultParagraphFont"/>
    <w:rsid w:val="00CB52E4"/>
  </w:style>
  <w:style w:type="character" w:styleId="Hyperlink">
    <w:name w:val="Hyperlink"/>
    <w:basedOn w:val="DefaultParagraphFont"/>
    <w:uiPriority w:val="99"/>
    <w:unhideWhenUsed/>
    <w:rsid w:val="005E0967"/>
    <w:rPr>
      <w:color w:val="467886" w:themeColor="hyperlink"/>
      <w:u w:val="single"/>
    </w:rPr>
  </w:style>
  <w:style w:type="paragraph" w:styleId="FootnoteText">
    <w:name w:val="footnote text"/>
    <w:basedOn w:val="Normal"/>
    <w:link w:val="FootnoteTextChar"/>
    <w:uiPriority w:val="99"/>
    <w:semiHidden/>
    <w:unhideWhenUsed/>
    <w:rsid w:val="005E09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0967"/>
    <w:rPr>
      <w:sz w:val="20"/>
      <w:szCs w:val="20"/>
    </w:rPr>
  </w:style>
  <w:style w:type="character" w:styleId="FootnoteReference">
    <w:name w:val="footnote reference"/>
    <w:basedOn w:val="DefaultParagraphFont"/>
    <w:uiPriority w:val="99"/>
    <w:semiHidden/>
    <w:unhideWhenUsed/>
    <w:rsid w:val="005E0967"/>
    <w:rPr>
      <w:vertAlign w:val="superscript"/>
    </w:rPr>
  </w:style>
  <w:style w:type="paragraph" w:customStyle="1" w:styleId="paragraph">
    <w:name w:val="paragraph"/>
    <w:basedOn w:val="Normal"/>
    <w:rsid w:val="005A1331"/>
    <w:pPr>
      <w:spacing w:before="100" w:beforeAutospacing="1" w:after="100" w:afterAutospacing="1" w:line="240" w:lineRule="auto"/>
    </w:pPr>
    <w:rPr>
      <w:rFonts w:ascii="Times New Roman" w:eastAsia="Times New Roman" w:hAnsi="Times New Roman" w:cs="Times New Roman"/>
      <w:lang w:val="en-AU" w:eastAsia="en-AU"/>
    </w:rPr>
  </w:style>
  <w:style w:type="character" w:customStyle="1" w:styleId="cf01">
    <w:name w:val="cf01"/>
    <w:basedOn w:val="DefaultParagraphFont"/>
    <w:rsid w:val="005A1331"/>
    <w:rPr>
      <w:rFonts w:ascii="Segoe UI" w:hAnsi="Segoe UI" w:cs="Segoe UI" w:hint="default"/>
      <w:sz w:val="18"/>
      <w:szCs w:val="18"/>
    </w:rPr>
  </w:style>
  <w:style w:type="paragraph" w:styleId="Caption">
    <w:name w:val="caption"/>
    <w:basedOn w:val="Normal"/>
    <w:next w:val="Normal"/>
    <w:uiPriority w:val="35"/>
    <w:unhideWhenUsed/>
    <w:qFormat/>
    <w:rsid w:val="007E2549"/>
    <w:pPr>
      <w:spacing w:after="120" w:line="240" w:lineRule="auto"/>
    </w:pPr>
    <w:rPr>
      <w:b/>
      <w:bCs/>
      <w:smallCaps/>
      <w:color w:val="595959" w:themeColor="text1" w:themeTint="A6"/>
      <w:spacing w:val="6"/>
      <w:sz w:val="20"/>
      <w:szCs w:val="20"/>
      <w:lang w:val="en-AU" w:eastAsia="en-US"/>
    </w:rPr>
  </w:style>
  <w:style w:type="table" w:styleId="TableGrid">
    <w:name w:val="Table Grid"/>
    <w:basedOn w:val="TableNormal"/>
    <w:uiPriority w:val="39"/>
    <w:rsid w:val="007E2549"/>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10529"/>
    <w:rPr>
      <w:sz w:val="16"/>
      <w:szCs w:val="16"/>
    </w:rPr>
  </w:style>
  <w:style w:type="paragraph" w:styleId="CommentText">
    <w:name w:val="annotation text"/>
    <w:basedOn w:val="Normal"/>
    <w:link w:val="CommentTextChar"/>
    <w:uiPriority w:val="99"/>
    <w:unhideWhenUsed/>
    <w:rsid w:val="00010529"/>
    <w:pPr>
      <w:spacing w:line="240" w:lineRule="auto"/>
    </w:pPr>
    <w:rPr>
      <w:sz w:val="20"/>
      <w:szCs w:val="20"/>
    </w:rPr>
  </w:style>
  <w:style w:type="character" w:customStyle="1" w:styleId="CommentTextChar">
    <w:name w:val="Comment Text Char"/>
    <w:basedOn w:val="DefaultParagraphFont"/>
    <w:link w:val="CommentText"/>
    <w:uiPriority w:val="99"/>
    <w:rsid w:val="00010529"/>
    <w:rPr>
      <w:sz w:val="20"/>
      <w:szCs w:val="20"/>
    </w:rPr>
  </w:style>
  <w:style w:type="paragraph" w:styleId="CommentSubject">
    <w:name w:val="annotation subject"/>
    <w:basedOn w:val="CommentText"/>
    <w:next w:val="CommentText"/>
    <w:link w:val="CommentSubjectChar"/>
    <w:uiPriority w:val="99"/>
    <w:semiHidden/>
    <w:unhideWhenUsed/>
    <w:rsid w:val="00010529"/>
    <w:rPr>
      <w:b/>
      <w:bCs/>
    </w:rPr>
  </w:style>
  <w:style w:type="character" w:customStyle="1" w:styleId="CommentSubjectChar">
    <w:name w:val="Comment Subject Char"/>
    <w:basedOn w:val="CommentTextChar"/>
    <w:link w:val="CommentSubject"/>
    <w:uiPriority w:val="99"/>
    <w:semiHidden/>
    <w:rsid w:val="00010529"/>
    <w:rPr>
      <w:b/>
      <w:bCs/>
      <w:sz w:val="20"/>
      <w:szCs w:val="20"/>
    </w:rPr>
  </w:style>
  <w:style w:type="paragraph" w:styleId="Header">
    <w:name w:val="header"/>
    <w:basedOn w:val="Normal"/>
    <w:link w:val="HeaderChar"/>
    <w:uiPriority w:val="99"/>
    <w:unhideWhenUsed/>
    <w:rsid w:val="00F11D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D57"/>
  </w:style>
  <w:style w:type="paragraph" w:styleId="Footer">
    <w:name w:val="footer"/>
    <w:basedOn w:val="Normal"/>
    <w:link w:val="FooterChar"/>
    <w:uiPriority w:val="99"/>
    <w:unhideWhenUsed/>
    <w:rsid w:val="00F11D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D57"/>
  </w:style>
  <w:style w:type="paragraph" w:styleId="Revision">
    <w:name w:val="Revision"/>
    <w:hidden/>
    <w:uiPriority w:val="99"/>
    <w:semiHidden/>
    <w:rsid w:val="00874187"/>
    <w:pPr>
      <w:spacing w:after="0" w:line="240" w:lineRule="auto"/>
    </w:pPr>
  </w:style>
  <w:style w:type="paragraph" w:customStyle="1" w:styleId="pf0">
    <w:name w:val="pf0"/>
    <w:basedOn w:val="Normal"/>
    <w:rsid w:val="002E46B0"/>
    <w:pPr>
      <w:spacing w:before="100" w:beforeAutospacing="1" w:after="100" w:afterAutospacing="1" w:line="240" w:lineRule="auto"/>
    </w:pPr>
    <w:rPr>
      <w:rFonts w:ascii="Times New Roman" w:eastAsia="Times New Roman" w:hAnsi="Times New Roman" w:cs="Times New Roman"/>
      <w:lang w:val="en-AU" w:eastAsia="en-AU"/>
    </w:rPr>
  </w:style>
  <w:style w:type="character" w:customStyle="1" w:styleId="ListParagraphChar">
    <w:name w:val="List Paragraph Char"/>
    <w:aliases w:val="Bullet point Char,List Paragraph1 Char,List Paragraph11 Char,Recommendation Char,Figure_name Char,Numbered Indented Text Char,Bullet- First level Char,List NUmber Char,Listenabsatz1 Char,lp1 Char,Bullets Char,CV text Char,Dot pt Char"/>
    <w:basedOn w:val="DefaultParagraphFont"/>
    <w:link w:val="ListParagraph"/>
    <w:uiPriority w:val="34"/>
    <w:qFormat/>
    <w:locked/>
    <w:rsid w:val="00D5197E"/>
  </w:style>
  <w:style w:type="character" w:styleId="UnresolvedMention">
    <w:name w:val="Unresolved Mention"/>
    <w:basedOn w:val="DefaultParagraphFont"/>
    <w:uiPriority w:val="99"/>
    <w:semiHidden/>
    <w:unhideWhenUsed/>
    <w:rsid w:val="00FA5892"/>
    <w:rPr>
      <w:color w:val="605E5C"/>
      <w:shd w:val="clear" w:color="auto" w:fill="E1DFDD"/>
    </w:rPr>
  </w:style>
  <w:style w:type="character" w:customStyle="1" w:styleId="eop">
    <w:name w:val="eop"/>
    <w:basedOn w:val="DefaultParagraphFont"/>
    <w:rsid w:val="00933F1A"/>
  </w:style>
  <w:style w:type="character" w:customStyle="1" w:styleId="ui-provider">
    <w:name w:val="ui-provider"/>
    <w:basedOn w:val="DefaultParagraphFont"/>
    <w:rsid w:val="006A5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668993">
      <w:bodyDiv w:val="1"/>
      <w:marLeft w:val="0"/>
      <w:marRight w:val="0"/>
      <w:marTop w:val="0"/>
      <w:marBottom w:val="0"/>
      <w:divBdr>
        <w:top w:val="none" w:sz="0" w:space="0" w:color="auto"/>
        <w:left w:val="none" w:sz="0" w:space="0" w:color="auto"/>
        <w:bottom w:val="none" w:sz="0" w:space="0" w:color="auto"/>
        <w:right w:val="none" w:sz="0" w:space="0" w:color="auto"/>
      </w:divBdr>
    </w:div>
    <w:div w:id="1001204569">
      <w:bodyDiv w:val="1"/>
      <w:marLeft w:val="0"/>
      <w:marRight w:val="0"/>
      <w:marTop w:val="0"/>
      <w:marBottom w:val="0"/>
      <w:divBdr>
        <w:top w:val="none" w:sz="0" w:space="0" w:color="auto"/>
        <w:left w:val="none" w:sz="0" w:space="0" w:color="auto"/>
        <w:bottom w:val="none" w:sz="0" w:space="0" w:color="auto"/>
        <w:right w:val="none" w:sz="0" w:space="0" w:color="auto"/>
      </w:divBdr>
    </w:div>
    <w:div w:id="1005744607">
      <w:bodyDiv w:val="1"/>
      <w:marLeft w:val="0"/>
      <w:marRight w:val="0"/>
      <w:marTop w:val="0"/>
      <w:marBottom w:val="0"/>
      <w:divBdr>
        <w:top w:val="none" w:sz="0" w:space="0" w:color="auto"/>
        <w:left w:val="none" w:sz="0" w:space="0" w:color="auto"/>
        <w:bottom w:val="none" w:sz="0" w:space="0" w:color="auto"/>
        <w:right w:val="none" w:sz="0" w:space="0" w:color="auto"/>
      </w:divBdr>
      <w:divsChild>
        <w:div w:id="336157231">
          <w:marLeft w:val="0"/>
          <w:marRight w:val="0"/>
          <w:marTop w:val="0"/>
          <w:marBottom w:val="0"/>
          <w:divBdr>
            <w:top w:val="none" w:sz="0" w:space="0" w:color="auto"/>
            <w:left w:val="none" w:sz="0" w:space="0" w:color="auto"/>
            <w:bottom w:val="none" w:sz="0" w:space="0" w:color="auto"/>
            <w:right w:val="none" w:sz="0" w:space="0" w:color="auto"/>
          </w:divBdr>
          <w:divsChild>
            <w:div w:id="780107482">
              <w:marLeft w:val="0"/>
              <w:marRight w:val="0"/>
              <w:marTop w:val="0"/>
              <w:marBottom w:val="0"/>
              <w:divBdr>
                <w:top w:val="none" w:sz="0" w:space="0" w:color="auto"/>
                <w:left w:val="none" w:sz="0" w:space="0" w:color="auto"/>
                <w:bottom w:val="none" w:sz="0" w:space="0" w:color="auto"/>
                <w:right w:val="none" w:sz="0" w:space="0" w:color="auto"/>
              </w:divBdr>
            </w:div>
            <w:div w:id="453015931">
              <w:marLeft w:val="0"/>
              <w:marRight w:val="0"/>
              <w:marTop w:val="0"/>
              <w:marBottom w:val="0"/>
              <w:divBdr>
                <w:top w:val="none" w:sz="0" w:space="0" w:color="auto"/>
                <w:left w:val="none" w:sz="0" w:space="0" w:color="auto"/>
                <w:bottom w:val="none" w:sz="0" w:space="0" w:color="auto"/>
                <w:right w:val="none" w:sz="0" w:space="0" w:color="auto"/>
              </w:divBdr>
            </w:div>
            <w:div w:id="2100439193">
              <w:marLeft w:val="0"/>
              <w:marRight w:val="0"/>
              <w:marTop w:val="0"/>
              <w:marBottom w:val="0"/>
              <w:divBdr>
                <w:top w:val="none" w:sz="0" w:space="0" w:color="auto"/>
                <w:left w:val="none" w:sz="0" w:space="0" w:color="auto"/>
                <w:bottom w:val="none" w:sz="0" w:space="0" w:color="auto"/>
                <w:right w:val="none" w:sz="0" w:space="0" w:color="auto"/>
              </w:divBdr>
            </w:div>
            <w:div w:id="2139295673">
              <w:marLeft w:val="0"/>
              <w:marRight w:val="0"/>
              <w:marTop w:val="0"/>
              <w:marBottom w:val="0"/>
              <w:divBdr>
                <w:top w:val="none" w:sz="0" w:space="0" w:color="auto"/>
                <w:left w:val="none" w:sz="0" w:space="0" w:color="auto"/>
                <w:bottom w:val="none" w:sz="0" w:space="0" w:color="auto"/>
                <w:right w:val="none" w:sz="0" w:space="0" w:color="auto"/>
              </w:divBdr>
            </w:div>
            <w:div w:id="865408687">
              <w:marLeft w:val="0"/>
              <w:marRight w:val="0"/>
              <w:marTop w:val="0"/>
              <w:marBottom w:val="0"/>
              <w:divBdr>
                <w:top w:val="none" w:sz="0" w:space="0" w:color="auto"/>
                <w:left w:val="none" w:sz="0" w:space="0" w:color="auto"/>
                <w:bottom w:val="none" w:sz="0" w:space="0" w:color="auto"/>
                <w:right w:val="none" w:sz="0" w:space="0" w:color="auto"/>
              </w:divBdr>
            </w:div>
            <w:div w:id="825628372">
              <w:marLeft w:val="0"/>
              <w:marRight w:val="0"/>
              <w:marTop w:val="0"/>
              <w:marBottom w:val="0"/>
              <w:divBdr>
                <w:top w:val="none" w:sz="0" w:space="0" w:color="auto"/>
                <w:left w:val="none" w:sz="0" w:space="0" w:color="auto"/>
                <w:bottom w:val="none" w:sz="0" w:space="0" w:color="auto"/>
                <w:right w:val="none" w:sz="0" w:space="0" w:color="auto"/>
              </w:divBdr>
            </w:div>
            <w:div w:id="478764137">
              <w:marLeft w:val="0"/>
              <w:marRight w:val="0"/>
              <w:marTop w:val="0"/>
              <w:marBottom w:val="0"/>
              <w:divBdr>
                <w:top w:val="none" w:sz="0" w:space="0" w:color="auto"/>
                <w:left w:val="none" w:sz="0" w:space="0" w:color="auto"/>
                <w:bottom w:val="none" w:sz="0" w:space="0" w:color="auto"/>
                <w:right w:val="none" w:sz="0" w:space="0" w:color="auto"/>
              </w:divBdr>
            </w:div>
            <w:div w:id="1310018513">
              <w:marLeft w:val="0"/>
              <w:marRight w:val="0"/>
              <w:marTop w:val="0"/>
              <w:marBottom w:val="0"/>
              <w:divBdr>
                <w:top w:val="none" w:sz="0" w:space="0" w:color="auto"/>
                <w:left w:val="none" w:sz="0" w:space="0" w:color="auto"/>
                <w:bottom w:val="none" w:sz="0" w:space="0" w:color="auto"/>
                <w:right w:val="none" w:sz="0" w:space="0" w:color="auto"/>
              </w:divBdr>
            </w:div>
            <w:div w:id="1058433101">
              <w:marLeft w:val="0"/>
              <w:marRight w:val="0"/>
              <w:marTop w:val="0"/>
              <w:marBottom w:val="0"/>
              <w:divBdr>
                <w:top w:val="none" w:sz="0" w:space="0" w:color="auto"/>
                <w:left w:val="none" w:sz="0" w:space="0" w:color="auto"/>
                <w:bottom w:val="none" w:sz="0" w:space="0" w:color="auto"/>
                <w:right w:val="none" w:sz="0" w:space="0" w:color="auto"/>
              </w:divBdr>
            </w:div>
            <w:div w:id="664672300">
              <w:marLeft w:val="0"/>
              <w:marRight w:val="0"/>
              <w:marTop w:val="0"/>
              <w:marBottom w:val="0"/>
              <w:divBdr>
                <w:top w:val="none" w:sz="0" w:space="0" w:color="auto"/>
                <w:left w:val="none" w:sz="0" w:space="0" w:color="auto"/>
                <w:bottom w:val="none" w:sz="0" w:space="0" w:color="auto"/>
                <w:right w:val="none" w:sz="0" w:space="0" w:color="auto"/>
              </w:divBdr>
            </w:div>
            <w:div w:id="2144689487">
              <w:marLeft w:val="0"/>
              <w:marRight w:val="0"/>
              <w:marTop w:val="0"/>
              <w:marBottom w:val="0"/>
              <w:divBdr>
                <w:top w:val="none" w:sz="0" w:space="0" w:color="auto"/>
                <w:left w:val="none" w:sz="0" w:space="0" w:color="auto"/>
                <w:bottom w:val="none" w:sz="0" w:space="0" w:color="auto"/>
                <w:right w:val="none" w:sz="0" w:space="0" w:color="auto"/>
              </w:divBdr>
            </w:div>
            <w:div w:id="649136198">
              <w:marLeft w:val="0"/>
              <w:marRight w:val="0"/>
              <w:marTop w:val="0"/>
              <w:marBottom w:val="0"/>
              <w:divBdr>
                <w:top w:val="none" w:sz="0" w:space="0" w:color="auto"/>
                <w:left w:val="none" w:sz="0" w:space="0" w:color="auto"/>
                <w:bottom w:val="none" w:sz="0" w:space="0" w:color="auto"/>
                <w:right w:val="none" w:sz="0" w:space="0" w:color="auto"/>
              </w:divBdr>
            </w:div>
            <w:div w:id="738482326">
              <w:marLeft w:val="0"/>
              <w:marRight w:val="0"/>
              <w:marTop w:val="0"/>
              <w:marBottom w:val="0"/>
              <w:divBdr>
                <w:top w:val="none" w:sz="0" w:space="0" w:color="auto"/>
                <w:left w:val="none" w:sz="0" w:space="0" w:color="auto"/>
                <w:bottom w:val="none" w:sz="0" w:space="0" w:color="auto"/>
                <w:right w:val="none" w:sz="0" w:space="0" w:color="auto"/>
              </w:divBdr>
            </w:div>
          </w:divsChild>
        </w:div>
        <w:div w:id="1517576220">
          <w:marLeft w:val="0"/>
          <w:marRight w:val="0"/>
          <w:marTop w:val="0"/>
          <w:marBottom w:val="0"/>
          <w:divBdr>
            <w:top w:val="none" w:sz="0" w:space="0" w:color="auto"/>
            <w:left w:val="none" w:sz="0" w:space="0" w:color="auto"/>
            <w:bottom w:val="none" w:sz="0" w:space="0" w:color="auto"/>
            <w:right w:val="none" w:sz="0" w:space="0" w:color="auto"/>
          </w:divBdr>
          <w:divsChild>
            <w:div w:id="318509973">
              <w:marLeft w:val="0"/>
              <w:marRight w:val="0"/>
              <w:marTop w:val="0"/>
              <w:marBottom w:val="0"/>
              <w:divBdr>
                <w:top w:val="none" w:sz="0" w:space="0" w:color="auto"/>
                <w:left w:val="none" w:sz="0" w:space="0" w:color="auto"/>
                <w:bottom w:val="none" w:sz="0" w:space="0" w:color="auto"/>
                <w:right w:val="none" w:sz="0" w:space="0" w:color="auto"/>
              </w:divBdr>
            </w:div>
            <w:div w:id="1234780548">
              <w:marLeft w:val="0"/>
              <w:marRight w:val="0"/>
              <w:marTop w:val="0"/>
              <w:marBottom w:val="0"/>
              <w:divBdr>
                <w:top w:val="none" w:sz="0" w:space="0" w:color="auto"/>
                <w:left w:val="none" w:sz="0" w:space="0" w:color="auto"/>
                <w:bottom w:val="none" w:sz="0" w:space="0" w:color="auto"/>
                <w:right w:val="none" w:sz="0" w:space="0" w:color="auto"/>
              </w:divBdr>
            </w:div>
            <w:div w:id="1436754965">
              <w:marLeft w:val="0"/>
              <w:marRight w:val="0"/>
              <w:marTop w:val="0"/>
              <w:marBottom w:val="0"/>
              <w:divBdr>
                <w:top w:val="none" w:sz="0" w:space="0" w:color="auto"/>
                <w:left w:val="none" w:sz="0" w:space="0" w:color="auto"/>
                <w:bottom w:val="none" w:sz="0" w:space="0" w:color="auto"/>
                <w:right w:val="none" w:sz="0" w:space="0" w:color="auto"/>
              </w:divBdr>
            </w:div>
            <w:div w:id="520557073">
              <w:marLeft w:val="0"/>
              <w:marRight w:val="0"/>
              <w:marTop w:val="0"/>
              <w:marBottom w:val="0"/>
              <w:divBdr>
                <w:top w:val="none" w:sz="0" w:space="0" w:color="auto"/>
                <w:left w:val="none" w:sz="0" w:space="0" w:color="auto"/>
                <w:bottom w:val="none" w:sz="0" w:space="0" w:color="auto"/>
                <w:right w:val="none" w:sz="0" w:space="0" w:color="auto"/>
              </w:divBdr>
            </w:div>
            <w:div w:id="1454247543">
              <w:marLeft w:val="0"/>
              <w:marRight w:val="0"/>
              <w:marTop w:val="0"/>
              <w:marBottom w:val="0"/>
              <w:divBdr>
                <w:top w:val="none" w:sz="0" w:space="0" w:color="auto"/>
                <w:left w:val="none" w:sz="0" w:space="0" w:color="auto"/>
                <w:bottom w:val="none" w:sz="0" w:space="0" w:color="auto"/>
                <w:right w:val="none" w:sz="0" w:space="0" w:color="auto"/>
              </w:divBdr>
            </w:div>
            <w:div w:id="946153253">
              <w:marLeft w:val="0"/>
              <w:marRight w:val="0"/>
              <w:marTop w:val="0"/>
              <w:marBottom w:val="0"/>
              <w:divBdr>
                <w:top w:val="none" w:sz="0" w:space="0" w:color="auto"/>
                <w:left w:val="none" w:sz="0" w:space="0" w:color="auto"/>
                <w:bottom w:val="none" w:sz="0" w:space="0" w:color="auto"/>
                <w:right w:val="none" w:sz="0" w:space="0" w:color="auto"/>
              </w:divBdr>
            </w:div>
            <w:div w:id="1163664621">
              <w:marLeft w:val="0"/>
              <w:marRight w:val="0"/>
              <w:marTop w:val="0"/>
              <w:marBottom w:val="0"/>
              <w:divBdr>
                <w:top w:val="none" w:sz="0" w:space="0" w:color="auto"/>
                <w:left w:val="none" w:sz="0" w:space="0" w:color="auto"/>
                <w:bottom w:val="none" w:sz="0" w:space="0" w:color="auto"/>
                <w:right w:val="none" w:sz="0" w:space="0" w:color="auto"/>
              </w:divBdr>
            </w:div>
            <w:div w:id="1010529816">
              <w:marLeft w:val="0"/>
              <w:marRight w:val="0"/>
              <w:marTop w:val="0"/>
              <w:marBottom w:val="0"/>
              <w:divBdr>
                <w:top w:val="none" w:sz="0" w:space="0" w:color="auto"/>
                <w:left w:val="none" w:sz="0" w:space="0" w:color="auto"/>
                <w:bottom w:val="none" w:sz="0" w:space="0" w:color="auto"/>
                <w:right w:val="none" w:sz="0" w:space="0" w:color="auto"/>
              </w:divBdr>
            </w:div>
            <w:div w:id="136918747">
              <w:marLeft w:val="0"/>
              <w:marRight w:val="0"/>
              <w:marTop w:val="0"/>
              <w:marBottom w:val="0"/>
              <w:divBdr>
                <w:top w:val="none" w:sz="0" w:space="0" w:color="auto"/>
                <w:left w:val="none" w:sz="0" w:space="0" w:color="auto"/>
                <w:bottom w:val="none" w:sz="0" w:space="0" w:color="auto"/>
                <w:right w:val="none" w:sz="0" w:space="0" w:color="auto"/>
              </w:divBdr>
            </w:div>
            <w:div w:id="127281439">
              <w:marLeft w:val="0"/>
              <w:marRight w:val="0"/>
              <w:marTop w:val="0"/>
              <w:marBottom w:val="0"/>
              <w:divBdr>
                <w:top w:val="none" w:sz="0" w:space="0" w:color="auto"/>
                <w:left w:val="none" w:sz="0" w:space="0" w:color="auto"/>
                <w:bottom w:val="none" w:sz="0" w:space="0" w:color="auto"/>
                <w:right w:val="none" w:sz="0" w:space="0" w:color="auto"/>
              </w:divBdr>
            </w:div>
            <w:div w:id="147968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2643">
      <w:bodyDiv w:val="1"/>
      <w:marLeft w:val="0"/>
      <w:marRight w:val="0"/>
      <w:marTop w:val="0"/>
      <w:marBottom w:val="0"/>
      <w:divBdr>
        <w:top w:val="none" w:sz="0" w:space="0" w:color="auto"/>
        <w:left w:val="none" w:sz="0" w:space="0" w:color="auto"/>
        <w:bottom w:val="none" w:sz="0" w:space="0" w:color="auto"/>
        <w:right w:val="none" w:sz="0" w:space="0" w:color="auto"/>
      </w:divBdr>
    </w:div>
    <w:div w:id="1072777472">
      <w:bodyDiv w:val="1"/>
      <w:marLeft w:val="0"/>
      <w:marRight w:val="0"/>
      <w:marTop w:val="0"/>
      <w:marBottom w:val="0"/>
      <w:divBdr>
        <w:top w:val="none" w:sz="0" w:space="0" w:color="auto"/>
        <w:left w:val="none" w:sz="0" w:space="0" w:color="auto"/>
        <w:bottom w:val="none" w:sz="0" w:space="0" w:color="auto"/>
        <w:right w:val="none" w:sz="0" w:space="0" w:color="auto"/>
      </w:divBdr>
    </w:div>
    <w:div w:id="1240867030">
      <w:bodyDiv w:val="1"/>
      <w:marLeft w:val="0"/>
      <w:marRight w:val="0"/>
      <w:marTop w:val="0"/>
      <w:marBottom w:val="0"/>
      <w:divBdr>
        <w:top w:val="none" w:sz="0" w:space="0" w:color="auto"/>
        <w:left w:val="none" w:sz="0" w:space="0" w:color="auto"/>
        <w:bottom w:val="none" w:sz="0" w:space="0" w:color="auto"/>
        <w:right w:val="none" w:sz="0" w:space="0" w:color="auto"/>
      </w:divBdr>
    </w:div>
    <w:div w:id="1328706967">
      <w:bodyDiv w:val="1"/>
      <w:marLeft w:val="0"/>
      <w:marRight w:val="0"/>
      <w:marTop w:val="0"/>
      <w:marBottom w:val="0"/>
      <w:divBdr>
        <w:top w:val="none" w:sz="0" w:space="0" w:color="auto"/>
        <w:left w:val="none" w:sz="0" w:space="0" w:color="auto"/>
        <w:bottom w:val="none" w:sz="0" w:space="0" w:color="auto"/>
        <w:right w:val="none" w:sz="0" w:space="0" w:color="auto"/>
      </w:divBdr>
    </w:div>
    <w:div w:id="1403723225">
      <w:bodyDiv w:val="1"/>
      <w:marLeft w:val="0"/>
      <w:marRight w:val="0"/>
      <w:marTop w:val="0"/>
      <w:marBottom w:val="0"/>
      <w:divBdr>
        <w:top w:val="none" w:sz="0" w:space="0" w:color="auto"/>
        <w:left w:val="none" w:sz="0" w:space="0" w:color="auto"/>
        <w:bottom w:val="none" w:sz="0" w:space="0" w:color="auto"/>
        <w:right w:val="none" w:sz="0" w:space="0" w:color="auto"/>
      </w:divBdr>
    </w:div>
    <w:div w:id="1459185343">
      <w:bodyDiv w:val="1"/>
      <w:marLeft w:val="0"/>
      <w:marRight w:val="0"/>
      <w:marTop w:val="0"/>
      <w:marBottom w:val="0"/>
      <w:divBdr>
        <w:top w:val="none" w:sz="0" w:space="0" w:color="auto"/>
        <w:left w:val="none" w:sz="0" w:space="0" w:color="auto"/>
        <w:bottom w:val="none" w:sz="0" w:space="0" w:color="auto"/>
        <w:right w:val="none" w:sz="0" w:space="0" w:color="auto"/>
      </w:divBdr>
    </w:div>
    <w:div w:id="1468814350">
      <w:bodyDiv w:val="1"/>
      <w:marLeft w:val="0"/>
      <w:marRight w:val="0"/>
      <w:marTop w:val="0"/>
      <w:marBottom w:val="0"/>
      <w:divBdr>
        <w:top w:val="none" w:sz="0" w:space="0" w:color="auto"/>
        <w:left w:val="none" w:sz="0" w:space="0" w:color="auto"/>
        <w:bottom w:val="none" w:sz="0" w:space="0" w:color="auto"/>
        <w:right w:val="none" w:sz="0" w:space="0" w:color="auto"/>
      </w:divBdr>
    </w:div>
    <w:div w:id="207068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saustralia.gov.au/practice-incentives?context=20"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www.health.gov.au/resources/publications/strengthening-medicare-taskforce-report?language=en"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sites/default/files/documents/2022/03/australia-s-primary-health-care-10-year-plan-2022-2032-future-focused-primary-health-care-australia-s-primary-health-care-10-year-plan-2022-2032.pdf"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workforce-incentive-program"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C6830CEB39314F8764148A7DA3675D" ma:contentTypeVersion="6" ma:contentTypeDescription="Create a new document." ma:contentTypeScope="" ma:versionID="855929ddac33ca07623e4cb0cfbd4b09">
  <xsd:schema xmlns:xsd="http://www.w3.org/2001/XMLSchema" xmlns:xs="http://www.w3.org/2001/XMLSchema" xmlns:p="http://schemas.microsoft.com/office/2006/metadata/properties" xmlns:ns2="72ccd846-3b6c-4157-b2bf-505fe2c98013" xmlns:ns3="85918b94-11ed-499c-8725-b8a86717de50" targetNamespace="http://schemas.microsoft.com/office/2006/metadata/properties" ma:root="true" ma:fieldsID="5a219df300979ffb931b1e6db7636c72" ns2:_="" ns3:_="">
    <xsd:import namespace="72ccd846-3b6c-4157-b2bf-505fe2c98013"/>
    <xsd:import namespace="85918b94-11ed-499c-8725-b8a86717de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cd846-3b6c-4157-b2bf-505fe2c98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918b94-11ed-499c-8725-b8a86717de5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E8554-5629-4E97-9E6B-9944FD2AA039}">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terms/"/>
    <ds:schemaRef ds:uri="85918b94-11ed-499c-8725-b8a86717de50"/>
    <ds:schemaRef ds:uri="72ccd846-3b6c-4157-b2bf-505fe2c9801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144AB37-CDA9-4351-937A-184C2E5BF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cd846-3b6c-4157-b2bf-505fe2c98013"/>
    <ds:schemaRef ds:uri="85918b94-11ed-499c-8725-b8a86717d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6A8518-5E5B-4392-9444-5CA7741B5101}">
  <ds:schemaRefs>
    <ds:schemaRef ds:uri="http://schemas.microsoft.com/sharepoint/v3/contenttype/forms"/>
  </ds:schemaRefs>
</ds:datastoreItem>
</file>

<file path=customXml/itemProps4.xml><?xml version="1.0" encoding="utf-8"?>
<ds:datastoreItem xmlns:ds="http://schemas.openxmlformats.org/officeDocument/2006/customXml" ds:itemID="{0964B8F2-1263-4A41-B53B-E8CBF20E0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15</Pages>
  <Words>3475</Words>
  <Characters>19814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Consultation paper - Review of General Practice Incentives</vt:lpstr>
    </vt:vector>
  </TitlesOfParts>
  <Company/>
  <LinksUpToDate>false</LinksUpToDate>
  <CharactersWithSpaces>23243</CharactersWithSpaces>
  <SharedDoc>false</SharedDoc>
  <HLinks>
    <vt:vector size="30" baseType="variant">
      <vt:variant>
        <vt:i4>3539045</vt:i4>
      </vt:variant>
      <vt:variant>
        <vt:i4>6</vt:i4>
      </vt:variant>
      <vt:variant>
        <vt:i4>0</vt:i4>
      </vt:variant>
      <vt:variant>
        <vt:i4>5</vt:i4>
      </vt:variant>
      <vt:variant>
        <vt:lpwstr>https://www.health.gov.au/our-work/workforce-incentive-program</vt:lpwstr>
      </vt:variant>
      <vt:variant>
        <vt:lpwstr/>
      </vt:variant>
      <vt:variant>
        <vt:i4>327700</vt:i4>
      </vt:variant>
      <vt:variant>
        <vt:i4>3</vt:i4>
      </vt:variant>
      <vt:variant>
        <vt:i4>0</vt:i4>
      </vt:variant>
      <vt:variant>
        <vt:i4>5</vt:i4>
      </vt:variant>
      <vt:variant>
        <vt:lpwstr>https://www.health.gov.au/resources/publications/strengthening-medicare-taskforce-report?language=en</vt:lpwstr>
      </vt:variant>
      <vt:variant>
        <vt:lpwstr/>
      </vt:variant>
      <vt:variant>
        <vt:i4>1835015</vt:i4>
      </vt:variant>
      <vt:variant>
        <vt:i4>0</vt:i4>
      </vt:variant>
      <vt:variant>
        <vt:i4>0</vt:i4>
      </vt:variant>
      <vt:variant>
        <vt:i4>5</vt:i4>
      </vt:variant>
      <vt:variant>
        <vt:lpwstr>https://www.health.gov.au/sites/default/files/documents/2022/03/australia-s-primary-health-care-10-year-plan-2022-2032-future-focused-primary-health-care-australia-s-primary-health-care-10-year-plan-2022-2032.pdf</vt:lpwstr>
      </vt:variant>
      <vt:variant>
        <vt:lpwstr/>
      </vt:variant>
      <vt:variant>
        <vt:i4>2556011</vt:i4>
      </vt:variant>
      <vt:variant>
        <vt:i4>3</vt:i4>
      </vt:variant>
      <vt:variant>
        <vt:i4>0</vt:i4>
      </vt:variant>
      <vt:variant>
        <vt:i4>5</vt:i4>
      </vt:variant>
      <vt:variant>
        <vt:lpwstr>https://www.servicesaustralia.gov.au/practice-incentives?context=20</vt:lpwstr>
      </vt:variant>
      <vt:variant>
        <vt:lpwstr/>
      </vt:variant>
      <vt:variant>
        <vt:i4>1114143</vt:i4>
      </vt:variant>
      <vt:variant>
        <vt:i4>0</vt:i4>
      </vt:variant>
      <vt:variant>
        <vt:i4>0</vt:i4>
      </vt:variant>
      <vt:variant>
        <vt:i4>5</vt:i4>
      </vt:variant>
      <vt:variant>
        <vt:lpwstr>https://www.health.gov.au/our-work/practice-incentives-program-quality-improvement-incentive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 Review of General Practice Incentives</dc:title>
  <dc:subject>Health workforce</dc:subject>
  <dc:creator>Australian Government Department of Health and Aged Care</dc:creator>
  <cp:keywords/>
  <dc:description/>
  <cp:lastModifiedBy>MARTIN, Mel</cp:lastModifiedBy>
  <cp:revision>41</cp:revision>
  <dcterms:created xsi:type="dcterms:W3CDTF">2024-07-12T06:43:00Z</dcterms:created>
  <dcterms:modified xsi:type="dcterms:W3CDTF">2024-08-05T02:35:00Z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0x01010043C6830CEB39314F8764148A7DA3675D</vt:lpwstr>
  </property>
</Properties>
</file>