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2BD23" w14:textId="2CEE3721" w:rsidR="00DC06D8" w:rsidRPr="00191237" w:rsidRDefault="0075515F" w:rsidP="00191237">
      <w:pPr>
        <w:pStyle w:val="Title"/>
      </w:pPr>
      <w:r>
        <w:t>R</w:t>
      </w:r>
      <w:r w:rsidR="00655BDA" w:rsidRPr="00191237">
        <w:t>ecommended COVID-19 vaccine doses</w:t>
      </w:r>
      <w:r w:rsidR="00FD3037">
        <w:rPr>
          <w:rStyle w:val="FootnoteReference"/>
        </w:rPr>
        <w:footnoteReference w:id="2"/>
      </w:r>
    </w:p>
    <w:p w14:paraId="648FA0EF" w14:textId="01D797F3" w:rsidR="00DC06D8" w:rsidRPr="002A5BBD" w:rsidRDefault="003F6D1E" w:rsidP="002A5BBD">
      <w:pPr>
        <w:rPr>
          <w:rStyle w:val="Hyperlink"/>
          <w:color w:val="auto"/>
          <w:u w:val="none"/>
        </w:rPr>
      </w:pPr>
      <w:r>
        <w:t xml:space="preserve">Primary course </w:t>
      </w:r>
      <w:r w:rsidR="00E73868">
        <w:t xml:space="preserve">for </w:t>
      </w:r>
      <w:r w:rsidR="003A1A5D">
        <w:t>COVID-19 doses by age group and risk status</w:t>
      </w:r>
      <w:r w:rsidR="00FD3037">
        <w:rPr>
          <w:rStyle w:val="FootnoteReference"/>
        </w:rPr>
        <w:footnoteReference w:id="3"/>
      </w:r>
    </w:p>
    <w:p w14:paraId="2053D0F2" w14:textId="015AF4BD" w:rsidR="00C41525" w:rsidRPr="002D656F" w:rsidRDefault="0040625F" w:rsidP="00C41525">
      <w:pPr>
        <w:pStyle w:val="Heading1"/>
      </w:pPr>
      <w:r>
        <w:t xml:space="preserve">6 months to </w:t>
      </w:r>
      <w:r w:rsidR="00AA48FE">
        <w:t>5 years</w:t>
      </w:r>
    </w:p>
    <w:p w14:paraId="0C151859" w14:textId="14FA01C9" w:rsidR="00C41525" w:rsidRPr="00E33933" w:rsidRDefault="00885782" w:rsidP="00627C47">
      <w:pPr>
        <w:pStyle w:val="ListParagraph"/>
      </w:pPr>
      <w:r w:rsidRPr="00E33933">
        <w:t xml:space="preserve">Without risk factors </w:t>
      </w:r>
      <w:r w:rsidR="009E45EC" w:rsidRPr="00E33933">
        <w:t>–</w:t>
      </w:r>
      <w:r w:rsidRPr="00E33933">
        <w:t xml:space="preserve"> </w:t>
      </w:r>
      <w:r w:rsidR="009E45EC" w:rsidRPr="00E33933">
        <w:rPr>
          <w:b/>
          <w:bCs/>
        </w:rPr>
        <w:t>Not eligible</w:t>
      </w:r>
      <w:r w:rsidR="009E45EC" w:rsidRPr="00E33933">
        <w:t xml:space="preserve"> for v</w:t>
      </w:r>
      <w:r w:rsidR="0040625F" w:rsidRPr="00E33933">
        <w:t>accination</w:t>
      </w:r>
      <w:r w:rsidR="00627C47" w:rsidRPr="00E33933">
        <w:t>.</w:t>
      </w:r>
    </w:p>
    <w:p w14:paraId="1D919BF1" w14:textId="1FCABB76" w:rsidR="009E45EC" w:rsidRPr="00E33933" w:rsidRDefault="009E45EC" w:rsidP="00627C47">
      <w:pPr>
        <w:pStyle w:val="ListParagraph"/>
      </w:pPr>
      <w:r w:rsidRPr="00E33933">
        <w:t xml:space="preserve">With risk factors – </w:t>
      </w:r>
      <w:r w:rsidRPr="00E33933">
        <w:rPr>
          <w:b/>
          <w:bCs/>
        </w:rPr>
        <w:t>Eligible</w:t>
      </w:r>
      <w:r w:rsidRPr="00E33933">
        <w:t xml:space="preserve"> for 2</w:t>
      </w:r>
      <w:r w:rsidR="00AE2F57">
        <w:t xml:space="preserve"> </w:t>
      </w:r>
      <w:r w:rsidR="002E4368">
        <w:t>primary dose</w:t>
      </w:r>
      <w:r w:rsidR="00794F16">
        <w:t>s</w:t>
      </w:r>
      <w:r w:rsidR="002E4368">
        <w:t xml:space="preserve"> and </w:t>
      </w:r>
      <w:r w:rsidR="00B74768" w:rsidRPr="001F31D8">
        <w:rPr>
          <w:b/>
          <w:bCs/>
        </w:rPr>
        <w:t>eligible</w:t>
      </w:r>
      <w:r w:rsidR="00B74768">
        <w:t xml:space="preserve"> for a 3</w:t>
      </w:r>
      <w:r w:rsidR="00B74768" w:rsidRPr="00B74768">
        <w:rPr>
          <w:vertAlign w:val="superscript"/>
        </w:rPr>
        <w:t>rd</w:t>
      </w:r>
      <w:r w:rsidR="00B74768">
        <w:t xml:space="preserve"> </w:t>
      </w:r>
      <w:r w:rsidR="00BF57B7">
        <w:t xml:space="preserve">primary </w:t>
      </w:r>
      <w:r w:rsidR="00B74768">
        <w:t>dose</w:t>
      </w:r>
      <w:r w:rsidR="00801647">
        <w:rPr>
          <w:rStyle w:val="FootnoteReference"/>
        </w:rPr>
        <w:footnoteReference w:id="4"/>
      </w:r>
      <w:r w:rsidR="00E44BED">
        <w:t>.</w:t>
      </w:r>
    </w:p>
    <w:p w14:paraId="133BB63A" w14:textId="2D2717F5" w:rsidR="004C2F82" w:rsidRPr="00E33933" w:rsidRDefault="004C2F82" w:rsidP="00627C47">
      <w:pPr>
        <w:pStyle w:val="ListParagraph"/>
      </w:pPr>
      <w:r w:rsidRPr="00E33933">
        <w:t xml:space="preserve">With severe immunocompromise </w:t>
      </w:r>
      <w:r w:rsidR="002677BA" w:rsidRPr="00E33933">
        <w:t>–</w:t>
      </w:r>
      <w:r w:rsidRPr="00E33933">
        <w:t xml:space="preserve"> </w:t>
      </w:r>
      <w:r w:rsidR="002677BA" w:rsidRPr="00E33933">
        <w:rPr>
          <w:b/>
          <w:bCs/>
        </w:rPr>
        <w:t>Recommended</w:t>
      </w:r>
      <w:r w:rsidR="002677BA" w:rsidRPr="00E33933">
        <w:t xml:space="preserve"> </w:t>
      </w:r>
      <w:r w:rsidR="00641479" w:rsidRPr="00E33933">
        <w:t xml:space="preserve">2 Primary doses and </w:t>
      </w:r>
      <w:r w:rsidR="00641479" w:rsidRPr="00E33933">
        <w:rPr>
          <w:b/>
          <w:bCs/>
        </w:rPr>
        <w:t>eligible</w:t>
      </w:r>
      <w:r w:rsidR="00641479" w:rsidRPr="00E33933">
        <w:t xml:space="preserve"> for a third</w:t>
      </w:r>
      <w:r w:rsidR="009C4154" w:rsidRPr="00E33933">
        <w:t xml:space="preserve"> </w:t>
      </w:r>
      <w:r w:rsidR="00620604">
        <w:t xml:space="preserve">primary </w:t>
      </w:r>
      <w:r w:rsidR="00641479" w:rsidRPr="00E33933">
        <w:t>dose</w:t>
      </w:r>
      <w:r w:rsidR="008E57E3">
        <w:rPr>
          <w:vertAlign w:val="superscript"/>
        </w:rPr>
        <w:t>4</w:t>
      </w:r>
      <w:r w:rsidR="00293927" w:rsidRPr="00E33933">
        <w:t>.</w:t>
      </w:r>
    </w:p>
    <w:p w14:paraId="7B596F77" w14:textId="55E8AB34" w:rsidR="00AA48FE" w:rsidRPr="00E33933" w:rsidRDefault="00145658" w:rsidP="00145658">
      <w:pPr>
        <w:pStyle w:val="Heading1"/>
      </w:pPr>
      <w:r w:rsidRPr="00E33933">
        <w:t>5 years to 18 years</w:t>
      </w:r>
    </w:p>
    <w:p w14:paraId="6057A68C" w14:textId="77777777" w:rsidR="00A0303E" w:rsidRPr="00E33933" w:rsidRDefault="00A0303E" w:rsidP="00A0303E">
      <w:pPr>
        <w:pStyle w:val="ListParagraph"/>
      </w:pPr>
      <w:r w:rsidRPr="00E33933">
        <w:t xml:space="preserve">Without risk factors – </w:t>
      </w:r>
      <w:r w:rsidRPr="00E33933">
        <w:rPr>
          <w:b/>
          <w:bCs/>
        </w:rPr>
        <w:t>Not eligible</w:t>
      </w:r>
      <w:r w:rsidRPr="00E33933">
        <w:t xml:space="preserve"> for vaccination.</w:t>
      </w:r>
    </w:p>
    <w:p w14:paraId="1D9D3D86" w14:textId="62037C8E" w:rsidR="00A0303E" w:rsidRPr="00E33933" w:rsidRDefault="00A0303E" w:rsidP="00A0303E">
      <w:pPr>
        <w:pStyle w:val="ListParagraph"/>
      </w:pPr>
      <w:r w:rsidRPr="00E33933">
        <w:t xml:space="preserve">With risk factors – </w:t>
      </w:r>
      <w:r w:rsidRPr="00E33933">
        <w:rPr>
          <w:b/>
          <w:bCs/>
        </w:rPr>
        <w:t>Eligible</w:t>
      </w:r>
      <w:r w:rsidRPr="00E33933">
        <w:t xml:space="preserve"> for a single primary dose</w:t>
      </w:r>
      <w:r w:rsidR="00620604">
        <w:rPr>
          <w:vertAlign w:val="superscript"/>
        </w:rPr>
        <w:t>3</w:t>
      </w:r>
      <w:r w:rsidRPr="00E33933">
        <w:t>.</w:t>
      </w:r>
    </w:p>
    <w:p w14:paraId="52FBF132" w14:textId="75892AAF" w:rsidR="008C57EB" w:rsidRPr="00E33933" w:rsidRDefault="00A0303E" w:rsidP="008C57EB">
      <w:pPr>
        <w:pStyle w:val="ListParagraph"/>
      </w:pPr>
      <w:r w:rsidRPr="00E33933">
        <w:t xml:space="preserve">With severe immunocompromise – </w:t>
      </w:r>
      <w:r w:rsidRPr="00E33933">
        <w:rPr>
          <w:b/>
          <w:bCs/>
        </w:rPr>
        <w:t>Recommended</w:t>
      </w:r>
      <w:r w:rsidRPr="00E33933">
        <w:t xml:space="preserve"> 2 Primary doses and </w:t>
      </w:r>
      <w:r w:rsidRPr="00E33933">
        <w:rPr>
          <w:b/>
          <w:bCs/>
        </w:rPr>
        <w:t>eligible</w:t>
      </w:r>
      <w:r w:rsidRPr="00E33933">
        <w:t xml:space="preserve"> for a third primary dose</w:t>
      </w:r>
      <w:r w:rsidR="008E57E3">
        <w:rPr>
          <w:vertAlign w:val="superscript"/>
        </w:rPr>
        <w:t>4</w:t>
      </w:r>
      <w:r w:rsidRPr="00E33933">
        <w:t>.</w:t>
      </w:r>
    </w:p>
    <w:p w14:paraId="5221C42F" w14:textId="77742190" w:rsidR="00DC06D8" w:rsidRPr="00E33933" w:rsidRDefault="00DC06D8" w:rsidP="00003F25">
      <w:pPr>
        <w:pStyle w:val="Heading1"/>
      </w:pPr>
      <w:r w:rsidRPr="00E33933">
        <w:t>18 years</w:t>
      </w:r>
      <w:r w:rsidR="00531C67" w:rsidRPr="00E33933">
        <w:t xml:space="preserve"> and older</w:t>
      </w:r>
    </w:p>
    <w:p w14:paraId="25BA0259" w14:textId="305C5EE8" w:rsidR="00D8688B" w:rsidRPr="00E33933" w:rsidRDefault="00493990" w:rsidP="00627C47">
      <w:pPr>
        <w:pStyle w:val="ListParagraph"/>
      </w:pPr>
      <w:r w:rsidRPr="00E33933">
        <w:t xml:space="preserve">Without risk factors – </w:t>
      </w:r>
      <w:r w:rsidRPr="00023B85">
        <w:rPr>
          <w:b/>
          <w:bCs/>
        </w:rPr>
        <w:t>Recommended</w:t>
      </w:r>
      <w:r w:rsidRPr="00E33933">
        <w:t xml:space="preserve"> </w:t>
      </w:r>
      <w:r w:rsidR="00D16D2A" w:rsidRPr="00E33933">
        <w:t>a single primary dose.</w:t>
      </w:r>
      <w:r w:rsidR="00D8688B" w:rsidRPr="00E33933">
        <w:t xml:space="preserve"> </w:t>
      </w:r>
    </w:p>
    <w:p w14:paraId="56F32BB7" w14:textId="3E475C79" w:rsidR="00D16D2A" w:rsidRPr="00E33933" w:rsidRDefault="00D16D2A" w:rsidP="00D16D2A">
      <w:pPr>
        <w:pStyle w:val="ListParagraph"/>
      </w:pPr>
      <w:r w:rsidRPr="00E33933">
        <w:t xml:space="preserve">With risk factors – </w:t>
      </w:r>
      <w:r w:rsidR="008F5BCB" w:rsidRPr="00023B85">
        <w:rPr>
          <w:b/>
          <w:bCs/>
        </w:rPr>
        <w:t>Recommended</w:t>
      </w:r>
      <w:r w:rsidR="008F5BCB" w:rsidRPr="00E33933">
        <w:t xml:space="preserve"> a single primary dose.</w:t>
      </w:r>
    </w:p>
    <w:p w14:paraId="6B1D2CF4" w14:textId="16D1EB86" w:rsidR="00795B3C" w:rsidRPr="002A2390" w:rsidRDefault="00D16D2A" w:rsidP="002A2390">
      <w:pPr>
        <w:pStyle w:val="ListParagraph"/>
        <w:rPr>
          <w:rStyle w:val="SubtleEmphasis"/>
          <w:iCs w:val="0"/>
          <w:color w:val="auto"/>
          <w:sz w:val="22"/>
        </w:rPr>
      </w:pPr>
      <w:r w:rsidRPr="00E33933">
        <w:t xml:space="preserve">With severe immunocompromise – </w:t>
      </w:r>
      <w:r w:rsidRPr="00E33933">
        <w:rPr>
          <w:b/>
          <w:bCs/>
        </w:rPr>
        <w:t>Recommended</w:t>
      </w:r>
      <w:r w:rsidRPr="00E33933">
        <w:t xml:space="preserve"> 2 Primary doses and </w:t>
      </w:r>
      <w:r w:rsidRPr="00E33933">
        <w:rPr>
          <w:b/>
          <w:bCs/>
        </w:rPr>
        <w:t>eligible</w:t>
      </w:r>
      <w:r w:rsidRPr="00E33933">
        <w:t xml:space="preserve"> for a third primary dose</w:t>
      </w:r>
      <w:r w:rsidR="00587110">
        <w:rPr>
          <w:rStyle w:val="FootnoteReference"/>
        </w:rPr>
        <w:footnoteReference w:id="5"/>
      </w:r>
      <w:r w:rsidRPr="00E33933">
        <w:t>.</w:t>
      </w:r>
    </w:p>
    <w:p w14:paraId="59218717" w14:textId="53177FF4" w:rsidR="00DC06D8" w:rsidRPr="00ED78FA" w:rsidRDefault="00DC06D8" w:rsidP="002A2390">
      <w:pPr>
        <w:spacing w:before="360" w:after="0"/>
        <w:rPr>
          <w:iCs/>
          <w:sz w:val="20"/>
        </w:rPr>
      </w:pPr>
      <w:r w:rsidRPr="00ED78FA">
        <w:rPr>
          <w:rStyle w:val="SubtleEmphasis"/>
          <w:color w:val="auto"/>
        </w:rPr>
        <w:t xml:space="preserve">Information current as of </w:t>
      </w:r>
      <w:r w:rsidR="000013B6">
        <w:rPr>
          <w:rStyle w:val="SubtleEmphasis"/>
          <w:color w:val="auto"/>
        </w:rPr>
        <w:t xml:space="preserve">August </w:t>
      </w:r>
      <w:r w:rsidR="00743E70" w:rsidRPr="00ED78FA">
        <w:rPr>
          <w:rStyle w:val="SubtleEmphasis"/>
          <w:color w:val="auto"/>
        </w:rPr>
        <w:t>2024</w:t>
      </w:r>
      <w:r w:rsidR="00373E9B" w:rsidRPr="00ED78FA">
        <w:rPr>
          <w:rStyle w:val="SubtleEmphasis"/>
          <w:color w:val="auto"/>
        </w:rPr>
        <w:t>.</w:t>
      </w:r>
    </w:p>
    <w:p w14:paraId="2DDE875A" w14:textId="77777777" w:rsidR="00191237" w:rsidRDefault="00191237">
      <w:pPr>
        <w:spacing w:before="0" w:after="160" w:line="259" w:lineRule="auto"/>
        <w:rPr>
          <w:rFonts w:asciiTheme="majorHAnsi" w:eastAsiaTheme="majorEastAsia" w:hAnsiTheme="majorHAnsi" w:cstheme="majorBidi"/>
          <w:spacing w:val="-10"/>
          <w:kern w:val="28"/>
          <w:sz w:val="44"/>
          <w:szCs w:val="44"/>
        </w:rPr>
      </w:pPr>
      <w:r>
        <w:br w:type="page"/>
      </w:r>
    </w:p>
    <w:p w14:paraId="0E147025" w14:textId="047370CD" w:rsidR="00AA47B0" w:rsidRPr="00EC3DC2" w:rsidRDefault="0075515F" w:rsidP="009F4D98">
      <w:pPr>
        <w:pStyle w:val="Title"/>
        <w:spacing w:before="360"/>
      </w:pPr>
      <w:r>
        <w:lastRenderedPageBreak/>
        <w:t>R</w:t>
      </w:r>
      <w:r w:rsidR="00AA47B0" w:rsidRPr="00EC3DC2">
        <w:t>ecommended COVID-19 vaccine doses</w:t>
      </w:r>
      <w:r w:rsidR="00032507">
        <w:rPr>
          <w:rStyle w:val="FootnoteReference"/>
        </w:rPr>
        <w:footnoteReference w:id="6"/>
      </w:r>
    </w:p>
    <w:p w14:paraId="411EF1B1" w14:textId="32DB2A88" w:rsidR="00AA47B0" w:rsidRPr="002A5BBD" w:rsidRDefault="000932FF" w:rsidP="00AA47B0">
      <w:pPr>
        <w:rPr>
          <w:rStyle w:val="Hyperlink"/>
          <w:color w:val="auto"/>
          <w:u w:val="none"/>
        </w:rPr>
      </w:pPr>
      <w:r>
        <w:t>COVID-19</w:t>
      </w:r>
      <w:r w:rsidR="007C21B2">
        <w:t xml:space="preserve"> booster </w:t>
      </w:r>
      <w:r w:rsidR="007727B3">
        <w:t>dose recommendation</w:t>
      </w:r>
      <w:r w:rsidR="00BD2EBC">
        <w:t>s</w:t>
      </w:r>
      <w:r w:rsidR="007727B3">
        <w:t xml:space="preserve"> </w:t>
      </w:r>
    </w:p>
    <w:p w14:paraId="5B2ADA42" w14:textId="61F0DF5F" w:rsidR="00AA47B0" w:rsidRPr="002D656F" w:rsidRDefault="002C74EC" w:rsidP="00AA47B0">
      <w:pPr>
        <w:pStyle w:val="Heading1"/>
      </w:pPr>
      <w:r>
        <w:t xml:space="preserve">Below </w:t>
      </w:r>
      <w:r w:rsidR="009B5B6A">
        <w:t>5</w:t>
      </w:r>
      <w:r w:rsidR="00AA47B0">
        <w:t xml:space="preserve"> years</w:t>
      </w:r>
    </w:p>
    <w:p w14:paraId="6ED07BDC" w14:textId="15CBBE29" w:rsidR="00795B3C" w:rsidRDefault="00CC0869" w:rsidP="00AA47B0">
      <w:pPr>
        <w:pStyle w:val="ListBullet"/>
      </w:pPr>
      <w:r>
        <w:t>Vaccination</w:t>
      </w:r>
      <w:r w:rsidRPr="008C6B9B">
        <w:rPr>
          <w:b/>
          <w:bCs/>
        </w:rPr>
        <w:t xml:space="preserve"> not</w:t>
      </w:r>
      <w:r>
        <w:t xml:space="preserve"> </w:t>
      </w:r>
      <w:r w:rsidRPr="00CC0869">
        <w:rPr>
          <w:b/>
          <w:bCs/>
        </w:rPr>
        <w:t>recommended.</w:t>
      </w:r>
    </w:p>
    <w:p w14:paraId="302815B2" w14:textId="74A48B02" w:rsidR="00AA47B0" w:rsidRPr="002D656F" w:rsidRDefault="00AA47B0" w:rsidP="00AA47B0">
      <w:pPr>
        <w:pStyle w:val="Heading1"/>
      </w:pPr>
      <w:r w:rsidRPr="002D656F">
        <w:t xml:space="preserve">5 years to </w:t>
      </w:r>
      <w:r w:rsidR="00E06065">
        <w:t>17</w:t>
      </w:r>
      <w:r w:rsidRPr="002D656F">
        <w:t xml:space="preserve"> years</w:t>
      </w:r>
    </w:p>
    <w:p w14:paraId="16B6C38A" w14:textId="2E950C44" w:rsidR="00533348" w:rsidRDefault="00533348" w:rsidP="00627C47">
      <w:pPr>
        <w:pStyle w:val="ListParagraph"/>
      </w:pPr>
      <w:r>
        <w:t xml:space="preserve">Without severe immunocompromise – Vaccination </w:t>
      </w:r>
      <w:r w:rsidRPr="008C6B9B">
        <w:rPr>
          <w:b/>
          <w:bCs/>
        </w:rPr>
        <w:t>not recommended</w:t>
      </w:r>
      <w:r>
        <w:t>.</w:t>
      </w:r>
    </w:p>
    <w:p w14:paraId="1020414D" w14:textId="5E1F9621" w:rsidR="00F0716A" w:rsidRPr="002D656F" w:rsidRDefault="00F0716A" w:rsidP="00F0716A">
      <w:pPr>
        <w:pStyle w:val="ListParagraph"/>
      </w:pPr>
      <w:r>
        <w:t xml:space="preserve">With severe immunocompromise – </w:t>
      </w:r>
      <w:r w:rsidRPr="00BF72E9">
        <w:rPr>
          <w:b/>
          <w:bCs/>
        </w:rPr>
        <w:t>Eligible</w:t>
      </w:r>
      <w:r>
        <w:t xml:space="preserve"> for </w:t>
      </w:r>
      <w:r w:rsidR="00B67417">
        <w:t>a</w:t>
      </w:r>
      <w:r>
        <w:t xml:space="preserve"> dose every 12 months</w:t>
      </w:r>
      <w:r w:rsidR="004220BB">
        <w:rPr>
          <w:rStyle w:val="FootnoteReference"/>
        </w:rPr>
        <w:footnoteReference w:id="7"/>
      </w:r>
      <w:r>
        <w:t>.</w:t>
      </w:r>
    </w:p>
    <w:p w14:paraId="580E12E9" w14:textId="77777777" w:rsidR="00AA47B0" w:rsidRPr="002D656F" w:rsidRDefault="00AA47B0" w:rsidP="00AA47B0">
      <w:pPr>
        <w:pStyle w:val="Heading1"/>
      </w:pPr>
      <w:r w:rsidRPr="002D656F">
        <w:t>18 years to 64 years</w:t>
      </w:r>
    </w:p>
    <w:p w14:paraId="6BF435AE" w14:textId="212CCD76" w:rsidR="00533348" w:rsidRDefault="00533348" w:rsidP="00533348">
      <w:pPr>
        <w:pStyle w:val="ListParagraph"/>
      </w:pPr>
      <w:r>
        <w:t xml:space="preserve">Without severe immunocompromise – </w:t>
      </w:r>
      <w:r w:rsidR="00255E82" w:rsidRPr="00255E82">
        <w:rPr>
          <w:b/>
          <w:bCs/>
        </w:rPr>
        <w:t>Eligible</w:t>
      </w:r>
      <w:r w:rsidR="00255E82">
        <w:t xml:space="preserve"> for a dose every 12 months</w:t>
      </w:r>
      <w:r w:rsidR="00FD6458">
        <w:rPr>
          <w:vertAlign w:val="superscript"/>
        </w:rPr>
        <w:t>2</w:t>
      </w:r>
      <w:r w:rsidR="00255E82">
        <w:t>.</w:t>
      </w:r>
    </w:p>
    <w:p w14:paraId="302FF2D4" w14:textId="0E623509" w:rsidR="003D2990" w:rsidRPr="002D656F" w:rsidRDefault="003D2990" w:rsidP="003D2990">
      <w:pPr>
        <w:pStyle w:val="ListParagraph"/>
      </w:pPr>
      <w:r>
        <w:t xml:space="preserve">With severe immunocompromise – one dose every 12 months is </w:t>
      </w:r>
      <w:r w:rsidRPr="00755E8D">
        <w:rPr>
          <w:b/>
          <w:bCs/>
        </w:rPr>
        <w:t>recommended</w:t>
      </w:r>
      <w:r>
        <w:rPr>
          <w:b/>
          <w:bCs/>
        </w:rPr>
        <w:t xml:space="preserve"> </w:t>
      </w:r>
      <w:r w:rsidRPr="00100B04">
        <w:t>and</w:t>
      </w:r>
      <w:r>
        <w:rPr>
          <w:b/>
          <w:bCs/>
        </w:rPr>
        <w:t xml:space="preserve"> eligible </w:t>
      </w:r>
      <w:r w:rsidRPr="00100B04">
        <w:t>for a dose every 6</w:t>
      </w:r>
      <w:r>
        <w:rPr>
          <w:b/>
          <w:bCs/>
        </w:rPr>
        <w:t xml:space="preserve"> months</w:t>
      </w:r>
      <w:r w:rsidR="006D4B8E">
        <w:rPr>
          <w:rStyle w:val="FootnoteReference"/>
          <w:b/>
          <w:bCs/>
        </w:rPr>
        <w:footnoteReference w:id="8"/>
      </w:r>
      <w:r>
        <w:rPr>
          <w:b/>
          <w:bCs/>
        </w:rPr>
        <w:t>.</w:t>
      </w:r>
    </w:p>
    <w:p w14:paraId="72103773" w14:textId="77777777" w:rsidR="00AA47B0" w:rsidRPr="002D656F" w:rsidRDefault="00AA47B0" w:rsidP="00AA47B0">
      <w:pPr>
        <w:pStyle w:val="Heading1"/>
      </w:pPr>
      <w:r w:rsidRPr="002D656F">
        <w:t xml:space="preserve">65 years </w:t>
      </w:r>
      <w:r>
        <w:t xml:space="preserve">to 74 years </w:t>
      </w:r>
    </w:p>
    <w:p w14:paraId="6E9DA9DC" w14:textId="7E2A5325" w:rsidR="001C316A" w:rsidRDefault="00835B82" w:rsidP="001C316A">
      <w:pPr>
        <w:pStyle w:val="ListParagraph"/>
      </w:pPr>
      <w:r>
        <w:t>O</w:t>
      </w:r>
      <w:r w:rsidR="003E3E44">
        <w:t xml:space="preserve">ne dose every 12 months is </w:t>
      </w:r>
      <w:r w:rsidR="003E3E44" w:rsidRPr="00755E8D">
        <w:rPr>
          <w:b/>
          <w:bCs/>
        </w:rPr>
        <w:t>recommended</w:t>
      </w:r>
      <w:r w:rsidR="003E3E44">
        <w:rPr>
          <w:b/>
          <w:bCs/>
        </w:rPr>
        <w:t xml:space="preserve"> </w:t>
      </w:r>
      <w:r w:rsidR="003E3E44" w:rsidRPr="00100B04">
        <w:t>and</w:t>
      </w:r>
      <w:r w:rsidR="003E3E44">
        <w:rPr>
          <w:b/>
          <w:bCs/>
        </w:rPr>
        <w:t xml:space="preserve"> eligible </w:t>
      </w:r>
      <w:r w:rsidR="003E3E44" w:rsidRPr="00100B04">
        <w:t>for a dose every 6</w:t>
      </w:r>
      <w:r w:rsidR="003E3E44">
        <w:rPr>
          <w:b/>
          <w:bCs/>
        </w:rPr>
        <w:t xml:space="preserve"> </w:t>
      </w:r>
      <w:r w:rsidR="003E3E44" w:rsidRPr="00835B82">
        <w:t>months</w:t>
      </w:r>
      <w:r w:rsidR="001955BD">
        <w:rPr>
          <w:rStyle w:val="FootnoteReference"/>
        </w:rPr>
        <w:footnoteReference w:id="9"/>
      </w:r>
      <w:r w:rsidR="003E3E44" w:rsidRPr="00835B82">
        <w:t>.</w:t>
      </w:r>
    </w:p>
    <w:p w14:paraId="2F044A2F" w14:textId="77777777" w:rsidR="00AA47B0" w:rsidRDefault="00AA47B0" w:rsidP="00AA47B0">
      <w:pPr>
        <w:pStyle w:val="Heading1"/>
      </w:pPr>
      <w:r>
        <w:t>7</w:t>
      </w:r>
      <w:r w:rsidRPr="002D656F">
        <w:t xml:space="preserve">5 years </w:t>
      </w:r>
      <w:r>
        <w:t>and older</w:t>
      </w:r>
    </w:p>
    <w:p w14:paraId="7EAACE7D" w14:textId="5CD27695" w:rsidR="001C316A" w:rsidRPr="002D656F" w:rsidRDefault="005C2241" w:rsidP="00F325A6">
      <w:pPr>
        <w:pStyle w:val="ListParagraph"/>
      </w:pPr>
      <w:r>
        <w:t>O</w:t>
      </w:r>
      <w:r w:rsidR="00321868">
        <w:t xml:space="preserve">ne dose every </w:t>
      </w:r>
      <w:r>
        <w:t>6</w:t>
      </w:r>
      <w:r w:rsidR="00321868">
        <w:t xml:space="preserve"> months is </w:t>
      </w:r>
      <w:r w:rsidR="00321868" w:rsidRPr="00755E8D">
        <w:rPr>
          <w:b/>
          <w:bCs/>
        </w:rPr>
        <w:t>recommended</w:t>
      </w:r>
      <w:r w:rsidR="00835B82">
        <w:rPr>
          <w:b/>
          <w:bCs/>
        </w:rPr>
        <w:t>.</w:t>
      </w:r>
    </w:p>
    <w:p w14:paraId="3EA68A87" w14:textId="0BEA0C63" w:rsidR="00280050" w:rsidRPr="00ED78FA" w:rsidRDefault="00AA47B0" w:rsidP="002A2390">
      <w:pPr>
        <w:spacing w:before="360"/>
      </w:pPr>
      <w:r w:rsidRPr="00ED78FA">
        <w:rPr>
          <w:rStyle w:val="SubtleEmphasis"/>
          <w:color w:val="auto"/>
        </w:rPr>
        <w:t xml:space="preserve">Information current as of </w:t>
      </w:r>
      <w:r w:rsidR="000013B6">
        <w:rPr>
          <w:rStyle w:val="SubtleEmphasis"/>
          <w:color w:val="auto"/>
        </w:rPr>
        <w:t>August</w:t>
      </w:r>
      <w:r w:rsidR="000013B6" w:rsidRPr="00ED78FA">
        <w:rPr>
          <w:rStyle w:val="SubtleEmphasis"/>
          <w:color w:val="auto"/>
        </w:rPr>
        <w:t xml:space="preserve"> </w:t>
      </w:r>
      <w:r w:rsidR="000B128E" w:rsidRPr="00ED78FA">
        <w:rPr>
          <w:rStyle w:val="SubtleEmphasis"/>
          <w:color w:val="auto"/>
        </w:rPr>
        <w:t>2024</w:t>
      </w:r>
    </w:p>
    <w:sectPr w:rsidR="00280050" w:rsidRPr="00ED78FA" w:rsidSect="00191237">
      <w:headerReference w:type="default" r:id="rId8"/>
      <w:footnotePr>
        <w:numRestart w:val="eachPage"/>
      </w:footnotePr>
      <w:pgSz w:w="11906" w:h="16838"/>
      <w:pgMar w:top="720" w:right="720" w:bottom="720" w:left="864" w:header="708" w:footer="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ABF80" w14:textId="77777777" w:rsidR="00005B11" w:rsidRDefault="00005B11" w:rsidP="00DC06D8">
      <w:pPr>
        <w:spacing w:before="0" w:after="0"/>
      </w:pPr>
      <w:r>
        <w:separator/>
      </w:r>
    </w:p>
  </w:endnote>
  <w:endnote w:type="continuationSeparator" w:id="0">
    <w:p w14:paraId="527D35AD" w14:textId="77777777" w:rsidR="00005B11" w:rsidRDefault="00005B11" w:rsidP="00DC06D8">
      <w:pPr>
        <w:spacing w:before="0" w:after="0"/>
      </w:pPr>
      <w:r>
        <w:continuationSeparator/>
      </w:r>
    </w:p>
  </w:endnote>
  <w:endnote w:type="continuationNotice" w:id="1">
    <w:p w14:paraId="7C74D58D" w14:textId="77777777" w:rsidR="00005B11" w:rsidRDefault="00005B1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C6A51" w14:textId="77777777" w:rsidR="00005B11" w:rsidRDefault="00005B11" w:rsidP="00DC06D8">
      <w:pPr>
        <w:spacing w:before="0" w:after="0"/>
      </w:pPr>
      <w:r>
        <w:separator/>
      </w:r>
    </w:p>
  </w:footnote>
  <w:footnote w:type="continuationSeparator" w:id="0">
    <w:p w14:paraId="63607C73" w14:textId="77777777" w:rsidR="00005B11" w:rsidRDefault="00005B11" w:rsidP="00DC06D8">
      <w:pPr>
        <w:spacing w:before="0" w:after="0"/>
      </w:pPr>
      <w:r>
        <w:continuationSeparator/>
      </w:r>
    </w:p>
  </w:footnote>
  <w:footnote w:type="continuationNotice" w:id="1">
    <w:p w14:paraId="35CD75EC" w14:textId="77777777" w:rsidR="00005B11" w:rsidRDefault="00005B11">
      <w:pPr>
        <w:spacing w:before="0" w:after="0"/>
      </w:pPr>
    </w:p>
  </w:footnote>
  <w:footnote w:id="2">
    <w:p w14:paraId="3AFC427A" w14:textId="394D0EF0" w:rsidR="00FD3037" w:rsidRPr="00EE606F" w:rsidRDefault="00FD3037">
      <w:pPr>
        <w:pStyle w:val="FootnoteText"/>
        <w:rPr>
          <w:color w:val="0563C1" w:themeColor="hyperlink"/>
          <w:u w:val="single"/>
        </w:rPr>
      </w:pPr>
      <w:r w:rsidRPr="00EE606F">
        <w:rPr>
          <w:rStyle w:val="FootnoteReference"/>
        </w:rPr>
        <w:footnoteRef/>
      </w:r>
      <w:r w:rsidRPr="00EE606F">
        <w:t xml:space="preserve"> </w:t>
      </w:r>
      <w:r w:rsidRPr="00EE606F">
        <w:rPr>
          <w:lang w:eastAsia="en-GB"/>
        </w:rPr>
        <w:t xml:space="preserve">Monovalent Omicron XBB.1.5 vaccines </w:t>
      </w:r>
      <w:r w:rsidRPr="00EE606F">
        <w:t>are preferred</w:t>
      </w:r>
      <w:r w:rsidR="000013B6">
        <w:t>.</w:t>
      </w:r>
    </w:p>
  </w:footnote>
  <w:footnote w:id="3">
    <w:p w14:paraId="05C8718A" w14:textId="138630C7" w:rsidR="00FD3037" w:rsidRPr="00EE606F" w:rsidRDefault="00FD3037">
      <w:pPr>
        <w:pStyle w:val="FootnoteText"/>
      </w:pPr>
      <w:r w:rsidRPr="00EE606F">
        <w:rPr>
          <w:rStyle w:val="FootnoteReference"/>
        </w:rPr>
        <w:footnoteRef/>
      </w:r>
      <w:r w:rsidRPr="00EE606F">
        <w:t xml:space="preserve"> Includes those with condition</w:t>
      </w:r>
      <w:r w:rsidR="00FD6B12">
        <w:t>s</w:t>
      </w:r>
      <w:r w:rsidRPr="00EE606F">
        <w:t xml:space="preserve"> that increases the risk of severe COVID-19 illness (refer to</w:t>
      </w:r>
      <w:r w:rsidR="00736E40">
        <w:t xml:space="preserve"> </w:t>
      </w:r>
      <w:hyperlink r:id="rId1" w:anchor="recommendations" w:history="1">
        <w:r w:rsidR="00736E40" w:rsidRPr="00587110">
          <w:rPr>
            <w:rStyle w:val="Hyperlink"/>
          </w:rPr>
          <w:t>Australian Immunisation Handbook</w:t>
        </w:r>
      </w:hyperlink>
      <w:r w:rsidRPr="00EE606F">
        <w:t>)</w:t>
      </w:r>
      <w:r w:rsidR="00736E40">
        <w:t>.</w:t>
      </w:r>
      <w:r w:rsidRPr="00EE606F">
        <w:t xml:space="preserve"> </w:t>
      </w:r>
    </w:p>
  </w:footnote>
  <w:footnote w:id="4">
    <w:p w14:paraId="47DDF377" w14:textId="0FE41CF4" w:rsidR="00801647" w:rsidRPr="00587110" w:rsidRDefault="00801647" w:rsidP="00587110">
      <w:pPr>
        <w:spacing w:before="0" w:after="40" w:line="259" w:lineRule="auto"/>
        <w:ind w:left="360" w:right="-106" w:hanging="360"/>
        <w:rPr>
          <w:rFonts w:ascii="Arial" w:hAnsi="Arial" w:cs="Arial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="00E44BED" w:rsidRPr="00E44BED">
        <w:rPr>
          <w:sz w:val="20"/>
          <w:szCs w:val="20"/>
        </w:rPr>
        <w:t>Consider dose based on an individual risk benefit assessment with an immunisation provider.</w:t>
      </w:r>
      <w:r w:rsidR="00E44BED" w:rsidRPr="00E44BED">
        <w:rPr>
          <w:rFonts w:ascii="Arial" w:hAnsi="Arial" w:cs="Arial"/>
          <w:sz w:val="18"/>
          <w:szCs w:val="18"/>
        </w:rPr>
        <w:t> </w:t>
      </w:r>
    </w:p>
  </w:footnote>
  <w:footnote w:id="5">
    <w:p w14:paraId="3B9A6D50" w14:textId="49946FF6" w:rsidR="00587110" w:rsidRDefault="00587110" w:rsidP="003659DF">
      <w:pPr>
        <w:pStyle w:val="FootnoteText"/>
      </w:pPr>
      <w:r>
        <w:rPr>
          <w:rStyle w:val="FootnoteReference"/>
        </w:rPr>
        <w:footnoteRef/>
      </w:r>
      <w:r>
        <w:t xml:space="preserve"> People with severe immunocompromise, who are over 6 months of age, are recommended 2 primary doses and are eligible for a 3</w:t>
      </w:r>
      <w:r w:rsidRPr="00587110">
        <w:rPr>
          <w:vertAlign w:val="superscript"/>
        </w:rPr>
        <w:t>rd</w:t>
      </w:r>
      <w:r>
        <w:t xml:space="preserve"> primary dose based on an individual risk-benefit assessment. </w:t>
      </w:r>
      <w:r w:rsidR="00FD6B12">
        <w:t>R</w:t>
      </w:r>
      <w:r>
        <w:t xml:space="preserve">efer to the </w:t>
      </w:r>
      <w:hyperlink r:id="rId2" w:anchor="recommendations" w:history="1">
        <w:r w:rsidRPr="00587110">
          <w:rPr>
            <w:rStyle w:val="Hyperlink"/>
          </w:rPr>
          <w:t>Australian Immunisation Handbook</w:t>
        </w:r>
      </w:hyperlink>
      <w:r>
        <w:t xml:space="preserve"> for further information</w:t>
      </w:r>
      <w:r w:rsidR="00DD724E">
        <w:t>.</w:t>
      </w:r>
    </w:p>
  </w:footnote>
  <w:footnote w:id="6">
    <w:p w14:paraId="43953127" w14:textId="73287965" w:rsidR="00032507" w:rsidRPr="00EE606F" w:rsidRDefault="00032507">
      <w:pPr>
        <w:pStyle w:val="FootnoteText"/>
      </w:pPr>
      <w:r w:rsidRPr="00EE606F">
        <w:rPr>
          <w:rStyle w:val="FootnoteReference"/>
        </w:rPr>
        <w:footnoteRef/>
      </w:r>
      <w:r w:rsidRPr="00EE606F">
        <w:t xml:space="preserve"> </w:t>
      </w:r>
      <w:r w:rsidRPr="00EE606F">
        <w:rPr>
          <w:lang w:eastAsia="en-GB"/>
        </w:rPr>
        <w:t xml:space="preserve">Monovalent Omicron XBB.1.5 vaccines </w:t>
      </w:r>
      <w:r w:rsidRPr="00EE606F">
        <w:t>are preferred</w:t>
      </w:r>
      <w:r w:rsidR="000013B6">
        <w:t>.</w:t>
      </w:r>
    </w:p>
  </w:footnote>
  <w:footnote w:id="7">
    <w:p w14:paraId="131B9090" w14:textId="42735AD4" w:rsidR="004220BB" w:rsidRDefault="004220BB">
      <w:pPr>
        <w:pStyle w:val="FootnoteText"/>
      </w:pPr>
      <w:r>
        <w:rPr>
          <w:rStyle w:val="FootnoteReference"/>
        </w:rPr>
        <w:footnoteRef/>
      </w:r>
      <w:r>
        <w:t xml:space="preserve"> Consider dose based on an </w:t>
      </w:r>
      <w:r w:rsidR="00B67417" w:rsidRPr="00B67417">
        <w:t>individual risk benefit assessment with an immunisation provider.</w:t>
      </w:r>
      <w:r w:rsidR="00B67417" w:rsidRPr="008F3C90">
        <w:rPr>
          <w:rFonts w:ascii="Arial" w:hAnsi="Arial" w:cs="Arial"/>
          <w:sz w:val="18"/>
          <w:szCs w:val="18"/>
        </w:rPr>
        <w:t> </w:t>
      </w:r>
    </w:p>
  </w:footnote>
  <w:footnote w:id="8">
    <w:p w14:paraId="68995E61" w14:textId="680E45E7" w:rsidR="006D4B8E" w:rsidRDefault="006D4B8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71AB8">
        <w:t xml:space="preserve">People with </w:t>
      </w:r>
      <w:r w:rsidR="003971E9">
        <w:t xml:space="preserve">severe immunocompromise, who are aged between </w:t>
      </w:r>
      <w:r w:rsidR="00EB6FF0">
        <w:t xml:space="preserve">18 to 64 years, are recommended a dose every 12 months and are eligible for </w:t>
      </w:r>
      <w:r w:rsidR="00DE0455">
        <w:t xml:space="preserve">a dose every 6 months based on an individual risk-benefit assessment. </w:t>
      </w:r>
      <w:r w:rsidR="00FD6B12">
        <w:t>R</w:t>
      </w:r>
      <w:r w:rsidR="00DE0455">
        <w:t xml:space="preserve">efer to </w:t>
      </w:r>
      <w:r w:rsidR="00D40BFE">
        <w:t xml:space="preserve">the </w:t>
      </w:r>
      <w:hyperlink r:id="rId3" w:anchor="recommendations" w:history="1">
        <w:r w:rsidR="00D40BFE" w:rsidRPr="00D97A89">
          <w:rPr>
            <w:rStyle w:val="Hyperlink"/>
          </w:rPr>
          <w:t>Australian Immunisation handbook</w:t>
        </w:r>
      </w:hyperlink>
      <w:r w:rsidR="00D40BFE">
        <w:t xml:space="preserve"> for further information.</w:t>
      </w:r>
    </w:p>
  </w:footnote>
  <w:footnote w:id="9">
    <w:p w14:paraId="38C4A947" w14:textId="43840F1B" w:rsidR="001955BD" w:rsidRDefault="001955B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C02A6">
        <w:t xml:space="preserve">People aged between </w:t>
      </w:r>
      <w:r w:rsidR="00032EDC">
        <w:t xml:space="preserve">65 and 74 years are recommended a dose every 12 months and are eligible for a dose every 6 months based on an individual risk-benefit assessment. </w:t>
      </w:r>
      <w:r w:rsidR="00FD6B12">
        <w:t>R</w:t>
      </w:r>
      <w:r w:rsidR="00032EDC">
        <w:t xml:space="preserve">efer to the </w:t>
      </w:r>
      <w:hyperlink r:id="rId4" w:anchor="recommendations" w:history="1">
        <w:r w:rsidR="00032EDC" w:rsidRPr="00D97A89">
          <w:rPr>
            <w:rStyle w:val="Hyperlink"/>
          </w:rPr>
          <w:t>Australian Immunisation handbook</w:t>
        </w:r>
      </w:hyperlink>
      <w:r w:rsidR="00032EDC">
        <w:t xml:space="preserve"> for further information.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228C8" w14:textId="77777777" w:rsidR="00957E45" w:rsidRDefault="005855F9" w:rsidP="00B4147F">
    <w:pPr>
      <w:pStyle w:val="Header"/>
      <w:jc w:val="right"/>
    </w:pPr>
    <w:r w:rsidRPr="005D195F">
      <w:rPr>
        <w:b/>
        <w:bCs/>
        <w:noProof/>
      </w:rPr>
      <w:drawing>
        <wp:inline distT="0" distB="0" distL="0" distR="0" wp14:anchorId="4C1C8271" wp14:editId="248FD745">
          <wp:extent cx="1747658" cy="589181"/>
          <wp:effectExtent l="0" t="0" r="5080" b="0"/>
          <wp:docPr id="2" name="Picture 2" descr="COVID-19 vaccin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OVID-19 vaccination lo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9704" b="89803" l="3671" r="95662">
                                <a14:foregroundMark x1="4004" y1="27467" x2="4004" y2="27467"/>
                                <a14:foregroundMark x1="3671" y1="58882" x2="3671" y2="58882"/>
                                <a14:foregroundMark x1="25584" y1="25164" x2="25584" y2="25164"/>
                                <a14:foregroundMark x1="36040" y1="25164" x2="36040" y2="25164"/>
                                <a14:foregroundMark x1="39933" y1="22368" x2="39933" y2="22368"/>
                                <a14:foregroundMark x1="52558" y1="33388" x2="52558" y2="33388"/>
                                <a14:foregroundMark x1="56841" y1="29276" x2="56841" y2="29276"/>
                                <a14:foregroundMark x1="60400" y1="29276" x2="60400" y2="29276"/>
                                <a14:foregroundMark x1="17241" y1="53947" x2="17241" y2="53947"/>
                                <a14:foregroundMark x1="26974" y1="53947" x2="26974" y2="53947"/>
                                <a14:foregroundMark x1="39155" y1="53947" x2="39155" y2="53947"/>
                                <a14:foregroundMark x1="43437" y1="54276" x2="43437" y2="54276"/>
                                <a14:foregroundMark x1="46663" y1="54276" x2="46663" y2="54276"/>
                                <a14:foregroundMark x1="53003" y1="77138" x2="53003" y2="77138"/>
                                <a14:foregroundMark x1="53448" y1="67105" x2="53448" y2="67105"/>
                                <a14:foregroundMark x1="60234" y1="55757" x2="60234" y2="55757"/>
                                <a14:foregroundMark x1="66741" y1="53947" x2="66741" y2="53947"/>
                                <a14:foregroundMark x1="74750" y1="60691" x2="74750" y2="60691"/>
                                <a14:foregroundMark x1="77976" y1="64309" x2="77976" y2="64309"/>
                                <a14:foregroundMark x1="74416" y1="68914" x2="74416" y2="68914"/>
                                <a14:foregroundMark x1="91046" y1="58388" x2="91046" y2="58388"/>
                                <a14:foregroundMark x1="95662" y1="76645" x2="95662" y2="76645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7803" cy="5926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92A15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30CB3"/>
    <w:multiLevelType w:val="hybridMultilevel"/>
    <w:tmpl w:val="2070DDB0"/>
    <w:lvl w:ilvl="0" w:tplc="55FE7026">
      <w:start w:val="1"/>
      <w:numFmt w:val="decimal"/>
      <w:lvlText w:val="%1."/>
      <w:lvlJc w:val="left"/>
      <w:pPr>
        <w:ind w:left="534" w:hanging="360"/>
      </w:pPr>
    </w:lvl>
    <w:lvl w:ilvl="1" w:tplc="0C090019" w:tentative="1">
      <w:start w:val="1"/>
      <w:numFmt w:val="lowerLetter"/>
      <w:lvlText w:val="%2."/>
      <w:lvlJc w:val="left"/>
      <w:pPr>
        <w:ind w:left="1472" w:hanging="360"/>
      </w:pPr>
    </w:lvl>
    <w:lvl w:ilvl="2" w:tplc="0C09001B" w:tentative="1">
      <w:start w:val="1"/>
      <w:numFmt w:val="lowerRoman"/>
      <w:lvlText w:val="%3."/>
      <w:lvlJc w:val="right"/>
      <w:pPr>
        <w:ind w:left="2192" w:hanging="180"/>
      </w:pPr>
    </w:lvl>
    <w:lvl w:ilvl="3" w:tplc="0C09000F" w:tentative="1">
      <w:start w:val="1"/>
      <w:numFmt w:val="decimal"/>
      <w:lvlText w:val="%4."/>
      <w:lvlJc w:val="left"/>
      <w:pPr>
        <w:ind w:left="2912" w:hanging="360"/>
      </w:pPr>
    </w:lvl>
    <w:lvl w:ilvl="4" w:tplc="0C090019" w:tentative="1">
      <w:start w:val="1"/>
      <w:numFmt w:val="lowerLetter"/>
      <w:lvlText w:val="%5."/>
      <w:lvlJc w:val="left"/>
      <w:pPr>
        <w:ind w:left="3632" w:hanging="360"/>
      </w:pPr>
    </w:lvl>
    <w:lvl w:ilvl="5" w:tplc="0C09001B" w:tentative="1">
      <w:start w:val="1"/>
      <w:numFmt w:val="lowerRoman"/>
      <w:lvlText w:val="%6."/>
      <w:lvlJc w:val="right"/>
      <w:pPr>
        <w:ind w:left="4352" w:hanging="180"/>
      </w:pPr>
    </w:lvl>
    <w:lvl w:ilvl="6" w:tplc="0C09000F" w:tentative="1">
      <w:start w:val="1"/>
      <w:numFmt w:val="decimal"/>
      <w:lvlText w:val="%7."/>
      <w:lvlJc w:val="left"/>
      <w:pPr>
        <w:ind w:left="5072" w:hanging="360"/>
      </w:pPr>
    </w:lvl>
    <w:lvl w:ilvl="7" w:tplc="0C090019" w:tentative="1">
      <w:start w:val="1"/>
      <w:numFmt w:val="lowerLetter"/>
      <w:lvlText w:val="%8."/>
      <w:lvlJc w:val="left"/>
      <w:pPr>
        <w:ind w:left="5792" w:hanging="360"/>
      </w:pPr>
    </w:lvl>
    <w:lvl w:ilvl="8" w:tplc="0C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" w15:restartNumberingAfterBreak="0">
    <w:nsid w:val="2F6B4F5D"/>
    <w:multiLevelType w:val="hybridMultilevel"/>
    <w:tmpl w:val="B69AB4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11451"/>
    <w:multiLevelType w:val="hybridMultilevel"/>
    <w:tmpl w:val="CAB296F0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7DE7050"/>
    <w:multiLevelType w:val="hybridMultilevel"/>
    <w:tmpl w:val="29DE854C"/>
    <w:lvl w:ilvl="0" w:tplc="3D68274E">
      <w:start w:val="5"/>
      <w:numFmt w:val="bullet"/>
      <w:lvlText w:val=""/>
      <w:lvlJc w:val="left"/>
      <w:pPr>
        <w:ind w:left="720" w:hanging="360"/>
      </w:pPr>
      <w:rPr>
        <w:rFonts w:ascii="Wingdings" w:eastAsiaTheme="majorEastAsia" w:hAnsi="Wingdings" w:cstheme="maj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D86FF5"/>
    <w:multiLevelType w:val="hybridMultilevel"/>
    <w:tmpl w:val="AE72B9B8"/>
    <w:lvl w:ilvl="0" w:tplc="42BEE30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871063">
    <w:abstractNumId w:val="0"/>
  </w:num>
  <w:num w:numId="2" w16cid:durableId="719211908">
    <w:abstractNumId w:val="3"/>
  </w:num>
  <w:num w:numId="3" w16cid:durableId="280966555">
    <w:abstractNumId w:val="1"/>
  </w:num>
  <w:num w:numId="4" w16cid:durableId="1669479412">
    <w:abstractNumId w:val="2"/>
  </w:num>
  <w:num w:numId="5" w16cid:durableId="3470977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3414217">
    <w:abstractNumId w:val="5"/>
  </w:num>
  <w:num w:numId="7" w16cid:durableId="40329883">
    <w:abstractNumId w:val="0"/>
  </w:num>
  <w:num w:numId="8" w16cid:durableId="9576443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6D8"/>
    <w:rsid w:val="000013B6"/>
    <w:rsid w:val="00003F25"/>
    <w:rsid w:val="00005B11"/>
    <w:rsid w:val="00021F89"/>
    <w:rsid w:val="00023B85"/>
    <w:rsid w:val="00032507"/>
    <w:rsid w:val="00032EDC"/>
    <w:rsid w:val="00036D76"/>
    <w:rsid w:val="00067F64"/>
    <w:rsid w:val="000776CE"/>
    <w:rsid w:val="00077FB8"/>
    <w:rsid w:val="000932FF"/>
    <w:rsid w:val="000B128E"/>
    <w:rsid w:val="00100B04"/>
    <w:rsid w:val="00145658"/>
    <w:rsid w:val="00147F18"/>
    <w:rsid w:val="00163599"/>
    <w:rsid w:val="00191237"/>
    <w:rsid w:val="001955BD"/>
    <w:rsid w:val="001C316A"/>
    <w:rsid w:val="001F097E"/>
    <w:rsid w:val="001F31D8"/>
    <w:rsid w:val="001F54FE"/>
    <w:rsid w:val="00255E82"/>
    <w:rsid w:val="002677BA"/>
    <w:rsid w:val="00276678"/>
    <w:rsid w:val="00280050"/>
    <w:rsid w:val="00293927"/>
    <w:rsid w:val="002A2390"/>
    <w:rsid w:val="002A55A4"/>
    <w:rsid w:val="002A5BBD"/>
    <w:rsid w:val="002B1B98"/>
    <w:rsid w:val="002C5CE7"/>
    <w:rsid w:val="002C74EC"/>
    <w:rsid w:val="002D5BDB"/>
    <w:rsid w:val="002E4368"/>
    <w:rsid w:val="002F0882"/>
    <w:rsid w:val="0031237C"/>
    <w:rsid w:val="00313502"/>
    <w:rsid w:val="00321868"/>
    <w:rsid w:val="00363ADB"/>
    <w:rsid w:val="003659DF"/>
    <w:rsid w:val="003710D5"/>
    <w:rsid w:val="00373E9B"/>
    <w:rsid w:val="00375233"/>
    <w:rsid w:val="003971E9"/>
    <w:rsid w:val="003A1A5D"/>
    <w:rsid w:val="003D2990"/>
    <w:rsid w:val="003E3C4F"/>
    <w:rsid w:val="003E3E44"/>
    <w:rsid w:val="003F6D1E"/>
    <w:rsid w:val="0040625F"/>
    <w:rsid w:val="004068F5"/>
    <w:rsid w:val="0041417C"/>
    <w:rsid w:val="004220BB"/>
    <w:rsid w:val="004572DC"/>
    <w:rsid w:val="00462C8E"/>
    <w:rsid w:val="004868E8"/>
    <w:rsid w:val="00493990"/>
    <w:rsid w:val="004B59B8"/>
    <w:rsid w:val="004C2F82"/>
    <w:rsid w:val="004F7746"/>
    <w:rsid w:val="00531C67"/>
    <w:rsid w:val="00533348"/>
    <w:rsid w:val="00564644"/>
    <w:rsid w:val="00574CC9"/>
    <w:rsid w:val="005778D8"/>
    <w:rsid w:val="005855F9"/>
    <w:rsid w:val="00587110"/>
    <w:rsid w:val="00595817"/>
    <w:rsid w:val="005A0755"/>
    <w:rsid w:val="005A31DB"/>
    <w:rsid w:val="005A4D47"/>
    <w:rsid w:val="005B5A64"/>
    <w:rsid w:val="005B7DA7"/>
    <w:rsid w:val="005C2241"/>
    <w:rsid w:val="005E2102"/>
    <w:rsid w:val="005F5B2E"/>
    <w:rsid w:val="00620604"/>
    <w:rsid w:val="00627C47"/>
    <w:rsid w:val="006320A3"/>
    <w:rsid w:val="00640160"/>
    <w:rsid w:val="00641479"/>
    <w:rsid w:val="00654307"/>
    <w:rsid w:val="00655BDA"/>
    <w:rsid w:val="006620EE"/>
    <w:rsid w:val="006A01DC"/>
    <w:rsid w:val="006C4104"/>
    <w:rsid w:val="006D4B8E"/>
    <w:rsid w:val="006E5B24"/>
    <w:rsid w:val="00725BAA"/>
    <w:rsid w:val="00736E40"/>
    <w:rsid w:val="007420BD"/>
    <w:rsid w:val="00743E70"/>
    <w:rsid w:val="00744E72"/>
    <w:rsid w:val="00745004"/>
    <w:rsid w:val="0075515F"/>
    <w:rsid w:val="00755E8D"/>
    <w:rsid w:val="00764927"/>
    <w:rsid w:val="007727B3"/>
    <w:rsid w:val="00787EB0"/>
    <w:rsid w:val="00794F16"/>
    <w:rsid w:val="00795B3C"/>
    <w:rsid w:val="007A73CD"/>
    <w:rsid w:val="007B0A86"/>
    <w:rsid w:val="007C21B2"/>
    <w:rsid w:val="007E71A6"/>
    <w:rsid w:val="00801647"/>
    <w:rsid w:val="00813796"/>
    <w:rsid w:val="00835B82"/>
    <w:rsid w:val="00844050"/>
    <w:rsid w:val="00853385"/>
    <w:rsid w:val="00885782"/>
    <w:rsid w:val="00893E05"/>
    <w:rsid w:val="008B04AD"/>
    <w:rsid w:val="008B5323"/>
    <w:rsid w:val="008C57EB"/>
    <w:rsid w:val="008C6B9B"/>
    <w:rsid w:val="008E57E3"/>
    <w:rsid w:val="008F5BCB"/>
    <w:rsid w:val="008F66B2"/>
    <w:rsid w:val="009016C3"/>
    <w:rsid w:val="009108FF"/>
    <w:rsid w:val="00927812"/>
    <w:rsid w:val="00933E9F"/>
    <w:rsid w:val="0093427B"/>
    <w:rsid w:val="009470BD"/>
    <w:rsid w:val="00957E45"/>
    <w:rsid w:val="00963D2D"/>
    <w:rsid w:val="009A7447"/>
    <w:rsid w:val="009B5B6A"/>
    <w:rsid w:val="009C4154"/>
    <w:rsid w:val="009C7D4D"/>
    <w:rsid w:val="009D0014"/>
    <w:rsid w:val="009E45EC"/>
    <w:rsid w:val="009F07A9"/>
    <w:rsid w:val="009F4D98"/>
    <w:rsid w:val="00A0303E"/>
    <w:rsid w:val="00A16748"/>
    <w:rsid w:val="00A23DFC"/>
    <w:rsid w:val="00A42D66"/>
    <w:rsid w:val="00A4313F"/>
    <w:rsid w:val="00A92139"/>
    <w:rsid w:val="00A93AF1"/>
    <w:rsid w:val="00A964C2"/>
    <w:rsid w:val="00AA3463"/>
    <w:rsid w:val="00AA47B0"/>
    <w:rsid w:val="00AA48FE"/>
    <w:rsid w:val="00AB4DED"/>
    <w:rsid w:val="00AE2F57"/>
    <w:rsid w:val="00AE5332"/>
    <w:rsid w:val="00AF3527"/>
    <w:rsid w:val="00B002FA"/>
    <w:rsid w:val="00B15A8D"/>
    <w:rsid w:val="00B2434E"/>
    <w:rsid w:val="00B54412"/>
    <w:rsid w:val="00B67417"/>
    <w:rsid w:val="00B71AB8"/>
    <w:rsid w:val="00B74768"/>
    <w:rsid w:val="00B80A55"/>
    <w:rsid w:val="00B810AF"/>
    <w:rsid w:val="00B843E3"/>
    <w:rsid w:val="00B938EC"/>
    <w:rsid w:val="00B966DC"/>
    <w:rsid w:val="00BA5B79"/>
    <w:rsid w:val="00BD2EBC"/>
    <w:rsid w:val="00BD3BDE"/>
    <w:rsid w:val="00BF57B7"/>
    <w:rsid w:val="00BF72E9"/>
    <w:rsid w:val="00C15DDB"/>
    <w:rsid w:val="00C22DE3"/>
    <w:rsid w:val="00C36909"/>
    <w:rsid w:val="00C41525"/>
    <w:rsid w:val="00C4183F"/>
    <w:rsid w:val="00CC02A6"/>
    <w:rsid w:val="00CC0869"/>
    <w:rsid w:val="00CC6752"/>
    <w:rsid w:val="00CD6268"/>
    <w:rsid w:val="00CE13E8"/>
    <w:rsid w:val="00CF6425"/>
    <w:rsid w:val="00D0332A"/>
    <w:rsid w:val="00D16299"/>
    <w:rsid w:val="00D16D2A"/>
    <w:rsid w:val="00D318B5"/>
    <w:rsid w:val="00D40BFE"/>
    <w:rsid w:val="00D44AE2"/>
    <w:rsid w:val="00D8688B"/>
    <w:rsid w:val="00D94303"/>
    <w:rsid w:val="00D97A89"/>
    <w:rsid w:val="00DC06D8"/>
    <w:rsid w:val="00DD724E"/>
    <w:rsid w:val="00DE0455"/>
    <w:rsid w:val="00DE2ED0"/>
    <w:rsid w:val="00DF72E7"/>
    <w:rsid w:val="00E06065"/>
    <w:rsid w:val="00E31746"/>
    <w:rsid w:val="00E33933"/>
    <w:rsid w:val="00E44BED"/>
    <w:rsid w:val="00E50A56"/>
    <w:rsid w:val="00E73868"/>
    <w:rsid w:val="00E84E2D"/>
    <w:rsid w:val="00EA519C"/>
    <w:rsid w:val="00EB6FF0"/>
    <w:rsid w:val="00EC3DC2"/>
    <w:rsid w:val="00ED78FA"/>
    <w:rsid w:val="00EE606F"/>
    <w:rsid w:val="00F0716A"/>
    <w:rsid w:val="00F13AA2"/>
    <w:rsid w:val="00F14D6C"/>
    <w:rsid w:val="00F27893"/>
    <w:rsid w:val="00F40D84"/>
    <w:rsid w:val="00F54EB5"/>
    <w:rsid w:val="00F56DCF"/>
    <w:rsid w:val="00FC5B14"/>
    <w:rsid w:val="00FD3037"/>
    <w:rsid w:val="00FD5368"/>
    <w:rsid w:val="00FD6458"/>
    <w:rsid w:val="00FD6B12"/>
    <w:rsid w:val="00FE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8A7C62"/>
  <w15:chartTrackingRefBased/>
  <w15:docId w15:val="{FEF4B5FC-3082-4C54-B543-97C72DB6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6D8"/>
    <w:pPr>
      <w:spacing w:before="120" w:after="120" w:line="240" w:lineRule="auto"/>
    </w:pPr>
    <w:rPr>
      <w:rFonts w:cstheme="minorBidi"/>
    </w:rPr>
  </w:style>
  <w:style w:type="paragraph" w:styleId="Heading1">
    <w:name w:val="heading 1"/>
    <w:next w:val="Normal"/>
    <w:link w:val="Heading1Char"/>
    <w:uiPriority w:val="9"/>
    <w:qFormat/>
    <w:rsid w:val="00DC06D8"/>
    <w:pPr>
      <w:keepNext/>
      <w:keepLines/>
      <w:spacing w:before="120" w:after="0" w:line="240" w:lineRule="auto"/>
      <w:outlineLvl w:val="0"/>
    </w:pPr>
    <w:rPr>
      <w:rFonts w:eastAsiaTheme="majorEastAsia" w:cstheme="majorBidi"/>
      <w:b/>
      <w:color w:val="2F5496" w:themeColor="accent1" w:themeShade="BF"/>
      <w:sz w:val="24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C06D8"/>
    <w:pPr>
      <w:spacing w:before="40"/>
      <w:outlineLvl w:val="1"/>
    </w:pPr>
    <w:rPr>
      <w:rFonts w:asciiTheme="majorHAnsi" w:hAnsiTheme="majorHAnsi"/>
      <w:b w:val="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06D8"/>
    <w:rPr>
      <w:rFonts w:eastAsiaTheme="majorEastAsia" w:cstheme="majorBidi"/>
      <w:b/>
      <w:color w:val="2F5496" w:themeColor="accent1" w:themeShade="BF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C06D8"/>
    <w:rPr>
      <w:rFonts w:asciiTheme="majorHAnsi" w:eastAsiaTheme="majorEastAsia" w:hAnsiTheme="majorHAnsi" w:cstheme="majorBidi"/>
      <w:color w:val="2F5496" w:themeColor="accent1" w:themeShade="BF"/>
      <w:sz w:val="24"/>
      <w:szCs w:val="26"/>
    </w:rPr>
  </w:style>
  <w:style w:type="character" w:styleId="FootnoteReference">
    <w:name w:val="footnote reference"/>
    <w:basedOn w:val="DefaultParagraphFont"/>
    <w:uiPriority w:val="99"/>
    <w:unhideWhenUsed/>
    <w:rsid w:val="00DC06D8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91237"/>
    <w:rPr>
      <w:rFonts w:asciiTheme="majorHAnsi" w:eastAsiaTheme="majorEastAsia" w:hAnsiTheme="majorHAnsi" w:cstheme="majorBidi"/>
      <w:spacing w:val="-10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91237"/>
    <w:rPr>
      <w:rFonts w:asciiTheme="majorHAnsi" w:eastAsiaTheme="majorEastAsia" w:hAnsiTheme="majorHAnsi" w:cstheme="majorBidi"/>
      <w:spacing w:val="-10"/>
      <w:kern w:val="28"/>
      <w:sz w:val="44"/>
      <w:szCs w:val="44"/>
    </w:rPr>
  </w:style>
  <w:style w:type="paragraph" w:styleId="ListBullet">
    <w:name w:val="List Bullet"/>
    <w:basedOn w:val="Normal"/>
    <w:uiPriority w:val="99"/>
    <w:unhideWhenUsed/>
    <w:rsid w:val="00DC06D8"/>
    <w:pPr>
      <w:numPr>
        <w:numId w:val="1"/>
      </w:numPr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DC06D8"/>
    <w:pPr>
      <w:spacing w:before="0" w:after="0"/>
      <w:contextualSpacing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C06D8"/>
    <w:rPr>
      <w:rFonts w:cstheme="minorBidi"/>
      <w:sz w:val="20"/>
      <w:szCs w:val="20"/>
    </w:rPr>
  </w:style>
  <w:style w:type="character" w:styleId="Strong">
    <w:name w:val="Strong"/>
    <w:basedOn w:val="DefaultParagraphFont"/>
    <w:uiPriority w:val="22"/>
    <w:qFormat/>
    <w:rsid w:val="00DC06D8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DC06D8"/>
    <w:rPr>
      <w:rFonts w:asciiTheme="minorHAnsi" w:hAnsiTheme="minorHAnsi"/>
      <w:i w:val="0"/>
      <w:iCs/>
      <w:color w:val="3B3838" w:themeColor="background2" w:themeShade="40"/>
      <w:sz w:val="20"/>
    </w:rPr>
  </w:style>
  <w:style w:type="paragraph" w:styleId="Header">
    <w:name w:val="header"/>
    <w:basedOn w:val="Normal"/>
    <w:link w:val="HeaderChar"/>
    <w:uiPriority w:val="99"/>
    <w:unhideWhenUsed/>
    <w:rsid w:val="00DC06D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C06D8"/>
    <w:rPr>
      <w:rFonts w:cstheme="minorBidi"/>
    </w:rPr>
  </w:style>
  <w:style w:type="character" w:styleId="Hyperlink">
    <w:name w:val="Hyperlink"/>
    <w:basedOn w:val="DefaultParagraphFont"/>
    <w:uiPriority w:val="99"/>
    <w:unhideWhenUsed/>
    <w:rsid w:val="00DC06D8"/>
    <w:rPr>
      <w:color w:val="0563C1" w:themeColor="hyperlink"/>
      <w:u w:val="single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ListBullet"/>
    <w:link w:val="ListParagraphChar"/>
    <w:uiPriority w:val="34"/>
    <w:qFormat/>
    <w:rsid w:val="00627C47"/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locked/>
    <w:rsid w:val="00627C47"/>
    <w:rPr>
      <w:rFonts w:cstheme="minorBidi"/>
    </w:rPr>
  </w:style>
  <w:style w:type="paragraph" w:styleId="Footer">
    <w:name w:val="footer"/>
    <w:basedOn w:val="Normal"/>
    <w:link w:val="FooterChar"/>
    <w:uiPriority w:val="99"/>
    <w:unhideWhenUsed/>
    <w:rsid w:val="00DF72E7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F72E7"/>
    <w:rPr>
      <w:rFonts w:cstheme="minorBid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27812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27812"/>
    <w:rPr>
      <w:rFonts w:cstheme="minorBid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27812"/>
    <w:rPr>
      <w:vertAlign w:val="superscript"/>
    </w:rPr>
  </w:style>
  <w:style w:type="paragraph" w:styleId="Revision">
    <w:name w:val="Revision"/>
    <w:hidden/>
    <w:uiPriority w:val="99"/>
    <w:semiHidden/>
    <w:rsid w:val="002C5CE7"/>
    <w:pPr>
      <w:spacing w:after="0" w:line="240" w:lineRule="auto"/>
    </w:pPr>
    <w:rPr>
      <w:rFonts w:cstheme="minorBidi"/>
    </w:rPr>
  </w:style>
  <w:style w:type="character" w:styleId="FollowedHyperlink">
    <w:name w:val="FollowedHyperlink"/>
    <w:basedOn w:val="DefaultParagraphFont"/>
    <w:uiPriority w:val="99"/>
    <w:semiHidden/>
    <w:unhideWhenUsed/>
    <w:rsid w:val="00743E7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71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immunisationhandbook.health.gov.au/contents/vaccine-preventable-diseases/covid-19" TargetMode="External"/><Relationship Id="rId2" Type="http://schemas.openxmlformats.org/officeDocument/2006/relationships/hyperlink" Target="https://immunisationhandbook.health.gov.au/contents/vaccine-preventable-diseases/covid-19" TargetMode="External"/><Relationship Id="rId1" Type="http://schemas.openxmlformats.org/officeDocument/2006/relationships/hyperlink" Target="https://immunisationhandbook.health.gov.au/contents/vaccine-preventable-diseases/covid-19" TargetMode="External"/><Relationship Id="rId4" Type="http://schemas.openxmlformats.org/officeDocument/2006/relationships/hyperlink" Target="https://immunisationhandbook.health.gov.au/contents/vaccine-preventable-diseases/covid-19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AE316-B545-4536-B53C-872F8D8C8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COVID-19 vaccine doses – Text only – May 2024.docx</vt:lpstr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COVID-19 vaccine doses – Text only – May 2024.docx</dc:title>
  <dc:subject>COVID-19; Coronavirus; Immunisation</dc:subject>
  <dc:creator>Australian Government Department of Health and Aged Care</dc:creator>
  <cp:keywords>Health technologies and digital health; Immunisation; Australian Technical Advisory Group on Immunisation (ATAGI)</cp:keywords>
  <dc:description/>
  <cp:revision>2</cp:revision>
  <dcterms:created xsi:type="dcterms:W3CDTF">2024-08-29T04:17:00Z</dcterms:created>
  <dcterms:modified xsi:type="dcterms:W3CDTF">2024-08-29T04:17:00Z</dcterms:modified>
</cp:coreProperties>
</file>