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48FF9" w14:textId="739D9F11" w:rsidR="7F77FB92" w:rsidRDefault="7F77FB92" w:rsidP="00EF0072">
      <w:pPr>
        <w:pStyle w:val="Heading1"/>
        <w:jc w:val="right"/>
        <w:rPr>
          <w:sz w:val="44"/>
          <w:szCs w:val="44"/>
        </w:rPr>
      </w:pPr>
    </w:p>
    <w:p w14:paraId="727B8514" w14:textId="668730BB" w:rsidR="00681E9F" w:rsidRPr="00ED640B" w:rsidRDefault="008A1D31" w:rsidP="00684B72">
      <w:pPr>
        <w:pStyle w:val="Heading1"/>
        <w:rPr>
          <w:bCs w:val="0"/>
          <w:color w:val="1F3864" w:themeColor="accent1" w:themeShade="80"/>
          <w:sz w:val="44"/>
          <w:szCs w:val="44"/>
        </w:rPr>
      </w:pPr>
      <w:bookmarkStart w:id="0" w:name="_Toc140849474"/>
      <w:bookmarkStart w:id="1" w:name="_Toc141263717"/>
      <w:bookmarkStart w:id="2" w:name="_Toc149061009"/>
      <w:bookmarkStart w:id="3" w:name="_Toc167712963"/>
      <w:r>
        <w:rPr>
          <w:bCs w:val="0"/>
          <w:sz w:val="44"/>
          <w:szCs w:val="44"/>
        </w:rPr>
        <w:t xml:space="preserve">9 April 2024 </w:t>
      </w:r>
      <w:r w:rsidR="00950D7E">
        <w:rPr>
          <w:bCs w:val="0"/>
          <w:sz w:val="44"/>
          <w:szCs w:val="44"/>
        </w:rPr>
        <w:t xml:space="preserve">Webinar </w:t>
      </w:r>
      <w:r w:rsidR="005371EC" w:rsidRPr="00ED640B">
        <w:rPr>
          <w:bCs w:val="0"/>
          <w:sz w:val="44"/>
          <w:szCs w:val="44"/>
        </w:rPr>
        <w:t>Questions and Answers</w:t>
      </w:r>
      <w:bookmarkEnd w:id="0"/>
      <w:bookmarkEnd w:id="1"/>
      <w:bookmarkEnd w:id="2"/>
      <w:bookmarkEnd w:id="3"/>
    </w:p>
    <w:p w14:paraId="3BE94595" w14:textId="4C96140C" w:rsidR="00B126F1" w:rsidRPr="00ED640B" w:rsidRDefault="00D17CAE" w:rsidP="00B126F1">
      <w:pPr>
        <w:pStyle w:val="Heading4"/>
        <w:rPr>
          <w:sz w:val="32"/>
          <w:szCs w:val="32"/>
        </w:rPr>
      </w:pPr>
      <w:r w:rsidRPr="00ED640B">
        <w:rPr>
          <w:sz w:val="32"/>
          <w:szCs w:val="32"/>
        </w:rPr>
        <w:t xml:space="preserve">Quarterly Financial Report – </w:t>
      </w:r>
      <w:r w:rsidR="00403511">
        <w:rPr>
          <w:sz w:val="32"/>
          <w:szCs w:val="32"/>
        </w:rPr>
        <w:t>publication of finance information onto My Aged Care</w:t>
      </w:r>
      <w:r w:rsidR="00B126F1" w:rsidRPr="00ED640B">
        <w:rPr>
          <w:sz w:val="32"/>
          <w:szCs w:val="32"/>
        </w:rPr>
        <w:t xml:space="preserve"> </w:t>
      </w:r>
    </w:p>
    <w:p w14:paraId="7F1F28A3" w14:textId="7C558AD6" w:rsidR="00B126F1" w:rsidRPr="00214A44" w:rsidRDefault="00B126F1" w:rsidP="00204484">
      <w:pPr>
        <w:pStyle w:val="Introduction"/>
      </w:pPr>
      <w:r w:rsidRPr="00214A44">
        <w:t xml:space="preserve">Thank you to everyone who attended and submitted their questions in the </w:t>
      </w:r>
      <w:hyperlink r:id="rId11">
        <w:r w:rsidRPr="00214A44">
          <w:rPr>
            <w:rStyle w:val="Hyperlink"/>
            <w:color w:val="1E1544"/>
            <w:u w:val="none"/>
          </w:rPr>
          <w:t>webinar</w:t>
        </w:r>
      </w:hyperlink>
      <w:r w:rsidR="00E85A75">
        <w:rPr>
          <w:rStyle w:val="Hyperlink"/>
          <w:color w:val="1E1544"/>
          <w:u w:val="none"/>
        </w:rPr>
        <w:t>.</w:t>
      </w:r>
      <w:r w:rsidRPr="00214A44">
        <w:t xml:space="preserve"> </w:t>
      </w:r>
    </w:p>
    <w:p w14:paraId="35BBE1A1" w14:textId="03A89758" w:rsidR="00214A44" w:rsidRDefault="00B126F1" w:rsidP="00204484">
      <w:pPr>
        <w:pStyle w:val="Introduction"/>
      </w:pPr>
      <w:r w:rsidRPr="00214A44">
        <w:t>This document provides answers to the questions</w:t>
      </w:r>
      <w:r w:rsidR="00D90951">
        <w:t>.</w:t>
      </w:r>
    </w:p>
    <w:p w14:paraId="61DD9089" w14:textId="76E76054" w:rsidR="00B126F1" w:rsidRPr="00214A44" w:rsidRDefault="00214A44" w:rsidP="00214A44">
      <w:pPr>
        <w:spacing w:before="0" w:after="0" w:line="240" w:lineRule="auto"/>
        <w:rPr>
          <w:color w:val="1E1544"/>
          <w:sz w:val="32"/>
          <w:szCs w:val="32"/>
        </w:rPr>
      </w:pPr>
      <w:r>
        <w:br w:type="page"/>
      </w:r>
    </w:p>
    <w:bookmarkStart w:id="4" w:name="_1)_Support_at" w:displacedByCustomXml="next"/>
    <w:bookmarkEnd w:id="4" w:displacedByCustomXml="next"/>
    <w:sdt>
      <w:sdtPr>
        <w:rPr>
          <w:rFonts w:ascii="Arial" w:eastAsia="Calibri" w:hAnsi="Arial" w:cs="Times New Roman"/>
          <w:color w:val="auto"/>
          <w:sz w:val="24"/>
          <w:szCs w:val="24"/>
          <w:lang w:val="en-AU"/>
        </w:rPr>
        <w:id w:val="1393927427"/>
        <w:docPartObj>
          <w:docPartGallery w:val="Table of Contents"/>
          <w:docPartUnique/>
        </w:docPartObj>
      </w:sdtPr>
      <w:sdtEndPr>
        <w:rPr>
          <w:b/>
          <w:bCs/>
          <w:noProof/>
        </w:rPr>
      </w:sdtEndPr>
      <w:sdtContent>
        <w:p w14:paraId="622ABD2F" w14:textId="5A37CB9B" w:rsidR="004D7ACF" w:rsidRPr="00404F4D" w:rsidRDefault="004D7ACF">
          <w:pPr>
            <w:pStyle w:val="TOCHeading"/>
          </w:pPr>
          <w:r w:rsidRPr="00404F4D">
            <w:t>Contents</w:t>
          </w:r>
        </w:p>
        <w:p w14:paraId="2A545F81" w14:textId="0D5A7182" w:rsidR="00EF0072" w:rsidRDefault="004D7ACF">
          <w:pPr>
            <w:pStyle w:val="TOC1"/>
            <w:rPr>
              <w:rFonts w:asciiTheme="minorHAnsi" w:eastAsiaTheme="minorEastAsia" w:hAnsiTheme="minorHAnsi" w:cstheme="minorBidi"/>
              <w:noProof/>
              <w:kern w:val="2"/>
              <w:sz w:val="22"/>
              <w:szCs w:val="22"/>
              <w:lang w:eastAsia="en-AU"/>
              <w14:ligatures w14:val="standardContextual"/>
            </w:rPr>
          </w:pPr>
          <w:r>
            <w:fldChar w:fldCharType="begin"/>
          </w:r>
          <w:r>
            <w:instrText xml:space="preserve"> TOC \o "1-3" \h \z \u </w:instrText>
          </w:r>
          <w:r>
            <w:fldChar w:fldCharType="separate"/>
          </w:r>
          <w:hyperlink w:anchor="_Toc167712963" w:history="1">
            <w:r w:rsidR="00EF0072" w:rsidRPr="00270D12">
              <w:rPr>
                <w:rStyle w:val="Hyperlink"/>
                <w:noProof/>
              </w:rPr>
              <w:t>9 April 2024 Webinar Questions and Answers</w:t>
            </w:r>
            <w:r w:rsidR="00EF0072">
              <w:rPr>
                <w:noProof/>
                <w:webHidden/>
              </w:rPr>
              <w:tab/>
            </w:r>
            <w:r w:rsidR="00EF0072">
              <w:rPr>
                <w:noProof/>
                <w:webHidden/>
              </w:rPr>
              <w:fldChar w:fldCharType="begin"/>
            </w:r>
            <w:r w:rsidR="00EF0072">
              <w:rPr>
                <w:noProof/>
                <w:webHidden/>
              </w:rPr>
              <w:instrText xml:space="preserve"> PAGEREF _Toc167712963 \h </w:instrText>
            </w:r>
            <w:r w:rsidR="00EF0072">
              <w:rPr>
                <w:noProof/>
                <w:webHidden/>
              </w:rPr>
            </w:r>
            <w:r w:rsidR="00EF0072">
              <w:rPr>
                <w:noProof/>
                <w:webHidden/>
              </w:rPr>
              <w:fldChar w:fldCharType="separate"/>
            </w:r>
            <w:r w:rsidR="00EF0072">
              <w:rPr>
                <w:noProof/>
                <w:webHidden/>
              </w:rPr>
              <w:t>1</w:t>
            </w:r>
            <w:r w:rsidR="00EF0072">
              <w:rPr>
                <w:noProof/>
                <w:webHidden/>
              </w:rPr>
              <w:fldChar w:fldCharType="end"/>
            </w:r>
          </w:hyperlink>
        </w:p>
        <w:p w14:paraId="01E09D07" w14:textId="58CC1CD7" w:rsidR="00EF0072" w:rsidRDefault="006E2863">
          <w:pPr>
            <w:pStyle w:val="TOC3"/>
            <w:rPr>
              <w:rFonts w:asciiTheme="minorHAnsi" w:eastAsiaTheme="minorEastAsia" w:hAnsiTheme="minorHAnsi" w:cstheme="minorBidi"/>
              <w:noProof/>
              <w:kern w:val="2"/>
              <w:sz w:val="22"/>
              <w:szCs w:val="22"/>
              <w:lang w:eastAsia="en-AU"/>
              <w14:ligatures w14:val="standardContextual"/>
            </w:rPr>
          </w:pPr>
          <w:hyperlink w:anchor="_Toc167712964" w:history="1">
            <w:r w:rsidR="00EF0072" w:rsidRPr="00270D12">
              <w:rPr>
                <w:rStyle w:val="Hyperlink"/>
                <w:rFonts w:eastAsia="Arial"/>
                <w:noProof/>
              </w:rPr>
              <w:t>1.</w:t>
            </w:r>
            <w:r w:rsidR="00EF0072">
              <w:rPr>
                <w:rFonts w:asciiTheme="minorHAnsi" w:eastAsiaTheme="minorEastAsia" w:hAnsiTheme="minorHAnsi" w:cstheme="minorBidi"/>
                <w:noProof/>
                <w:kern w:val="2"/>
                <w:sz w:val="22"/>
                <w:szCs w:val="22"/>
                <w:lang w:eastAsia="en-AU"/>
                <w14:ligatures w14:val="standardContextual"/>
              </w:rPr>
              <w:tab/>
            </w:r>
            <w:r w:rsidR="00EF0072" w:rsidRPr="00270D12">
              <w:rPr>
                <w:rStyle w:val="Hyperlink"/>
                <w:rFonts w:eastAsia="Arial" w:cs="Arial"/>
                <w:bCs/>
                <w:noProof/>
              </w:rPr>
              <w:t>Quarterly Financial Report (QFR) on Government Provider Management System</w:t>
            </w:r>
            <w:r w:rsidR="00EF0072">
              <w:rPr>
                <w:noProof/>
                <w:webHidden/>
              </w:rPr>
              <w:tab/>
            </w:r>
            <w:r w:rsidR="00EF0072">
              <w:rPr>
                <w:noProof/>
                <w:webHidden/>
              </w:rPr>
              <w:fldChar w:fldCharType="begin"/>
            </w:r>
            <w:r w:rsidR="00EF0072">
              <w:rPr>
                <w:noProof/>
                <w:webHidden/>
              </w:rPr>
              <w:instrText xml:space="preserve"> PAGEREF _Toc167712964 \h </w:instrText>
            </w:r>
            <w:r w:rsidR="00EF0072">
              <w:rPr>
                <w:noProof/>
                <w:webHidden/>
              </w:rPr>
            </w:r>
            <w:r w:rsidR="00EF0072">
              <w:rPr>
                <w:noProof/>
                <w:webHidden/>
              </w:rPr>
              <w:fldChar w:fldCharType="separate"/>
            </w:r>
            <w:r w:rsidR="00EF0072">
              <w:rPr>
                <w:noProof/>
                <w:webHidden/>
              </w:rPr>
              <w:t>3</w:t>
            </w:r>
            <w:r w:rsidR="00EF0072">
              <w:rPr>
                <w:noProof/>
                <w:webHidden/>
              </w:rPr>
              <w:fldChar w:fldCharType="end"/>
            </w:r>
          </w:hyperlink>
        </w:p>
        <w:p w14:paraId="20F4BBC2" w14:textId="15AA05FE" w:rsidR="00EF0072" w:rsidRDefault="006E2863">
          <w:pPr>
            <w:pStyle w:val="TOC3"/>
            <w:rPr>
              <w:rFonts w:asciiTheme="minorHAnsi" w:eastAsiaTheme="minorEastAsia" w:hAnsiTheme="minorHAnsi" w:cstheme="minorBidi"/>
              <w:noProof/>
              <w:kern w:val="2"/>
              <w:sz w:val="22"/>
              <w:szCs w:val="22"/>
              <w:lang w:eastAsia="en-AU"/>
              <w14:ligatures w14:val="standardContextual"/>
            </w:rPr>
          </w:pPr>
          <w:hyperlink w:anchor="_Toc167712965" w:history="1">
            <w:r w:rsidR="00EF0072" w:rsidRPr="00270D12">
              <w:rPr>
                <w:rStyle w:val="Hyperlink"/>
                <w:rFonts w:eastAsia="Arial" w:cs="Arial"/>
                <w:noProof/>
              </w:rPr>
              <w:t>2.</w:t>
            </w:r>
            <w:r w:rsidR="00EF0072">
              <w:rPr>
                <w:rStyle w:val="Hyperlink"/>
                <w:rFonts w:eastAsia="Arial" w:cs="Arial"/>
                <w:noProof/>
              </w:rPr>
              <w:tab/>
            </w:r>
            <w:r w:rsidR="00EF0072" w:rsidRPr="00270D12">
              <w:rPr>
                <w:rStyle w:val="Hyperlink"/>
                <w:rFonts w:eastAsia="Arial" w:cs="Arial"/>
                <w:noProof/>
              </w:rPr>
              <w:t xml:space="preserve"> Year to date Financial Statements</w:t>
            </w:r>
            <w:r w:rsidR="00EF0072">
              <w:rPr>
                <w:noProof/>
                <w:webHidden/>
              </w:rPr>
              <w:tab/>
            </w:r>
            <w:r w:rsidR="00EF0072">
              <w:rPr>
                <w:noProof/>
                <w:webHidden/>
              </w:rPr>
              <w:fldChar w:fldCharType="begin"/>
            </w:r>
            <w:r w:rsidR="00EF0072">
              <w:rPr>
                <w:noProof/>
                <w:webHidden/>
              </w:rPr>
              <w:instrText xml:space="preserve"> PAGEREF _Toc167712965 \h </w:instrText>
            </w:r>
            <w:r w:rsidR="00EF0072">
              <w:rPr>
                <w:noProof/>
                <w:webHidden/>
              </w:rPr>
            </w:r>
            <w:r w:rsidR="00EF0072">
              <w:rPr>
                <w:noProof/>
                <w:webHidden/>
              </w:rPr>
              <w:fldChar w:fldCharType="separate"/>
            </w:r>
            <w:r w:rsidR="00EF0072">
              <w:rPr>
                <w:noProof/>
                <w:webHidden/>
              </w:rPr>
              <w:t>4</w:t>
            </w:r>
            <w:r w:rsidR="00EF0072">
              <w:rPr>
                <w:noProof/>
                <w:webHidden/>
              </w:rPr>
              <w:fldChar w:fldCharType="end"/>
            </w:r>
          </w:hyperlink>
        </w:p>
        <w:p w14:paraId="67D3CD61" w14:textId="61A2D013" w:rsidR="00EF0072" w:rsidRDefault="006E2863">
          <w:pPr>
            <w:pStyle w:val="TOC3"/>
            <w:rPr>
              <w:rFonts w:asciiTheme="minorHAnsi" w:eastAsiaTheme="minorEastAsia" w:hAnsiTheme="minorHAnsi" w:cstheme="minorBidi"/>
              <w:noProof/>
              <w:kern w:val="2"/>
              <w:sz w:val="22"/>
              <w:szCs w:val="22"/>
              <w:lang w:eastAsia="en-AU"/>
              <w14:ligatures w14:val="standardContextual"/>
            </w:rPr>
          </w:pPr>
          <w:hyperlink w:anchor="_Toc167712966" w:history="1">
            <w:r w:rsidR="00EF0072" w:rsidRPr="00270D12">
              <w:rPr>
                <w:rStyle w:val="Hyperlink"/>
                <w:rFonts w:eastAsia="Arial" w:cs="Arial"/>
                <w:noProof/>
              </w:rPr>
              <w:t xml:space="preserve">3. </w:t>
            </w:r>
            <w:r w:rsidR="00EF0072">
              <w:rPr>
                <w:rStyle w:val="Hyperlink"/>
                <w:rFonts w:eastAsia="Arial" w:cs="Arial"/>
                <w:noProof/>
              </w:rPr>
              <w:tab/>
            </w:r>
            <w:r w:rsidR="00EF0072" w:rsidRPr="00270D12">
              <w:rPr>
                <w:rStyle w:val="Hyperlink"/>
                <w:rFonts w:eastAsia="Arial" w:cs="Arial"/>
                <w:noProof/>
              </w:rPr>
              <w:t>Residential care labour cost and hours</w:t>
            </w:r>
            <w:r w:rsidR="00EF0072">
              <w:rPr>
                <w:noProof/>
                <w:webHidden/>
              </w:rPr>
              <w:tab/>
            </w:r>
            <w:r w:rsidR="00EF0072">
              <w:rPr>
                <w:noProof/>
                <w:webHidden/>
              </w:rPr>
              <w:fldChar w:fldCharType="begin"/>
            </w:r>
            <w:r w:rsidR="00EF0072">
              <w:rPr>
                <w:noProof/>
                <w:webHidden/>
              </w:rPr>
              <w:instrText xml:space="preserve"> PAGEREF _Toc167712966 \h </w:instrText>
            </w:r>
            <w:r w:rsidR="00EF0072">
              <w:rPr>
                <w:noProof/>
                <w:webHidden/>
              </w:rPr>
            </w:r>
            <w:r w:rsidR="00EF0072">
              <w:rPr>
                <w:noProof/>
                <w:webHidden/>
              </w:rPr>
              <w:fldChar w:fldCharType="separate"/>
            </w:r>
            <w:r w:rsidR="00EF0072">
              <w:rPr>
                <w:noProof/>
                <w:webHidden/>
              </w:rPr>
              <w:t>5</w:t>
            </w:r>
            <w:r w:rsidR="00EF0072">
              <w:rPr>
                <w:noProof/>
                <w:webHidden/>
              </w:rPr>
              <w:fldChar w:fldCharType="end"/>
            </w:r>
          </w:hyperlink>
        </w:p>
        <w:p w14:paraId="437AF328" w14:textId="35C0203B" w:rsidR="00EF0072" w:rsidRDefault="006E2863">
          <w:pPr>
            <w:pStyle w:val="TOC3"/>
            <w:rPr>
              <w:rFonts w:asciiTheme="minorHAnsi" w:eastAsiaTheme="minorEastAsia" w:hAnsiTheme="minorHAnsi" w:cstheme="minorBidi"/>
              <w:noProof/>
              <w:kern w:val="2"/>
              <w:sz w:val="22"/>
              <w:szCs w:val="22"/>
              <w:lang w:eastAsia="en-AU"/>
              <w14:ligatures w14:val="standardContextual"/>
            </w:rPr>
          </w:pPr>
          <w:hyperlink w:anchor="_Toc167712967" w:history="1">
            <w:r w:rsidR="00EF0072" w:rsidRPr="00270D12">
              <w:rPr>
                <w:rStyle w:val="Hyperlink"/>
                <w:rFonts w:eastAsia="Arial" w:cs="Arial"/>
                <w:bCs/>
                <w:noProof/>
              </w:rPr>
              <w:t xml:space="preserve">4. </w:t>
            </w:r>
            <w:r w:rsidR="00EF0072">
              <w:rPr>
                <w:rStyle w:val="Hyperlink"/>
                <w:rFonts w:eastAsia="Arial" w:cs="Arial"/>
                <w:bCs/>
                <w:noProof/>
              </w:rPr>
              <w:tab/>
            </w:r>
            <w:r w:rsidR="00EF0072" w:rsidRPr="00270D12">
              <w:rPr>
                <w:rStyle w:val="Hyperlink"/>
                <w:rFonts w:eastAsia="Arial" w:cs="Arial"/>
                <w:bCs/>
                <w:noProof/>
              </w:rPr>
              <w:t>Hourly wage rates</w:t>
            </w:r>
            <w:r w:rsidR="00EF0072">
              <w:rPr>
                <w:noProof/>
                <w:webHidden/>
              </w:rPr>
              <w:tab/>
            </w:r>
            <w:r w:rsidR="00EF0072">
              <w:rPr>
                <w:noProof/>
                <w:webHidden/>
              </w:rPr>
              <w:fldChar w:fldCharType="begin"/>
            </w:r>
            <w:r w:rsidR="00EF0072">
              <w:rPr>
                <w:noProof/>
                <w:webHidden/>
              </w:rPr>
              <w:instrText xml:space="preserve"> PAGEREF _Toc167712967 \h </w:instrText>
            </w:r>
            <w:r w:rsidR="00EF0072">
              <w:rPr>
                <w:noProof/>
                <w:webHidden/>
              </w:rPr>
            </w:r>
            <w:r w:rsidR="00EF0072">
              <w:rPr>
                <w:noProof/>
                <w:webHidden/>
              </w:rPr>
              <w:fldChar w:fldCharType="separate"/>
            </w:r>
            <w:r w:rsidR="00EF0072">
              <w:rPr>
                <w:noProof/>
                <w:webHidden/>
              </w:rPr>
              <w:t>5</w:t>
            </w:r>
            <w:r w:rsidR="00EF0072">
              <w:rPr>
                <w:noProof/>
                <w:webHidden/>
              </w:rPr>
              <w:fldChar w:fldCharType="end"/>
            </w:r>
          </w:hyperlink>
        </w:p>
        <w:p w14:paraId="5ECF151B" w14:textId="481B6613" w:rsidR="00EF0072" w:rsidRDefault="006E2863">
          <w:pPr>
            <w:pStyle w:val="TOC3"/>
            <w:rPr>
              <w:rFonts w:asciiTheme="minorHAnsi" w:eastAsiaTheme="minorEastAsia" w:hAnsiTheme="minorHAnsi" w:cstheme="minorBidi"/>
              <w:noProof/>
              <w:kern w:val="2"/>
              <w:sz w:val="22"/>
              <w:szCs w:val="22"/>
              <w:lang w:eastAsia="en-AU"/>
              <w14:ligatures w14:val="standardContextual"/>
            </w:rPr>
          </w:pPr>
          <w:hyperlink w:anchor="_Toc167712968" w:history="1">
            <w:r w:rsidR="00EF0072" w:rsidRPr="00270D12">
              <w:rPr>
                <w:rStyle w:val="Hyperlink"/>
                <w:noProof/>
              </w:rPr>
              <w:t>5.</w:t>
            </w:r>
            <w:r w:rsidR="00EF0072">
              <w:rPr>
                <w:rFonts w:asciiTheme="minorHAnsi" w:eastAsiaTheme="minorEastAsia" w:hAnsiTheme="minorHAnsi" w:cstheme="minorBidi"/>
                <w:noProof/>
                <w:kern w:val="2"/>
                <w:sz w:val="22"/>
                <w:szCs w:val="22"/>
                <w:lang w:eastAsia="en-AU"/>
                <w14:ligatures w14:val="standardContextual"/>
              </w:rPr>
              <w:tab/>
            </w:r>
            <w:r w:rsidR="00EF0072" w:rsidRPr="00270D12">
              <w:rPr>
                <w:rStyle w:val="Hyperlink"/>
                <w:noProof/>
              </w:rPr>
              <w:t>Outbreak management</w:t>
            </w:r>
            <w:r w:rsidR="00EF0072">
              <w:rPr>
                <w:noProof/>
                <w:webHidden/>
              </w:rPr>
              <w:tab/>
            </w:r>
            <w:r w:rsidR="00EF0072">
              <w:rPr>
                <w:noProof/>
                <w:webHidden/>
              </w:rPr>
              <w:fldChar w:fldCharType="begin"/>
            </w:r>
            <w:r w:rsidR="00EF0072">
              <w:rPr>
                <w:noProof/>
                <w:webHidden/>
              </w:rPr>
              <w:instrText xml:space="preserve"> PAGEREF _Toc167712968 \h </w:instrText>
            </w:r>
            <w:r w:rsidR="00EF0072">
              <w:rPr>
                <w:noProof/>
                <w:webHidden/>
              </w:rPr>
            </w:r>
            <w:r w:rsidR="00EF0072">
              <w:rPr>
                <w:noProof/>
                <w:webHidden/>
              </w:rPr>
              <w:fldChar w:fldCharType="separate"/>
            </w:r>
            <w:r w:rsidR="00EF0072">
              <w:rPr>
                <w:noProof/>
                <w:webHidden/>
              </w:rPr>
              <w:t>6</w:t>
            </w:r>
            <w:r w:rsidR="00EF0072">
              <w:rPr>
                <w:noProof/>
                <w:webHidden/>
              </w:rPr>
              <w:fldChar w:fldCharType="end"/>
            </w:r>
          </w:hyperlink>
        </w:p>
        <w:p w14:paraId="496982E7" w14:textId="39CBA5BD" w:rsidR="00EF0072" w:rsidRDefault="006E2863">
          <w:pPr>
            <w:pStyle w:val="TOC3"/>
            <w:rPr>
              <w:rFonts w:asciiTheme="minorHAnsi" w:eastAsiaTheme="minorEastAsia" w:hAnsiTheme="minorHAnsi" w:cstheme="minorBidi"/>
              <w:noProof/>
              <w:kern w:val="2"/>
              <w:sz w:val="22"/>
              <w:szCs w:val="22"/>
              <w:lang w:eastAsia="en-AU"/>
              <w14:ligatures w14:val="standardContextual"/>
            </w:rPr>
          </w:pPr>
          <w:hyperlink w:anchor="_Toc167712969" w:history="1">
            <w:r w:rsidR="00EF0072" w:rsidRPr="00270D12">
              <w:rPr>
                <w:rStyle w:val="Hyperlink"/>
                <w:rFonts w:eastAsia="Arial" w:cs="Arial"/>
                <w:noProof/>
              </w:rPr>
              <w:t>6.</w:t>
            </w:r>
            <w:r w:rsidR="00EF0072">
              <w:rPr>
                <w:rFonts w:asciiTheme="minorHAnsi" w:eastAsiaTheme="minorEastAsia" w:hAnsiTheme="minorHAnsi" w:cstheme="minorBidi"/>
                <w:noProof/>
                <w:kern w:val="2"/>
                <w:sz w:val="22"/>
                <w:szCs w:val="22"/>
                <w:lang w:eastAsia="en-AU"/>
                <w14:ligatures w14:val="standardContextual"/>
              </w:rPr>
              <w:tab/>
            </w:r>
            <w:r w:rsidR="00EF0072" w:rsidRPr="00270D12">
              <w:rPr>
                <w:rStyle w:val="Hyperlink"/>
                <w:rFonts w:eastAsia="Arial" w:cs="Arial"/>
                <w:noProof/>
              </w:rPr>
              <w:t>Home care labour cost and hours</w:t>
            </w:r>
            <w:r w:rsidR="00EF0072">
              <w:rPr>
                <w:noProof/>
                <w:webHidden/>
              </w:rPr>
              <w:tab/>
            </w:r>
            <w:r w:rsidR="00EF0072">
              <w:rPr>
                <w:noProof/>
                <w:webHidden/>
              </w:rPr>
              <w:fldChar w:fldCharType="begin"/>
            </w:r>
            <w:r w:rsidR="00EF0072">
              <w:rPr>
                <w:noProof/>
                <w:webHidden/>
              </w:rPr>
              <w:instrText xml:space="preserve"> PAGEREF _Toc167712969 \h </w:instrText>
            </w:r>
            <w:r w:rsidR="00EF0072">
              <w:rPr>
                <w:noProof/>
                <w:webHidden/>
              </w:rPr>
            </w:r>
            <w:r w:rsidR="00EF0072">
              <w:rPr>
                <w:noProof/>
                <w:webHidden/>
              </w:rPr>
              <w:fldChar w:fldCharType="separate"/>
            </w:r>
            <w:r w:rsidR="00EF0072">
              <w:rPr>
                <w:noProof/>
                <w:webHidden/>
              </w:rPr>
              <w:t>8</w:t>
            </w:r>
            <w:r w:rsidR="00EF0072">
              <w:rPr>
                <w:noProof/>
                <w:webHidden/>
              </w:rPr>
              <w:fldChar w:fldCharType="end"/>
            </w:r>
          </w:hyperlink>
        </w:p>
        <w:p w14:paraId="6FCFA671" w14:textId="441355C5" w:rsidR="00EF0072" w:rsidRDefault="006E2863">
          <w:pPr>
            <w:pStyle w:val="TOC3"/>
            <w:rPr>
              <w:rFonts w:asciiTheme="minorHAnsi" w:eastAsiaTheme="minorEastAsia" w:hAnsiTheme="minorHAnsi" w:cstheme="minorBidi"/>
              <w:noProof/>
              <w:kern w:val="2"/>
              <w:sz w:val="22"/>
              <w:szCs w:val="22"/>
              <w:lang w:eastAsia="en-AU"/>
              <w14:ligatures w14:val="standardContextual"/>
            </w:rPr>
          </w:pPr>
          <w:hyperlink w:anchor="_Toc167712970" w:history="1">
            <w:r w:rsidR="00EF0072" w:rsidRPr="00270D12">
              <w:rPr>
                <w:rStyle w:val="Hyperlink"/>
                <w:noProof/>
              </w:rPr>
              <w:t>7.</w:t>
            </w:r>
            <w:r w:rsidR="00EF0072">
              <w:rPr>
                <w:rFonts w:asciiTheme="minorHAnsi" w:eastAsiaTheme="minorEastAsia" w:hAnsiTheme="minorHAnsi" w:cstheme="minorBidi"/>
                <w:noProof/>
                <w:kern w:val="2"/>
                <w:sz w:val="22"/>
                <w:szCs w:val="22"/>
                <w:lang w:eastAsia="en-AU"/>
                <w14:ligatures w14:val="standardContextual"/>
              </w:rPr>
              <w:tab/>
            </w:r>
            <w:r w:rsidR="00EF0072" w:rsidRPr="00270D12">
              <w:rPr>
                <w:rStyle w:val="Hyperlink"/>
                <w:rFonts w:eastAsia="Arial" w:cs="Arial"/>
                <w:bCs/>
                <w:noProof/>
              </w:rPr>
              <w:t>Sector level reporting (finance and operations, QFS, FRAACS)</w:t>
            </w:r>
            <w:r w:rsidR="00EF0072">
              <w:rPr>
                <w:noProof/>
                <w:webHidden/>
              </w:rPr>
              <w:tab/>
            </w:r>
            <w:r w:rsidR="00EF0072">
              <w:rPr>
                <w:noProof/>
                <w:webHidden/>
              </w:rPr>
              <w:fldChar w:fldCharType="begin"/>
            </w:r>
            <w:r w:rsidR="00EF0072">
              <w:rPr>
                <w:noProof/>
                <w:webHidden/>
              </w:rPr>
              <w:instrText xml:space="preserve"> PAGEREF _Toc167712970 \h </w:instrText>
            </w:r>
            <w:r w:rsidR="00EF0072">
              <w:rPr>
                <w:noProof/>
                <w:webHidden/>
              </w:rPr>
            </w:r>
            <w:r w:rsidR="00EF0072">
              <w:rPr>
                <w:noProof/>
                <w:webHidden/>
              </w:rPr>
              <w:fldChar w:fldCharType="separate"/>
            </w:r>
            <w:r w:rsidR="00EF0072">
              <w:rPr>
                <w:noProof/>
                <w:webHidden/>
              </w:rPr>
              <w:t>8</w:t>
            </w:r>
            <w:r w:rsidR="00EF0072">
              <w:rPr>
                <w:noProof/>
                <w:webHidden/>
              </w:rPr>
              <w:fldChar w:fldCharType="end"/>
            </w:r>
          </w:hyperlink>
        </w:p>
        <w:p w14:paraId="0C3124AE" w14:textId="1D677237" w:rsidR="00EF0072" w:rsidRDefault="006E2863">
          <w:pPr>
            <w:pStyle w:val="TOC3"/>
            <w:rPr>
              <w:rFonts w:asciiTheme="minorHAnsi" w:eastAsiaTheme="minorEastAsia" w:hAnsiTheme="minorHAnsi" w:cstheme="minorBidi"/>
              <w:noProof/>
              <w:kern w:val="2"/>
              <w:sz w:val="22"/>
              <w:szCs w:val="22"/>
              <w:lang w:eastAsia="en-AU"/>
              <w14:ligatures w14:val="standardContextual"/>
            </w:rPr>
          </w:pPr>
          <w:hyperlink w:anchor="_Toc167712971" w:history="1">
            <w:r w:rsidR="00EF0072" w:rsidRPr="00270D12">
              <w:rPr>
                <w:rStyle w:val="Hyperlink"/>
                <w:rFonts w:eastAsia="Arial" w:cs="Arial"/>
                <w:bCs/>
                <w:noProof/>
              </w:rPr>
              <w:t>8.</w:t>
            </w:r>
            <w:r w:rsidR="00EF0072">
              <w:rPr>
                <w:rFonts w:asciiTheme="minorHAnsi" w:eastAsiaTheme="minorEastAsia" w:hAnsiTheme="minorHAnsi" w:cstheme="minorBidi"/>
                <w:noProof/>
                <w:kern w:val="2"/>
                <w:sz w:val="22"/>
                <w:szCs w:val="22"/>
                <w:lang w:eastAsia="en-AU"/>
                <w14:ligatures w14:val="standardContextual"/>
              </w:rPr>
              <w:tab/>
            </w:r>
            <w:r w:rsidR="00EF0072" w:rsidRPr="00270D12">
              <w:rPr>
                <w:rStyle w:val="Hyperlink"/>
                <w:rFonts w:eastAsia="Arial" w:cs="Arial"/>
                <w:bCs/>
                <w:noProof/>
              </w:rPr>
              <w:t>General</w:t>
            </w:r>
            <w:r w:rsidR="00EF0072">
              <w:rPr>
                <w:noProof/>
                <w:webHidden/>
              </w:rPr>
              <w:tab/>
            </w:r>
            <w:r w:rsidR="00EF0072">
              <w:rPr>
                <w:noProof/>
                <w:webHidden/>
              </w:rPr>
              <w:fldChar w:fldCharType="begin"/>
            </w:r>
            <w:r w:rsidR="00EF0072">
              <w:rPr>
                <w:noProof/>
                <w:webHidden/>
              </w:rPr>
              <w:instrText xml:space="preserve"> PAGEREF _Toc167712971 \h </w:instrText>
            </w:r>
            <w:r w:rsidR="00EF0072">
              <w:rPr>
                <w:noProof/>
                <w:webHidden/>
              </w:rPr>
            </w:r>
            <w:r w:rsidR="00EF0072">
              <w:rPr>
                <w:noProof/>
                <w:webHidden/>
              </w:rPr>
              <w:fldChar w:fldCharType="separate"/>
            </w:r>
            <w:r w:rsidR="00EF0072">
              <w:rPr>
                <w:noProof/>
                <w:webHidden/>
              </w:rPr>
              <w:t>8</w:t>
            </w:r>
            <w:r w:rsidR="00EF0072">
              <w:rPr>
                <w:noProof/>
                <w:webHidden/>
              </w:rPr>
              <w:fldChar w:fldCharType="end"/>
            </w:r>
          </w:hyperlink>
        </w:p>
        <w:p w14:paraId="1CA8AA3D" w14:textId="7AD96F88" w:rsidR="004D7ACF" w:rsidRDefault="004D7ACF">
          <w:r>
            <w:rPr>
              <w:b/>
              <w:bCs/>
              <w:noProof/>
            </w:rPr>
            <w:fldChar w:fldCharType="end"/>
          </w:r>
        </w:p>
      </w:sdtContent>
    </w:sdt>
    <w:p w14:paraId="0063B81B" w14:textId="77777777" w:rsidR="00143208" w:rsidRDefault="00143208" w:rsidP="00D91C5C">
      <w:pPr>
        <w:spacing w:before="0" w:after="0" w:line="240" w:lineRule="auto"/>
      </w:pPr>
    </w:p>
    <w:p w14:paraId="1FF2DC7B" w14:textId="77777777" w:rsidR="00143208" w:rsidRDefault="00143208" w:rsidP="00D91C5C">
      <w:pPr>
        <w:spacing w:before="0" w:after="0" w:line="240" w:lineRule="auto"/>
      </w:pPr>
    </w:p>
    <w:p w14:paraId="1C26F9F2" w14:textId="77777777" w:rsidR="00143208" w:rsidRDefault="00143208" w:rsidP="00D91C5C">
      <w:pPr>
        <w:spacing w:before="0" w:after="0" w:line="240" w:lineRule="auto"/>
      </w:pPr>
    </w:p>
    <w:p w14:paraId="78FCACBC" w14:textId="1C9838B8" w:rsidR="00143208" w:rsidRDefault="00BA617F" w:rsidP="00BA617F">
      <w:pPr>
        <w:tabs>
          <w:tab w:val="left" w:pos="7403"/>
        </w:tabs>
        <w:spacing w:before="0" w:after="0" w:line="240" w:lineRule="auto"/>
      </w:pPr>
      <w:r>
        <w:tab/>
      </w:r>
    </w:p>
    <w:p w14:paraId="705E4674" w14:textId="77777777" w:rsidR="00143208" w:rsidRDefault="00143208" w:rsidP="00D91C5C">
      <w:pPr>
        <w:spacing w:before="0" w:after="0" w:line="240" w:lineRule="auto"/>
      </w:pPr>
    </w:p>
    <w:p w14:paraId="01D35ACA" w14:textId="77777777" w:rsidR="00143208" w:rsidRDefault="00143208" w:rsidP="00D91C5C">
      <w:pPr>
        <w:spacing w:before="0" w:after="0" w:line="240" w:lineRule="auto"/>
      </w:pPr>
    </w:p>
    <w:p w14:paraId="7B5370B1" w14:textId="77777777" w:rsidR="00143208" w:rsidRDefault="00143208" w:rsidP="00D91C5C">
      <w:pPr>
        <w:spacing w:before="0" w:after="0" w:line="240" w:lineRule="auto"/>
      </w:pPr>
    </w:p>
    <w:p w14:paraId="20BBEAD2" w14:textId="0D45D9A6" w:rsidR="002564D1" w:rsidRDefault="002564D1" w:rsidP="00D91C5C">
      <w:pPr>
        <w:spacing w:before="0" w:after="0" w:line="240" w:lineRule="auto"/>
      </w:pPr>
    </w:p>
    <w:p w14:paraId="158DD24E" w14:textId="77777777" w:rsidR="002564D1" w:rsidRDefault="002564D1" w:rsidP="00D91C5C">
      <w:pPr>
        <w:spacing w:before="0" w:after="0" w:line="240" w:lineRule="auto"/>
      </w:pPr>
    </w:p>
    <w:p w14:paraId="0A92FFED" w14:textId="77777777" w:rsidR="002564D1" w:rsidRDefault="002564D1" w:rsidP="00D91C5C">
      <w:pPr>
        <w:spacing w:before="0" w:after="0" w:line="240" w:lineRule="auto"/>
      </w:pPr>
    </w:p>
    <w:p w14:paraId="50A2B3FD" w14:textId="77777777" w:rsidR="002564D1" w:rsidRDefault="002564D1" w:rsidP="00D91C5C">
      <w:pPr>
        <w:spacing w:before="0" w:after="0" w:line="240" w:lineRule="auto"/>
      </w:pPr>
    </w:p>
    <w:p w14:paraId="575D3F42" w14:textId="77777777" w:rsidR="002564D1" w:rsidRDefault="002564D1" w:rsidP="00D91C5C">
      <w:pPr>
        <w:spacing w:before="0" w:after="0" w:line="240" w:lineRule="auto"/>
      </w:pPr>
    </w:p>
    <w:p w14:paraId="1886D65C" w14:textId="77777777" w:rsidR="002564D1" w:rsidRDefault="002564D1" w:rsidP="00D91C5C">
      <w:pPr>
        <w:spacing w:before="0" w:after="0" w:line="240" w:lineRule="auto"/>
      </w:pPr>
    </w:p>
    <w:p w14:paraId="6BC57F3D" w14:textId="77777777" w:rsidR="002564D1" w:rsidRDefault="002564D1" w:rsidP="00D91C5C">
      <w:pPr>
        <w:spacing w:before="0" w:after="0" w:line="240" w:lineRule="auto"/>
      </w:pPr>
    </w:p>
    <w:p w14:paraId="4C43D875" w14:textId="77777777" w:rsidR="002564D1" w:rsidRDefault="002564D1" w:rsidP="00D91C5C">
      <w:pPr>
        <w:spacing w:before="0" w:after="0" w:line="240" w:lineRule="auto"/>
      </w:pPr>
    </w:p>
    <w:p w14:paraId="03BE14CB" w14:textId="77777777" w:rsidR="002564D1" w:rsidRDefault="002564D1" w:rsidP="00D91C5C">
      <w:pPr>
        <w:spacing w:before="0" w:after="0" w:line="240" w:lineRule="auto"/>
      </w:pPr>
    </w:p>
    <w:p w14:paraId="0FD3B235" w14:textId="77777777" w:rsidR="002564D1" w:rsidRDefault="002564D1" w:rsidP="00D91C5C">
      <w:pPr>
        <w:spacing w:before="0" w:after="0" w:line="240" w:lineRule="auto"/>
      </w:pPr>
    </w:p>
    <w:p w14:paraId="03D3E372" w14:textId="77777777" w:rsidR="002564D1" w:rsidRDefault="002564D1" w:rsidP="00D91C5C">
      <w:pPr>
        <w:spacing w:before="0" w:after="0" w:line="240" w:lineRule="auto"/>
      </w:pPr>
    </w:p>
    <w:p w14:paraId="665EAFD0" w14:textId="77777777" w:rsidR="002564D1" w:rsidRDefault="002564D1" w:rsidP="00D91C5C">
      <w:pPr>
        <w:spacing w:before="0" w:after="0" w:line="240" w:lineRule="auto"/>
      </w:pPr>
    </w:p>
    <w:p w14:paraId="78E6C6F3" w14:textId="77777777" w:rsidR="002564D1" w:rsidRDefault="002564D1" w:rsidP="00D91C5C">
      <w:pPr>
        <w:spacing w:before="0" w:after="0" w:line="240" w:lineRule="auto"/>
      </w:pPr>
    </w:p>
    <w:p w14:paraId="0D020604" w14:textId="77777777" w:rsidR="00950D7E" w:rsidRDefault="00950D7E" w:rsidP="00D91C5C">
      <w:pPr>
        <w:spacing w:before="0" w:after="0" w:line="240" w:lineRule="auto"/>
      </w:pPr>
    </w:p>
    <w:p w14:paraId="5FB07546" w14:textId="77777777" w:rsidR="00950D7E" w:rsidRDefault="00950D7E" w:rsidP="00D91C5C">
      <w:pPr>
        <w:spacing w:before="0" w:after="0" w:line="240" w:lineRule="auto"/>
      </w:pPr>
    </w:p>
    <w:p w14:paraId="6D137A72" w14:textId="77777777" w:rsidR="00950D7E" w:rsidRDefault="00950D7E" w:rsidP="00D91C5C">
      <w:pPr>
        <w:spacing w:before="0" w:after="0" w:line="240" w:lineRule="auto"/>
      </w:pPr>
    </w:p>
    <w:p w14:paraId="55FA145E" w14:textId="77777777" w:rsidR="00143208" w:rsidRDefault="00143208" w:rsidP="00D91C5C">
      <w:pPr>
        <w:spacing w:before="0" w:after="0" w:line="240" w:lineRule="auto"/>
      </w:pPr>
    </w:p>
    <w:p w14:paraId="04CC3D78" w14:textId="77777777" w:rsidR="00143208" w:rsidRDefault="00143208" w:rsidP="00D91C5C">
      <w:pPr>
        <w:spacing w:before="0" w:after="0" w:line="240" w:lineRule="auto"/>
      </w:pPr>
    </w:p>
    <w:p w14:paraId="147FB19C" w14:textId="77777777" w:rsidR="00143208" w:rsidRDefault="00143208" w:rsidP="00D91C5C">
      <w:pPr>
        <w:spacing w:before="0" w:after="0" w:line="240" w:lineRule="auto"/>
      </w:pPr>
    </w:p>
    <w:p w14:paraId="401D3494" w14:textId="77777777" w:rsidR="00143208" w:rsidRDefault="00143208" w:rsidP="00D91C5C">
      <w:pPr>
        <w:spacing w:before="0" w:after="0" w:line="240" w:lineRule="auto"/>
      </w:pPr>
    </w:p>
    <w:p w14:paraId="5CD4BB00" w14:textId="77777777" w:rsidR="00143208" w:rsidRDefault="00143208" w:rsidP="00D91C5C">
      <w:pPr>
        <w:spacing w:before="0" w:after="0" w:line="240" w:lineRule="auto"/>
      </w:pPr>
    </w:p>
    <w:p w14:paraId="0CC9CF59" w14:textId="77777777" w:rsidR="00143208" w:rsidRDefault="00143208" w:rsidP="00D91C5C">
      <w:pPr>
        <w:spacing w:before="0" w:after="0" w:line="240" w:lineRule="auto"/>
      </w:pPr>
    </w:p>
    <w:p w14:paraId="77D9C6D7" w14:textId="564F11E5" w:rsidR="00404F4D" w:rsidRPr="00404F4D" w:rsidRDefault="77007D81" w:rsidP="008627AE">
      <w:pPr>
        <w:pStyle w:val="Heading3"/>
        <w:numPr>
          <w:ilvl w:val="0"/>
          <w:numId w:val="3"/>
        </w:numPr>
        <w:rPr>
          <w:rFonts w:eastAsia="Arial"/>
        </w:rPr>
      </w:pPr>
      <w:bookmarkStart w:id="5" w:name="_Toc167712964"/>
      <w:r w:rsidRPr="2F9FE54D">
        <w:rPr>
          <w:rFonts w:eastAsia="Arial" w:cs="Arial"/>
          <w:bCs/>
          <w:szCs w:val="28"/>
        </w:rPr>
        <w:lastRenderedPageBreak/>
        <w:t>Quarterly Financial Report (QFR) on Government Provider Management System</w:t>
      </w:r>
      <w:bookmarkEnd w:id="5"/>
    </w:p>
    <w:p w14:paraId="40E63B92" w14:textId="55EE435C" w:rsidR="004D7ACF" w:rsidRPr="00F71D85" w:rsidRDefault="004D7ACF" w:rsidP="006F370F">
      <w:pPr>
        <w:pStyle w:val="ListParagraph"/>
        <w:numPr>
          <w:ilvl w:val="1"/>
          <w:numId w:val="4"/>
        </w:numPr>
      </w:pPr>
      <w:r w:rsidRPr="22C240F0">
        <w:rPr>
          <w:rFonts w:eastAsia="Arial" w:cs="Arial"/>
          <w:b/>
          <w:bCs/>
          <w:color w:val="1E1544"/>
        </w:rPr>
        <w:t>Why could the report not be better structured so that the report has algorithms in the background that calculate the Y</w:t>
      </w:r>
      <w:r w:rsidR="00657693" w:rsidRPr="22C240F0">
        <w:rPr>
          <w:rFonts w:eastAsia="Arial" w:cs="Arial"/>
          <w:b/>
          <w:bCs/>
          <w:color w:val="1E1544"/>
        </w:rPr>
        <w:t>ear to date (YTD)</w:t>
      </w:r>
      <w:r w:rsidRPr="22C240F0">
        <w:rPr>
          <w:rFonts w:eastAsia="Arial" w:cs="Arial"/>
          <w:b/>
          <w:bCs/>
          <w:color w:val="1E1544"/>
        </w:rPr>
        <w:t xml:space="preserve"> figures from the </w:t>
      </w:r>
      <w:r w:rsidR="00657693" w:rsidRPr="22C240F0">
        <w:rPr>
          <w:rFonts w:eastAsia="Arial" w:cs="Arial"/>
          <w:b/>
          <w:bCs/>
          <w:color w:val="1E1544"/>
        </w:rPr>
        <w:t xml:space="preserve">quarterly </w:t>
      </w:r>
      <w:r w:rsidRPr="22C240F0">
        <w:rPr>
          <w:rFonts w:eastAsia="Arial" w:cs="Arial"/>
          <w:b/>
          <w:bCs/>
          <w:color w:val="1E1544"/>
        </w:rPr>
        <w:t xml:space="preserve">figures provided.  </w:t>
      </w:r>
    </w:p>
    <w:p w14:paraId="104B7EF8" w14:textId="495FF867" w:rsidR="004D7ACF" w:rsidRDefault="00BD5306" w:rsidP="7684FD32">
      <w:pPr>
        <w:spacing w:after="240"/>
        <w:ind w:left="720"/>
        <w:rPr>
          <w:rFonts w:eastAsia="Arial" w:cs="Arial"/>
        </w:rPr>
      </w:pPr>
      <w:r>
        <w:rPr>
          <w:rFonts w:eastAsia="Arial" w:cs="Arial"/>
        </w:rPr>
        <w:t xml:space="preserve">The </w:t>
      </w:r>
      <w:r w:rsidR="00D410F5">
        <w:rPr>
          <w:rFonts w:eastAsia="Arial" w:cs="Arial"/>
        </w:rPr>
        <w:t>B</w:t>
      </w:r>
      <w:r w:rsidR="009A0285">
        <w:rPr>
          <w:rFonts w:eastAsia="Arial" w:cs="Arial"/>
        </w:rPr>
        <w:t xml:space="preserve">alance Sheet and </w:t>
      </w:r>
      <w:r w:rsidR="00D410F5">
        <w:rPr>
          <w:rFonts w:eastAsia="Arial" w:cs="Arial"/>
        </w:rPr>
        <w:t xml:space="preserve">Income and Expenditure </w:t>
      </w:r>
      <w:r w:rsidR="00BE0F07">
        <w:rPr>
          <w:rFonts w:eastAsia="Arial" w:cs="Arial"/>
        </w:rPr>
        <w:t xml:space="preserve">data by segment in the Year to date Finance Statements section </w:t>
      </w:r>
      <w:r w:rsidR="00515CC7">
        <w:rPr>
          <w:rFonts w:eastAsia="Arial" w:cs="Arial"/>
        </w:rPr>
        <w:t>is</w:t>
      </w:r>
      <w:r w:rsidR="00FA1113">
        <w:rPr>
          <w:rFonts w:eastAsia="Arial" w:cs="Arial"/>
        </w:rPr>
        <w:t xml:space="preserve"> </w:t>
      </w:r>
      <w:r w:rsidR="00515CC7">
        <w:rPr>
          <w:rFonts w:eastAsia="Arial" w:cs="Arial"/>
        </w:rPr>
        <w:t>collected on a year to date basis</w:t>
      </w:r>
      <w:r w:rsidR="005D6588">
        <w:rPr>
          <w:rFonts w:eastAsia="Arial" w:cs="Arial"/>
        </w:rPr>
        <w:t xml:space="preserve">, </w:t>
      </w:r>
      <w:r w:rsidR="00806367">
        <w:rPr>
          <w:rFonts w:eastAsia="Arial" w:cs="Arial"/>
        </w:rPr>
        <w:t>rather than a</w:t>
      </w:r>
      <w:r w:rsidR="005D6588">
        <w:rPr>
          <w:rFonts w:eastAsia="Arial" w:cs="Arial"/>
        </w:rPr>
        <w:t xml:space="preserve"> </w:t>
      </w:r>
      <w:r w:rsidR="00F9645C">
        <w:rPr>
          <w:rFonts w:eastAsia="Arial" w:cs="Arial"/>
        </w:rPr>
        <w:t>quarterly</w:t>
      </w:r>
      <w:r w:rsidR="00A14B7C">
        <w:rPr>
          <w:rFonts w:eastAsia="Arial" w:cs="Arial"/>
        </w:rPr>
        <w:t xml:space="preserve"> basis</w:t>
      </w:r>
      <w:r w:rsidR="00F9645C">
        <w:rPr>
          <w:rFonts w:eastAsia="Arial" w:cs="Arial"/>
        </w:rPr>
        <w:t xml:space="preserve">. </w:t>
      </w:r>
    </w:p>
    <w:p w14:paraId="6456BA89" w14:textId="04A8BF24" w:rsidR="415D06A7" w:rsidRDefault="415D06A7" w:rsidP="22C240F0">
      <w:pPr>
        <w:pStyle w:val="ListParagraph"/>
        <w:numPr>
          <w:ilvl w:val="1"/>
          <w:numId w:val="4"/>
        </w:numPr>
        <w:rPr>
          <w:rFonts w:eastAsia="Arial" w:cs="Arial"/>
          <w:b/>
          <w:bCs/>
          <w:color w:val="1E1544"/>
        </w:rPr>
      </w:pPr>
      <w:r w:rsidRPr="22C240F0">
        <w:rPr>
          <w:rFonts w:eastAsia="Arial" w:cs="Arial"/>
          <w:b/>
          <w:bCs/>
          <w:color w:val="1E1544"/>
        </w:rPr>
        <w:t>Is there scope to combine the Aged Care Financial Report (ACFR) and QFR process?</w:t>
      </w:r>
    </w:p>
    <w:p w14:paraId="62166AFA" w14:textId="79006DA9" w:rsidR="00B06955" w:rsidRPr="00B1075C" w:rsidRDefault="00B06955" w:rsidP="00B1075C">
      <w:pPr>
        <w:spacing w:after="240"/>
        <w:ind w:left="720"/>
        <w:rPr>
          <w:rFonts w:eastAsia="Arial" w:cs="Arial"/>
          <w:b/>
          <w:bCs/>
          <w:color w:val="1E1544"/>
        </w:rPr>
      </w:pPr>
      <w:r w:rsidRPr="00B06955">
        <w:rPr>
          <w:rFonts w:eastAsia="Arial" w:cs="Arial"/>
        </w:rPr>
        <w:t>This is currently not possible as the QFR and ACFR data collections are on two different IT systems. The department will consider ways to pre-fill relevant sections of the ACFR using QFR data when the ACFR data collection is transferred to the GPMS platform at a future date.</w:t>
      </w:r>
    </w:p>
    <w:p w14:paraId="3B529988" w14:textId="77777777" w:rsidR="004D7ACF" w:rsidRPr="000A5B11" w:rsidRDefault="004D7ACF" w:rsidP="006F370F">
      <w:pPr>
        <w:pStyle w:val="ListParagraph"/>
        <w:numPr>
          <w:ilvl w:val="1"/>
          <w:numId w:val="4"/>
        </w:numPr>
        <w:rPr>
          <w:rFonts w:eastAsia="Arial" w:cs="Arial"/>
          <w:b/>
          <w:color w:val="1E1544"/>
        </w:rPr>
      </w:pPr>
      <w:r w:rsidRPr="22C240F0">
        <w:rPr>
          <w:rFonts w:eastAsia="Arial" w:cs="Arial"/>
          <w:b/>
          <w:bCs/>
          <w:color w:val="1E1544"/>
        </w:rPr>
        <w:t>Last quarter, I entered my name and contact details at the start of the submission and thus I expected I would be the contact person. Could the reply email at the end be sent to me (my name and contact) rather than the person who was added to the users list most recently?</w:t>
      </w:r>
    </w:p>
    <w:p w14:paraId="178C5729" w14:textId="2C979B20" w:rsidR="004D7ACF" w:rsidRDefault="004D7ACF" w:rsidP="7684FD32">
      <w:pPr>
        <w:spacing w:after="240"/>
        <w:ind w:left="720"/>
        <w:rPr>
          <w:rFonts w:eastAsia="Arial" w:cs="Arial"/>
        </w:rPr>
      </w:pPr>
      <w:r w:rsidRPr="22C240F0">
        <w:rPr>
          <w:rFonts w:eastAsia="Arial" w:cs="Arial"/>
        </w:rPr>
        <w:t xml:space="preserve">The email </w:t>
      </w:r>
      <w:r w:rsidR="609E1187" w:rsidRPr="22C240F0">
        <w:rPr>
          <w:rFonts w:eastAsia="Arial" w:cs="Arial"/>
        </w:rPr>
        <w:t xml:space="preserve">that is </w:t>
      </w:r>
      <w:r w:rsidRPr="22C240F0">
        <w:rPr>
          <w:rFonts w:eastAsia="Arial" w:cs="Arial"/>
        </w:rPr>
        <w:t>receive</w:t>
      </w:r>
      <w:r w:rsidR="43C6DECB" w:rsidRPr="22C240F0">
        <w:rPr>
          <w:rFonts w:eastAsia="Arial" w:cs="Arial"/>
        </w:rPr>
        <w:t>d</w:t>
      </w:r>
      <w:r w:rsidRPr="22C240F0">
        <w:rPr>
          <w:rFonts w:eastAsia="Arial" w:cs="Arial"/>
        </w:rPr>
        <w:t xml:space="preserve"> upon submission </w:t>
      </w:r>
      <w:r w:rsidR="56F71501" w:rsidRPr="22C240F0">
        <w:rPr>
          <w:rFonts w:eastAsia="Arial" w:cs="Arial"/>
        </w:rPr>
        <w:t xml:space="preserve">is </w:t>
      </w:r>
      <w:r w:rsidRPr="22C240F0">
        <w:rPr>
          <w:rFonts w:eastAsia="Arial" w:cs="Arial"/>
        </w:rPr>
        <w:t xml:space="preserve">sent to the user who submitted the QFR, not the </w:t>
      </w:r>
      <w:r w:rsidR="32CCA263" w:rsidRPr="22C240F0">
        <w:rPr>
          <w:rFonts w:eastAsia="Arial" w:cs="Arial"/>
        </w:rPr>
        <w:t xml:space="preserve">contact person or person </w:t>
      </w:r>
      <w:r w:rsidRPr="22C240F0">
        <w:rPr>
          <w:rFonts w:eastAsia="Arial" w:cs="Arial"/>
        </w:rPr>
        <w:t xml:space="preserve">who was most recently added to the </w:t>
      </w:r>
      <w:r w:rsidR="6EF4B20A" w:rsidRPr="22C240F0">
        <w:rPr>
          <w:rFonts w:eastAsia="Arial" w:cs="Arial"/>
        </w:rPr>
        <w:t xml:space="preserve">contact </w:t>
      </w:r>
      <w:r w:rsidRPr="22C240F0">
        <w:rPr>
          <w:rFonts w:eastAsia="Arial" w:cs="Arial"/>
        </w:rPr>
        <w:t xml:space="preserve">list. </w:t>
      </w:r>
    </w:p>
    <w:p w14:paraId="7DF8825A" w14:textId="0DBEA9B7" w:rsidR="004D7ACF" w:rsidRPr="00B14E8C" w:rsidRDefault="004D7ACF" w:rsidP="006F370F">
      <w:pPr>
        <w:pStyle w:val="ListParagraph"/>
        <w:numPr>
          <w:ilvl w:val="1"/>
          <w:numId w:val="4"/>
        </w:numPr>
        <w:rPr>
          <w:rFonts w:eastAsia="Arial" w:cs="Arial"/>
          <w:b/>
          <w:color w:val="1E1544"/>
        </w:rPr>
      </w:pPr>
      <w:r w:rsidRPr="22C240F0">
        <w:rPr>
          <w:rFonts w:eastAsia="Arial" w:cs="Arial"/>
          <w:b/>
          <w:bCs/>
          <w:color w:val="1E1544"/>
        </w:rPr>
        <w:t>Can we have the director declaration reduced to one page only</w:t>
      </w:r>
      <w:r w:rsidR="006D0AA0" w:rsidRPr="22C240F0">
        <w:rPr>
          <w:rFonts w:eastAsia="Arial" w:cs="Arial"/>
          <w:b/>
          <w:bCs/>
          <w:color w:val="1E1544"/>
        </w:rPr>
        <w:t>?</w:t>
      </w:r>
    </w:p>
    <w:p w14:paraId="40F7FFBF" w14:textId="66817C56" w:rsidR="004D7ACF" w:rsidRDefault="004D7ACF" w:rsidP="7684FD32">
      <w:pPr>
        <w:spacing w:after="240"/>
        <w:ind w:left="720"/>
        <w:rPr>
          <w:rFonts w:eastAsia="Arial" w:cs="Arial"/>
        </w:rPr>
      </w:pPr>
      <w:r w:rsidRPr="7684FD32">
        <w:rPr>
          <w:rFonts w:eastAsia="Arial" w:cs="Arial"/>
        </w:rPr>
        <w:t xml:space="preserve">The </w:t>
      </w:r>
      <w:r w:rsidR="00294C59">
        <w:rPr>
          <w:rFonts w:eastAsia="Arial" w:cs="Arial"/>
        </w:rPr>
        <w:t>d</w:t>
      </w:r>
      <w:r w:rsidRPr="7684FD32">
        <w:rPr>
          <w:rFonts w:eastAsia="Arial" w:cs="Arial"/>
        </w:rPr>
        <w:t>epartment is currently considering how the director’s declaration can be modified to make re-submissions simpler. We will take your feedback into account in this process.</w:t>
      </w:r>
    </w:p>
    <w:p w14:paraId="051B1CC1" w14:textId="77777777" w:rsidR="004D7ACF" w:rsidRPr="00EE1DF9" w:rsidRDefault="004D7ACF" w:rsidP="006F370F">
      <w:pPr>
        <w:pStyle w:val="ListParagraph"/>
        <w:numPr>
          <w:ilvl w:val="1"/>
          <w:numId w:val="4"/>
        </w:numPr>
        <w:rPr>
          <w:rFonts w:eastAsia="Arial" w:cs="Arial"/>
          <w:b/>
          <w:color w:val="1E1544"/>
        </w:rPr>
      </w:pPr>
      <w:r w:rsidRPr="22C240F0">
        <w:rPr>
          <w:rFonts w:eastAsia="Arial" w:cs="Arial"/>
          <w:b/>
          <w:bCs/>
          <w:color w:val="1E1544"/>
        </w:rPr>
        <w:t>Regarding the template: Could it be populated with zeros by default? Then we would add data where necessary. I spend a lot of time entering zeros.</w:t>
      </w:r>
    </w:p>
    <w:p w14:paraId="11276DA7" w14:textId="78B01555" w:rsidR="004D7ACF" w:rsidRDefault="004D7ACF" w:rsidP="00404F4D">
      <w:pPr>
        <w:ind w:left="720"/>
        <w:rPr>
          <w:rFonts w:eastAsia="Arial" w:cs="Arial"/>
        </w:rPr>
      </w:pPr>
      <w:r w:rsidRPr="00AF594C">
        <w:rPr>
          <w:rFonts w:eastAsia="Arial" w:cs="Arial"/>
        </w:rPr>
        <w:t xml:space="preserve">The template is designed so that providers need to input a value in each field that is applicable to their care type. This ensures completeness of data and reduces the risk of data </w:t>
      </w:r>
      <w:r w:rsidR="002564D1" w:rsidRPr="00AF594C">
        <w:rPr>
          <w:rFonts w:eastAsia="Arial" w:cs="Arial"/>
        </w:rPr>
        <w:t>oversight.</w:t>
      </w:r>
      <w:r w:rsidR="002564D1">
        <w:rPr>
          <w:rFonts w:eastAsia="Arial" w:cs="Arial"/>
        </w:rPr>
        <w:t xml:space="preserve"> </w:t>
      </w:r>
      <w:r w:rsidR="002564D1" w:rsidRPr="00AF594C">
        <w:rPr>
          <w:rFonts w:eastAsia="Arial" w:cs="Arial"/>
        </w:rPr>
        <w:t>In</w:t>
      </w:r>
      <w:r w:rsidRPr="00AF594C">
        <w:rPr>
          <w:rFonts w:eastAsia="Arial" w:cs="Arial"/>
        </w:rPr>
        <w:t xml:space="preserve"> the quarterly financial statements tab, where you would expect to have zeros against segments that you do not operate, when providers select “No” to a segment, it results in all the values in that segment being populated automatically as a zero.</w:t>
      </w:r>
    </w:p>
    <w:p w14:paraId="30A64A27" w14:textId="3F3539E1" w:rsidR="004D7ACF" w:rsidRDefault="004D7ACF" w:rsidP="006F370F">
      <w:pPr>
        <w:pStyle w:val="ListParagraph"/>
        <w:numPr>
          <w:ilvl w:val="1"/>
          <w:numId w:val="4"/>
        </w:numPr>
        <w:rPr>
          <w:rFonts w:eastAsia="Arial" w:cs="Arial"/>
          <w:b/>
          <w:color w:val="1E1544"/>
        </w:rPr>
      </w:pPr>
      <w:r w:rsidRPr="22C240F0">
        <w:rPr>
          <w:rFonts w:eastAsia="Arial" w:cs="Arial"/>
          <w:b/>
          <w:bCs/>
          <w:color w:val="1E1544"/>
        </w:rPr>
        <w:t>Regarding the template: Could the columns for each location please stay in the same order</w:t>
      </w:r>
      <w:r w:rsidR="00A91F02" w:rsidRPr="22C240F0">
        <w:rPr>
          <w:rFonts w:eastAsia="Arial" w:cs="Arial"/>
          <w:b/>
          <w:bCs/>
          <w:color w:val="1E1544"/>
        </w:rPr>
        <w:t>?</w:t>
      </w:r>
      <w:r w:rsidRPr="22C240F0">
        <w:rPr>
          <w:rFonts w:eastAsia="Arial" w:cs="Arial"/>
          <w:b/>
          <w:bCs/>
          <w:color w:val="1E1544"/>
        </w:rPr>
        <w:t xml:space="preserve"> </w:t>
      </w:r>
    </w:p>
    <w:p w14:paraId="33B67D48" w14:textId="0C92BBF5" w:rsidR="645C0D57" w:rsidRDefault="004D7ACF" w:rsidP="00DE1584">
      <w:pPr>
        <w:ind w:left="720"/>
        <w:rPr>
          <w:rFonts w:eastAsia="Arial" w:cs="Arial"/>
        </w:rPr>
      </w:pPr>
      <w:r w:rsidRPr="004D3848">
        <w:rPr>
          <w:rFonts w:eastAsia="Arial" w:cs="Arial"/>
        </w:rPr>
        <w:t xml:space="preserve">In late February we made a system change, based on feedback we had previously received from providers, to make the order of the columns alphabetical. The columns will now remain alphabetical for </w:t>
      </w:r>
      <w:r w:rsidR="00404F4D">
        <w:rPr>
          <w:rFonts w:eastAsia="Arial" w:cs="Arial"/>
        </w:rPr>
        <w:t>Q</w:t>
      </w:r>
      <w:r w:rsidRPr="004D3848">
        <w:rPr>
          <w:rFonts w:eastAsia="Arial" w:cs="Arial"/>
        </w:rPr>
        <w:t>uarter 3.</w:t>
      </w:r>
    </w:p>
    <w:p w14:paraId="565E79DA" w14:textId="77777777" w:rsidR="00C66AAF" w:rsidRDefault="00C66AAF" w:rsidP="00DE1584">
      <w:pPr>
        <w:ind w:left="720"/>
      </w:pPr>
    </w:p>
    <w:p w14:paraId="36EF50C4" w14:textId="204D1B25" w:rsidR="002B4D51" w:rsidRDefault="00404F4D" w:rsidP="00404F4D">
      <w:pPr>
        <w:pStyle w:val="Heading3"/>
        <w:rPr>
          <w:rFonts w:eastAsia="Arial" w:cs="Arial"/>
        </w:rPr>
      </w:pPr>
      <w:bookmarkStart w:id="6" w:name="_Toc167712965"/>
      <w:r>
        <w:rPr>
          <w:rFonts w:eastAsia="Arial" w:cs="Arial"/>
        </w:rPr>
        <w:lastRenderedPageBreak/>
        <w:t xml:space="preserve">2. </w:t>
      </w:r>
      <w:r w:rsidR="00F912D0">
        <w:rPr>
          <w:rFonts w:eastAsia="Arial" w:cs="Arial"/>
        </w:rPr>
        <w:t xml:space="preserve">Year to date </w:t>
      </w:r>
      <w:r w:rsidR="00130FA6">
        <w:rPr>
          <w:rFonts w:eastAsia="Arial" w:cs="Arial"/>
        </w:rPr>
        <w:t>Financial Statements</w:t>
      </w:r>
      <w:bookmarkEnd w:id="6"/>
    </w:p>
    <w:p w14:paraId="29C1A830" w14:textId="0E4BACA0" w:rsidR="00130FA6" w:rsidRPr="00071C73" w:rsidRDefault="00130FA6" w:rsidP="006F370F">
      <w:pPr>
        <w:pStyle w:val="ListParagraph"/>
        <w:numPr>
          <w:ilvl w:val="1"/>
          <w:numId w:val="5"/>
        </w:numPr>
        <w:rPr>
          <w:rFonts w:eastAsia="Arial" w:cs="Arial"/>
          <w:b/>
          <w:bCs/>
          <w:color w:val="1E1544"/>
        </w:rPr>
      </w:pPr>
      <w:r w:rsidRPr="00071C73">
        <w:rPr>
          <w:rFonts w:eastAsia="Arial" w:cs="Arial"/>
          <w:b/>
          <w:bCs/>
          <w:color w:val="1E1544"/>
        </w:rPr>
        <w:t>What are the key ratios?</w:t>
      </w:r>
    </w:p>
    <w:p w14:paraId="50EB2181" w14:textId="77777777" w:rsidR="00130FA6" w:rsidRPr="00130FA6" w:rsidRDefault="00130FA6" w:rsidP="00130FA6">
      <w:pPr>
        <w:ind w:left="720"/>
        <w:rPr>
          <w:rFonts w:eastAsia="Arial" w:cs="Arial"/>
        </w:rPr>
      </w:pPr>
      <w:r w:rsidRPr="00130FA6">
        <w:rPr>
          <w:rFonts w:eastAsia="Arial" w:cs="Arial"/>
        </w:rPr>
        <w:t>The key ratios in the QFR are the liquidity ratio and the capital adequacy ratio. The liquidity ratio is the measure of a provider’s ability to meet their debt obligations (without raising external capital) if they were to become immediately due and payable. The capital adequacy ratio can be used as an indicator of a provider’s ability to absorb any unexpected losses through their net asset position.</w:t>
      </w:r>
    </w:p>
    <w:p w14:paraId="46F9F49B" w14:textId="3B693C56" w:rsidR="24915C89" w:rsidRDefault="00130FA6" w:rsidP="7684FD32">
      <w:pPr>
        <w:spacing w:after="240"/>
        <w:ind w:left="720"/>
        <w:rPr>
          <w:rFonts w:eastAsia="Arial" w:cs="Arial"/>
        </w:rPr>
      </w:pPr>
      <w:r w:rsidRPr="7684FD32">
        <w:rPr>
          <w:rFonts w:eastAsia="Arial" w:cs="Arial"/>
        </w:rPr>
        <w:t>The formulas for the ratios are provided in the QFR definitions file.</w:t>
      </w:r>
    </w:p>
    <w:p w14:paraId="52B938BA" w14:textId="20259F93" w:rsidR="00AA7C4E" w:rsidRDefault="00AA7C4E" w:rsidP="006F370F">
      <w:pPr>
        <w:pStyle w:val="ListParagraph"/>
        <w:numPr>
          <w:ilvl w:val="1"/>
          <w:numId w:val="5"/>
        </w:numPr>
        <w:rPr>
          <w:rFonts w:eastAsia="Arial" w:cs="Arial"/>
          <w:b/>
          <w:color w:val="1E1544"/>
        </w:rPr>
      </w:pPr>
      <w:r w:rsidRPr="00AA7C4E">
        <w:rPr>
          <w:rFonts w:eastAsia="Arial" w:cs="Arial"/>
          <w:b/>
          <w:color w:val="1E1544"/>
        </w:rPr>
        <w:t>Will new liquidity standard requirements be released and incorporated in QFR commencing in Q</w:t>
      </w:r>
      <w:r w:rsidR="00404F4D">
        <w:rPr>
          <w:rFonts w:eastAsia="Arial" w:cs="Arial"/>
          <w:b/>
          <w:color w:val="1E1544"/>
        </w:rPr>
        <w:t xml:space="preserve">uarter </w:t>
      </w:r>
      <w:r w:rsidRPr="00AA7C4E">
        <w:rPr>
          <w:rFonts w:eastAsia="Arial" w:cs="Arial"/>
          <w:b/>
          <w:color w:val="1E1544"/>
        </w:rPr>
        <w:t>1?</w:t>
      </w:r>
    </w:p>
    <w:p w14:paraId="31A96FCD" w14:textId="3583F837" w:rsidR="00AA7C4E" w:rsidRPr="00AA7C4E" w:rsidRDefault="00AA7C4E" w:rsidP="7684FD32">
      <w:pPr>
        <w:spacing w:after="240"/>
        <w:ind w:left="720"/>
        <w:rPr>
          <w:rFonts w:eastAsia="Arial" w:cs="Arial"/>
        </w:rPr>
      </w:pPr>
      <w:r w:rsidRPr="22C240F0">
        <w:rPr>
          <w:rFonts w:eastAsia="Arial" w:cs="Arial"/>
        </w:rPr>
        <w:t xml:space="preserve">As a provider, you must always have access to enough cash to meet your financial obligations. The updated liquidity arrangements are proposed for introduction with the new Aged Care Act as part of the Financial and Prudential Standards and will be rolled out to </w:t>
      </w:r>
      <w:r w:rsidR="7F3C5E34" w:rsidRPr="22C240F0">
        <w:rPr>
          <w:rFonts w:eastAsia="Arial" w:cs="Arial"/>
        </w:rPr>
        <w:t>p</w:t>
      </w:r>
      <w:r w:rsidRPr="22C240F0">
        <w:rPr>
          <w:rFonts w:eastAsia="Arial" w:cs="Arial"/>
        </w:rPr>
        <w:t xml:space="preserve">roviders </w:t>
      </w:r>
      <w:r w:rsidR="6844E6EB" w:rsidRPr="22C240F0">
        <w:rPr>
          <w:rFonts w:eastAsia="Arial" w:cs="Arial"/>
        </w:rPr>
        <w:t>at a future date</w:t>
      </w:r>
      <w:r w:rsidRPr="22C240F0">
        <w:rPr>
          <w:rFonts w:eastAsia="Arial" w:cs="Arial"/>
        </w:rPr>
        <w:t>.</w:t>
      </w:r>
    </w:p>
    <w:p w14:paraId="46F2EE25" w14:textId="5E679148" w:rsidR="3B532CFC" w:rsidRDefault="3B532CFC" w:rsidP="006F370F">
      <w:pPr>
        <w:pStyle w:val="ListParagraph"/>
        <w:numPr>
          <w:ilvl w:val="1"/>
          <w:numId w:val="5"/>
        </w:numPr>
        <w:rPr>
          <w:rFonts w:eastAsia="Arial" w:cs="Arial"/>
          <w:b/>
          <w:color w:val="1E1544"/>
        </w:rPr>
      </w:pPr>
      <w:r w:rsidRPr="5C793397">
        <w:rPr>
          <w:rFonts w:eastAsia="Arial" w:cs="Arial"/>
          <w:b/>
          <w:color w:val="1E1544"/>
        </w:rPr>
        <w:t xml:space="preserve">How will I know if the data being requested by the </w:t>
      </w:r>
      <w:r w:rsidR="00FF038B">
        <w:rPr>
          <w:rFonts w:eastAsia="Arial" w:cs="Arial"/>
          <w:b/>
          <w:color w:val="1E1544"/>
        </w:rPr>
        <w:t>d</w:t>
      </w:r>
      <w:r w:rsidRPr="5C793397">
        <w:rPr>
          <w:rFonts w:eastAsia="Arial" w:cs="Arial"/>
          <w:b/>
          <w:color w:val="1E1544"/>
        </w:rPr>
        <w:t xml:space="preserve">epartment is year to date, or quarterly </w:t>
      </w:r>
      <w:r w:rsidR="10429A87" w:rsidRPr="602295F9">
        <w:rPr>
          <w:rFonts w:eastAsia="Arial" w:cs="Arial"/>
          <w:b/>
          <w:bCs/>
          <w:color w:val="1E1544"/>
        </w:rPr>
        <w:t>for</w:t>
      </w:r>
      <w:r w:rsidRPr="5C793397">
        <w:rPr>
          <w:rFonts w:eastAsia="Arial" w:cs="Arial"/>
          <w:b/>
          <w:color w:val="1E1544"/>
        </w:rPr>
        <w:t xml:space="preserve"> the Quarterly Financial Statements form</w:t>
      </w:r>
      <w:r w:rsidRPr="0BAC23F0">
        <w:rPr>
          <w:rFonts w:eastAsia="Arial" w:cs="Arial"/>
          <w:b/>
          <w:bCs/>
          <w:color w:val="1E1544"/>
        </w:rPr>
        <w:t>?</w:t>
      </w:r>
      <w:r w:rsidRPr="5C793397">
        <w:rPr>
          <w:rFonts w:eastAsia="Arial" w:cs="Arial"/>
          <w:b/>
          <w:color w:val="1E1544"/>
        </w:rPr>
        <w:t xml:space="preserve"> </w:t>
      </w:r>
    </w:p>
    <w:p w14:paraId="52F616C9" w14:textId="5E199BC6" w:rsidR="3B532CFC" w:rsidRDefault="3B532CFC" w:rsidP="56550F25">
      <w:pPr>
        <w:ind w:left="720"/>
        <w:rPr>
          <w:rFonts w:eastAsia="Arial" w:cs="Arial"/>
        </w:rPr>
      </w:pPr>
      <w:r w:rsidRPr="6E47E68C">
        <w:rPr>
          <w:rFonts w:eastAsia="Arial" w:cs="Arial"/>
        </w:rPr>
        <w:t xml:space="preserve">The department </w:t>
      </w:r>
      <w:r w:rsidR="000F709B">
        <w:rPr>
          <w:rFonts w:eastAsia="Arial" w:cs="Arial"/>
        </w:rPr>
        <w:t xml:space="preserve">has renamed the </w:t>
      </w:r>
      <w:r w:rsidRPr="6E47E68C">
        <w:rPr>
          <w:rFonts w:eastAsia="Arial" w:cs="Arial"/>
        </w:rPr>
        <w:t xml:space="preserve">Quarterly Financial Statements page to “Year to Date financial statements” </w:t>
      </w:r>
      <w:r w:rsidR="00D95AB4">
        <w:rPr>
          <w:rFonts w:eastAsia="Arial" w:cs="Arial"/>
        </w:rPr>
        <w:t>to</w:t>
      </w:r>
      <w:r w:rsidRPr="6E47E68C">
        <w:rPr>
          <w:rFonts w:eastAsia="Arial" w:cs="Arial"/>
        </w:rPr>
        <w:t xml:space="preserve"> make it clear that management accounts reported in this section are year to date, not quarterly data.</w:t>
      </w:r>
      <w:r w:rsidR="7F913394" w:rsidRPr="06298222">
        <w:rPr>
          <w:rFonts w:eastAsia="Arial" w:cs="Arial"/>
        </w:rPr>
        <w:t xml:space="preserve"> </w:t>
      </w:r>
    </w:p>
    <w:p w14:paraId="188AAABB" w14:textId="2659A9BF" w:rsidR="1E3B2F49" w:rsidRDefault="00D95AB4" w:rsidP="00404F4D">
      <w:pPr>
        <w:ind w:left="720"/>
      </w:pPr>
      <w:r>
        <w:rPr>
          <w:rFonts w:eastAsia="Arial" w:cs="Arial"/>
        </w:rPr>
        <w:t xml:space="preserve">Further amendments are being made to the </w:t>
      </w:r>
      <w:r w:rsidR="1E3B2F49" w:rsidRPr="7EAF1BB5">
        <w:rPr>
          <w:rFonts w:eastAsia="Arial" w:cs="Arial"/>
        </w:rPr>
        <w:t>“</w:t>
      </w:r>
      <w:r w:rsidR="1E3B2F49" w:rsidRPr="07C5E9FB">
        <w:rPr>
          <w:rFonts w:eastAsia="Arial" w:cs="Arial"/>
        </w:rPr>
        <w:t xml:space="preserve">About this </w:t>
      </w:r>
      <w:r w:rsidR="1E3B2F49" w:rsidRPr="4413D047">
        <w:rPr>
          <w:rFonts w:eastAsia="Arial" w:cs="Arial"/>
        </w:rPr>
        <w:t>section</w:t>
      </w:r>
      <w:r w:rsidR="1E3B2F49" w:rsidRPr="57D3BC15">
        <w:rPr>
          <w:rFonts w:eastAsia="Arial" w:cs="Arial"/>
        </w:rPr>
        <w:t>”</w:t>
      </w:r>
      <w:r>
        <w:rPr>
          <w:rFonts w:eastAsia="Arial" w:cs="Arial"/>
        </w:rPr>
        <w:t xml:space="preserve"> text to</w:t>
      </w:r>
      <w:r w:rsidR="00D845A5">
        <w:rPr>
          <w:rFonts w:eastAsia="Arial" w:cs="Arial"/>
        </w:rPr>
        <w:t xml:space="preserve"> provide clarity</w:t>
      </w:r>
      <w:r w:rsidR="1E3B2F49" w:rsidRPr="57D3BC15">
        <w:rPr>
          <w:rFonts w:eastAsia="Arial" w:cs="Arial"/>
        </w:rPr>
        <w:t>.</w:t>
      </w:r>
    </w:p>
    <w:p w14:paraId="049D1BE0" w14:textId="463D70EA" w:rsidR="0060438A" w:rsidRPr="0060438A" w:rsidRDefault="0060438A" w:rsidP="006F370F">
      <w:pPr>
        <w:pStyle w:val="ListParagraph"/>
        <w:numPr>
          <w:ilvl w:val="1"/>
          <w:numId w:val="5"/>
        </w:numPr>
        <w:rPr>
          <w:rFonts w:eastAsia="Arial" w:cs="Arial"/>
          <w:b/>
          <w:color w:val="1E1544"/>
        </w:rPr>
      </w:pPr>
      <w:r w:rsidRPr="0060438A">
        <w:rPr>
          <w:rFonts w:eastAsia="Arial" w:cs="Arial"/>
          <w:b/>
          <w:color w:val="1E1544"/>
        </w:rPr>
        <w:t>Why are negative amounts not able to be submitted (e.g. due to correction journals processed, some account lines may have a negative balance for the quarter)</w:t>
      </w:r>
      <w:r w:rsidR="00FF038B">
        <w:rPr>
          <w:rFonts w:eastAsia="Arial" w:cs="Arial"/>
          <w:b/>
          <w:color w:val="1E1544"/>
        </w:rPr>
        <w:t>?</w:t>
      </w:r>
    </w:p>
    <w:p w14:paraId="08169219" w14:textId="0CA5581A" w:rsidR="001B61BE" w:rsidRDefault="00046171" w:rsidP="00046171">
      <w:pPr>
        <w:ind w:left="720"/>
        <w:rPr>
          <w:rFonts w:eastAsia="Arial" w:cs="Arial"/>
        </w:rPr>
      </w:pPr>
      <w:r w:rsidRPr="00046171">
        <w:rPr>
          <w:rFonts w:eastAsia="Arial" w:cs="Arial"/>
        </w:rPr>
        <w:t xml:space="preserve">Negative values are restricted in the system </w:t>
      </w:r>
      <w:r w:rsidR="00D845A5">
        <w:rPr>
          <w:rFonts w:eastAsia="Arial" w:cs="Arial"/>
        </w:rPr>
        <w:t>to</w:t>
      </w:r>
      <w:r w:rsidR="002364D9">
        <w:rPr>
          <w:rFonts w:eastAsia="Arial" w:cs="Arial"/>
        </w:rPr>
        <w:t xml:space="preserve"> </w:t>
      </w:r>
      <w:r w:rsidRPr="00046171">
        <w:rPr>
          <w:rFonts w:eastAsia="Arial" w:cs="Arial"/>
        </w:rPr>
        <w:t xml:space="preserve">reduce data input errors. </w:t>
      </w:r>
    </w:p>
    <w:p w14:paraId="7B5EEE8B" w14:textId="3F41AFCA" w:rsidR="00046171" w:rsidRDefault="00046171" w:rsidP="00046171">
      <w:pPr>
        <w:ind w:left="720"/>
        <w:rPr>
          <w:rFonts w:eastAsia="Arial" w:cs="Arial"/>
        </w:rPr>
      </w:pPr>
      <w:r w:rsidRPr="00046171">
        <w:rPr>
          <w:rFonts w:eastAsia="Arial" w:cs="Arial"/>
        </w:rPr>
        <w:t xml:space="preserve">Please input negative income as expenses, </w:t>
      </w:r>
      <w:r w:rsidR="00882827">
        <w:rPr>
          <w:rFonts w:eastAsia="Arial" w:cs="Arial"/>
        </w:rPr>
        <w:t xml:space="preserve">negative </w:t>
      </w:r>
      <w:r w:rsidRPr="00046171">
        <w:rPr>
          <w:rFonts w:eastAsia="Arial" w:cs="Arial"/>
        </w:rPr>
        <w:t>assets as liabilities, and vice versa</w:t>
      </w:r>
      <w:r w:rsidR="001B61BE">
        <w:rPr>
          <w:rFonts w:eastAsia="Arial" w:cs="Arial"/>
        </w:rPr>
        <w:t xml:space="preserve"> in the </w:t>
      </w:r>
      <w:r w:rsidR="00EF0072">
        <w:rPr>
          <w:rFonts w:eastAsia="Arial" w:cs="Arial"/>
        </w:rPr>
        <w:t>YTD Financial Statements</w:t>
      </w:r>
      <w:r w:rsidR="001B61BE">
        <w:rPr>
          <w:rFonts w:eastAsia="Arial" w:cs="Arial"/>
        </w:rPr>
        <w:t xml:space="preserve"> form</w:t>
      </w:r>
      <w:r w:rsidRPr="00046171">
        <w:rPr>
          <w:rFonts w:eastAsia="Arial" w:cs="Arial"/>
        </w:rPr>
        <w:t>.</w:t>
      </w:r>
    </w:p>
    <w:p w14:paraId="3B2C9EBC" w14:textId="72A1E2F2" w:rsidR="000C53A6" w:rsidRPr="001B4FBB" w:rsidRDefault="00FC2B58" w:rsidP="7684FD32">
      <w:pPr>
        <w:spacing w:after="240"/>
        <w:ind w:left="720"/>
        <w:rPr>
          <w:rFonts w:eastAsia="Arial" w:cs="Arial"/>
        </w:rPr>
      </w:pPr>
      <w:r w:rsidRPr="7684FD32">
        <w:rPr>
          <w:rFonts w:eastAsia="Arial" w:cs="Arial"/>
        </w:rPr>
        <w:t xml:space="preserve">For the </w:t>
      </w:r>
      <w:r w:rsidR="00E3369B">
        <w:rPr>
          <w:rFonts w:eastAsia="Arial" w:cs="Arial"/>
        </w:rPr>
        <w:t>l</w:t>
      </w:r>
      <w:r w:rsidRPr="7684FD32">
        <w:rPr>
          <w:rFonts w:eastAsia="Arial" w:cs="Arial"/>
        </w:rPr>
        <w:t xml:space="preserve">abour </w:t>
      </w:r>
      <w:r w:rsidR="00E3369B">
        <w:rPr>
          <w:rFonts w:eastAsia="Arial" w:cs="Arial"/>
        </w:rPr>
        <w:t>c</w:t>
      </w:r>
      <w:r w:rsidRPr="7684FD32">
        <w:rPr>
          <w:rFonts w:eastAsia="Arial" w:cs="Arial"/>
        </w:rPr>
        <w:t xml:space="preserve">ost and </w:t>
      </w:r>
      <w:r w:rsidR="00E3369B">
        <w:rPr>
          <w:rFonts w:eastAsia="Arial" w:cs="Arial"/>
        </w:rPr>
        <w:t>hours</w:t>
      </w:r>
      <w:r w:rsidRPr="7684FD32">
        <w:rPr>
          <w:rFonts w:eastAsia="Arial" w:cs="Arial"/>
        </w:rPr>
        <w:t xml:space="preserve"> and </w:t>
      </w:r>
      <w:r w:rsidR="00E3369B">
        <w:rPr>
          <w:rFonts w:eastAsia="Arial" w:cs="Arial"/>
        </w:rPr>
        <w:t>f</w:t>
      </w:r>
      <w:r w:rsidRPr="7684FD32">
        <w:rPr>
          <w:rFonts w:eastAsia="Arial" w:cs="Arial"/>
        </w:rPr>
        <w:t xml:space="preserve">ood and </w:t>
      </w:r>
      <w:r w:rsidR="00E3369B">
        <w:rPr>
          <w:rFonts w:eastAsia="Arial" w:cs="Arial"/>
        </w:rPr>
        <w:t>n</w:t>
      </w:r>
      <w:r w:rsidRPr="7684FD32">
        <w:rPr>
          <w:rFonts w:eastAsia="Arial" w:cs="Arial"/>
        </w:rPr>
        <w:t xml:space="preserve">utrition </w:t>
      </w:r>
      <w:r w:rsidR="00E3369B">
        <w:rPr>
          <w:rFonts w:eastAsia="Arial" w:cs="Arial"/>
        </w:rPr>
        <w:t>f</w:t>
      </w:r>
      <w:r w:rsidRPr="7684FD32">
        <w:rPr>
          <w:rFonts w:eastAsia="Arial" w:cs="Arial"/>
        </w:rPr>
        <w:t>orm</w:t>
      </w:r>
      <w:r w:rsidR="00E3369B">
        <w:rPr>
          <w:rFonts w:eastAsia="Arial" w:cs="Arial"/>
        </w:rPr>
        <w:t>s</w:t>
      </w:r>
      <w:r w:rsidRPr="7684FD32">
        <w:rPr>
          <w:rFonts w:eastAsia="Arial" w:cs="Arial"/>
        </w:rPr>
        <w:t>, p</w:t>
      </w:r>
      <w:r w:rsidR="001B61BE" w:rsidRPr="7684FD32">
        <w:rPr>
          <w:rFonts w:eastAsia="Arial" w:cs="Arial"/>
        </w:rPr>
        <w:t xml:space="preserve">lease do not post adjustment journals for an earlier quarter in the current quarter’s </w:t>
      </w:r>
      <w:r w:rsidR="00D00543" w:rsidRPr="7684FD32">
        <w:rPr>
          <w:rFonts w:eastAsia="Arial" w:cs="Arial"/>
        </w:rPr>
        <w:t xml:space="preserve">submission. This will distort the actual expenditure and hours for the current </w:t>
      </w:r>
      <w:r w:rsidR="00361703" w:rsidRPr="7684FD32">
        <w:rPr>
          <w:rFonts w:eastAsia="Arial" w:cs="Arial"/>
        </w:rPr>
        <w:t>period</w:t>
      </w:r>
      <w:r w:rsidR="006D165A" w:rsidRPr="7684FD32">
        <w:rPr>
          <w:rFonts w:eastAsia="Arial" w:cs="Arial"/>
        </w:rPr>
        <w:t>.</w:t>
      </w:r>
    </w:p>
    <w:p w14:paraId="76890E37" w14:textId="477FB191" w:rsidR="000C53A6" w:rsidRDefault="001B4FBB" w:rsidP="006F370F">
      <w:pPr>
        <w:pStyle w:val="ListParagraph"/>
        <w:numPr>
          <w:ilvl w:val="1"/>
          <w:numId w:val="5"/>
        </w:numPr>
        <w:rPr>
          <w:rFonts w:eastAsia="Arial" w:cs="Arial"/>
          <w:b/>
          <w:color w:val="1E1544"/>
        </w:rPr>
      </w:pPr>
      <w:r>
        <w:rPr>
          <w:rFonts w:eastAsia="Arial" w:cs="Arial"/>
          <w:b/>
          <w:color w:val="1E1544"/>
        </w:rPr>
        <w:t xml:space="preserve">Regarding the </w:t>
      </w:r>
      <w:r w:rsidR="000C53A6" w:rsidRPr="000C53A6">
        <w:rPr>
          <w:rFonts w:eastAsia="Arial" w:cs="Arial"/>
          <w:b/>
          <w:color w:val="1E1544"/>
        </w:rPr>
        <w:t>YTD Financial Statements. We have</w:t>
      </w:r>
      <w:r w:rsidR="000C53A6">
        <w:rPr>
          <w:rFonts w:eastAsia="Arial" w:cs="Arial"/>
          <w:b/>
          <w:color w:val="1E1544"/>
        </w:rPr>
        <w:t xml:space="preserve"> </w:t>
      </w:r>
      <w:r w:rsidR="000C53A6" w:rsidRPr="000C53A6">
        <w:rPr>
          <w:rFonts w:eastAsia="Arial" w:cs="Arial"/>
          <w:b/>
          <w:color w:val="1E1544"/>
        </w:rPr>
        <w:t xml:space="preserve">one </w:t>
      </w:r>
      <w:r w:rsidR="00E5259A">
        <w:rPr>
          <w:rFonts w:eastAsia="Arial" w:cs="Arial"/>
          <w:b/>
          <w:color w:val="1E1544"/>
        </w:rPr>
        <w:t>r</w:t>
      </w:r>
      <w:r w:rsidR="000C53A6" w:rsidRPr="000C53A6">
        <w:rPr>
          <w:rFonts w:eastAsia="Arial" w:cs="Arial"/>
          <w:b/>
          <w:color w:val="1E1544"/>
        </w:rPr>
        <w:t xml:space="preserve">esidential </w:t>
      </w:r>
      <w:r w:rsidR="00E5259A">
        <w:rPr>
          <w:rFonts w:eastAsia="Arial" w:cs="Arial"/>
          <w:b/>
          <w:color w:val="1E1544"/>
        </w:rPr>
        <w:t>a</w:t>
      </w:r>
      <w:r w:rsidR="000C53A6" w:rsidRPr="000C53A6">
        <w:rPr>
          <w:rFonts w:eastAsia="Arial" w:cs="Arial"/>
          <w:b/>
          <w:color w:val="1E1544"/>
        </w:rPr>
        <w:t xml:space="preserve">ged </w:t>
      </w:r>
      <w:r w:rsidR="00E5259A">
        <w:rPr>
          <w:rFonts w:eastAsia="Arial" w:cs="Arial"/>
          <w:b/>
          <w:color w:val="1E1544"/>
        </w:rPr>
        <w:t>c</w:t>
      </w:r>
      <w:r w:rsidR="000C53A6" w:rsidRPr="000C53A6">
        <w:rPr>
          <w:rFonts w:eastAsia="Arial" w:cs="Arial"/>
          <w:b/>
          <w:color w:val="1E1544"/>
        </w:rPr>
        <w:t xml:space="preserve">are </w:t>
      </w:r>
      <w:r w:rsidR="00E5259A">
        <w:rPr>
          <w:rFonts w:eastAsia="Arial" w:cs="Arial"/>
          <w:b/>
          <w:color w:val="1E1544"/>
        </w:rPr>
        <w:t>f</w:t>
      </w:r>
      <w:r w:rsidR="000C53A6" w:rsidRPr="000C53A6">
        <w:rPr>
          <w:rFonts w:eastAsia="Arial" w:cs="Arial"/>
          <w:b/>
          <w:color w:val="1E1544"/>
        </w:rPr>
        <w:t>acility</w:t>
      </w:r>
      <w:r w:rsidR="000C53A6">
        <w:rPr>
          <w:rFonts w:eastAsia="Arial" w:cs="Arial"/>
          <w:b/>
          <w:color w:val="1E1544"/>
        </w:rPr>
        <w:t>,</w:t>
      </w:r>
      <w:r w:rsidR="000C53A6" w:rsidRPr="000C53A6">
        <w:rPr>
          <w:rFonts w:eastAsia="Arial" w:cs="Arial"/>
          <w:b/>
          <w:color w:val="1E1544"/>
        </w:rPr>
        <w:t xml:space="preserve"> </w:t>
      </w:r>
      <w:r w:rsidR="00E5259A">
        <w:rPr>
          <w:rFonts w:eastAsia="Arial" w:cs="Arial"/>
          <w:b/>
          <w:color w:val="1E1544"/>
        </w:rPr>
        <w:t>c</w:t>
      </w:r>
      <w:r w:rsidR="000C53A6" w:rsidRPr="000C53A6">
        <w:rPr>
          <w:rFonts w:eastAsia="Arial" w:cs="Arial"/>
          <w:b/>
          <w:color w:val="1E1544"/>
        </w:rPr>
        <w:t>hild</w:t>
      </w:r>
      <w:r w:rsidR="00E5259A">
        <w:rPr>
          <w:rFonts w:eastAsia="Arial" w:cs="Arial"/>
          <w:b/>
          <w:color w:val="1E1544"/>
        </w:rPr>
        <w:t>c</w:t>
      </w:r>
      <w:r w:rsidR="000C53A6" w:rsidRPr="000C53A6">
        <w:rPr>
          <w:rFonts w:eastAsia="Arial" w:cs="Arial"/>
          <w:b/>
          <w:color w:val="1E1544"/>
        </w:rPr>
        <w:t xml:space="preserve">are, </w:t>
      </w:r>
      <w:r w:rsidR="00E5259A">
        <w:rPr>
          <w:rFonts w:eastAsia="Arial" w:cs="Arial"/>
          <w:b/>
          <w:color w:val="1E1544"/>
        </w:rPr>
        <w:t>e</w:t>
      </w:r>
      <w:r w:rsidR="000C53A6" w:rsidRPr="000C53A6">
        <w:rPr>
          <w:rFonts w:eastAsia="Arial" w:cs="Arial"/>
          <w:b/>
          <w:color w:val="1E1544"/>
        </w:rPr>
        <w:t>ducation,</w:t>
      </w:r>
      <w:r w:rsidR="000C53A6">
        <w:rPr>
          <w:rFonts w:eastAsia="Arial" w:cs="Arial"/>
          <w:b/>
          <w:color w:val="1E1544"/>
        </w:rPr>
        <w:t xml:space="preserve"> </w:t>
      </w:r>
      <w:r w:rsidR="00E5259A">
        <w:rPr>
          <w:rFonts w:eastAsia="Arial" w:cs="Arial"/>
          <w:b/>
          <w:color w:val="1E1544"/>
        </w:rPr>
        <w:t>w</w:t>
      </w:r>
      <w:r w:rsidR="000C53A6" w:rsidRPr="000C53A6">
        <w:rPr>
          <w:rFonts w:eastAsia="Arial" w:cs="Arial"/>
          <w:b/>
          <w:color w:val="1E1544"/>
        </w:rPr>
        <w:t xml:space="preserve">elfare etc. I report figures in the </w:t>
      </w:r>
      <w:r w:rsidR="00E5259A">
        <w:rPr>
          <w:rFonts w:eastAsia="Arial" w:cs="Arial"/>
          <w:b/>
          <w:color w:val="1E1544"/>
        </w:rPr>
        <w:t>r</w:t>
      </w:r>
      <w:r w:rsidR="000C53A6" w:rsidRPr="000C53A6">
        <w:rPr>
          <w:rFonts w:eastAsia="Arial" w:cs="Arial"/>
          <w:b/>
          <w:color w:val="1E1544"/>
        </w:rPr>
        <w:t xml:space="preserve">esidential column and </w:t>
      </w:r>
      <w:r w:rsidR="00E5259A">
        <w:rPr>
          <w:rFonts w:eastAsia="Arial" w:cs="Arial"/>
          <w:b/>
          <w:color w:val="1E1544"/>
        </w:rPr>
        <w:t>c</w:t>
      </w:r>
      <w:r w:rsidR="000C53A6" w:rsidRPr="000C53A6">
        <w:rPr>
          <w:rFonts w:eastAsia="Arial" w:cs="Arial"/>
          <w:b/>
          <w:color w:val="1E1544"/>
        </w:rPr>
        <w:t xml:space="preserve">ommunity </w:t>
      </w:r>
      <w:r w:rsidR="008E3E66">
        <w:rPr>
          <w:rFonts w:eastAsia="Arial" w:cs="Arial"/>
          <w:b/>
          <w:color w:val="1E1544"/>
        </w:rPr>
        <w:t>c</w:t>
      </w:r>
      <w:r w:rsidR="000C53A6" w:rsidRPr="000C53A6">
        <w:rPr>
          <w:rFonts w:eastAsia="Arial" w:cs="Arial"/>
          <w:b/>
          <w:color w:val="1E1544"/>
        </w:rPr>
        <w:t xml:space="preserve">olumn.  Can I report on the </w:t>
      </w:r>
      <w:r w:rsidR="00E5259A">
        <w:rPr>
          <w:rFonts w:eastAsia="Arial" w:cs="Arial"/>
          <w:b/>
          <w:color w:val="1E1544"/>
        </w:rPr>
        <w:t>p</w:t>
      </w:r>
      <w:r w:rsidR="000C53A6" w:rsidRPr="000C53A6">
        <w:rPr>
          <w:rFonts w:eastAsia="Arial" w:cs="Arial"/>
          <w:b/>
          <w:color w:val="1E1544"/>
        </w:rPr>
        <w:t xml:space="preserve">rovider's </w:t>
      </w:r>
      <w:r w:rsidR="00E5259A">
        <w:rPr>
          <w:rFonts w:eastAsia="Arial" w:cs="Arial"/>
          <w:b/>
          <w:color w:val="1E1544"/>
        </w:rPr>
        <w:t>l</w:t>
      </w:r>
      <w:r w:rsidR="000C53A6" w:rsidRPr="000C53A6">
        <w:rPr>
          <w:rFonts w:eastAsia="Arial" w:cs="Arial"/>
          <w:b/>
          <w:color w:val="1E1544"/>
        </w:rPr>
        <w:t xml:space="preserve">evel only without having to enter any figures in the </w:t>
      </w:r>
      <w:r w:rsidR="00E5259A">
        <w:rPr>
          <w:rFonts w:eastAsia="Arial" w:cs="Arial"/>
          <w:b/>
          <w:color w:val="1E1544"/>
        </w:rPr>
        <w:t>r</w:t>
      </w:r>
      <w:r w:rsidR="000C53A6" w:rsidRPr="000C53A6">
        <w:rPr>
          <w:rFonts w:eastAsia="Arial" w:cs="Arial"/>
          <w:b/>
          <w:color w:val="1E1544"/>
        </w:rPr>
        <w:t>esidential section?</w:t>
      </w:r>
    </w:p>
    <w:p w14:paraId="4C81001E" w14:textId="2F0295B9" w:rsidR="00717A99" w:rsidRPr="00717A99" w:rsidRDefault="00717A99" w:rsidP="00717A99">
      <w:pPr>
        <w:ind w:left="720"/>
        <w:rPr>
          <w:rFonts w:eastAsia="Arial" w:cs="Arial"/>
        </w:rPr>
      </w:pPr>
      <w:r w:rsidRPr="00717A99">
        <w:rPr>
          <w:rFonts w:eastAsia="Arial" w:cs="Arial"/>
        </w:rPr>
        <w:t xml:space="preserve">Please continue to segment your data based on those categories. By separating the values out into </w:t>
      </w:r>
      <w:r w:rsidR="00E5259A">
        <w:rPr>
          <w:rFonts w:eastAsia="Arial" w:cs="Arial"/>
        </w:rPr>
        <w:t>r</w:t>
      </w:r>
      <w:r w:rsidRPr="00717A99">
        <w:rPr>
          <w:rFonts w:eastAsia="Arial" w:cs="Arial"/>
        </w:rPr>
        <w:t xml:space="preserve">esidential, </w:t>
      </w:r>
      <w:r w:rsidR="00E5259A">
        <w:rPr>
          <w:rFonts w:eastAsia="Arial" w:cs="Arial"/>
        </w:rPr>
        <w:t>c</w:t>
      </w:r>
      <w:r w:rsidRPr="00717A99">
        <w:rPr>
          <w:rFonts w:eastAsia="Arial" w:cs="Arial"/>
        </w:rPr>
        <w:t xml:space="preserve">ommunity, </w:t>
      </w:r>
      <w:r w:rsidR="00E5259A">
        <w:rPr>
          <w:rFonts w:eastAsia="Arial" w:cs="Arial"/>
        </w:rPr>
        <w:t>h</w:t>
      </w:r>
      <w:r w:rsidRPr="00717A99">
        <w:rPr>
          <w:rFonts w:eastAsia="Arial" w:cs="Arial"/>
        </w:rPr>
        <w:t xml:space="preserve">ome </w:t>
      </w:r>
      <w:r w:rsidR="00E5259A">
        <w:rPr>
          <w:rFonts w:eastAsia="Arial" w:cs="Arial"/>
        </w:rPr>
        <w:t>c</w:t>
      </w:r>
      <w:r w:rsidRPr="00717A99">
        <w:rPr>
          <w:rFonts w:eastAsia="Arial" w:cs="Arial"/>
        </w:rPr>
        <w:t>are, etc., you are enabling the department to better monitor the financial performance of the sector. This ensures that government can accurately cost and fund the aged care sector</w:t>
      </w:r>
      <w:r w:rsidR="008E3E66">
        <w:rPr>
          <w:rFonts w:eastAsia="Arial" w:cs="Arial"/>
        </w:rPr>
        <w:t>.</w:t>
      </w:r>
    </w:p>
    <w:p w14:paraId="2A45239E" w14:textId="65C62FD4" w:rsidR="002B4D51" w:rsidRDefault="00404F4D" w:rsidP="00404F4D">
      <w:pPr>
        <w:pStyle w:val="Heading3"/>
        <w:rPr>
          <w:rFonts w:eastAsia="Arial" w:cs="Arial"/>
        </w:rPr>
      </w:pPr>
      <w:bookmarkStart w:id="7" w:name="_Toc167712966"/>
      <w:r>
        <w:rPr>
          <w:rFonts w:eastAsia="Arial" w:cs="Arial"/>
        </w:rPr>
        <w:lastRenderedPageBreak/>
        <w:t xml:space="preserve">3. </w:t>
      </w:r>
      <w:r w:rsidR="002B4D51">
        <w:rPr>
          <w:rFonts w:eastAsia="Arial" w:cs="Arial"/>
        </w:rPr>
        <w:t xml:space="preserve">Residential </w:t>
      </w:r>
      <w:r w:rsidR="00EF303B">
        <w:rPr>
          <w:rFonts w:eastAsia="Arial" w:cs="Arial"/>
        </w:rPr>
        <w:t>c</w:t>
      </w:r>
      <w:r w:rsidR="002B4D51">
        <w:rPr>
          <w:rFonts w:eastAsia="Arial" w:cs="Arial"/>
        </w:rPr>
        <w:t xml:space="preserve">are </w:t>
      </w:r>
      <w:r w:rsidR="00EF303B">
        <w:rPr>
          <w:rFonts w:eastAsia="Arial" w:cs="Arial"/>
        </w:rPr>
        <w:t>l</w:t>
      </w:r>
      <w:r w:rsidR="002B4D51" w:rsidRPr="1EFE4932">
        <w:rPr>
          <w:rFonts w:eastAsia="Arial" w:cs="Arial"/>
        </w:rPr>
        <w:t xml:space="preserve">abour </w:t>
      </w:r>
      <w:r w:rsidR="00EF303B">
        <w:rPr>
          <w:rFonts w:eastAsia="Arial" w:cs="Arial"/>
        </w:rPr>
        <w:t>c</w:t>
      </w:r>
      <w:r w:rsidR="002B4D51" w:rsidRPr="1EFE4932">
        <w:rPr>
          <w:rFonts w:eastAsia="Arial" w:cs="Arial"/>
        </w:rPr>
        <w:t xml:space="preserve">ost </w:t>
      </w:r>
      <w:r w:rsidR="002B4D51" w:rsidRPr="626B6BF6">
        <w:rPr>
          <w:rFonts w:eastAsia="Arial" w:cs="Arial"/>
        </w:rPr>
        <w:t xml:space="preserve">and </w:t>
      </w:r>
      <w:r w:rsidR="00EF303B">
        <w:rPr>
          <w:rFonts w:eastAsia="Arial" w:cs="Arial"/>
        </w:rPr>
        <w:t>h</w:t>
      </w:r>
      <w:r w:rsidR="002B4D51" w:rsidRPr="626B6BF6">
        <w:rPr>
          <w:rFonts w:eastAsia="Arial" w:cs="Arial"/>
        </w:rPr>
        <w:t>ours</w:t>
      </w:r>
      <w:bookmarkEnd w:id="7"/>
    </w:p>
    <w:p w14:paraId="30D42D1D" w14:textId="43A9B814" w:rsidR="00C80B88" w:rsidRPr="00071C73" w:rsidRDefault="00C80B88" w:rsidP="006F370F">
      <w:pPr>
        <w:pStyle w:val="ListParagraph"/>
        <w:numPr>
          <w:ilvl w:val="1"/>
          <w:numId w:val="6"/>
        </w:numPr>
        <w:rPr>
          <w:rFonts w:eastAsia="Arial" w:cs="Arial"/>
          <w:b/>
          <w:color w:val="1E1544"/>
        </w:rPr>
      </w:pPr>
      <w:r w:rsidRPr="00071C73">
        <w:rPr>
          <w:rFonts w:eastAsia="Arial" w:cs="Arial"/>
          <w:b/>
          <w:color w:val="1E1544"/>
        </w:rPr>
        <w:t>Can the QFR show the calculated hourly rates once the data (care cost and care hours data) is entered so that we can check they look correct before lodging?</w:t>
      </w:r>
    </w:p>
    <w:p w14:paraId="42418A97" w14:textId="6D6207E4" w:rsidR="0098797D" w:rsidRPr="00DA2A59" w:rsidRDefault="0066587A" w:rsidP="0098797D">
      <w:pPr>
        <w:ind w:left="720"/>
        <w:rPr>
          <w:rFonts w:eastAsia="Arial" w:cs="Arial"/>
        </w:rPr>
      </w:pPr>
      <w:r w:rsidRPr="00DA2A59">
        <w:rPr>
          <w:rFonts w:eastAsia="Arial" w:cs="Arial"/>
        </w:rPr>
        <w:t xml:space="preserve">Hourly </w:t>
      </w:r>
      <w:r w:rsidR="00E92E10" w:rsidRPr="00DA2A59">
        <w:rPr>
          <w:rFonts w:eastAsia="Arial" w:cs="Arial"/>
        </w:rPr>
        <w:t>w</w:t>
      </w:r>
      <w:r w:rsidRPr="00DA2A59">
        <w:rPr>
          <w:rFonts w:eastAsia="Arial" w:cs="Arial"/>
        </w:rPr>
        <w:t xml:space="preserve">age </w:t>
      </w:r>
      <w:r w:rsidR="00E92E10" w:rsidRPr="00DA2A59">
        <w:rPr>
          <w:rFonts w:eastAsia="Arial" w:cs="Arial"/>
        </w:rPr>
        <w:t>r</w:t>
      </w:r>
      <w:r w:rsidRPr="00DA2A59">
        <w:rPr>
          <w:rFonts w:eastAsia="Arial" w:cs="Arial"/>
        </w:rPr>
        <w:t>ates</w:t>
      </w:r>
      <w:r w:rsidR="003C2C08" w:rsidRPr="00DA2A59">
        <w:rPr>
          <w:rFonts w:eastAsia="Arial" w:cs="Arial"/>
        </w:rPr>
        <w:t xml:space="preserve"> (collected in the Form for RN, EN, PCWs)</w:t>
      </w:r>
      <w:r w:rsidRPr="00DA2A59">
        <w:rPr>
          <w:rFonts w:eastAsia="Arial" w:cs="Arial"/>
        </w:rPr>
        <w:t xml:space="preserve"> are not the same as the </w:t>
      </w:r>
      <w:r w:rsidR="00625B24" w:rsidRPr="00DA2A59">
        <w:rPr>
          <w:rFonts w:eastAsia="Arial" w:cs="Arial"/>
        </w:rPr>
        <w:t>d</w:t>
      </w:r>
      <w:r w:rsidR="004B47DE" w:rsidRPr="00DA2A59">
        <w:rPr>
          <w:rFonts w:eastAsia="Arial" w:cs="Arial"/>
        </w:rPr>
        <w:t xml:space="preserve">irect </w:t>
      </w:r>
      <w:r w:rsidR="00625B24" w:rsidRPr="00DA2A59">
        <w:rPr>
          <w:rFonts w:eastAsia="Arial" w:cs="Arial"/>
        </w:rPr>
        <w:t>c</w:t>
      </w:r>
      <w:r w:rsidRPr="00DA2A59">
        <w:rPr>
          <w:rFonts w:eastAsia="Arial" w:cs="Arial"/>
        </w:rPr>
        <w:t xml:space="preserve">are </w:t>
      </w:r>
      <w:r w:rsidR="00625B24" w:rsidRPr="00DA2A59">
        <w:rPr>
          <w:rFonts w:eastAsia="Arial" w:cs="Arial"/>
        </w:rPr>
        <w:t>c</w:t>
      </w:r>
      <w:r w:rsidRPr="00DA2A59">
        <w:rPr>
          <w:rFonts w:eastAsia="Arial" w:cs="Arial"/>
        </w:rPr>
        <w:t xml:space="preserve">osts </w:t>
      </w:r>
      <w:r w:rsidR="00625B24" w:rsidRPr="00DA2A59">
        <w:rPr>
          <w:rFonts w:eastAsia="Arial" w:cs="Arial"/>
        </w:rPr>
        <w:t>d</w:t>
      </w:r>
      <w:r w:rsidRPr="00DA2A59">
        <w:rPr>
          <w:rFonts w:eastAsia="Arial" w:cs="Arial"/>
        </w:rPr>
        <w:t xml:space="preserve">ivided by </w:t>
      </w:r>
      <w:r w:rsidR="00625B24" w:rsidRPr="00DA2A59">
        <w:rPr>
          <w:rFonts w:eastAsia="Arial" w:cs="Arial"/>
        </w:rPr>
        <w:t>d</w:t>
      </w:r>
      <w:r w:rsidR="004B47DE" w:rsidRPr="00DA2A59">
        <w:rPr>
          <w:rFonts w:eastAsia="Arial" w:cs="Arial"/>
        </w:rPr>
        <w:t xml:space="preserve">irect </w:t>
      </w:r>
      <w:r w:rsidR="00625B24" w:rsidRPr="00DA2A59">
        <w:rPr>
          <w:rFonts w:eastAsia="Arial" w:cs="Arial"/>
        </w:rPr>
        <w:t>c</w:t>
      </w:r>
      <w:r w:rsidRPr="00DA2A59">
        <w:rPr>
          <w:rFonts w:eastAsia="Arial" w:cs="Arial"/>
        </w:rPr>
        <w:t xml:space="preserve">are </w:t>
      </w:r>
      <w:r w:rsidR="00625B24" w:rsidRPr="00DA2A59">
        <w:rPr>
          <w:rFonts w:eastAsia="Arial" w:cs="Arial"/>
        </w:rPr>
        <w:t>h</w:t>
      </w:r>
      <w:r w:rsidRPr="00DA2A59">
        <w:rPr>
          <w:rFonts w:eastAsia="Arial" w:cs="Arial"/>
        </w:rPr>
        <w:t>ours</w:t>
      </w:r>
      <w:r w:rsidR="004B47DE" w:rsidRPr="00DA2A59">
        <w:rPr>
          <w:rFonts w:eastAsia="Arial" w:cs="Arial"/>
        </w:rPr>
        <w:t>.</w:t>
      </w:r>
      <w:r w:rsidRPr="00DA2A59">
        <w:rPr>
          <w:rFonts w:eastAsia="Arial" w:cs="Arial"/>
        </w:rPr>
        <w:t xml:space="preserve"> </w:t>
      </w:r>
      <w:r w:rsidR="003C2C08" w:rsidRPr="00DA2A59">
        <w:rPr>
          <w:rFonts w:eastAsia="Arial" w:cs="Arial"/>
        </w:rPr>
        <w:t xml:space="preserve">Hourly </w:t>
      </w:r>
      <w:r w:rsidR="00625B24" w:rsidRPr="00DA2A59">
        <w:rPr>
          <w:rFonts w:eastAsia="Arial" w:cs="Arial"/>
        </w:rPr>
        <w:t>w</w:t>
      </w:r>
      <w:r w:rsidRPr="00DA2A59">
        <w:rPr>
          <w:rFonts w:eastAsia="Arial" w:cs="Arial"/>
        </w:rPr>
        <w:t xml:space="preserve">age </w:t>
      </w:r>
      <w:r w:rsidR="00625B24" w:rsidRPr="00DA2A59">
        <w:rPr>
          <w:rFonts w:eastAsia="Arial" w:cs="Arial"/>
        </w:rPr>
        <w:t>r</w:t>
      </w:r>
      <w:r w:rsidRPr="00DA2A59">
        <w:rPr>
          <w:rFonts w:eastAsia="Arial" w:cs="Arial"/>
        </w:rPr>
        <w:t>ates do not include on-costs</w:t>
      </w:r>
      <w:r w:rsidR="0061358B" w:rsidRPr="00DA2A59">
        <w:rPr>
          <w:rFonts w:eastAsia="Arial" w:cs="Arial"/>
        </w:rPr>
        <w:t xml:space="preserve"> such as </w:t>
      </w:r>
      <w:r w:rsidR="00625B24" w:rsidRPr="00DA2A59">
        <w:rPr>
          <w:rFonts w:eastAsia="Arial" w:cs="Arial"/>
        </w:rPr>
        <w:t>superannuation</w:t>
      </w:r>
      <w:r w:rsidR="0061358B" w:rsidRPr="00DA2A59">
        <w:rPr>
          <w:rFonts w:eastAsia="Arial" w:cs="Arial"/>
        </w:rPr>
        <w:t>, leave, etc.</w:t>
      </w:r>
    </w:p>
    <w:p w14:paraId="5F1F671D" w14:textId="721A6C3D" w:rsidR="00C35649" w:rsidRDefault="00DC01F9" w:rsidP="7684FD32">
      <w:pPr>
        <w:spacing w:after="240"/>
        <w:ind w:left="720"/>
        <w:rPr>
          <w:rFonts w:eastAsia="Arial" w:cs="Arial"/>
        </w:rPr>
      </w:pPr>
      <w:r w:rsidRPr="00DA2A59">
        <w:rPr>
          <w:rFonts w:eastAsia="Arial" w:cs="Arial"/>
        </w:rPr>
        <w:t xml:space="preserve">Hourly </w:t>
      </w:r>
      <w:r w:rsidR="00625B24" w:rsidRPr="00DA2A59">
        <w:rPr>
          <w:rFonts w:eastAsia="Arial" w:cs="Arial"/>
        </w:rPr>
        <w:t xml:space="preserve">wage rates </w:t>
      </w:r>
      <w:r w:rsidRPr="00DA2A59">
        <w:rPr>
          <w:rFonts w:eastAsia="Arial" w:cs="Arial"/>
        </w:rPr>
        <w:t>are collected separately as an input field in the form.</w:t>
      </w:r>
    </w:p>
    <w:p w14:paraId="5BEBF3C8" w14:textId="7992D58A" w:rsidR="00C35649" w:rsidRPr="00C35649" w:rsidRDefault="00C35649" w:rsidP="006F370F">
      <w:pPr>
        <w:pStyle w:val="ListParagraph"/>
        <w:numPr>
          <w:ilvl w:val="1"/>
          <w:numId w:val="6"/>
        </w:numPr>
        <w:rPr>
          <w:rFonts w:eastAsia="Arial" w:cs="Arial"/>
          <w:b/>
          <w:color w:val="1E1544"/>
        </w:rPr>
      </w:pPr>
      <w:r w:rsidRPr="00C35649">
        <w:rPr>
          <w:rFonts w:eastAsia="Arial" w:cs="Arial"/>
          <w:b/>
          <w:color w:val="1E1544"/>
        </w:rPr>
        <w:t xml:space="preserve">Why do we have to report on occupied bed days while the </w:t>
      </w:r>
      <w:r w:rsidR="000B22BE">
        <w:rPr>
          <w:rFonts w:eastAsia="Arial" w:cs="Arial"/>
          <w:b/>
          <w:color w:val="1E1544"/>
        </w:rPr>
        <w:t>d</w:t>
      </w:r>
      <w:r w:rsidR="000B22BE" w:rsidRPr="00C35649">
        <w:rPr>
          <w:rFonts w:eastAsia="Arial" w:cs="Arial"/>
          <w:b/>
          <w:color w:val="1E1544"/>
        </w:rPr>
        <w:t xml:space="preserve">epartment </w:t>
      </w:r>
      <w:r w:rsidRPr="00C35649">
        <w:rPr>
          <w:rFonts w:eastAsia="Arial" w:cs="Arial"/>
          <w:b/>
          <w:color w:val="1E1544"/>
        </w:rPr>
        <w:t xml:space="preserve">can directly access it from </w:t>
      </w:r>
      <w:r>
        <w:rPr>
          <w:rFonts w:eastAsia="Arial" w:cs="Arial"/>
          <w:b/>
          <w:color w:val="1E1544"/>
        </w:rPr>
        <w:t>its internal payment system</w:t>
      </w:r>
      <w:r w:rsidRPr="00C35649">
        <w:rPr>
          <w:rFonts w:eastAsia="Arial" w:cs="Arial"/>
          <w:b/>
          <w:color w:val="1E1544"/>
        </w:rPr>
        <w:t>?</w:t>
      </w:r>
    </w:p>
    <w:p w14:paraId="5FBDFB4C" w14:textId="6BD9503D" w:rsidR="002E0471" w:rsidRDefault="00C35649" w:rsidP="00444070">
      <w:pPr>
        <w:ind w:left="720"/>
      </w:pPr>
      <w:r>
        <w:t xml:space="preserve">Occupied bed days are used to </w:t>
      </w:r>
      <w:r w:rsidR="00963E1D">
        <w:t>calculate</w:t>
      </w:r>
      <w:r>
        <w:t xml:space="preserve"> per resident per day values in the QFR at the point of submission. </w:t>
      </w:r>
      <w:r w:rsidR="00594E8B">
        <w:t xml:space="preserve">Unfortunately, </w:t>
      </w:r>
      <w:r w:rsidR="000E5CF8">
        <w:t>c</w:t>
      </w:r>
      <w:r>
        <w:t>laim data is not available to the department for us to pre-populate the QFR on the provider's behalf</w:t>
      </w:r>
      <w:r w:rsidR="00913F51">
        <w:t xml:space="preserve"> before the submission due date</w:t>
      </w:r>
      <w:r>
        <w:t>.</w:t>
      </w:r>
      <w:r w:rsidR="00AD559A">
        <w:t xml:space="preserve"> </w:t>
      </w:r>
      <w:r w:rsidR="00594E8B">
        <w:t xml:space="preserve">Adding the per resident per day calculations in the QFR form should </w:t>
      </w:r>
      <w:r w:rsidR="00821C3A">
        <w:t xml:space="preserve">help providers review their data as it can easily be benchmarked against </w:t>
      </w:r>
      <w:r w:rsidR="00C26402">
        <w:t xml:space="preserve">data for similar services </w:t>
      </w:r>
      <w:r w:rsidR="00D30EF1">
        <w:t>that is published on the My</w:t>
      </w:r>
      <w:r w:rsidR="00B114EE">
        <w:t xml:space="preserve"> </w:t>
      </w:r>
      <w:r w:rsidR="00D30EF1">
        <w:t>Aged</w:t>
      </w:r>
      <w:r w:rsidR="00B114EE">
        <w:t xml:space="preserve"> </w:t>
      </w:r>
      <w:r w:rsidR="00D30EF1">
        <w:t>Care website.</w:t>
      </w:r>
    </w:p>
    <w:p w14:paraId="5AF705DC" w14:textId="67044C99" w:rsidR="00C810D3" w:rsidRDefault="00B47C1B" w:rsidP="00B47C1B">
      <w:pPr>
        <w:pStyle w:val="Heading3"/>
        <w:rPr>
          <w:rFonts w:eastAsia="Arial" w:cs="Arial"/>
          <w:bCs/>
          <w:szCs w:val="28"/>
        </w:rPr>
      </w:pPr>
      <w:bookmarkStart w:id="8" w:name="_Toc167712967"/>
      <w:r>
        <w:rPr>
          <w:rFonts w:eastAsia="Arial" w:cs="Arial"/>
          <w:bCs/>
          <w:szCs w:val="28"/>
        </w:rPr>
        <w:t>4. Ho</w:t>
      </w:r>
      <w:r w:rsidR="00AC23CC">
        <w:rPr>
          <w:rFonts w:eastAsia="Arial" w:cs="Arial"/>
          <w:bCs/>
          <w:szCs w:val="28"/>
        </w:rPr>
        <w:t>urly</w:t>
      </w:r>
      <w:r w:rsidR="005C4AFE" w:rsidRPr="2F9FE54D">
        <w:rPr>
          <w:rFonts w:eastAsia="Arial" w:cs="Arial"/>
          <w:bCs/>
          <w:szCs w:val="28"/>
        </w:rPr>
        <w:t xml:space="preserve"> </w:t>
      </w:r>
      <w:r w:rsidR="00A01DD7">
        <w:rPr>
          <w:rFonts w:eastAsia="Arial" w:cs="Arial"/>
          <w:bCs/>
          <w:szCs w:val="28"/>
        </w:rPr>
        <w:t>w</w:t>
      </w:r>
      <w:r w:rsidR="005C4AFE" w:rsidRPr="2F9FE54D">
        <w:rPr>
          <w:rFonts w:eastAsia="Arial" w:cs="Arial"/>
          <w:bCs/>
          <w:szCs w:val="28"/>
        </w:rPr>
        <w:t>age</w:t>
      </w:r>
      <w:r w:rsidR="006E243C">
        <w:rPr>
          <w:rFonts w:eastAsia="Arial" w:cs="Arial"/>
          <w:bCs/>
          <w:szCs w:val="28"/>
        </w:rPr>
        <w:t xml:space="preserve"> </w:t>
      </w:r>
      <w:r w:rsidR="00A01DD7">
        <w:rPr>
          <w:rFonts w:eastAsia="Arial" w:cs="Arial"/>
          <w:bCs/>
          <w:szCs w:val="28"/>
        </w:rPr>
        <w:t>r</w:t>
      </w:r>
      <w:r w:rsidR="006E243C">
        <w:rPr>
          <w:rFonts w:eastAsia="Arial" w:cs="Arial"/>
          <w:bCs/>
          <w:szCs w:val="28"/>
        </w:rPr>
        <w:t>ates</w:t>
      </w:r>
      <w:bookmarkEnd w:id="8"/>
    </w:p>
    <w:p w14:paraId="2EC5D337" w14:textId="0BE19162" w:rsidR="00715901" w:rsidRPr="005A36C8" w:rsidRDefault="00DC2D6F" w:rsidP="00715901">
      <w:pPr>
        <w:rPr>
          <w:u w:val="single"/>
        </w:rPr>
      </w:pPr>
      <w:r w:rsidRPr="005A36C8">
        <w:rPr>
          <w:u w:val="single"/>
        </w:rPr>
        <w:t xml:space="preserve">Agency </w:t>
      </w:r>
      <w:r w:rsidR="00A01DD7">
        <w:rPr>
          <w:u w:val="single"/>
        </w:rPr>
        <w:t>s</w:t>
      </w:r>
      <w:r w:rsidRPr="005A36C8">
        <w:rPr>
          <w:u w:val="single"/>
        </w:rPr>
        <w:t>taff</w:t>
      </w:r>
    </w:p>
    <w:p w14:paraId="31F4AC0C" w14:textId="319EEDCD" w:rsidR="005C4AFE" w:rsidRPr="00C810D3" w:rsidRDefault="005C4AFE" w:rsidP="006F370F">
      <w:pPr>
        <w:pStyle w:val="ListParagraph"/>
        <w:numPr>
          <w:ilvl w:val="1"/>
          <w:numId w:val="7"/>
        </w:numPr>
        <w:ind w:left="709"/>
        <w:rPr>
          <w:rFonts w:eastAsia="Times New Roman"/>
          <w:b/>
          <w:color w:val="1E1544"/>
        </w:rPr>
      </w:pPr>
      <w:r w:rsidRPr="00C810D3">
        <w:rPr>
          <w:rFonts w:eastAsia="Arial" w:cs="Arial"/>
          <w:b/>
          <w:bCs/>
          <w:color w:val="1E1544"/>
        </w:rPr>
        <w:t xml:space="preserve">Do </w:t>
      </w:r>
      <w:r w:rsidRPr="0084656A">
        <w:rPr>
          <w:rFonts w:eastAsia="Arial" w:cs="Arial"/>
          <w:b/>
          <w:color w:val="1E1544"/>
        </w:rPr>
        <w:t>we</w:t>
      </w:r>
      <w:r w:rsidRPr="00C810D3">
        <w:rPr>
          <w:rFonts w:eastAsia="Arial" w:cs="Arial"/>
          <w:b/>
          <w:bCs/>
          <w:color w:val="1E1544"/>
        </w:rPr>
        <w:t xml:space="preserve"> include </w:t>
      </w:r>
      <w:r w:rsidRPr="00C810D3">
        <w:rPr>
          <w:rFonts w:eastAsia="Arial" w:cs="Arial"/>
          <w:b/>
          <w:color w:val="1E1544"/>
        </w:rPr>
        <w:t>agency</w:t>
      </w:r>
      <w:r w:rsidRPr="00C810D3">
        <w:rPr>
          <w:rFonts w:eastAsia="Arial" w:cs="Arial"/>
          <w:b/>
          <w:bCs/>
          <w:color w:val="1E1544"/>
        </w:rPr>
        <w:t xml:space="preserve"> staff and contractors brokered in from other agencies in our wage rate reporting?</w:t>
      </w:r>
    </w:p>
    <w:p w14:paraId="47BB23F1" w14:textId="5F67A4C0" w:rsidR="00B114EE" w:rsidRDefault="005C4AFE" w:rsidP="00DE1584">
      <w:pPr>
        <w:ind w:left="709"/>
      </w:pPr>
      <w:r w:rsidRPr="2F9FE54D">
        <w:t xml:space="preserve">No. Reporting is confined to base wage rates only, without including any on-costs, penalty rates, casual loadings, or agency fees. Therefore, we ask you to exclude agency staff or contractors brokered in from other agencies in this reporting. </w:t>
      </w:r>
    </w:p>
    <w:p w14:paraId="1B7F25AB" w14:textId="679320C9" w:rsidR="00715901" w:rsidRPr="00715901" w:rsidRDefault="00715901" w:rsidP="00715901">
      <w:pPr>
        <w:rPr>
          <w:u w:val="single"/>
        </w:rPr>
      </w:pPr>
      <w:r w:rsidRPr="00715901">
        <w:rPr>
          <w:u w:val="single"/>
        </w:rPr>
        <w:t xml:space="preserve">Casual </w:t>
      </w:r>
      <w:r w:rsidR="00A01DD7">
        <w:rPr>
          <w:u w:val="single"/>
        </w:rPr>
        <w:t>r</w:t>
      </w:r>
      <w:r w:rsidRPr="00715901">
        <w:rPr>
          <w:u w:val="single"/>
        </w:rPr>
        <w:t>ates</w:t>
      </w:r>
    </w:p>
    <w:p w14:paraId="485C2B06" w14:textId="77777777" w:rsidR="005C4AFE" w:rsidRPr="00C810D3" w:rsidRDefault="005C4AFE" w:rsidP="006F370F">
      <w:pPr>
        <w:pStyle w:val="ListParagraph"/>
        <w:numPr>
          <w:ilvl w:val="1"/>
          <w:numId w:val="7"/>
        </w:numPr>
        <w:ind w:left="709"/>
      </w:pPr>
      <w:r w:rsidRPr="00C810D3">
        <w:rPr>
          <w:rFonts w:eastAsia="Arial" w:cs="Arial"/>
          <w:b/>
          <w:bCs/>
          <w:color w:val="1E1544"/>
        </w:rPr>
        <w:t>Should I include wage rates for our casual employees, who we directly employ?</w:t>
      </w:r>
    </w:p>
    <w:p w14:paraId="12EB616B" w14:textId="0380A181" w:rsidR="005C4AFE" w:rsidRDefault="005C4AFE" w:rsidP="00DE1584">
      <w:pPr>
        <w:ind w:left="709"/>
      </w:pPr>
      <w:r w:rsidRPr="7684FD32">
        <w:t>No. All current wage rates (lowest, average, and highest) compare base wage rates. The base wage rates do not include casual loading or any other on-costs, superannuation contributions, penalty rates or tax deductions. We recognise the important role of casual employees in residential aged care and home care. The current exclusion of data entry for casual employees in the QFR is to simplify reporting and enable comparison of base wage rates.</w:t>
      </w:r>
    </w:p>
    <w:p w14:paraId="6B051059" w14:textId="77777777" w:rsidR="005C4AFE" w:rsidRDefault="005C4AFE" w:rsidP="005C4AFE">
      <w:pPr>
        <w:pStyle w:val="Heading4"/>
      </w:pPr>
      <w:r w:rsidRPr="2F9FE54D">
        <w:rPr>
          <w:rFonts w:eastAsia="Arial" w:cs="Arial"/>
          <w:b w:val="0"/>
          <w:szCs w:val="24"/>
          <w:u w:val="single"/>
        </w:rPr>
        <w:t>Base wage rate reporting inclusions and exclusions</w:t>
      </w:r>
    </w:p>
    <w:p w14:paraId="3C51154D" w14:textId="484F3E19" w:rsidR="005C4AFE" w:rsidRPr="0084656A" w:rsidRDefault="005C4AFE" w:rsidP="006F370F">
      <w:pPr>
        <w:pStyle w:val="ListParagraph"/>
        <w:numPr>
          <w:ilvl w:val="1"/>
          <w:numId w:val="7"/>
        </w:numPr>
        <w:ind w:left="709"/>
        <w:rPr>
          <w:rFonts w:eastAsia="Arial" w:cs="Arial"/>
          <w:b/>
          <w:bCs/>
          <w:color w:val="1E1544"/>
        </w:rPr>
      </w:pPr>
      <w:r w:rsidRPr="0084656A">
        <w:rPr>
          <w:rFonts w:eastAsia="Arial" w:cs="Arial"/>
          <w:b/>
          <w:bCs/>
          <w:color w:val="1E1544"/>
        </w:rPr>
        <w:t>Do we include on-costs in the wage rates, like penalty rates or employer-guaranteed superannuation</w:t>
      </w:r>
      <w:r w:rsidR="00031961" w:rsidRPr="0084656A">
        <w:rPr>
          <w:rFonts w:eastAsia="Arial" w:cs="Arial"/>
          <w:b/>
          <w:bCs/>
          <w:color w:val="1E1544"/>
        </w:rPr>
        <w:t xml:space="preserve"> in the </w:t>
      </w:r>
      <w:r w:rsidR="009A09B7">
        <w:rPr>
          <w:rFonts w:eastAsia="Arial" w:cs="Arial"/>
          <w:b/>
          <w:bCs/>
          <w:color w:val="1E1544"/>
        </w:rPr>
        <w:t>h</w:t>
      </w:r>
      <w:r w:rsidR="00031961" w:rsidRPr="0084656A">
        <w:rPr>
          <w:rFonts w:eastAsia="Arial" w:cs="Arial"/>
          <w:b/>
          <w:bCs/>
          <w:color w:val="1E1544"/>
        </w:rPr>
        <w:t xml:space="preserve">ourly </w:t>
      </w:r>
      <w:r w:rsidR="009A09B7">
        <w:rPr>
          <w:rFonts w:eastAsia="Arial" w:cs="Arial"/>
          <w:b/>
          <w:bCs/>
          <w:color w:val="1E1544"/>
        </w:rPr>
        <w:t>w</w:t>
      </w:r>
      <w:r w:rsidR="00031961" w:rsidRPr="0084656A">
        <w:rPr>
          <w:rFonts w:eastAsia="Arial" w:cs="Arial"/>
          <w:b/>
          <w:bCs/>
          <w:color w:val="1E1544"/>
        </w:rPr>
        <w:t xml:space="preserve">age </w:t>
      </w:r>
      <w:r w:rsidR="009A09B7">
        <w:rPr>
          <w:rFonts w:eastAsia="Arial" w:cs="Arial"/>
          <w:b/>
          <w:bCs/>
          <w:color w:val="1E1544"/>
        </w:rPr>
        <w:t>r</w:t>
      </w:r>
      <w:r w:rsidR="00031961" w:rsidRPr="0084656A">
        <w:rPr>
          <w:rFonts w:eastAsia="Arial" w:cs="Arial"/>
          <w:b/>
          <w:bCs/>
          <w:color w:val="1E1544"/>
        </w:rPr>
        <w:t>ates</w:t>
      </w:r>
      <w:r w:rsidRPr="0084656A">
        <w:rPr>
          <w:rFonts w:eastAsia="Arial" w:cs="Arial"/>
          <w:b/>
          <w:bCs/>
          <w:color w:val="1E1544"/>
        </w:rPr>
        <w:t>?</w:t>
      </w:r>
    </w:p>
    <w:p w14:paraId="2DEC2020" w14:textId="0D781651" w:rsidR="00715901" w:rsidRDefault="005C4AFE" w:rsidP="00DE1584">
      <w:pPr>
        <w:ind w:left="709"/>
      </w:pPr>
      <w:r w:rsidRPr="2F9FE54D">
        <w:t xml:space="preserve">No. All wage rates should be base wage rates only for consistency of comparison, without including any on-costs. On-costs, including superannuation, are reported elsewhere in the QFR under </w:t>
      </w:r>
      <w:r w:rsidR="0029666A">
        <w:t>d</w:t>
      </w:r>
      <w:r w:rsidR="002108DD">
        <w:t xml:space="preserve">irect </w:t>
      </w:r>
      <w:r w:rsidR="0029666A">
        <w:t>c</w:t>
      </w:r>
      <w:r w:rsidR="002108DD">
        <w:t xml:space="preserve">are </w:t>
      </w:r>
      <w:r w:rsidR="0029666A">
        <w:t>l</w:t>
      </w:r>
      <w:r w:rsidRPr="2F9FE54D">
        <w:t xml:space="preserve">abour </w:t>
      </w:r>
      <w:r w:rsidR="0029666A">
        <w:t>c</w:t>
      </w:r>
      <w:r w:rsidRPr="2F9FE54D">
        <w:t>osts.</w:t>
      </w:r>
    </w:p>
    <w:p w14:paraId="107F5F89" w14:textId="4A8DE3B0" w:rsidR="005C4AFE" w:rsidRPr="00715901" w:rsidRDefault="005C4AFE" w:rsidP="00715901">
      <w:pPr>
        <w:pStyle w:val="Heading4"/>
        <w:rPr>
          <w:rFonts w:eastAsia="Arial" w:cs="Arial"/>
          <w:b w:val="0"/>
          <w:szCs w:val="24"/>
          <w:u w:val="single"/>
        </w:rPr>
      </w:pPr>
      <w:r w:rsidRPr="00715901">
        <w:rPr>
          <w:rFonts w:eastAsia="Arial" w:cs="Arial"/>
          <w:b w:val="0"/>
          <w:szCs w:val="24"/>
          <w:u w:val="single"/>
        </w:rPr>
        <w:lastRenderedPageBreak/>
        <w:t>Worker roles included in QFR reporting</w:t>
      </w:r>
    </w:p>
    <w:p w14:paraId="0180B4F5" w14:textId="230E16AF" w:rsidR="005C4AFE" w:rsidRPr="00B91F18" w:rsidRDefault="005C4AFE" w:rsidP="006F370F">
      <w:pPr>
        <w:pStyle w:val="ListParagraph"/>
        <w:numPr>
          <w:ilvl w:val="1"/>
          <w:numId w:val="7"/>
        </w:numPr>
        <w:ind w:left="709"/>
        <w:rPr>
          <w:rFonts w:eastAsia="Arial" w:cs="Arial"/>
          <w:b/>
          <w:bCs/>
          <w:color w:val="1E1544"/>
        </w:rPr>
      </w:pPr>
      <w:r w:rsidRPr="00B91F18">
        <w:rPr>
          <w:rFonts w:eastAsia="Arial" w:cs="Arial"/>
          <w:b/>
          <w:bCs/>
          <w:color w:val="1E1544"/>
        </w:rPr>
        <w:t>Do we report our personal care workers and aged care support workers (altogether under the ‘</w:t>
      </w:r>
      <w:r w:rsidR="009A09B7">
        <w:rPr>
          <w:rFonts w:eastAsia="Arial" w:cs="Arial"/>
          <w:b/>
          <w:bCs/>
          <w:color w:val="1E1544"/>
        </w:rPr>
        <w:t>p</w:t>
      </w:r>
      <w:r w:rsidRPr="00B91F18">
        <w:rPr>
          <w:rFonts w:eastAsia="Arial" w:cs="Arial"/>
          <w:b/>
          <w:bCs/>
          <w:color w:val="1E1544"/>
        </w:rPr>
        <w:t>ersonal care workers (including cleaning and gardening)’ group?</w:t>
      </w:r>
    </w:p>
    <w:p w14:paraId="1B485D27" w14:textId="5B9E4CE6" w:rsidR="005C4AFE" w:rsidRDefault="002D2BEC" w:rsidP="00A37BFE">
      <w:pPr>
        <w:ind w:left="720"/>
        <w:rPr>
          <w:rFonts w:eastAsia="Arial" w:cs="Arial"/>
          <w:b/>
          <w:bCs/>
          <w:color w:val="1E1544"/>
          <w:u w:val="single"/>
        </w:rPr>
      </w:pPr>
      <w:r>
        <w:t>For home care</w:t>
      </w:r>
      <w:r w:rsidR="00A37BFE">
        <w:t xml:space="preserve"> only</w:t>
      </w:r>
      <w:r>
        <w:t xml:space="preserve">, </w:t>
      </w:r>
      <w:r w:rsidR="005C4AFE">
        <w:t xml:space="preserve">support and care workers, who provide cleaning, gardening or other types of support and care </w:t>
      </w:r>
      <w:r w:rsidR="00A37BFE">
        <w:t xml:space="preserve">should be included in the category </w:t>
      </w:r>
      <w:r w:rsidR="0029666A">
        <w:t>p</w:t>
      </w:r>
      <w:r w:rsidR="00A37BFE">
        <w:t xml:space="preserve">ersonal </w:t>
      </w:r>
      <w:r w:rsidR="0029666A">
        <w:t>c</w:t>
      </w:r>
      <w:r w:rsidR="00A37BFE">
        <w:t xml:space="preserve">are </w:t>
      </w:r>
      <w:r w:rsidR="0029666A">
        <w:t>w</w:t>
      </w:r>
      <w:r w:rsidR="00A37BFE">
        <w:t xml:space="preserve">orkers (including gardening and </w:t>
      </w:r>
      <w:r w:rsidR="00E73579">
        <w:t>c</w:t>
      </w:r>
      <w:r w:rsidR="00A37BFE">
        <w:t>leaning).</w:t>
      </w:r>
      <w:r w:rsidR="00E73579">
        <w:t xml:space="preserve"> </w:t>
      </w:r>
    </w:p>
    <w:p w14:paraId="422A7397" w14:textId="02CC2C76" w:rsidR="005C4AFE" w:rsidRPr="0084656A" w:rsidRDefault="005C4AFE" w:rsidP="006F370F">
      <w:pPr>
        <w:pStyle w:val="ListParagraph"/>
        <w:numPr>
          <w:ilvl w:val="1"/>
          <w:numId w:val="7"/>
        </w:numPr>
        <w:ind w:left="709"/>
        <w:rPr>
          <w:rFonts w:eastAsia="Arial" w:cs="Arial"/>
          <w:b/>
          <w:bCs/>
          <w:color w:val="1E1544"/>
        </w:rPr>
      </w:pPr>
      <w:r w:rsidRPr="0084656A">
        <w:rPr>
          <w:rFonts w:eastAsia="Arial" w:cs="Arial"/>
          <w:b/>
          <w:bCs/>
          <w:color w:val="1E1544"/>
        </w:rPr>
        <w:t xml:space="preserve">Should </w:t>
      </w:r>
      <w:r w:rsidR="00A01DD7">
        <w:rPr>
          <w:rFonts w:eastAsia="Arial" w:cs="Arial"/>
          <w:b/>
          <w:bCs/>
          <w:color w:val="1E1544"/>
        </w:rPr>
        <w:t>n</w:t>
      </w:r>
      <w:r w:rsidRPr="0084656A">
        <w:rPr>
          <w:rFonts w:eastAsia="Arial" w:cs="Arial"/>
          <w:b/>
          <w:bCs/>
          <w:color w:val="1E1544"/>
        </w:rPr>
        <w:t xml:space="preserve">urse </w:t>
      </w:r>
      <w:r w:rsidR="00A01DD7">
        <w:rPr>
          <w:rFonts w:eastAsia="Arial" w:cs="Arial"/>
          <w:b/>
          <w:bCs/>
          <w:color w:val="1E1544"/>
        </w:rPr>
        <w:t>p</w:t>
      </w:r>
      <w:r w:rsidRPr="0084656A">
        <w:rPr>
          <w:rFonts w:eastAsia="Arial" w:cs="Arial"/>
          <w:b/>
          <w:bCs/>
          <w:color w:val="1E1544"/>
        </w:rPr>
        <w:t>ractitioner pay rates be included in the RN sections?</w:t>
      </w:r>
    </w:p>
    <w:p w14:paraId="71A13A33" w14:textId="3BD5F7FF" w:rsidR="005C4AFE" w:rsidRDefault="005C4AFE" w:rsidP="005C4AFE">
      <w:pPr>
        <w:ind w:left="720"/>
      </w:pPr>
      <w:r w:rsidRPr="2F9FE54D">
        <w:rPr>
          <w:rFonts w:eastAsia="Arial" w:cs="Arial"/>
        </w:rPr>
        <w:t xml:space="preserve">Yes. If your organisation directly employs </w:t>
      </w:r>
      <w:r w:rsidR="0029666A">
        <w:rPr>
          <w:rFonts w:eastAsia="Arial" w:cs="Arial"/>
        </w:rPr>
        <w:t>n</w:t>
      </w:r>
      <w:r w:rsidRPr="2F9FE54D">
        <w:rPr>
          <w:rFonts w:eastAsia="Arial" w:cs="Arial"/>
        </w:rPr>
        <w:t xml:space="preserve">urse </w:t>
      </w:r>
      <w:r w:rsidR="0029666A">
        <w:rPr>
          <w:rFonts w:eastAsia="Arial" w:cs="Arial"/>
        </w:rPr>
        <w:t>p</w:t>
      </w:r>
      <w:r w:rsidRPr="2F9FE54D">
        <w:rPr>
          <w:rFonts w:eastAsia="Arial" w:cs="Arial"/>
        </w:rPr>
        <w:t>ractitioners, include their pay rates in the RN section.</w:t>
      </w:r>
    </w:p>
    <w:p w14:paraId="5142A845" w14:textId="77777777" w:rsidR="005C4AFE" w:rsidRPr="0084656A" w:rsidRDefault="005C4AFE" w:rsidP="006F370F">
      <w:pPr>
        <w:pStyle w:val="ListParagraph"/>
        <w:numPr>
          <w:ilvl w:val="1"/>
          <w:numId w:val="7"/>
        </w:numPr>
        <w:ind w:left="709"/>
        <w:rPr>
          <w:rFonts w:eastAsia="Arial" w:cs="Arial"/>
          <w:b/>
          <w:bCs/>
          <w:color w:val="1E1544"/>
        </w:rPr>
      </w:pPr>
      <w:r w:rsidRPr="00715901">
        <w:rPr>
          <w:rFonts w:eastAsia="Arial" w:cs="Arial"/>
          <w:b/>
          <w:bCs/>
          <w:color w:val="1E1544"/>
        </w:rPr>
        <w:t>Which wage rates do we report for staff with splits in work responsibilities and roles?</w:t>
      </w:r>
    </w:p>
    <w:p w14:paraId="053E2EB8" w14:textId="2CC3BDF9" w:rsidR="005C4AFE" w:rsidRDefault="005C4AFE" w:rsidP="005C4AFE">
      <w:pPr>
        <w:ind w:left="720"/>
      </w:pPr>
      <w:r w:rsidRPr="2F9FE54D">
        <w:rPr>
          <w:rFonts w:eastAsia="Arial" w:cs="Arial"/>
        </w:rPr>
        <w:t>Report the applicable wage rates for all roles involving direct provision of support and care, irrespective of how many hours (part time or full</w:t>
      </w:r>
      <w:r w:rsidR="009A09B7">
        <w:rPr>
          <w:rFonts w:eastAsia="Arial" w:cs="Arial"/>
        </w:rPr>
        <w:t xml:space="preserve"> </w:t>
      </w:r>
      <w:r w:rsidRPr="2F9FE54D">
        <w:rPr>
          <w:rFonts w:eastAsia="Arial" w:cs="Arial"/>
        </w:rPr>
        <w:t>time) are spent providing direct support and care.</w:t>
      </w:r>
    </w:p>
    <w:p w14:paraId="3D92FF8B" w14:textId="77777777" w:rsidR="005C4AFE" w:rsidRPr="00E709CF" w:rsidRDefault="005C4AFE" w:rsidP="005C4AFE">
      <w:pPr>
        <w:pStyle w:val="Heading4"/>
        <w:rPr>
          <w:b w:val="0"/>
        </w:rPr>
      </w:pPr>
      <w:r w:rsidRPr="00E709CF">
        <w:rPr>
          <w:rFonts w:eastAsia="Arial" w:cs="Arial"/>
          <w:b w:val="0"/>
          <w:szCs w:val="24"/>
          <w:u w:val="single"/>
        </w:rPr>
        <w:t>Average wage rate calculations</w:t>
      </w:r>
    </w:p>
    <w:p w14:paraId="4B6241E6" w14:textId="77777777" w:rsidR="005C4AFE" w:rsidRPr="0084656A" w:rsidRDefault="005C4AFE" w:rsidP="006F370F">
      <w:pPr>
        <w:pStyle w:val="ListParagraph"/>
        <w:numPr>
          <w:ilvl w:val="1"/>
          <w:numId w:val="7"/>
        </w:numPr>
        <w:ind w:left="709"/>
        <w:rPr>
          <w:rFonts w:eastAsia="Arial" w:cs="Arial"/>
          <w:b/>
          <w:bCs/>
          <w:color w:val="1E1544"/>
        </w:rPr>
      </w:pPr>
      <w:r w:rsidRPr="00715901">
        <w:rPr>
          <w:rFonts w:eastAsia="Arial" w:cs="Arial"/>
          <w:b/>
          <w:bCs/>
          <w:color w:val="1E1544"/>
        </w:rPr>
        <w:t>Should we adjust our average wage rates according to the number of hours worked?</w:t>
      </w:r>
    </w:p>
    <w:p w14:paraId="717A8128" w14:textId="346AB0ED" w:rsidR="009A09B7" w:rsidRDefault="005C4AFE" w:rsidP="00E709CF">
      <w:pPr>
        <w:ind w:left="709"/>
        <w:rPr>
          <w:rFonts w:eastAsia="Arial" w:cs="Arial"/>
        </w:rPr>
      </w:pPr>
      <w:r w:rsidRPr="2F9FE54D">
        <w:rPr>
          <w:rFonts w:eastAsia="Arial" w:cs="Arial"/>
        </w:rPr>
        <w:t>No. Average wage rates should be simple calculations based on wage rates only, without applying any adjustment or weighting depending on hours worked. We ask all providers to apply the same, simple approach for a fair and consistent approach to wage reporting.</w:t>
      </w:r>
    </w:p>
    <w:p w14:paraId="0C4FE130" w14:textId="42EA8C99" w:rsidR="007A67C3" w:rsidRPr="008E6DA4" w:rsidRDefault="007A67C3" w:rsidP="008E6DA4">
      <w:pPr>
        <w:ind w:left="709" w:hanging="709"/>
        <w:rPr>
          <w:rFonts w:eastAsia="Arial" w:cs="Arial"/>
          <w:b/>
          <w:bCs/>
        </w:rPr>
      </w:pPr>
      <w:r w:rsidRPr="008E6DA4">
        <w:rPr>
          <w:rFonts w:eastAsia="Arial" w:cs="Arial"/>
          <w:b/>
          <w:bCs/>
        </w:rPr>
        <w:t xml:space="preserve">4.8 </w:t>
      </w:r>
      <w:r w:rsidRPr="008E6DA4">
        <w:rPr>
          <w:rFonts w:eastAsia="Arial" w:cs="Arial"/>
          <w:b/>
          <w:bCs/>
        </w:rPr>
        <w:tab/>
        <w:t xml:space="preserve">Over what period do we get the number of staff to calculate wage rates? Do we report the last pay run of the quarter or try to cover the whole quarter? </w:t>
      </w:r>
    </w:p>
    <w:p w14:paraId="75E647E0" w14:textId="0FC41B97" w:rsidR="007A67C3" w:rsidRDefault="007A67C3" w:rsidP="008E6DA4">
      <w:pPr>
        <w:ind w:left="720"/>
      </w:pPr>
      <w:r>
        <w:rPr>
          <w:rFonts w:eastAsia="Arial" w:cs="Arial"/>
        </w:rPr>
        <w:t xml:space="preserve">Report all wage rates, including averages, as at the end of the quarter, based on your best available data at the time. You may calculate your averages based on </w:t>
      </w:r>
      <w:r w:rsidR="00521BE9">
        <w:rPr>
          <w:rFonts w:eastAsia="Arial" w:cs="Arial"/>
        </w:rPr>
        <w:t xml:space="preserve">data form the last pay run of the quarter, if this is your most recent, easily available data at the end of the quarter. </w:t>
      </w:r>
    </w:p>
    <w:p w14:paraId="7ABFBB4D" w14:textId="1452AA91" w:rsidR="00D11F33" w:rsidRDefault="00D11F33" w:rsidP="00DE1584">
      <w:pPr>
        <w:pStyle w:val="Heading3"/>
        <w:numPr>
          <w:ilvl w:val="0"/>
          <w:numId w:val="8"/>
        </w:numPr>
      </w:pPr>
      <w:bookmarkStart w:id="9" w:name="_Toc167712968"/>
      <w:r>
        <w:t xml:space="preserve">Outbreak </w:t>
      </w:r>
      <w:r w:rsidR="0029666A">
        <w:t>m</w:t>
      </w:r>
      <w:r>
        <w:t>anagement</w:t>
      </w:r>
      <w:bookmarkEnd w:id="9"/>
      <w:r>
        <w:t xml:space="preserve"> </w:t>
      </w:r>
    </w:p>
    <w:p w14:paraId="35331103" w14:textId="4E1CE596" w:rsidR="00190BB3" w:rsidRPr="0084656A" w:rsidRDefault="00190BB3" w:rsidP="006F370F">
      <w:pPr>
        <w:pStyle w:val="ListParagraph"/>
        <w:numPr>
          <w:ilvl w:val="1"/>
          <w:numId w:val="8"/>
        </w:numPr>
        <w:rPr>
          <w:rFonts w:eastAsia="Arial" w:cs="Arial"/>
          <w:b/>
          <w:bCs/>
          <w:color w:val="1E1544"/>
        </w:rPr>
      </w:pPr>
      <w:r w:rsidRPr="0084656A">
        <w:rPr>
          <w:rFonts w:eastAsia="Arial" w:cs="Arial"/>
          <w:b/>
          <w:bCs/>
          <w:color w:val="1E1544"/>
        </w:rPr>
        <w:t>What is the definition of an outbreak for the purposes of the QFR?</w:t>
      </w:r>
    </w:p>
    <w:p w14:paraId="012A92B9" w14:textId="29EFF198" w:rsidR="008306F7" w:rsidRPr="00945733" w:rsidRDefault="008306F7" w:rsidP="00945733">
      <w:pPr>
        <w:ind w:left="720"/>
        <w:rPr>
          <w:rFonts w:eastAsia="Arial" w:cs="Arial"/>
        </w:rPr>
      </w:pPr>
      <w:r w:rsidRPr="368CA27A">
        <w:rPr>
          <w:rFonts w:eastAsia="Arial" w:cs="Arial"/>
        </w:rPr>
        <w:t xml:space="preserve">A disease outbreak is the occurrence of cases of disease in excess of what would normally be expected in a defined community, geographical area or season. For example, the National Guidelines for the Prevention, Control and Public Health Management of Outbreaks of Acute Respiratory Infection (including COVID-19 and Influenza) in </w:t>
      </w:r>
      <w:r w:rsidR="0B90A125" w:rsidRPr="61E579A3">
        <w:rPr>
          <w:rFonts w:eastAsia="Arial" w:cs="Arial"/>
        </w:rPr>
        <w:t>R</w:t>
      </w:r>
      <w:r w:rsidRPr="61E579A3">
        <w:rPr>
          <w:rFonts w:eastAsia="Arial" w:cs="Arial"/>
        </w:rPr>
        <w:t xml:space="preserve">esidential </w:t>
      </w:r>
      <w:r w:rsidR="72995586" w:rsidRPr="61E579A3">
        <w:rPr>
          <w:rFonts w:eastAsia="Arial" w:cs="Arial"/>
        </w:rPr>
        <w:t>C</w:t>
      </w:r>
      <w:r w:rsidRPr="61E579A3">
        <w:rPr>
          <w:rFonts w:eastAsia="Arial" w:cs="Arial"/>
        </w:rPr>
        <w:t xml:space="preserve">are </w:t>
      </w:r>
      <w:r w:rsidR="1D31BF20" w:rsidRPr="61E579A3">
        <w:rPr>
          <w:rFonts w:eastAsia="Arial" w:cs="Arial"/>
        </w:rPr>
        <w:t>F</w:t>
      </w:r>
      <w:r w:rsidRPr="368CA27A">
        <w:rPr>
          <w:rFonts w:eastAsia="Arial" w:cs="Arial"/>
        </w:rPr>
        <w:t>acilities outline that an outbreak should be declared if:</w:t>
      </w:r>
    </w:p>
    <w:p w14:paraId="594B7914" w14:textId="77777777" w:rsidR="008306F7" w:rsidRPr="00945733" w:rsidRDefault="008306F7" w:rsidP="006F370F">
      <w:pPr>
        <w:pStyle w:val="ListParagraph"/>
        <w:numPr>
          <w:ilvl w:val="0"/>
          <w:numId w:val="2"/>
        </w:numPr>
        <w:rPr>
          <w:rFonts w:eastAsia="Arial" w:cs="Arial"/>
        </w:rPr>
      </w:pPr>
      <w:r w:rsidRPr="00945733">
        <w:rPr>
          <w:rFonts w:eastAsia="Arial" w:cs="Arial"/>
        </w:rPr>
        <w:t>2 or more residents test positive for COVID-19 within a 72-hour period or</w:t>
      </w:r>
    </w:p>
    <w:p w14:paraId="3F70E51C" w14:textId="77777777" w:rsidR="008306F7" w:rsidRPr="00945733" w:rsidRDefault="008306F7" w:rsidP="006F370F">
      <w:pPr>
        <w:pStyle w:val="ListParagraph"/>
        <w:numPr>
          <w:ilvl w:val="0"/>
          <w:numId w:val="2"/>
        </w:numPr>
        <w:rPr>
          <w:rFonts w:eastAsia="Arial" w:cs="Arial"/>
        </w:rPr>
      </w:pPr>
      <w:r w:rsidRPr="00945733">
        <w:rPr>
          <w:rFonts w:eastAsia="Arial" w:cs="Arial"/>
        </w:rPr>
        <w:t>2 or more residents test positive for influenza within a 72-hour period</w:t>
      </w:r>
    </w:p>
    <w:p w14:paraId="79C27C9A" w14:textId="06B379EB" w:rsidR="00190BB3" w:rsidRPr="00190BB3" w:rsidRDefault="008306F7" w:rsidP="00DE1584">
      <w:pPr>
        <w:ind w:left="720"/>
      </w:pPr>
      <w:r w:rsidRPr="00945733">
        <w:rPr>
          <w:rFonts w:eastAsia="Arial" w:cs="Arial"/>
        </w:rPr>
        <w:t>Please note that jurisdictional public health guidance may vary. It is important to ensure your approach is based on local guidance.</w:t>
      </w:r>
    </w:p>
    <w:p w14:paraId="5880BAA4" w14:textId="30642931" w:rsidR="0054321D" w:rsidRDefault="00313BCB" w:rsidP="7684FD32">
      <w:pPr>
        <w:pStyle w:val="ListParagraph"/>
        <w:numPr>
          <w:ilvl w:val="1"/>
          <w:numId w:val="8"/>
        </w:numPr>
        <w:rPr>
          <w:rFonts w:eastAsia="Arial" w:cs="Arial"/>
          <w:b/>
          <w:bCs/>
          <w:color w:val="1E1544"/>
        </w:rPr>
      </w:pPr>
      <w:r>
        <w:rPr>
          <w:rFonts w:eastAsia="Arial" w:cs="Arial"/>
          <w:b/>
          <w:bCs/>
          <w:color w:val="1E1544"/>
        </w:rPr>
        <w:lastRenderedPageBreak/>
        <w:t>Do we report on PPE and RAT tests purchased for prevention, or only those purchased for outbreaks?</w:t>
      </w:r>
    </w:p>
    <w:p w14:paraId="4AF01513" w14:textId="02FB12F6" w:rsidR="00BA74D5" w:rsidRDefault="0054321D" w:rsidP="00BA74D5">
      <w:pPr>
        <w:ind w:left="720"/>
        <w:rPr>
          <w:rFonts w:eastAsia="Arial" w:cs="Arial"/>
        </w:rPr>
      </w:pPr>
      <w:r w:rsidRPr="00F53C40">
        <w:rPr>
          <w:rFonts w:eastAsia="Arial" w:cs="Arial"/>
        </w:rPr>
        <w:t xml:space="preserve">The cost of purchasing PPE and RAT kits </w:t>
      </w:r>
      <w:r w:rsidR="0053538E">
        <w:rPr>
          <w:rFonts w:eastAsia="Arial" w:cs="Arial"/>
        </w:rPr>
        <w:t>is</w:t>
      </w:r>
      <w:r w:rsidRPr="00F53C40">
        <w:rPr>
          <w:rFonts w:eastAsia="Arial" w:cs="Arial"/>
        </w:rPr>
        <w:t xml:space="preserve"> included in the </w:t>
      </w:r>
      <w:r w:rsidR="0053538E">
        <w:rPr>
          <w:rFonts w:eastAsia="Arial" w:cs="Arial"/>
        </w:rPr>
        <w:t>p</w:t>
      </w:r>
      <w:r w:rsidRPr="00F53C40">
        <w:rPr>
          <w:rFonts w:eastAsia="Arial" w:cs="Arial"/>
        </w:rPr>
        <w:t xml:space="preserve">reventative </w:t>
      </w:r>
      <w:r w:rsidR="0053538E">
        <w:rPr>
          <w:rFonts w:eastAsia="Arial" w:cs="Arial"/>
        </w:rPr>
        <w:t>m</w:t>
      </w:r>
      <w:r w:rsidRPr="00F53C40">
        <w:rPr>
          <w:rFonts w:eastAsia="Arial" w:cs="Arial"/>
        </w:rPr>
        <w:t xml:space="preserve">easures </w:t>
      </w:r>
      <w:r w:rsidR="0053538E">
        <w:rPr>
          <w:rFonts w:eastAsia="Arial" w:cs="Arial"/>
        </w:rPr>
        <w:t>c</w:t>
      </w:r>
      <w:r w:rsidRPr="00F53C40">
        <w:rPr>
          <w:rFonts w:eastAsia="Arial" w:cs="Arial"/>
        </w:rPr>
        <w:t>osts reporting line under outbreak management costs in the QFR. This includes the cost of purchasing PPE and RAT kits to proactively plan for and respond to outbreaks. All such costs should be reported in the QFR</w:t>
      </w:r>
      <w:r w:rsidR="00E2273D">
        <w:rPr>
          <w:rFonts w:eastAsia="Arial" w:cs="Arial"/>
        </w:rPr>
        <w:t xml:space="preserve"> </w:t>
      </w:r>
      <w:r w:rsidR="008F115B">
        <w:rPr>
          <w:rFonts w:eastAsia="Arial" w:cs="Arial"/>
        </w:rPr>
        <w:t xml:space="preserve">regardless of </w:t>
      </w:r>
      <w:r w:rsidR="00C37E2A">
        <w:rPr>
          <w:rFonts w:eastAsia="Arial" w:cs="Arial"/>
        </w:rPr>
        <w:t xml:space="preserve">whether </w:t>
      </w:r>
      <w:r w:rsidR="00A56BF0">
        <w:rPr>
          <w:rFonts w:eastAsia="Arial" w:cs="Arial"/>
        </w:rPr>
        <w:t>or not</w:t>
      </w:r>
      <w:r w:rsidR="000D2DC3">
        <w:rPr>
          <w:rFonts w:eastAsia="Arial" w:cs="Arial"/>
        </w:rPr>
        <w:t xml:space="preserve"> there has been an outbreak</w:t>
      </w:r>
      <w:r>
        <w:rPr>
          <w:rFonts w:eastAsia="Arial" w:cs="Arial"/>
        </w:rPr>
        <w:t xml:space="preserve">. </w:t>
      </w:r>
    </w:p>
    <w:p w14:paraId="14184AB4" w14:textId="1545D609" w:rsidR="0087389A" w:rsidRPr="0084656A" w:rsidRDefault="0087389A" w:rsidP="006F370F">
      <w:pPr>
        <w:pStyle w:val="ListParagraph"/>
        <w:numPr>
          <w:ilvl w:val="1"/>
          <w:numId w:val="8"/>
        </w:numPr>
        <w:rPr>
          <w:rFonts w:eastAsia="Arial" w:cs="Arial"/>
          <w:b/>
          <w:bCs/>
          <w:color w:val="1E1544"/>
        </w:rPr>
      </w:pPr>
      <w:r w:rsidRPr="0084656A">
        <w:rPr>
          <w:rFonts w:eastAsia="Arial" w:cs="Arial"/>
          <w:b/>
          <w:bCs/>
          <w:color w:val="1E1544"/>
        </w:rPr>
        <w:t>Will providers have to report in Q</w:t>
      </w:r>
      <w:r w:rsidR="00513E64">
        <w:rPr>
          <w:rFonts w:eastAsia="Arial" w:cs="Arial"/>
          <w:b/>
          <w:bCs/>
          <w:color w:val="1E1544"/>
        </w:rPr>
        <w:t xml:space="preserve">uarter </w:t>
      </w:r>
      <w:r w:rsidRPr="0084656A">
        <w:rPr>
          <w:rFonts w:eastAsia="Arial" w:cs="Arial"/>
          <w:b/>
          <w:bCs/>
          <w:color w:val="1E1544"/>
        </w:rPr>
        <w:t xml:space="preserve">4 on costs for all outbreaks including gastro, influenza, and not just </w:t>
      </w:r>
      <w:r w:rsidR="00513E64" w:rsidRPr="0084656A">
        <w:rPr>
          <w:rFonts w:eastAsia="Arial" w:cs="Arial"/>
          <w:b/>
          <w:bCs/>
          <w:color w:val="1E1544"/>
        </w:rPr>
        <w:t>C</w:t>
      </w:r>
      <w:r w:rsidR="00513E64">
        <w:rPr>
          <w:rFonts w:eastAsia="Arial" w:cs="Arial"/>
          <w:b/>
          <w:bCs/>
          <w:color w:val="1E1544"/>
        </w:rPr>
        <w:t>OVID</w:t>
      </w:r>
      <w:r w:rsidRPr="0084656A">
        <w:rPr>
          <w:rFonts w:eastAsia="Arial" w:cs="Arial"/>
          <w:b/>
          <w:bCs/>
          <w:color w:val="1E1544"/>
        </w:rPr>
        <w:t>-19 outbreak costs?</w:t>
      </w:r>
    </w:p>
    <w:p w14:paraId="00EB8FD6" w14:textId="34CBE5BF" w:rsidR="006271E5" w:rsidRPr="00DE1584" w:rsidRDefault="0087389A" w:rsidP="00DE1584">
      <w:pPr>
        <w:ind w:left="720"/>
        <w:rPr>
          <w:rFonts w:eastAsia="Arial" w:cs="Arial"/>
          <w:b/>
          <w:bCs/>
          <w:color w:val="1E1544"/>
        </w:rPr>
      </w:pPr>
      <w:r w:rsidRPr="0087389A">
        <w:rPr>
          <w:rFonts w:eastAsia="Arial" w:cs="Arial"/>
        </w:rPr>
        <w:t>Yes, the costs for preparing for and managing all outbreaks should be reported in Q</w:t>
      </w:r>
      <w:r w:rsidR="00513E64">
        <w:rPr>
          <w:rFonts w:eastAsia="Arial" w:cs="Arial"/>
        </w:rPr>
        <w:t xml:space="preserve">uarter </w:t>
      </w:r>
      <w:r w:rsidRPr="0087389A">
        <w:rPr>
          <w:rFonts w:eastAsia="Arial" w:cs="Arial"/>
        </w:rPr>
        <w:t>4. This includes the costs for preparing for and managing outbreaks of gastro, influenza, RSV and other infectious diseases as well as COVID-19.</w:t>
      </w:r>
    </w:p>
    <w:p w14:paraId="26F9D4D3" w14:textId="1C07206C" w:rsidR="00683F77" w:rsidRPr="0084656A" w:rsidRDefault="00313BCB" w:rsidP="006F370F">
      <w:pPr>
        <w:pStyle w:val="ListParagraph"/>
        <w:numPr>
          <w:ilvl w:val="1"/>
          <w:numId w:val="8"/>
        </w:numPr>
        <w:rPr>
          <w:rFonts w:eastAsia="Arial" w:cs="Arial"/>
          <w:b/>
          <w:bCs/>
          <w:color w:val="1E1544"/>
        </w:rPr>
      </w:pPr>
      <w:r>
        <w:rPr>
          <w:rFonts w:eastAsia="Arial" w:cs="Arial"/>
          <w:b/>
          <w:bCs/>
          <w:color w:val="1E1544"/>
        </w:rPr>
        <w:t>Do we</w:t>
      </w:r>
      <w:r w:rsidR="003D53CF">
        <w:rPr>
          <w:rFonts w:eastAsia="Arial" w:cs="Arial"/>
          <w:b/>
          <w:bCs/>
          <w:color w:val="1E1544"/>
        </w:rPr>
        <w:t xml:space="preserve"> only</w:t>
      </w:r>
      <w:r>
        <w:rPr>
          <w:rFonts w:eastAsia="Arial" w:cs="Arial"/>
          <w:b/>
          <w:bCs/>
          <w:color w:val="1E1544"/>
        </w:rPr>
        <w:t xml:space="preserve"> report on additional hours to normal or </w:t>
      </w:r>
      <w:r w:rsidR="00B149B8">
        <w:rPr>
          <w:rFonts w:eastAsia="Arial" w:cs="Arial"/>
          <w:b/>
          <w:bCs/>
          <w:color w:val="1E1544"/>
        </w:rPr>
        <w:t xml:space="preserve">do we include all </w:t>
      </w:r>
      <w:r>
        <w:rPr>
          <w:rFonts w:eastAsia="Arial" w:cs="Arial"/>
          <w:b/>
          <w:bCs/>
          <w:color w:val="1E1544"/>
        </w:rPr>
        <w:t>hours within a normal shift that are associated with an outbreak?</w:t>
      </w:r>
    </w:p>
    <w:p w14:paraId="1704706B" w14:textId="5A389171" w:rsidR="00C62F2F" w:rsidRDefault="00D00724" w:rsidP="00D00724">
      <w:pPr>
        <w:ind w:left="720"/>
        <w:rPr>
          <w:rFonts w:eastAsia="Arial" w:cs="Arial"/>
        </w:rPr>
      </w:pPr>
      <w:bookmarkStart w:id="10" w:name="C1"/>
      <w:r w:rsidRPr="00D00724">
        <w:rPr>
          <w:rFonts w:eastAsia="Arial" w:cs="Arial"/>
        </w:rPr>
        <w:t>Outbreak management expenses should include hours within a normal shift (not just the additional hours) as they relate to all outbreak management activity and are not just limited to either direct care or additional expenses.</w:t>
      </w:r>
      <w:r w:rsidR="005027B1">
        <w:rPr>
          <w:rFonts w:eastAsia="Arial" w:cs="Arial"/>
        </w:rPr>
        <w:t xml:space="preserve"> </w:t>
      </w:r>
    </w:p>
    <w:p w14:paraId="543B1D92" w14:textId="54A487E9" w:rsidR="00D00724" w:rsidRPr="00D00724" w:rsidRDefault="00D00724" w:rsidP="00D00724">
      <w:pPr>
        <w:ind w:left="720"/>
        <w:rPr>
          <w:rFonts w:eastAsia="Arial" w:cs="Arial"/>
        </w:rPr>
      </w:pPr>
      <w:r w:rsidRPr="00D00724">
        <w:rPr>
          <w:rFonts w:eastAsia="Arial" w:cs="Arial"/>
        </w:rPr>
        <w:t xml:space="preserve">However, the values reported in this section are independent of the care labour costs and are not required to add to a total. Do not reduce the care labour expenses by the amounts reported in the </w:t>
      </w:r>
      <w:r w:rsidR="00513E64">
        <w:rPr>
          <w:rFonts w:eastAsia="Arial" w:cs="Arial"/>
        </w:rPr>
        <w:t>o</w:t>
      </w:r>
      <w:r w:rsidR="00513E64" w:rsidRPr="00D00724">
        <w:rPr>
          <w:rFonts w:eastAsia="Arial" w:cs="Arial"/>
        </w:rPr>
        <w:t xml:space="preserve">utbreak </w:t>
      </w:r>
      <w:r w:rsidR="00513E64">
        <w:rPr>
          <w:rFonts w:eastAsia="Arial" w:cs="Arial"/>
        </w:rPr>
        <w:t>m</w:t>
      </w:r>
      <w:r w:rsidRPr="00D00724">
        <w:rPr>
          <w:rFonts w:eastAsia="Arial" w:cs="Arial"/>
        </w:rPr>
        <w:t xml:space="preserve">anagement </w:t>
      </w:r>
      <w:r w:rsidR="00513E64">
        <w:rPr>
          <w:rFonts w:eastAsia="Arial" w:cs="Arial"/>
        </w:rPr>
        <w:t>e</w:t>
      </w:r>
      <w:r w:rsidRPr="00D00724">
        <w:rPr>
          <w:rFonts w:eastAsia="Arial" w:cs="Arial"/>
        </w:rPr>
        <w:t>xpense section.</w:t>
      </w:r>
    </w:p>
    <w:bookmarkEnd w:id="10"/>
    <w:p w14:paraId="7B5C6400" w14:textId="1B2AEC13" w:rsidR="009C055D" w:rsidRPr="0084656A" w:rsidRDefault="00313BCB" w:rsidP="006F370F">
      <w:pPr>
        <w:pStyle w:val="ListParagraph"/>
        <w:numPr>
          <w:ilvl w:val="1"/>
          <w:numId w:val="8"/>
        </w:numPr>
        <w:rPr>
          <w:rFonts w:eastAsia="Arial" w:cs="Arial"/>
          <w:b/>
          <w:bCs/>
          <w:color w:val="1E1544"/>
        </w:rPr>
      </w:pPr>
      <w:r>
        <w:rPr>
          <w:rFonts w:eastAsia="Arial" w:cs="Arial"/>
          <w:b/>
          <w:bCs/>
          <w:color w:val="1E1544"/>
        </w:rPr>
        <w:t>What if systems have not yet been set up to record outbreak management data?</w:t>
      </w:r>
    </w:p>
    <w:p w14:paraId="5A9BC3B3" w14:textId="75132854" w:rsidR="00B42354" w:rsidRPr="00835B37" w:rsidRDefault="00B42354" w:rsidP="00835B37">
      <w:pPr>
        <w:ind w:left="720"/>
        <w:rPr>
          <w:rFonts w:eastAsia="Arial" w:cs="Arial"/>
        </w:rPr>
      </w:pPr>
      <w:r w:rsidRPr="00835B37">
        <w:rPr>
          <w:rFonts w:eastAsia="Arial" w:cs="Arial"/>
        </w:rPr>
        <w:t>Providers will need to plan for and prepare to include outbreak management expenditure reporting, including the expenditure of the Aged Care Outbreak Management Support supplement, in Quarter 4 (20</w:t>
      </w:r>
      <w:r w:rsidR="008B0F9F">
        <w:rPr>
          <w:rFonts w:eastAsia="Arial" w:cs="Arial"/>
        </w:rPr>
        <w:t>23-</w:t>
      </w:r>
      <w:r w:rsidRPr="00835B37">
        <w:rPr>
          <w:rFonts w:eastAsia="Arial" w:cs="Arial"/>
        </w:rPr>
        <w:t xml:space="preserve">24) 1 April </w:t>
      </w:r>
      <w:r w:rsidR="000C3292">
        <w:rPr>
          <w:rFonts w:eastAsia="Arial" w:cs="Arial"/>
        </w:rPr>
        <w:t>to</w:t>
      </w:r>
      <w:r w:rsidRPr="00835B37">
        <w:rPr>
          <w:rFonts w:eastAsia="Arial" w:cs="Arial"/>
        </w:rPr>
        <w:t xml:space="preserve"> 30 June 2024, due on 4 August 2024 in the QFR.</w:t>
      </w:r>
      <w:r w:rsidR="00F6457E" w:rsidRPr="00835B37">
        <w:rPr>
          <w:rFonts w:eastAsia="Arial" w:cs="Arial"/>
        </w:rPr>
        <w:t xml:space="preserve"> </w:t>
      </w:r>
      <w:r w:rsidR="00B41066" w:rsidRPr="00835B37">
        <w:rPr>
          <w:rFonts w:eastAsia="Arial" w:cs="Arial"/>
        </w:rPr>
        <w:t xml:space="preserve">However, as </w:t>
      </w:r>
      <w:r w:rsidR="00B95850" w:rsidRPr="00835B37">
        <w:rPr>
          <w:rFonts w:eastAsia="Arial" w:cs="Arial"/>
        </w:rPr>
        <w:t>your accounting systems ma</w:t>
      </w:r>
      <w:r w:rsidR="00830DA2">
        <w:rPr>
          <w:rFonts w:eastAsia="Arial" w:cs="Arial"/>
        </w:rPr>
        <w:t>y not be</w:t>
      </w:r>
      <w:r w:rsidR="00B95850" w:rsidRPr="00835B37">
        <w:rPr>
          <w:rFonts w:eastAsia="Arial" w:cs="Arial"/>
        </w:rPr>
        <w:t xml:space="preserve"> setup to capture this information</w:t>
      </w:r>
      <w:r w:rsidR="00830DA2">
        <w:rPr>
          <w:rFonts w:eastAsia="Arial" w:cs="Arial"/>
        </w:rPr>
        <w:t xml:space="preserve"> (</w:t>
      </w:r>
      <w:r w:rsidR="00B95850" w:rsidRPr="00835B37">
        <w:rPr>
          <w:rFonts w:eastAsia="Arial" w:cs="Arial"/>
        </w:rPr>
        <w:t>from the beginning of April</w:t>
      </w:r>
      <w:r w:rsidR="00830DA2">
        <w:rPr>
          <w:rFonts w:eastAsia="Arial" w:cs="Arial"/>
        </w:rPr>
        <w:t>)</w:t>
      </w:r>
      <w:r w:rsidR="00B95850" w:rsidRPr="00835B37">
        <w:rPr>
          <w:rFonts w:eastAsia="Arial" w:cs="Arial"/>
        </w:rPr>
        <w:t>, please use your best estimate</w:t>
      </w:r>
      <w:r w:rsidR="00B41066" w:rsidRPr="00835B37">
        <w:rPr>
          <w:rFonts w:eastAsia="Arial" w:cs="Arial"/>
        </w:rPr>
        <w:t xml:space="preserve"> </w:t>
      </w:r>
      <w:r w:rsidR="00C047A0">
        <w:rPr>
          <w:rFonts w:eastAsia="Arial" w:cs="Arial"/>
        </w:rPr>
        <w:t>to</w:t>
      </w:r>
      <w:r w:rsidR="00B41066" w:rsidRPr="00835B37">
        <w:rPr>
          <w:rFonts w:eastAsia="Arial" w:cs="Arial"/>
        </w:rPr>
        <w:t xml:space="preserve"> </w:t>
      </w:r>
      <w:r w:rsidR="00830DA2">
        <w:rPr>
          <w:rFonts w:eastAsia="Arial" w:cs="Arial"/>
        </w:rPr>
        <w:t xml:space="preserve">apportion </w:t>
      </w:r>
      <w:r w:rsidR="00B41066" w:rsidRPr="00835B37">
        <w:rPr>
          <w:rFonts w:eastAsia="Arial" w:cs="Arial"/>
        </w:rPr>
        <w:t xml:space="preserve">the </w:t>
      </w:r>
      <w:r w:rsidR="00830DA2">
        <w:rPr>
          <w:rFonts w:eastAsia="Arial" w:cs="Arial"/>
        </w:rPr>
        <w:t xml:space="preserve">values for this </w:t>
      </w:r>
      <w:r w:rsidR="0053538E">
        <w:rPr>
          <w:rFonts w:eastAsia="Arial" w:cs="Arial"/>
        </w:rPr>
        <w:t>quarter and</w:t>
      </w:r>
      <w:r w:rsidR="00C6700A" w:rsidRPr="00835B37">
        <w:rPr>
          <w:rFonts w:eastAsia="Arial" w:cs="Arial"/>
        </w:rPr>
        <w:t xml:space="preserve"> ensure that your systems have been setup to capture information accurately fr</w:t>
      </w:r>
      <w:r w:rsidR="00835B37" w:rsidRPr="00835B37">
        <w:rPr>
          <w:rFonts w:eastAsia="Arial" w:cs="Arial"/>
        </w:rPr>
        <w:t>om the next quarter.</w:t>
      </w:r>
    </w:p>
    <w:p w14:paraId="41A6B4EB" w14:textId="1822F2F8" w:rsidR="00883866" w:rsidRPr="0084656A" w:rsidRDefault="00883866" w:rsidP="006F370F">
      <w:pPr>
        <w:pStyle w:val="ListParagraph"/>
        <w:numPr>
          <w:ilvl w:val="1"/>
          <w:numId w:val="8"/>
        </w:numPr>
        <w:rPr>
          <w:rFonts w:eastAsia="Arial" w:cs="Arial"/>
          <w:b/>
          <w:bCs/>
          <w:color w:val="1E1544"/>
        </w:rPr>
      </w:pPr>
      <w:r w:rsidRPr="0084656A">
        <w:rPr>
          <w:rFonts w:eastAsia="Arial" w:cs="Arial"/>
          <w:b/>
          <w:bCs/>
          <w:color w:val="1E1544"/>
        </w:rPr>
        <w:t xml:space="preserve">When we are reporting the outbreak costs, does it include extra costs for staff </w:t>
      </w:r>
      <w:r w:rsidR="00474279">
        <w:rPr>
          <w:rFonts w:eastAsia="Arial" w:cs="Arial"/>
          <w:b/>
          <w:bCs/>
          <w:color w:val="1E1544"/>
        </w:rPr>
        <w:t>COVID-19</w:t>
      </w:r>
      <w:r w:rsidR="00474279" w:rsidRPr="0084656A">
        <w:rPr>
          <w:rFonts w:eastAsia="Arial" w:cs="Arial"/>
          <w:b/>
          <w:bCs/>
          <w:color w:val="1E1544"/>
        </w:rPr>
        <w:t xml:space="preserve"> </w:t>
      </w:r>
      <w:r w:rsidRPr="0084656A">
        <w:rPr>
          <w:rFonts w:eastAsia="Arial" w:cs="Arial"/>
          <w:b/>
          <w:bCs/>
          <w:color w:val="1E1544"/>
        </w:rPr>
        <w:t>cases as well as residents?</w:t>
      </w:r>
    </w:p>
    <w:p w14:paraId="5971A90B" w14:textId="2D964C45" w:rsidR="002E0471" w:rsidRDefault="00B91D9F" w:rsidP="00E709CF">
      <w:pPr>
        <w:ind w:left="720"/>
      </w:pPr>
      <w:r w:rsidRPr="00B91D9F">
        <w:t xml:space="preserve">Yes, </w:t>
      </w:r>
      <w:r w:rsidR="004F19D8">
        <w:t>these</w:t>
      </w:r>
      <w:r w:rsidRPr="00B91D9F">
        <w:t xml:space="preserve"> should generally be included under employee and agency labour costs under outbreak management costs</w:t>
      </w:r>
      <w:r w:rsidR="00E709CF">
        <w:t xml:space="preserve">. </w:t>
      </w:r>
    </w:p>
    <w:p w14:paraId="2F7F3D0D" w14:textId="5F400CDF" w:rsidR="006E243C" w:rsidRDefault="006E243C" w:rsidP="00DE1584">
      <w:pPr>
        <w:pStyle w:val="Heading3"/>
        <w:numPr>
          <w:ilvl w:val="0"/>
          <w:numId w:val="9"/>
        </w:numPr>
        <w:rPr>
          <w:rFonts w:eastAsia="Arial" w:cs="Arial"/>
        </w:rPr>
      </w:pPr>
      <w:bookmarkStart w:id="11" w:name="_Toc167712969"/>
      <w:r>
        <w:rPr>
          <w:rFonts w:eastAsia="Arial" w:cs="Arial"/>
        </w:rPr>
        <w:t xml:space="preserve">Home </w:t>
      </w:r>
      <w:r w:rsidR="004C38D5">
        <w:rPr>
          <w:rFonts w:eastAsia="Arial" w:cs="Arial"/>
        </w:rPr>
        <w:t>c</w:t>
      </w:r>
      <w:r>
        <w:rPr>
          <w:rFonts w:eastAsia="Arial" w:cs="Arial"/>
        </w:rPr>
        <w:t xml:space="preserve">are </w:t>
      </w:r>
      <w:r w:rsidR="004C38D5">
        <w:rPr>
          <w:rFonts w:eastAsia="Arial" w:cs="Arial"/>
        </w:rPr>
        <w:t>l</w:t>
      </w:r>
      <w:r w:rsidRPr="1EFE4932">
        <w:rPr>
          <w:rFonts w:eastAsia="Arial" w:cs="Arial"/>
        </w:rPr>
        <w:t xml:space="preserve">abour </w:t>
      </w:r>
      <w:r w:rsidR="004C38D5">
        <w:rPr>
          <w:rFonts w:eastAsia="Arial" w:cs="Arial"/>
        </w:rPr>
        <w:t>c</w:t>
      </w:r>
      <w:r w:rsidRPr="1EFE4932">
        <w:rPr>
          <w:rFonts w:eastAsia="Arial" w:cs="Arial"/>
        </w:rPr>
        <w:t xml:space="preserve">ost </w:t>
      </w:r>
      <w:r w:rsidRPr="626B6BF6">
        <w:rPr>
          <w:rFonts w:eastAsia="Arial" w:cs="Arial"/>
        </w:rPr>
        <w:t xml:space="preserve">and </w:t>
      </w:r>
      <w:r w:rsidR="004C38D5">
        <w:rPr>
          <w:rFonts w:eastAsia="Arial" w:cs="Arial"/>
        </w:rPr>
        <w:t>h</w:t>
      </w:r>
      <w:r w:rsidRPr="626B6BF6">
        <w:rPr>
          <w:rFonts w:eastAsia="Arial" w:cs="Arial"/>
        </w:rPr>
        <w:t>ours</w:t>
      </w:r>
      <w:bookmarkEnd w:id="11"/>
    </w:p>
    <w:p w14:paraId="3F55F45D" w14:textId="373AAE57" w:rsidR="006E243C" w:rsidRPr="0084656A" w:rsidRDefault="0084656A" w:rsidP="006F370F">
      <w:pPr>
        <w:pStyle w:val="ListParagraph"/>
        <w:numPr>
          <w:ilvl w:val="1"/>
          <w:numId w:val="9"/>
        </w:numPr>
        <w:ind w:left="709"/>
        <w:rPr>
          <w:rFonts w:eastAsia="Arial" w:cs="Arial"/>
          <w:b/>
          <w:bCs/>
          <w:color w:val="1E1544"/>
        </w:rPr>
      </w:pPr>
      <w:r w:rsidRPr="0084656A">
        <w:rPr>
          <w:rFonts w:eastAsia="Arial" w:cs="Arial"/>
          <w:b/>
          <w:bCs/>
          <w:color w:val="1E1544"/>
        </w:rPr>
        <w:t>W</w:t>
      </w:r>
      <w:r w:rsidR="006E243C" w:rsidRPr="0084656A">
        <w:rPr>
          <w:rFonts w:eastAsia="Arial" w:cs="Arial"/>
          <w:b/>
          <w:bCs/>
          <w:color w:val="1E1544"/>
        </w:rPr>
        <w:t>hy could the report not be better structured so that:  For the home care business structure question, when asked for a % of internal service provision, you need to use 50 characters to write 98%</w:t>
      </w:r>
      <w:r w:rsidR="00047009">
        <w:rPr>
          <w:rFonts w:eastAsia="Arial" w:cs="Arial"/>
          <w:b/>
          <w:bCs/>
          <w:color w:val="1E1544"/>
        </w:rPr>
        <w:t>?</w:t>
      </w:r>
    </w:p>
    <w:p w14:paraId="5F8C690D" w14:textId="77777777" w:rsidR="00474279" w:rsidRPr="00B64046" w:rsidRDefault="006E243C" w:rsidP="00474279">
      <w:pPr>
        <w:ind w:left="720"/>
        <w:rPr>
          <w:rFonts w:eastAsia="Arial" w:cs="Arial"/>
        </w:rPr>
      </w:pPr>
      <w:r w:rsidRPr="00B64046">
        <w:rPr>
          <w:rFonts w:eastAsia="Arial" w:cs="Arial"/>
        </w:rPr>
        <w:t>This issue has been rectified for Quarter 3 therefore, you will no longer need to enter 50 characters. There is now no minimum character limit to these questions.</w:t>
      </w:r>
    </w:p>
    <w:p w14:paraId="2B9E842C" w14:textId="49C63E5B" w:rsidR="006E243C" w:rsidRPr="0084656A" w:rsidRDefault="006E243C" w:rsidP="006F370F">
      <w:pPr>
        <w:pStyle w:val="ListParagraph"/>
        <w:numPr>
          <w:ilvl w:val="1"/>
          <w:numId w:val="9"/>
        </w:numPr>
        <w:ind w:left="709"/>
        <w:rPr>
          <w:rFonts w:eastAsia="Arial" w:cs="Arial"/>
          <w:b/>
          <w:bCs/>
          <w:color w:val="1E1544"/>
        </w:rPr>
      </w:pPr>
      <w:r w:rsidRPr="0084656A">
        <w:rPr>
          <w:rFonts w:eastAsia="Arial" w:cs="Arial"/>
          <w:b/>
          <w:bCs/>
          <w:color w:val="1E1544"/>
        </w:rPr>
        <w:lastRenderedPageBreak/>
        <w:t xml:space="preserve">When are you fixing the </w:t>
      </w:r>
      <w:r w:rsidR="00404178">
        <w:rPr>
          <w:rFonts w:eastAsia="Arial" w:cs="Arial"/>
          <w:b/>
          <w:bCs/>
          <w:color w:val="1E1544"/>
        </w:rPr>
        <w:t>h</w:t>
      </w:r>
      <w:r w:rsidR="00404178" w:rsidRPr="0084656A">
        <w:rPr>
          <w:rFonts w:eastAsia="Arial" w:cs="Arial"/>
          <w:b/>
          <w:bCs/>
          <w:color w:val="1E1544"/>
        </w:rPr>
        <w:t xml:space="preserve">ome </w:t>
      </w:r>
      <w:r w:rsidRPr="0084656A">
        <w:rPr>
          <w:rFonts w:eastAsia="Arial" w:cs="Arial"/>
          <w:b/>
          <w:bCs/>
          <w:color w:val="1E1544"/>
        </w:rPr>
        <w:t>care financial information published on the My Aged Care website?  i.e. the cost per day shows the total cost</w:t>
      </w:r>
      <w:r w:rsidR="00047009">
        <w:rPr>
          <w:rFonts w:eastAsia="Arial" w:cs="Arial"/>
          <w:b/>
          <w:bCs/>
          <w:color w:val="1E1544"/>
        </w:rPr>
        <w:t>?</w:t>
      </w:r>
    </w:p>
    <w:p w14:paraId="12E733A2" w14:textId="38C39768" w:rsidR="002E0471" w:rsidRPr="002E0471" w:rsidRDefault="006E243C" w:rsidP="002E0471">
      <w:pPr>
        <w:ind w:left="709"/>
      </w:pPr>
      <w:r>
        <w:t>The home care financial information shown on M</w:t>
      </w:r>
      <w:r w:rsidR="004C38D5">
        <w:t xml:space="preserve">y </w:t>
      </w:r>
      <w:r>
        <w:t>A</w:t>
      </w:r>
      <w:r w:rsidR="004C38D5">
        <w:t xml:space="preserve">ged </w:t>
      </w:r>
      <w:r>
        <w:t>C</w:t>
      </w:r>
      <w:r w:rsidR="004C38D5">
        <w:t>are</w:t>
      </w:r>
      <w:r>
        <w:t xml:space="preserve"> is deliberately shown as a total cost. It is not benchmarked to per care recipient per day as the data can significantly vary based on the </w:t>
      </w:r>
      <w:r w:rsidR="004C38D5">
        <w:t>l</w:t>
      </w:r>
      <w:r>
        <w:t xml:space="preserve">evel of </w:t>
      </w:r>
      <w:r w:rsidR="004C38D5">
        <w:t>c</w:t>
      </w:r>
      <w:r>
        <w:t>are received by care recipients.</w:t>
      </w:r>
      <w:r w:rsidR="00F40076">
        <w:t xml:space="preserve"> </w:t>
      </w:r>
    </w:p>
    <w:p w14:paraId="633F3616" w14:textId="72248761" w:rsidR="001970F2" w:rsidRDefault="001970F2" w:rsidP="00DE1584">
      <w:pPr>
        <w:pStyle w:val="Heading3"/>
        <w:numPr>
          <w:ilvl w:val="0"/>
          <w:numId w:val="10"/>
        </w:numPr>
      </w:pPr>
      <w:bookmarkStart w:id="12" w:name="_Toc167712970"/>
      <w:r w:rsidRPr="2F9FE54D">
        <w:rPr>
          <w:rFonts w:eastAsia="Arial" w:cs="Arial"/>
          <w:bCs/>
          <w:szCs w:val="28"/>
        </w:rPr>
        <w:t xml:space="preserve">Sector </w:t>
      </w:r>
      <w:r w:rsidR="00E709CF">
        <w:rPr>
          <w:rFonts w:eastAsia="Arial" w:cs="Arial"/>
          <w:bCs/>
          <w:szCs w:val="28"/>
        </w:rPr>
        <w:t>l</w:t>
      </w:r>
      <w:r w:rsidRPr="2F9FE54D">
        <w:rPr>
          <w:rFonts w:eastAsia="Arial" w:cs="Arial"/>
          <w:bCs/>
          <w:szCs w:val="28"/>
        </w:rPr>
        <w:t xml:space="preserve">evel </w:t>
      </w:r>
      <w:r w:rsidR="00E709CF">
        <w:rPr>
          <w:rFonts w:eastAsia="Arial" w:cs="Arial"/>
          <w:bCs/>
          <w:szCs w:val="28"/>
        </w:rPr>
        <w:t>r</w:t>
      </w:r>
      <w:r w:rsidRPr="2F9FE54D">
        <w:rPr>
          <w:rFonts w:eastAsia="Arial" w:cs="Arial"/>
          <w:bCs/>
          <w:szCs w:val="28"/>
        </w:rPr>
        <w:t>eporting (</w:t>
      </w:r>
      <w:r w:rsidR="00E709CF">
        <w:rPr>
          <w:rFonts w:eastAsia="Arial" w:cs="Arial"/>
          <w:bCs/>
          <w:szCs w:val="28"/>
        </w:rPr>
        <w:t>f</w:t>
      </w:r>
      <w:r w:rsidRPr="2F9FE54D">
        <w:rPr>
          <w:rFonts w:eastAsia="Arial" w:cs="Arial"/>
          <w:bCs/>
          <w:szCs w:val="28"/>
        </w:rPr>
        <w:t>inance and</w:t>
      </w:r>
      <w:r w:rsidR="00E709CF">
        <w:rPr>
          <w:rFonts w:eastAsia="Arial" w:cs="Arial"/>
          <w:bCs/>
          <w:szCs w:val="28"/>
        </w:rPr>
        <w:t xml:space="preserve"> o</w:t>
      </w:r>
      <w:r w:rsidRPr="2F9FE54D">
        <w:rPr>
          <w:rFonts w:eastAsia="Arial" w:cs="Arial"/>
          <w:bCs/>
          <w:szCs w:val="28"/>
        </w:rPr>
        <w:t>perations, QF</w:t>
      </w:r>
      <w:r w:rsidR="009C6590">
        <w:rPr>
          <w:rFonts w:eastAsia="Arial" w:cs="Arial"/>
          <w:bCs/>
          <w:szCs w:val="28"/>
        </w:rPr>
        <w:t>S</w:t>
      </w:r>
      <w:r w:rsidRPr="2F9FE54D">
        <w:rPr>
          <w:rFonts w:eastAsia="Arial" w:cs="Arial"/>
          <w:bCs/>
          <w:szCs w:val="28"/>
        </w:rPr>
        <w:t>, FRAACS)</w:t>
      </w:r>
      <w:bookmarkEnd w:id="12"/>
    </w:p>
    <w:p w14:paraId="3D5A1C31" w14:textId="7BC5B7E2" w:rsidR="00AC587A" w:rsidRPr="0084656A" w:rsidRDefault="00AC587A" w:rsidP="006F370F">
      <w:pPr>
        <w:pStyle w:val="ListParagraph"/>
        <w:numPr>
          <w:ilvl w:val="1"/>
          <w:numId w:val="10"/>
        </w:numPr>
        <w:ind w:left="709"/>
        <w:rPr>
          <w:rFonts w:eastAsia="Arial" w:cs="Arial"/>
          <w:b/>
          <w:bCs/>
          <w:color w:val="1E1544"/>
        </w:rPr>
      </w:pPr>
      <w:r w:rsidRPr="0084656A">
        <w:rPr>
          <w:rFonts w:eastAsia="Arial" w:cs="Arial"/>
          <w:b/>
          <w:bCs/>
          <w:color w:val="1E1544"/>
        </w:rPr>
        <w:t xml:space="preserve">When will the </w:t>
      </w:r>
      <w:r w:rsidR="0053538E">
        <w:rPr>
          <w:rFonts w:eastAsia="Arial" w:cs="Arial"/>
          <w:b/>
          <w:bCs/>
          <w:color w:val="1E1544"/>
        </w:rPr>
        <w:t>Q</w:t>
      </w:r>
      <w:r w:rsidR="009E5CD9">
        <w:rPr>
          <w:rFonts w:eastAsia="Arial" w:cs="Arial"/>
          <w:b/>
          <w:bCs/>
          <w:color w:val="1E1544"/>
        </w:rPr>
        <w:t xml:space="preserve">uarterly </w:t>
      </w:r>
      <w:r w:rsidR="0053538E">
        <w:rPr>
          <w:rFonts w:eastAsia="Arial" w:cs="Arial"/>
          <w:b/>
          <w:bCs/>
          <w:color w:val="1E1544"/>
        </w:rPr>
        <w:t>F</w:t>
      </w:r>
      <w:r w:rsidR="009E5CD9">
        <w:rPr>
          <w:rFonts w:eastAsia="Arial" w:cs="Arial"/>
          <w:b/>
          <w:bCs/>
          <w:color w:val="1E1544"/>
        </w:rPr>
        <w:t xml:space="preserve">inancial </w:t>
      </w:r>
      <w:r w:rsidR="0053538E">
        <w:rPr>
          <w:rFonts w:eastAsia="Arial" w:cs="Arial"/>
          <w:b/>
          <w:bCs/>
          <w:color w:val="1E1544"/>
        </w:rPr>
        <w:t>S</w:t>
      </w:r>
      <w:r w:rsidR="009E5CD9">
        <w:rPr>
          <w:rFonts w:eastAsia="Arial" w:cs="Arial"/>
          <w:b/>
          <w:bCs/>
          <w:color w:val="1E1544"/>
        </w:rPr>
        <w:t>napshot (QFS)</w:t>
      </w:r>
      <w:r w:rsidRPr="0084656A">
        <w:rPr>
          <w:rFonts w:eastAsia="Arial" w:cs="Arial"/>
          <w:b/>
          <w:bCs/>
          <w:color w:val="1E1544"/>
        </w:rPr>
        <w:t xml:space="preserve"> for Quarter 2 be published?</w:t>
      </w:r>
    </w:p>
    <w:p w14:paraId="44F85074" w14:textId="49B237D6" w:rsidR="00AC587A" w:rsidRDefault="00AC587A" w:rsidP="00AC587A">
      <w:pPr>
        <w:ind w:left="720"/>
        <w:rPr>
          <w:rFonts w:eastAsia="Arial" w:cs="Arial"/>
        </w:rPr>
      </w:pPr>
      <w:r w:rsidRPr="00AF594C">
        <w:rPr>
          <w:rFonts w:eastAsia="Arial" w:cs="Arial"/>
        </w:rPr>
        <w:t xml:space="preserve">The </w:t>
      </w:r>
      <w:r w:rsidR="00047009">
        <w:rPr>
          <w:rFonts w:eastAsia="Arial" w:cs="Arial"/>
        </w:rPr>
        <w:t>QFS</w:t>
      </w:r>
      <w:r w:rsidRPr="00AF594C">
        <w:rPr>
          <w:rFonts w:eastAsia="Arial" w:cs="Arial"/>
        </w:rPr>
        <w:t xml:space="preserve"> for the Oct</w:t>
      </w:r>
      <w:r w:rsidR="00047009">
        <w:rPr>
          <w:rFonts w:eastAsia="Arial" w:cs="Arial"/>
        </w:rPr>
        <w:t>ober</w:t>
      </w:r>
      <w:r w:rsidRPr="00AF594C">
        <w:rPr>
          <w:rFonts w:eastAsia="Arial" w:cs="Arial"/>
        </w:rPr>
        <w:t xml:space="preserve"> to Dec</w:t>
      </w:r>
      <w:r w:rsidR="00047009">
        <w:rPr>
          <w:rFonts w:eastAsia="Arial" w:cs="Arial"/>
        </w:rPr>
        <w:t>ember</w:t>
      </w:r>
      <w:r w:rsidRPr="00AF594C">
        <w:rPr>
          <w:rFonts w:eastAsia="Arial" w:cs="Arial"/>
        </w:rPr>
        <w:t xml:space="preserve"> 2023 period </w:t>
      </w:r>
      <w:r>
        <w:rPr>
          <w:rFonts w:eastAsia="Arial" w:cs="Arial"/>
        </w:rPr>
        <w:t>will be published in mid to late June</w:t>
      </w:r>
      <w:r w:rsidR="001E3FEC">
        <w:rPr>
          <w:rFonts w:eastAsia="Arial" w:cs="Arial"/>
        </w:rPr>
        <w:t xml:space="preserve"> 2024</w:t>
      </w:r>
      <w:r>
        <w:rPr>
          <w:rFonts w:eastAsia="Arial" w:cs="Arial"/>
        </w:rPr>
        <w:t>.</w:t>
      </w:r>
    </w:p>
    <w:p w14:paraId="47B927E2" w14:textId="45FF2555" w:rsidR="00173033" w:rsidRDefault="00173033" w:rsidP="00173033">
      <w:pPr>
        <w:pStyle w:val="Heading3"/>
        <w:ind w:left="720" w:hanging="720"/>
        <w:rPr>
          <w:rFonts w:eastAsia="Arial"/>
        </w:rPr>
      </w:pPr>
      <w:r>
        <w:rPr>
          <w:rFonts w:eastAsia="Arial"/>
          <w:sz w:val="24"/>
        </w:rPr>
        <w:t xml:space="preserve">7.2 </w:t>
      </w:r>
      <w:r>
        <w:rPr>
          <w:rFonts w:eastAsia="Arial"/>
          <w:sz w:val="24"/>
        </w:rPr>
        <w:tab/>
      </w:r>
      <w:r w:rsidRPr="00594D20">
        <w:rPr>
          <w:rFonts w:eastAsia="Arial"/>
          <w:sz w:val="24"/>
        </w:rPr>
        <w:t>What additional resources are available for seniors when looking at the new information published on My Aged Care?</w:t>
      </w:r>
    </w:p>
    <w:p w14:paraId="2EA33F1E" w14:textId="35E3CAC0" w:rsidR="00173033" w:rsidRDefault="00173033" w:rsidP="00173033">
      <w:pPr>
        <w:ind w:left="720"/>
        <w:rPr>
          <w:rFonts w:eastAsia="Arial" w:cs="Arial"/>
        </w:rPr>
      </w:pPr>
      <w:r>
        <w:rPr>
          <w:rFonts w:eastAsia="Arial" w:cs="Arial"/>
        </w:rPr>
        <w:t xml:space="preserve">Information to help older people understand the provider finance and operations information that has been published on My Aged Care is available </w:t>
      </w:r>
      <w:hyperlink r:id="rId12" w:history="1">
        <w:r w:rsidRPr="00CF329E">
          <w:rPr>
            <w:rStyle w:val="Hyperlink"/>
            <w:rFonts w:eastAsia="Arial" w:cs="Arial"/>
          </w:rPr>
          <w:t>here</w:t>
        </w:r>
      </w:hyperlink>
      <w:r>
        <w:rPr>
          <w:rFonts w:eastAsia="Arial" w:cs="Arial"/>
        </w:rPr>
        <w:t>.</w:t>
      </w:r>
    </w:p>
    <w:p w14:paraId="6667969F" w14:textId="2BFE3B25" w:rsidR="008A59E2" w:rsidRPr="00B1075C" w:rsidRDefault="008A59E2" w:rsidP="008A59E2">
      <w:pPr>
        <w:pStyle w:val="Heading4"/>
        <w:rPr>
          <w:rStyle w:val="Heading3Char"/>
          <w:b/>
          <w:bCs/>
        </w:rPr>
      </w:pPr>
      <w:r>
        <w:rPr>
          <w:rStyle w:val="Heading3Char"/>
          <w:b/>
          <w:bCs/>
        </w:rPr>
        <w:t>7.</w:t>
      </w:r>
      <w:r w:rsidR="00173033">
        <w:rPr>
          <w:rStyle w:val="Heading3Char"/>
          <w:b/>
          <w:bCs/>
        </w:rPr>
        <w:t>3</w:t>
      </w:r>
      <w:r>
        <w:rPr>
          <w:rStyle w:val="Heading3Char"/>
          <w:b/>
          <w:bCs/>
        </w:rPr>
        <w:t xml:space="preserve"> </w:t>
      </w:r>
      <w:r>
        <w:rPr>
          <w:rStyle w:val="Heading3Char"/>
          <w:b/>
          <w:bCs/>
        </w:rPr>
        <w:tab/>
      </w:r>
      <w:r w:rsidRPr="0029157B">
        <w:rPr>
          <w:rStyle w:val="Heading3Char"/>
          <w:b/>
          <w:bCs/>
          <w:sz w:val="24"/>
          <w:szCs w:val="22"/>
        </w:rPr>
        <w:t>Where do we find the most recent QFS?</w:t>
      </w:r>
    </w:p>
    <w:p w14:paraId="2BFA6077" w14:textId="1A8C6B76" w:rsidR="008A59E2" w:rsidRDefault="008A59E2" w:rsidP="00FD5017">
      <w:pPr>
        <w:rPr>
          <w:rFonts w:eastAsia="Arial" w:cs="Arial"/>
        </w:rPr>
      </w:pPr>
      <w:r>
        <w:tab/>
        <w:t xml:space="preserve">The most recent QFS (Quarter 1 2023-24) is available </w:t>
      </w:r>
      <w:hyperlink r:id="rId13" w:history="1">
        <w:r w:rsidRPr="00B1075C">
          <w:rPr>
            <w:rStyle w:val="Hyperlink"/>
          </w:rPr>
          <w:t>here</w:t>
        </w:r>
      </w:hyperlink>
      <w:r>
        <w:t xml:space="preserve">. </w:t>
      </w:r>
    </w:p>
    <w:p w14:paraId="3A8D8B9E" w14:textId="2ACF497C" w:rsidR="009C6590" w:rsidRPr="009C6590" w:rsidRDefault="009C6590" w:rsidP="00047009">
      <w:pPr>
        <w:pStyle w:val="Heading3"/>
        <w:numPr>
          <w:ilvl w:val="0"/>
          <w:numId w:val="10"/>
        </w:numPr>
        <w:rPr>
          <w:rFonts w:eastAsia="Arial" w:cs="Arial"/>
          <w:bCs/>
          <w:szCs w:val="28"/>
        </w:rPr>
      </w:pPr>
      <w:bookmarkStart w:id="13" w:name="_Toc167712971"/>
      <w:r w:rsidRPr="009C6590">
        <w:rPr>
          <w:rFonts w:eastAsia="Arial" w:cs="Arial"/>
          <w:bCs/>
          <w:szCs w:val="28"/>
        </w:rPr>
        <w:t>General</w:t>
      </w:r>
      <w:bookmarkEnd w:id="13"/>
    </w:p>
    <w:p w14:paraId="2B01F3E1" w14:textId="3B3755C4" w:rsidR="0A99454E" w:rsidRPr="0084656A" w:rsidRDefault="00203013" w:rsidP="006F370F">
      <w:pPr>
        <w:pStyle w:val="ListParagraph"/>
        <w:numPr>
          <w:ilvl w:val="1"/>
          <w:numId w:val="10"/>
        </w:numPr>
        <w:ind w:left="709"/>
        <w:rPr>
          <w:rFonts w:eastAsia="Arial" w:cs="Arial"/>
          <w:b/>
          <w:bCs/>
          <w:color w:val="1E1544"/>
        </w:rPr>
      </w:pPr>
      <w:r w:rsidRPr="0084656A">
        <w:rPr>
          <w:rFonts w:eastAsia="Arial" w:cs="Arial"/>
          <w:b/>
          <w:bCs/>
          <w:color w:val="1E1544"/>
        </w:rPr>
        <w:t>Can you combine the data collection with StewartBrown Survey data</w:t>
      </w:r>
      <w:r w:rsidR="00FA7154" w:rsidRPr="0084656A">
        <w:rPr>
          <w:rFonts w:eastAsia="Arial" w:cs="Arial"/>
          <w:b/>
          <w:bCs/>
          <w:color w:val="1E1544"/>
        </w:rPr>
        <w:t>?</w:t>
      </w:r>
    </w:p>
    <w:p w14:paraId="0BA7D3CD" w14:textId="01E2BE47" w:rsidR="00203013" w:rsidRDefault="00203013" w:rsidP="7684FD32">
      <w:pPr>
        <w:spacing w:after="240"/>
        <w:ind w:left="720"/>
        <w:rPr>
          <w:rFonts w:eastAsia="Arial" w:cs="Arial"/>
        </w:rPr>
      </w:pPr>
      <w:r w:rsidRPr="7684FD32">
        <w:rPr>
          <w:rFonts w:eastAsia="Arial" w:cs="Arial"/>
        </w:rPr>
        <w:t xml:space="preserve">The StewartBrown survey data is an optional (pay to use) </w:t>
      </w:r>
      <w:r w:rsidR="00FA7154" w:rsidRPr="7684FD32">
        <w:rPr>
          <w:rFonts w:eastAsia="Arial" w:cs="Arial"/>
        </w:rPr>
        <w:t>benchmarking</w:t>
      </w:r>
      <w:r w:rsidRPr="7684FD32">
        <w:rPr>
          <w:rFonts w:eastAsia="Arial" w:cs="Arial"/>
        </w:rPr>
        <w:t xml:space="preserve"> service that StewartBrown (a private company) operates </w:t>
      </w:r>
      <w:r w:rsidR="00C37B51">
        <w:rPr>
          <w:rFonts w:eastAsia="Arial" w:cs="Arial"/>
        </w:rPr>
        <w:t>for</w:t>
      </w:r>
      <w:r w:rsidRPr="7684FD32">
        <w:rPr>
          <w:rFonts w:eastAsia="Arial" w:cs="Arial"/>
        </w:rPr>
        <w:t xml:space="preserve"> providers who wish to participate in their survey, whereas the </w:t>
      </w:r>
      <w:r w:rsidR="00E709CF">
        <w:rPr>
          <w:rFonts w:eastAsia="Arial" w:cs="Arial"/>
        </w:rPr>
        <w:t>QFR</w:t>
      </w:r>
      <w:r w:rsidRPr="7684FD32">
        <w:rPr>
          <w:rFonts w:eastAsia="Arial" w:cs="Arial"/>
        </w:rPr>
        <w:t xml:space="preserve"> and </w:t>
      </w:r>
      <w:r w:rsidR="00E709CF">
        <w:rPr>
          <w:rFonts w:eastAsia="Arial" w:cs="Arial"/>
        </w:rPr>
        <w:t>ACFR</w:t>
      </w:r>
      <w:r w:rsidRPr="7684FD32">
        <w:rPr>
          <w:rFonts w:eastAsia="Arial" w:cs="Arial"/>
        </w:rPr>
        <w:t xml:space="preserve"> are legislative requirements that all aged care providers must complete and as part of the responsibilities of being an approved provider. For that </w:t>
      </w:r>
      <w:r w:rsidR="00505392" w:rsidRPr="7684FD32">
        <w:rPr>
          <w:rFonts w:eastAsia="Arial" w:cs="Arial"/>
        </w:rPr>
        <w:t>reason,</w:t>
      </w:r>
      <w:r w:rsidRPr="7684FD32">
        <w:rPr>
          <w:rFonts w:eastAsia="Arial" w:cs="Arial"/>
        </w:rPr>
        <w:t xml:space="preserve"> there isn’t the potential for us to combine those datasets. </w:t>
      </w:r>
    </w:p>
    <w:p w14:paraId="0BC100BE" w14:textId="77777777" w:rsidR="001B5E4A" w:rsidRPr="00DB221D" w:rsidRDefault="001B5E4A" w:rsidP="006F370F">
      <w:pPr>
        <w:pStyle w:val="ListParagraph"/>
        <w:numPr>
          <w:ilvl w:val="1"/>
          <w:numId w:val="10"/>
        </w:numPr>
        <w:ind w:left="709"/>
        <w:rPr>
          <w:rFonts w:eastAsia="Arial" w:cs="Arial"/>
          <w:b/>
          <w:bCs/>
          <w:color w:val="1E1544"/>
        </w:rPr>
      </w:pPr>
      <w:r w:rsidRPr="00DB221D">
        <w:rPr>
          <w:rFonts w:eastAsia="Arial" w:cs="Arial"/>
          <w:b/>
          <w:bCs/>
          <w:color w:val="1E1544"/>
        </w:rPr>
        <w:t>Why is it necessary for directors to re-sign the declaration for minor changes?</w:t>
      </w:r>
    </w:p>
    <w:p w14:paraId="4D356F0F" w14:textId="27CBC852" w:rsidR="0060762A" w:rsidRDefault="001B5E4A" w:rsidP="7684FD32">
      <w:pPr>
        <w:spacing w:after="240"/>
        <w:ind w:left="720"/>
        <w:rPr>
          <w:rFonts w:eastAsia="Arial" w:cs="Arial"/>
        </w:rPr>
      </w:pPr>
      <w:r w:rsidRPr="6637D5BB">
        <w:rPr>
          <w:rFonts w:eastAsia="Arial" w:cs="Arial"/>
        </w:rPr>
        <w:t xml:space="preserve">This is to ensure that </w:t>
      </w:r>
      <w:r w:rsidR="00E709CF">
        <w:rPr>
          <w:rFonts w:eastAsia="Arial" w:cs="Arial"/>
        </w:rPr>
        <w:t>d</w:t>
      </w:r>
      <w:r w:rsidRPr="6637D5BB">
        <w:rPr>
          <w:rFonts w:eastAsia="Arial" w:cs="Arial"/>
        </w:rPr>
        <w:t>irectors remain well informed regarding any changes made to the information their organi</w:t>
      </w:r>
      <w:r w:rsidR="00E709CF">
        <w:rPr>
          <w:rFonts w:eastAsia="Arial" w:cs="Arial"/>
        </w:rPr>
        <w:t>s</w:t>
      </w:r>
      <w:r w:rsidRPr="6637D5BB">
        <w:rPr>
          <w:rFonts w:eastAsia="Arial" w:cs="Arial"/>
        </w:rPr>
        <w:t xml:space="preserve">ation is responsible for providing. The directors are ultimately accountable for the data that is made available to the </w:t>
      </w:r>
      <w:r w:rsidR="00E709CF">
        <w:rPr>
          <w:rFonts w:eastAsia="Arial" w:cs="Arial"/>
        </w:rPr>
        <w:t>d</w:t>
      </w:r>
      <w:r w:rsidRPr="6637D5BB">
        <w:rPr>
          <w:rFonts w:eastAsia="Arial" w:cs="Arial"/>
        </w:rPr>
        <w:t>epartment</w:t>
      </w:r>
      <w:r w:rsidR="002A0C00" w:rsidRPr="6637D5BB">
        <w:rPr>
          <w:rFonts w:eastAsia="Arial" w:cs="Arial"/>
        </w:rPr>
        <w:t xml:space="preserve"> and</w:t>
      </w:r>
      <w:r w:rsidR="00AC2B26" w:rsidRPr="6637D5BB">
        <w:rPr>
          <w:rFonts w:eastAsia="Arial" w:cs="Arial"/>
        </w:rPr>
        <w:t xml:space="preserve"> </w:t>
      </w:r>
      <w:r w:rsidRPr="6637D5BB">
        <w:rPr>
          <w:rFonts w:eastAsia="Arial" w:cs="Arial"/>
        </w:rPr>
        <w:t xml:space="preserve">the Aged Care Quality and Safety </w:t>
      </w:r>
      <w:r w:rsidR="002A0C00" w:rsidRPr="6637D5BB">
        <w:rPr>
          <w:rFonts w:eastAsia="Arial" w:cs="Arial"/>
        </w:rPr>
        <w:t>Commission</w:t>
      </w:r>
      <w:r w:rsidR="00AC2B26" w:rsidRPr="6637D5BB">
        <w:rPr>
          <w:rFonts w:eastAsia="Arial" w:cs="Arial"/>
        </w:rPr>
        <w:t xml:space="preserve"> and</w:t>
      </w:r>
      <w:r w:rsidR="002A0C00" w:rsidRPr="6637D5BB">
        <w:rPr>
          <w:rFonts w:eastAsia="Arial" w:cs="Arial"/>
        </w:rPr>
        <w:t xml:space="preserve"> for</w:t>
      </w:r>
      <w:r w:rsidR="00AC2B26" w:rsidRPr="6637D5BB">
        <w:rPr>
          <w:rFonts w:eastAsia="Arial" w:cs="Arial"/>
        </w:rPr>
        <w:t xml:space="preserve"> the </w:t>
      </w:r>
      <w:r w:rsidR="002A0C00" w:rsidRPr="6637D5BB">
        <w:rPr>
          <w:rFonts w:eastAsia="Arial" w:cs="Arial"/>
        </w:rPr>
        <w:t xml:space="preserve">provider’s financial </w:t>
      </w:r>
      <w:r w:rsidR="00AC2B26" w:rsidRPr="6637D5BB">
        <w:rPr>
          <w:rFonts w:eastAsia="Arial" w:cs="Arial"/>
        </w:rPr>
        <w:t>data that is published on</w:t>
      </w:r>
      <w:r w:rsidR="002A0C00" w:rsidRPr="6637D5BB">
        <w:rPr>
          <w:rFonts w:eastAsia="Arial" w:cs="Arial"/>
        </w:rPr>
        <w:t xml:space="preserve"> the</w:t>
      </w:r>
      <w:r w:rsidR="00AC2B26" w:rsidRPr="6637D5BB">
        <w:rPr>
          <w:rFonts w:eastAsia="Arial" w:cs="Arial"/>
        </w:rPr>
        <w:t xml:space="preserve"> My</w:t>
      </w:r>
      <w:r w:rsidR="00E709CF">
        <w:rPr>
          <w:rFonts w:eastAsia="Arial" w:cs="Arial"/>
        </w:rPr>
        <w:t xml:space="preserve"> </w:t>
      </w:r>
      <w:r w:rsidR="00AC2B26" w:rsidRPr="6637D5BB">
        <w:rPr>
          <w:rFonts w:eastAsia="Arial" w:cs="Arial"/>
        </w:rPr>
        <w:t>Aged</w:t>
      </w:r>
      <w:r w:rsidR="00E709CF">
        <w:rPr>
          <w:rFonts w:eastAsia="Arial" w:cs="Arial"/>
        </w:rPr>
        <w:t xml:space="preserve"> </w:t>
      </w:r>
      <w:r w:rsidR="00AC2B26" w:rsidRPr="6637D5BB">
        <w:rPr>
          <w:rFonts w:eastAsia="Arial" w:cs="Arial"/>
        </w:rPr>
        <w:t>Care</w:t>
      </w:r>
      <w:r w:rsidR="002A0C00" w:rsidRPr="6637D5BB">
        <w:rPr>
          <w:rFonts w:eastAsia="Arial" w:cs="Arial"/>
        </w:rPr>
        <w:t xml:space="preserve"> website</w:t>
      </w:r>
      <w:r w:rsidR="00AC2B26" w:rsidRPr="6637D5BB">
        <w:rPr>
          <w:rFonts w:eastAsia="Arial" w:cs="Arial"/>
        </w:rPr>
        <w:t>.</w:t>
      </w:r>
    </w:p>
    <w:p w14:paraId="6FCC4D5E" w14:textId="508D063F" w:rsidR="001B5E4A" w:rsidRPr="00DB221D" w:rsidRDefault="0060762A" w:rsidP="006F370F">
      <w:pPr>
        <w:pStyle w:val="ListParagraph"/>
        <w:numPr>
          <w:ilvl w:val="1"/>
          <w:numId w:val="10"/>
        </w:numPr>
        <w:ind w:left="709"/>
        <w:rPr>
          <w:rFonts w:eastAsia="Arial" w:cs="Arial"/>
          <w:b/>
          <w:bCs/>
          <w:color w:val="1E1544"/>
        </w:rPr>
      </w:pPr>
      <w:r w:rsidRPr="00DB221D">
        <w:rPr>
          <w:rFonts w:eastAsia="Arial" w:cs="Arial"/>
          <w:b/>
          <w:bCs/>
          <w:color w:val="1E1544"/>
        </w:rPr>
        <w:t>What are the implications for not completing mandatory reporting commitments?</w:t>
      </w:r>
    </w:p>
    <w:p w14:paraId="69699A44" w14:textId="46FEE93F" w:rsidR="0060762A" w:rsidRPr="00AD5182" w:rsidRDefault="0060762A" w:rsidP="7684FD32">
      <w:pPr>
        <w:ind w:left="709"/>
        <w:rPr>
          <w:rFonts w:eastAsia="Arial" w:cs="Arial"/>
        </w:rPr>
      </w:pPr>
      <w:r w:rsidRPr="7684FD32">
        <w:rPr>
          <w:rFonts w:eastAsia="Arial" w:cs="Arial"/>
        </w:rPr>
        <w:t>Providers have responsibilities under the</w:t>
      </w:r>
      <w:r w:rsidRPr="7684FD32">
        <w:rPr>
          <w:rFonts w:eastAsia="Arial" w:cs="Arial"/>
          <w:i/>
          <w:iCs/>
        </w:rPr>
        <w:t xml:space="preserve"> Aged Care Act 1997</w:t>
      </w:r>
      <w:r w:rsidRPr="7684FD32">
        <w:rPr>
          <w:rFonts w:eastAsia="Arial" w:cs="Arial"/>
        </w:rPr>
        <w:t xml:space="preserve"> </w:t>
      </w:r>
      <w:r w:rsidR="1D6A6792" w:rsidRPr="7684FD32">
        <w:rPr>
          <w:rFonts w:eastAsia="Arial" w:cs="Arial"/>
        </w:rPr>
        <w:t xml:space="preserve">(the Act) </w:t>
      </w:r>
      <w:r w:rsidRPr="7684FD32">
        <w:rPr>
          <w:rFonts w:eastAsia="Arial" w:cs="Arial"/>
        </w:rPr>
        <w:t>and associated Principles to report certain information to the department and the Commission. This includes providing statements on financial and prudential matters, submitting data required under the Quality Indicator Program and making reports under the Serious Incident Response Scheme.</w:t>
      </w:r>
    </w:p>
    <w:p w14:paraId="4062D8A9" w14:textId="5C29A22F" w:rsidR="009A1B22" w:rsidRPr="00AD5182" w:rsidRDefault="009A1B22" w:rsidP="7684FD32">
      <w:pPr>
        <w:ind w:left="720"/>
        <w:rPr>
          <w:rFonts w:eastAsia="Arial" w:cs="Arial"/>
        </w:rPr>
      </w:pPr>
      <w:r w:rsidRPr="7684FD32">
        <w:rPr>
          <w:rFonts w:eastAsia="Arial" w:cs="Arial"/>
        </w:rPr>
        <w:lastRenderedPageBreak/>
        <w:t xml:space="preserve">Section 63-1(1)(m) of the Act and Part 4A of the Accountability Principles 2014 (the Principles) set out the requirements for approved providers to prepare a QFR for each financial quarter and submit this to the Secretary of the Department of Health and Aged Care. Failure to lodge a QFR is a breach of your approved provider responsibilities set out under section 43 of the Principles. </w:t>
      </w:r>
    </w:p>
    <w:p w14:paraId="5F2AE19C" w14:textId="0D00BFB2" w:rsidR="00CE2390" w:rsidRPr="00B1075C" w:rsidRDefault="009A1B22" w:rsidP="00173033">
      <w:pPr>
        <w:ind w:left="720"/>
      </w:pPr>
      <w:r w:rsidRPr="7684FD32">
        <w:rPr>
          <w:rFonts w:eastAsia="Arial" w:cs="Arial"/>
        </w:rPr>
        <w:t xml:space="preserve">Any breach of your responsibilities under the Act or Principles, may result in a delegate of the Commissioner considering taking regulatory action including by issuing a Non-Compliance Notice, or imposing one or more sanctions under section 63N of the </w:t>
      </w:r>
      <w:r w:rsidRPr="7684FD32">
        <w:rPr>
          <w:rFonts w:eastAsia="Arial" w:cs="Arial"/>
          <w:i/>
          <w:iCs/>
        </w:rPr>
        <w:t>Aged Care Quality and Safety Commission Act 2018</w:t>
      </w:r>
      <w:r w:rsidRPr="7684FD32">
        <w:rPr>
          <w:rFonts w:eastAsia="Arial" w:cs="Arial"/>
        </w:rPr>
        <w:t>.</w:t>
      </w:r>
    </w:p>
    <w:p w14:paraId="12D90F06" w14:textId="70C6D3EC" w:rsidR="00694BAD" w:rsidRPr="0029157B" w:rsidRDefault="00CE2390" w:rsidP="00694BAD">
      <w:pPr>
        <w:pStyle w:val="Heading3"/>
        <w:rPr>
          <w:rFonts w:eastAsia="Arial"/>
          <w:sz w:val="24"/>
          <w:szCs w:val="22"/>
        </w:rPr>
      </w:pPr>
      <w:r w:rsidRPr="0029157B">
        <w:rPr>
          <w:rFonts w:eastAsia="Arial"/>
          <w:sz w:val="24"/>
          <w:szCs w:val="22"/>
        </w:rPr>
        <w:t>8.</w:t>
      </w:r>
      <w:r w:rsidR="00173033">
        <w:rPr>
          <w:rFonts w:eastAsia="Arial"/>
          <w:sz w:val="24"/>
          <w:szCs w:val="22"/>
        </w:rPr>
        <w:t>4</w:t>
      </w:r>
      <w:r w:rsidRPr="0029157B">
        <w:rPr>
          <w:rFonts w:eastAsia="Arial"/>
          <w:sz w:val="24"/>
          <w:szCs w:val="22"/>
        </w:rPr>
        <w:t xml:space="preserve"> </w:t>
      </w:r>
      <w:r w:rsidRPr="0029157B">
        <w:rPr>
          <w:rFonts w:eastAsia="Arial"/>
          <w:sz w:val="24"/>
          <w:szCs w:val="22"/>
        </w:rPr>
        <w:tab/>
        <w:t>Is there a way to send this information via API</w:t>
      </w:r>
      <w:r w:rsidR="00694BAD" w:rsidRPr="0029157B">
        <w:rPr>
          <w:rFonts w:eastAsia="Arial"/>
          <w:sz w:val="24"/>
          <w:szCs w:val="22"/>
        </w:rPr>
        <w:t>?</w:t>
      </w:r>
    </w:p>
    <w:p w14:paraId="5025C424" w14:textId="6456B29C" w:rsidR="0083712E" w:rsidRDefault="0083712E" w:rsidP="0029157B">
      <w:pPr>
        <w:ind w:left="720"/>
      </w:pPr>
      <w:r>
        <w:t xml:space="preserve">The </w:t>
      </w:r>
      <w:r w:rsidR="00E252E1">
        <w:t xml:space="preserve">department </w:t>
      </w:r>
      <w:r>
        <w:t xml:space="preserve">is working on developing a Business 2 Government API Gateway, </w:t>
      </w:r>
      <w:r w:rsidR="0029157B">
        <w:t>which will</w:t>
      </w:r>
      <w:r>
        <w:t xml:space="preserve"> provide a direct connection between providers and Government systems. More information is available </w:t>
      </w:r>
      <w:hyperlink r:id="rId14" w:history="1">
        <w:r w:rsidRPr="005C6605">
          <w:rPr>
            <w:rStyle w:val="Hyperlink"/>
            <w:rFonts w:eastAsia="Arial" w:cs="Arial"/>
          </w:rPr>
          <w:t>here</w:t>
        </w:r>
      </w:hyperlink>
      <w:r>
        <w:t xml:space="preserve">. </w:t>
      </w:r>
    </w:p>
    <w:p w14:paraId="1E7FBCC7" w14:textId="5594E850" w:rsidR="00B1075C" w:rsidRPr="0029157B" w:rsidRDefault="00B1075C" w:rsidP="00B1075C">
      <w:pPr>
        <w:pStyle w:val="Heading3"/>
        <w:ind w:left="720" w:hanging="720"/>
        <w:rPr>
          <w:sz w:val="24"/>
        </w:rPr>
      </w:pPr>
      <w:r w:rsidRPr="0029157B">
        <w:rPr>
          <w:sz w:val="24"/>
        </w:rPr>
        <w:t>8.</w:t>
      </w:r>
      <w:r w:rsidR="00173033" w:rsidRPr="0029157B">
        <w:rPr>
          <w:sz w:val="24"/>
        </w:rPr>
        <w:t>5</w:t>
      </w:r>
      <w:r w:rsidRPr="0029157B">
        <w:rPr>
          <w:sz w:val="24"/>
        </w:rPr>
        <w:tab/>
        <w:t>Is there any data available on required vs expected time required to complete this reporting?</w:t>
      </w:r>
    </w:p>
    <w:p w14:paraId="357EB694" w14:textId="15247B8D" w:rsidR="00B1075C" w:rsidRPr="00B1075C" w:rsidRDefault="00B1075C" w:rsidP="008A59E2">
      <w:pPr>
        <w:ind w:left="720"/>
      </w:pPr>
      <w:r>
        <w:t>No</w:t>
      </w:r>
      <w:r w:rsidR="23736595">
        <w:t xml:space="preserve"> data has been collected regarding the time required by providers to complete the reporting. The expected time required to complete the reporting has not been estimated as it wil</w:t>
      </w:r>
      <w:r w:rsidR="11EF954D">
        <w:t>l differ according to the circumstances of each provider.</w:t>
      </w:r>
      <w:r>
        <w:t xml:space="preserve"> </w:t>
      </w:r>
    </w:p>
    <w:p w14:paraId="38C1644A" w14:textId="01351EB2" w:rsidR="00B1075C" w:rsidRDefault="00B1075C" w:rsidP="00B1075C">
      <w:pPr>
        <w:pStyle w:val="Heading3"/>
        <w:ind w:left="720" w:hanging="720"/>
      </w:pPr>
      <w:r w:rsidRPr="0029157B">
        <w:rPr>
          <w:sz w:val="24"/>
          <w:szCs w:val="22"/>
        </w:rPr>
        <w:t>8.</w:t>
      </w:r>
      <w:r w:rsidR="00173033">
        <w:rPr>
          <w:sz w:val="24"/>
          <w:szCs w:val="22"/>
        </w:rPr>
        <w:t>6</w:t>
      </w:r>
      <w:r w:rsidRPr="0029157B">
        <w:rPr>
          <w:sz w:val="24"/>
          <w:szCs w:val="22"/>
        </w:rPr>
        <w:tab/>
        <w:t xml:space="preserve">There are </w:t>
      </w:r>
      <w:r w:rsidR="00B6454C" w:rsidRPr="0029157B">
        <w:rPr>
          <w:sz w:val="24"/>
          <w:szCs w:val="22"/>
        </w:rPr>
        <w:t>several</w:t>
      </w:r>
      <w:r w:rsidRPr="0029157B">
        <w:rPr>
          <w:sz w:val="24"/>
          <w:szCs w:val="22"/>
        </w:rPr>
        <w:t xml:space="preserve"> display issues when making a submission? </w:t>
      </w:r>
    </w:p>
    <w:p w14:paraId="56EA78DE" w14:textId="52E62561" w:rsidR="00E02AA4" w:rsidRPr="00B1075C" w:rsidRDefault="00B1075C" w:rsidP="005A3AB8">
      <w:pPr>
        <w:ind w:left="720"/>
      </w:pPr>
      <w:r>
        <w:t xml:space="preserve">We are aware some display issues were appearing in past reporting cycles and have worked to rectify them. </w:t>
      </w:r>
    </w:p>
    <w:p w14:paraId="65D75D86" w14:textId="6DE7343B" w:rsidR="00E02AA4" w:rsidRPr="0029157B" w:rsidRDefault="00E02AA4" w:rsidP="00E02AA4">
      <w:pPr>
        <w:pStyle w:val="Heading3"/>
        <w:rPr>
          <w:sz w:val="24"/>
        </w:rPr>
      </w:pPr>
      <w:r w:rsidRPr="0029157B">
        <w:rPr>
          <w:sz w:val="24"/>
        </w:rPr>
        <w:t>8.</w:t>
      </w:r>
      <w:r w:rsidR="00173033" w:rsidRPr="0029157B">
        <w:rPr>
          <w:sz w:val="24"/>
        </w:rPr>
        <w:t>7</w:t>
      </w:r>
      <w:r w:rsidRPr="0029157B">
        <w:rPr>
          <w:sz w:val="24"/>
        </w:rPr>
        <w:t xml:space="preserve"> </w:t>
      </w:r>
      <w:r w:rsidRPr="0029157B">
        <w:rPr>
          <w:sz w:val="24"/>
        </w:rPr>
        <w:tab/>
        <w:t xml:space="preserve">Is it possible to </w:t>
      </w:r>
      <w:r w:rsidR="57836BD2" w:rsidRPr="0029157B">
        <w:rPr>
          <w:sz w:val="24"/>
        </w:rPr>
        <w:t xml:space="preserve">use </w:t>
      </w:r>
      <w:r w:rsidR="25060FC4" w:rsidRPr="0029157B">
        <w:rPr>
          <w:sz w:val="24"/>
        </w:rPr>
        <w:t xml:space="preserve">the </w:t>
      </w:r>
      <w:r w:rsidRPr="0029157B">
        <w:rPr>
          <w:sz w:val="24"/>
        </w:rPr>
        <w:t xml:space="preserve">lookup </w:t>
      </w:r>
      <w:r w:rsidR="397CDDB6" w:rsidRPr="0029157B">
        <w:rPr>
          <w:sz w:val="24"/>
        </w:rPr>
        <w:t xml:space="preserve">function in the </w:t>
      </w:r>
      <w:r w:rsidRPr="0029157B">
        <w:rPr>
          <w:sz w:val="24"/>
        </w:rPr>
        <w:t xml:space="preserve">excel file? </w:t>
      </w:r>
    </w:p>
    <w:p w14:paraId="0443F174" w14:textId="65B7C715" w:rsidR="00B1075C" w:rsidRDefault="00E02AA4" w:rsidP="00694BAD">
      <w:r>
        <w:tab/>
        <w:t xml:space="preserve">No, this functionality currently does not exist. </w:t>
      </w:r>
    </w:p>
    <w:p w14:paraId="4454D318" w14:textId="59CBA3A9" w:rsidR="00B6454C" w:rsidRPr="0029157B" w:rsidRDefault="00B6454C" w:rsidP="00B6454C">
      <w:pPr>
        <w:pStyle w:val="Heading3"/>
        <w:ind w:left="720" w:hanging="720"/>
        <w:rPr>
          <w:sz w:val="24"/>
          <w:szCs w:val="22"/>
        </w:rPr>
      </w:pPr>
      <w:r w:rsidRPr="0029157B">
        <w:rPr>
          <w:sz w:val="24"/>
          <w:szCs w:val="22"/>
        </w:rPr>
        <w:t>8.</w:t>
      </w:r>
      <w:r w:rsidR="00173033" w:rsidRPr="0029157B">
        <w:rPr>
          <w:sz w:val="24"/>
          <w:szCs w:val="22"/>
        </w:rPr>
        <w:t xml:space="preserve">8 </w:t>
      </w:r>
      <w:r w:rsidRPr="0029157B">
        <w:rPr>
          <w:sz w:val="24"/>
          <w:szCs w:val="22"/>
        </w:rPr>
        <w:tab/>
        <w:t>Could the QFR have some more validation rules set so that it flags if the submission is out of range or is inconsistent with any prior submissions?</w:t>
      </w:r>
    </w:p>
    <w:p w14:paraId="039609E7" w14:textId="1FB934CA" w:rsidR="00B1075C" w:rsidRDefault="00B6454C" w:rsidP="00313BCB">
      <w:pPr>
        <w:ind w:left="720"/>
      </w:pPr>
      <w:r>
        <w:t xml:space="preserve">We are </w:t>
      </w:r>
      <w:r w:rsidR="00EB16AD">
        <w:t xml:space="preserve">continuously </w:t>
      </w:r>
      <w:r>
        <w:t xml:space="preserve">looking at ways in which </w:t>
      </w:r>
      <w:r w:rsidR="00116674">
        <w:t xml:space="preserve">the reporting process can be simplified and will look at opportunities to implement more validation rules. </w:t>
      </w:r>
    </w:p>
    <w:p w14:paraId="5CF945AE" w14:textId="03621E85" w:rsidR="00694BAD" w:rsidRPr="0029157B" w:rsidRDefault="005A3AB8" w:rsidP="005A3AB8">
      <w:pPr>
        <w:pStyle w:val="Heading3"/>
        <w:ind w:left="720" w:hanging="720"/>
        <w:rPr>
          <w:sz w:val="24"/>
          <w:szCs w:val="22"/>
        </w:rPr>
      </w:pPr>
      <w:r w:rsidRPr="0029157B">
        <w:rPr>
          <w:sz w:val="24"/>
          <w:szCs w:val="22"/>
        </w:rPr>
        <w:t>8.</w:t>
      </w:r>
      <w:r w:rsidR="00173033" w:rsidRPr="0029157B">
        <w:rPr>
          <w:sz w:val="24"/>
          <w:szCs w:val="22"/>
        </w:rPr>
        <w:t>9</w:t>
      </w:r>
      <w:r w:rsidRPr="0029157B">
        <w:rPr>
          <w:sz w:val="24"/>
          <w:szCs w:val="22"/>
        </w:rPr>
        <w:tab/>
      </w:r>
      <w:bookmarkStart w:id="14" w:name="_Hlk167714747"/>
      <w:r w:rsidR="0083712E" w:rsidRPr="0029157B">
        <w:rPr>
          <w:sz w:val="24"/>
          <w:szCs w:val="22"/>
        </w:rPr>
        <w:t xml:space="preserve">Last quarter, when I logged in, the first thing I needed to do is </w:t>
      </w:r>
      <w:r w:rsidR="00E252E1">
        <w:rPr>
          <w:sz w:val="24"/>
          <w:szCs w:val="22"/>
        </w:rPr>
        <w:t>s</w:t>
      </w:r>
      <w:r w:rsidR="00E252E1" w:rsidRPr="0029157B">
        <w:rPr>
          <w:sz w:val="24"/>
          <w:szCs w:val="22"/>
        </w:rPr>
        <w:t xml:space="preserve">witch </w:t>
      </w:r>
      <w:r w:rsidR="00E252E1">
        <w:rPr>
          <w:sz w:val="24"/>
          <w:szCs w:val="22"/>
        </w:rPr>
        <w:t>p</w:t>
      </w:r>
      <w:r w:rsidR="0083712E" w:rsidRPr="0029157B">
        <w:rPr>
          <w:sz w:val="24"/>
          <w:szCs w:val="22"/>
        </w:rPr>
        <w:t xml:space="preserve">roviders. Could my preferred </w:t>
      </w:r>
      <w:r w:rsidR="00E252E1">
        <w:rPr>
          <w:sz w:val="24"/>
          <w:szCs w:val="22"/>
        </w:rPr>
        <w:t>p</w:t>
      </w:r>
      <w:r w:rsidR="0083712E" w:rsidRPr="0029157B">
        <w:rPr>
          <w:sz w:val="24"/>
          <w:szCs w:val="22"/>
        </w:rPr>
        <w:t>rovider be set as the default?</w:t>
      </w:r>
      <w:bookmarkEnd w:id="14"/>
    </w:p>
    <w:p w14:paraId="03C3D0E7" w14:textId="260965B4" w:rsidR="00313BCB" w:rsidRDefault="00F11909" w:rsidP="00313BCB">
      <w:pPr>
        <w:ind w:left="720"/>
      </w:pPr>
      <w:r>
        <w:t xml:space="preserve">This functionality currently does not exist, </w:t>
      </w:r>
      <w:r w:rsidR="00313BCB">
        <w:t>however, is being considered as a potential future improvement.</w:t>
      </w:r>
      <w:r>
        <w:t xml:space="preserve"> </w:t>
      </w:r>
    </w:p>
    <w:p w14:paraId="1075E8A1" w14:textId="4B69FE57" w:rsidR="00313BCB" w:rsidRPr="00313BCB" w:rsidRDefault="00313BCB" w:rsidP="00313BCB">
      <w:pPr>
        <w:pStyle w:val="Heading4"/>
        <w:ind w:left="720" w:hanging="720"/>
        <w:rPr>
          <w:rFonts w:eastAsia="Arial"/>
        </w:rPr>
      </w:pPr>
      <w:r>
        <w:t xml:space="preserve">8.10 </w:t>
      </w:r>
      <w:r>
        <w:tab/>
      </w:r>
      <w:r w:rsidRPr="00313BCB">
        <w:rPr>
          <w:rFonts w:eastAsia="Arial"/>
        </w:rPr>
        <w:t xml:space="preserve">Why is the sector being advised of changes to reporting requirements after the </w:t>
      </w:r>
      <w:r>
        <w:rPr>
          <w:rFonts w:eastAsia="Arial"/>
        </w:rPr>
        <w:t xml:space="preserve">  </w:t>
      </w:r>
      <w:r w:rsidRPr="00313BCB">
        <w:rPr>
          <w:rFonts w:eastAsia="Arial"/>
        </w:rPr>
        <w:t xml:space="preserve">reporting period has commenced? </w:t>
      </w:r>
    </w:p>
    <w:p w14:paraId="166A1885" w14:textId="77777777" w:rsidR="00313BCB" w:rsidRDefault="00313BCB" w:rsidP="00313BCB">
      <w:pPr>
        <w:ind w:left="720"/>
        <w:rPr>
          <w:rFonts w:eastAsia="Arial" w:cs="Arial"/>
        </w:rPr>
      </w:pPr>
      <w:r w:rsidRPr="005062C4">
        <w:rPr>
          <w:rFonts w:eastAsia="Arial" w:cs="Arial"/>
        </w:rPr>
        <w:t>We aim to advise the sector of upcoming changes as soon as we can. We understand that the reporting period has already started and will take this feedback onboard as part of our commitment to the continuous improvement of the QFR process.</w:t>
      </w:r>
    </w:p>
    <w:p w14:paraId="077CD943" w14:textId="7F3B6A59" w:rsidR="00313BCB" w:rsidRDefault="00313BCB" w:rsidP="00313BCB"/>
    <w:p w14:paraId="25447843" w14:textId="77777777" w:rsidR="00101BAA" w:rsidRDefault="00101BAA" w:rsidP="00B1075C">
      <w:pPr>
        <w:tabs>
          <w:tab w:val="left" w:pos="2160"/>
        </w:tabs>
        <w:ind w:left="720"/>
      </w:pPr>
    </w:p>
    <w:p w14:paraId="5A3059EF" w14:textId="77777777" w:rsidR="0020340E" w:rsidRDefault="0020340E" w:rsidP="007445A0">
      <w:pPr>
        <w:ind w:left="720"/>
      </w:pPr>
    </w:p>
    <w:p w14:paraId="31938BB3" w14:textId="77777777" w:rsidR="007445A0" w:rsidRDefault="007445A0" w:rsidP="007445A0"/>
    <w:p w14:paraId="4E9D2584" w14:textId="77777777" w:rsidR="007445A0" w:rsidRPr="00AD5182" w:rsidRDefault="007445A0" w:rsidP="00B1075C"/>
    <w:p w14:paraId="4C604258" w14:textId="77777777" w:rsidR="009A1B22" w:rsidRDefault="009A1B22" w:rsidP="009A1B22">
      <w:pPr>
        <w:ind w:right="266" w:hanging="11"/>
        <w:jc w:val="both"/>
        <w:rPr>
          <w:rFonts w:ascii="Open Sans" w:hAnsi="Open Sans" w:cs="Open Sans"/>
          <w:color w:val="000000"/>
          <w:lang w:eastAsia="en-AU"/>
        </w:rPr>
      </w:pPr>
    </w:p>
    <w:p w14:paraId="29903B6D" w14:textId="77777777" w:rsidR="0087640C" w:rsidRDefault="0087640C" w:rsidP="00A30475"/>
    <w:sectPr w:rsidR="0087640C" w:rsidSect="002E0471">
      <w:headerReference w:type="default" r:id="rId15"/>
      <w:footerReference w:type="default" r:id="rId16"/>
      <w:headerReference w:type="first" r:id="rId17"/>
      <w:pgSz w:w="11906" w:h="16838"/>
      <w:pgMar w:top="1440" w:right="851" w:bottom="851" w:left="851"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3F3E7" w14:textId="77777777" w:rsidR="0036340D" w:rsidRDefault="0036340D" w:rsidP="0076491B">
      <w:pPr>
        <w:spacing w:before="0" w:after="0" w:line="240" w:lineRule="auto"/>
      </w:pPr>
      <w:r>
        <w:separator/>
      </w:r>
    </w:p>
  </w:endnote>
  <w:endnote w:type="continuationSeparator" w:id="0">
    <w:p w14:paraId="7EA4ABE6" w14:textId="77777777" w:rsidR="0036340D" w:rsidRDefault="0036340D" w:rsidP="0076491B">
      <w:pPr>
        <w:spacing w:before="0" w:after="0" w:line="240" w:lineRule="auto"/>
      </w:pPr>
      <w:r>
        <w:continuationSeparator/>
      </w:r>
    </w:p>
  </w:endnote>
  <w:endnote w:type="continuationNotice" w:id="1">
    <w:p w14:paraId="1DC3A06A" w14:textId="77777777" w:rsidR="0036340D" w:rsidRDefault="0036340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889829"/>
      <w:docPartObj>
        <w:docPartGallery w:val="Page Numbers (Bottom of Page)"/>
        <w:docPartUnique/>
      </w:docPartObj>
    </w:sdtPr>
    <w:sdtEndPr>
      <w:rPr>
        <w:sz w:val="18"/>
        <w:szCs w:val="18"/>
      </w:rPr>
    </w:sdtEndPr>
    <w:sdtContent>
      <w:sdt>
        <w:sdtPr>
          <w:rPr>
            <w:sz w:val="18"/>
            <w:szCs w:val="18"/>
          </w:rPr>
          <w:id w:val="1728636285"/>
          <w:docPartObj>
            <w:docPartGallery w:val="Page Numbers (Top of Page)"/>
            <w:docPartUnique/>
          </w:docPartObj>
        </w:sdtPr>
        <w:sdtEndPr/>
        <w:sdtContent>
          <w:p w14:paraId="60E0658B" w14:textId="0E4B9C80" w:rsidR="00495DCC" w:rsidRPr="00495DCC" w:rsidRDefault="00495DCC">
            <w:pPr>
              <w:pStyle w:val="Footer"/>
              <w:jc w:val="center"/>
              <w:rPr>
                <w:sz w:val="18"/>
                <w:szCs w:val="18"/>
              </w:rPr>
            </w:pPr>
            <w:r w:rsidRPr="00495DCC">
              <w:rPr>
                <w:sz w:val="18"/>
                <w:szCs w:val="18"/>
              </w:rPr>
              <w:t xml:space="preserve">Page </w:t>
            </w:r>
            <w:r w:rsidRPr="00495DCC">
              <w:rPr>
                <w:b/>
                <w:bCs/>
                <w:color w:val="2B579A"/>
                <w:sz w:val="18"/>
                <w:szCs w:val="18"/>
                <w:shd w:val="clear" w:color="auto" w:fill="E6E6E6"/>
              </w:rPr>
              <w:fldChar w:fldCharType="begin"/>
            </w:r>
            <w:r w:rsidRPr="00495DCC">
              <w:rPr>
                <w:b/>
                <w:bCs/>
                <w:sz w:val="18"/>
                <w:szCs w:val="18"/>
              </w:rPr>
              <w:instrText xml:space="preserve"> PAGE </w:instrText>
            </w:r>
            <w:r w:rsidRPr="00495DCC">
              <w:rPr>
                <w:b/>
                <w:bCs/>
                <w:color w:val="2B579A"/>
                <w:sz w:val="18"/>
                <w:szCs w:val="18"/>
                <w:shd w:val="clear" w:color="auto" w:fill="E6E6E6"/>
              </w:rPr>
              <w:fldChar w:fldCharType="separate"/>
            </w:r>
            <w:r w:rsidRPr="00495DCC">
              <w:rPr>
                <w:b/>
                <w:bCs/>
                <w:noProof/>
                <w:sz w:val="18"/>
                <w:szCs w:val="18"/>
              </w:rPr>
              <w:t>2</w:t>
            </w:r>
            <w:r w:rsidRPr="00495DCC">
              <w:rPr>
                <w:b/>
                <w:bCs/>
                <w:color w:val="2B579A"/>
                <w:sz w:val="18"/>
                <w:szCs w:val="18"/>
                <w:shd w:val="clear" w:color="auto" w:fill="E6E6E6"/>
              </w:rPr>
              <w:fldChar w:fldCharType="end"/>
            </w:r>
            <w:r w:rsidRPr="00495DCC">
              <w:rPr>
                <w:sz w:val="18"/>
                <w:szCs w:val="18"/>
              </w:rPr>
              <w:t xml:space="preserve"> of </w:t>
            </w:r>
            <w:r w:rsidRPr="00495DCC">
              <w:rPr>
                <w:b/>
                <w:bCs/>
                <w:color w:val="2B579A"/>
                <w:sz w:val="18"/>
                <w:szCs w:val="18"/>
                <w:shd w:val="clear" w:color="auto" w:fill="E6E6E6"/>
              </w:rPr>
              <w:fldChar w:fldCharType="begin"/>
            </w:r>
            <w:r w:rsidRPr="00495DCC">
              <w:rPr>
                <w:b/>
                <w:bCs/>
                <w:sz w:val="18"/>
                <w:szCs w:val="18"/>
              </w:rPr>
              <w:instrText xml:space="preserve"> NUMPAGES  </w:instrText>
            </w:r>
            <w:r w:rsidRPr="00495DCC">
              <w:rPr>
                <w:b/>
                <w:bCs/>
                <w:color w:val="2B579A"/>
                <w:sz w:val="18"/>
                <w:szCs w:val="18"/>
                <w:shd w:val="clear" w:color="auto" w:fill="E6E6E6"/>
              </w:rPr>
              <w:fldChar w:fldCharType="separate"/>
            </w:r>
            <w:r w:rsidRPr="00495DCC">
              <w:rPr>
                <w:b/>
                <w:bCs/>
                <w:noProof/>
                <w:sz w:val="18"/>
                <w:szCs w:val="18"/>
              </w:rPr>
              <w:t>2</w:t>
            </w:r>
            <w:r w:rsidRPr="00495DCC">
              <w:rPr>
                <w:b/>
                <w:bCs/>
                <w:color w:val="2B579A"/>
                <w:sz w:val="18"/>
                <w:szCs w:val="18"/>
                <w:shd w:val="clear" w:color="auto" w:fill="E6E6E6"/>
              </w:rPr>
              <w:fldChar w:fldCharType="end"/>
            </w:r>
          </w:p>
        </w:sdtContent>
      </w:sdt>
    </w:sdtContent>
  </w:sdt>
  <w:p w14:paraId="13A65619" w14:textId="77777777" w:rsidR="00495DCC" w:rsidRDefault="00495D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12D03" w14:textId="77777777" w:rsidR="0036340D" w:rsidRDefault="0036340D" w:rsidP="0076491B">
      <w:pPr>
        <w:spacing w:before="0" w:after="0" w:line="240" w:lineRule="auto"/>
      </w:pPr>
      <w:r>
        <w:separator/>
      </w:r>
    </w:p>
  </w:footnote>
  <w:footnote w:type="continuationSeparator" w:id="0">
    <w:p w14:paraId="6E2FA3F7" w14:textId="77777777" w:rsidR="0036340D" w:rsidRDefault="0036340D" w:rsidP="0076491B">
      <w:pPr>
        <w:spacing w:before="0" w:after="0" w:line="240" w:lineRule="auto"/>
      </w:pPr>
      <w:r>
        <w:continuationSeparator/>
      </w:r>
    </w:p>
  </w:footnote>
  <w:footnote w:type="continuationNotice" w:id="1">
    <w:p w14:paraId="31DF935A" w14:textId="77777777" w:rsidR="0036340D" w:rsidRDefault="0036340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63599" w14:textId="66D4150D" w:rsidR="00C36094" w:rsidRDefault="00C360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6DD60" w14:textId="65EC739D" w:rsidR="0076491B" w:rsidRDefault="00EF0072">
    <w:pPr>
      <w:pStyle w:val="Header"/>
    </w:pPr>
    <w:r>
      <w:rPr>
        <w:noProof/>
        <w:color w:val="2B579A"/>
        <w:shd w:val="clear" w:color="auto" w:fill="E6E6E6"/>
      </w:rPr>
      <w:drawing>
        <wp:anchor distT="0" distB="0" distL="114300" distR="114300" simplePos="0" relativeHeight="251658240" behindDoc="1" locked="0" layoutInCell="1" allowOverlap="1" wp14:anchorId="291F40A1" wp14:editId="3B1C4A58">
          <wp:simplePos x="0" y="0"/>
          <wp:positionH relativeFrom="page">
            <wp:align>left</wp:align>
          </wp:positionH>
          <wp:positionV relativeFrom="page">
            <wp:posOffset>17780</wp:posOffset>
          </wp:positionV>
          <wp:extent cx="8230235" cy="354901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347" r="347"/>
                  <a:stretch>
                    <a:fillRect/>
                  </a:stretch>
                </pic:blipFill>
                <pic:spPr bwMode="auto">
                  <a:xfrm>
                    <a:off x="0" y="0"/>
                    <a:ext cx="8230235" cy="3549015"/>
                  </a:xfrm>
                  <a:prstGeom prst="rect">
                    <a:avLst/>
                  </a:prstGeom>
                  <a:noFill/>
                </pic:spPr>
              </pic:pic>
            </a:graphicData>
          </a:graphic>
          <wp14:sizeRelH relativeFrom="margin">
            <wp14:pctWidth>0</wp14:pctWidth>
          </wp14:sizeRelH>
          <wp14:sizeRelV relativeFrom="margin">
            <wp14:pctHeight>0</wp14:pctHeight>
          </wp14:sizeRelV>
        </wp:anchor>
      </w:drawing>
    </w:r>
    <w:r>
      <w:rPr>
        <w:noProof/>
        <w:color w:val="2B579A"/>
        <w:shd w:val="clear" w:color="auto" w:fill="E6E6E6"/>
      </w:rPr>
      <w:drawing>
        <wp:anchor distT="0" distB="0" distL="114300" distR="114300" simplePos="0" relativeHeight="251658241" behindDoc="0" locked="0" layoutInCell="1" allowOverlap="1" wp14:anchorId="2EFF395B" wp14:editId="272D09CE">
          <wp:simplePos x="0" y="0"/>
          <wp:positionH relativeFrom="page">
            <wp:align>right</wp:align>
          </wp:positionH>
          <wp:positionV relativeFrom="page">
            <wp:align>top</wp:align>
          </wp:positionV>
          <wp:extent cx="7560310" cy="1986915"/>
          <wp:effectExtent l="0" t="0" r="254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9869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A4BF8"/>
    <w:multiLevelType w:val="multilevel"/>
    <w:tmpl w:val="BB3A26A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eastAsia="Arial" w:cs="Arial" w:hint="default"/>
        <w:b/>
        <w:color w:val="1E1544"/>
      </w:rPr>
    </w:lvl>
    <w:lvl w:ilvl="2">
      <w:start w:val="1"/>
      <w:numFmt w:val="decimal"/>
      <w:isLgl/>
      <w:lvlText w:val="%1.%2.%3"/>
      <w:lvlJc w:val="left"/>
      <w:pPr>
        <w:ind w:left="1440" w:hanging="720"/>
      </w:pPr>
      <w:rPr>
        <w:rFonts w:eastAsia="Arial" w:cs="Arial" w:hint="default"/>
        <w:b/>
        <w:color w:val="1E1544"/>
      </w:rPr>
    </w:lvl>
    <w:lvl w:ilvl="3">
      <w:start w:val="1"/>
      <w:numFmt w:val="decimal"/>
      <w:isLgl/>
      <w:lvlText w:val="%1.%2.%3.%4"/>
      <w:lvlJc w:val="left"/>
      <w:pPr>
        <w:ind w:left="2160" w:hanging="1080"/>
      </w:pPr>
      <w:rPr>
        <w:rFonts w:eastAsia="Arial" w:cs="Arial" w:hint="default"/>
        <w:b/>
        <w:color w:val="1E1544"/>
      </w:rPr>
    </w:lvl>
    <w:lvl w:ilvl="4">
      <w:start w:val="1"/>
      <w:numFmt w:val="decimal"/>
      <w:isLgl/>
      <w:lvlText w:val="%1.%2.%3.%4.%5"/>
      <w:lvlJc w:val="left"/>
      <w:pPr>
        <w:ind w:left="2520" w:hanging="1080"/>
      </w:pPr>
      <w:rPr>
        <w:rFonts w:eastAsia="Arial" w:cs="Arial" w:hint="default"/>
        <w:b/>
        <w:color w:val="1E1544"/>
      </w:rPr>
    </w:lvl>
    <w:lvl w:ilvl="5">
      <w:start w:val="1"/>
      <w:numFmt w:val="decimal"/>
      <w:isLgl/>
      <w:lvlText w:val="%1.%2.%3.%4.%5.%6"/>
      <w:lvlJc w:val="left"/>
      <w:pPr>
        <w:ind w:left="3240" w:hanging="1440"/>
      </w:pPr>
      <w:rPr>
        <w:rFonts w:eastAsia="Arial" w:cs="Arial" w:hint="default"/>
        <w:b/>
        <w:color w:val="1E1544"/>
      </w:rPr>
    </w:lvl>
    <w:lvl w:ilvl="6">
      <w:start w:val="1"/>
      <w:numFmt w:val="decimal"/>
      <w:isLgl/>
      <w:lvlText w:val="%1.%2.%3.%4.%5.%6.%7"/>
      <w:lvlJc w:val="left"/>
      <w:pPr>
        <w:ind w:left="3600" w:hanging="1440"/>
      </w:pPr>
      <w:rPr>
        <w:rFonts w:eastAsia="Arial" w:cs="Arial" w:hint="default"/>
        <w:b/>
        <w:color w:val="1E1544"/>
      </w:rPr>
    </w:lvl>
    <w:lvl w:ilvl="7">
      <w:start w:val="1"/>
      <w:numFmt w:val="decimal"/>
      <w:isLgl/>
      <w:lvlText w:val="%1.%2.%3.%4.%5.%6.%7.%8"/>
      <w:lvlJc w:val="left"/>
      <w:pPr>
        <w:ind w:left="4320" w:hanging="1800"/>
      </w:pPr>
      <w:rPr>
        <w:rFonts w:eastAsia="Arial" w:cs="Arial" w:hint="default"/>
        <w:b/>
        <w:color w:val="1E1544"/>
      </w:rPr>
    </w:lvl>
    <w:lvl w:ilvl="8">
      <w:start w:val="1"/>
      <w:numFmt w:val="decimal"/>
      <w:isLgl/>
      <w:lvlText w:val="%1.%2.%3.%4.%5.%6.%7.%8.%9"/>
      <w:lvlJc w:val="left"/>
      <w:pPr>
        <w:ind w:left="4680" w:hanging="1800"/>
      </w:pPr>
      <w:rPr>
        <w:rFonts w:eastAsia="Arial" w:cs="Arial" w:hint="default"/>
        <w:b/>
        <w:color w:val="1E1544"/>
      </w:rPr>
    </w:lvl>
  </w:abstractNum>
  <w:abstractNum w:abstractNumId="1" w15:restartNumberingAfterBreak="0">
    <w:nsid w:val="112F73BB"/>
    <w:multiLevelType w:val="hybridMultilevel"/>
    <w:tmpl w:val="3440C288"/>
    <w:lvl w:ilvl="0" w:tplc="E82A2EC8">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E73D8A"/>
    <w:multiLevelType w:val="multilevel"/>
    <w:tmpl w:val="17C42D72"/>
    <w:lvl w:ilvl="0">
      <w:start w:val="6"/>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8B21E9C"/>
    <w:multiLevelType w:val="multilevel"/>
    <w:tmpl w:val="7842E17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FAE111C"/>
    <w:multiLevelType w:val="hybridMultilevel"/>
    <w:tmpl w:val="319EBF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A8538FB"/>
    <w:multiLevelType w:val="multilevel"/>
    <w:tmpl w:val="7842E17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DA90FDB"/>
    <w:multiLevelType w:val="multilevel"/>
    <w:tmpl w:val="FAF2B366"/>
    <w:lvl w:ilvl="0">
      <w:start w:val="1"/>
      <w:numFmt w:val="decimal"/>
      <w:lvlText w:val="%1."/>
      <w:lvlJc w:val="left"/>
      <w:pPr>
        <w:ind w:left="390" w:hanging="390"/>
      </w:pPr>
      <w:rPr>
        <w:rFonts w:eastAsia="Arial" w:cs="Arial" w:hint="default"/>
        <w:b/>
        <w:color w:val="1E1544"/>
      </w:rPr>
    </w:lvl>
    <w:lvl w:ilvl="1">
      <w:start w:val="1"/>
      <w:numFmt w:val="decimal"/>
      <w:lvlText w:val="%1.%2."/>
      <w:lvlJc w:val="left"/>
      <w:pPr>
        <w:ind w:left="720" w:hanging="720"/>
      </w:pPr>
      <w:rPr>
        <w:rFonts w:eastAsia="Arial" w:cs="Arial" w:hint="default"/>
        <w:b/>
        <w:color w:val="1E1544"/>
      </w:rPr>
    </w:lvl>
    <w:lvl w:ilvl="2">
      <w:start w:val="1"/>
      <w:numFmt w:val="decimal"/>
      <w:lvlText w:val="%1.%2.%3."/>
      <w:lvlJc w:val="left"/>
      <w:pPr>
        <w:ind w:left="720" w:hanging="720"/>
      </w:pPr>
      <w:rPr>
        <w:rFonts w:eastAsia="Arial" w:cs="Arial" w:hint="default"/>
        <w:b/>
        <w:color w:val="1E1544"/>
      </w:rPr>
    </w:lvl>
    <w:lvl w:ilvl="3">
      <w:start w:val="1"/>
      <w:numFmt w:val="decimal"/>
      <w:lvlText w:val="%1.%2.%3.%4."/>
      <w:lvlJc w:val="left"/>
      <w:pPr>
        <w:ind w:left="1080" w:hanging="1080"/>
      </w:pPr>
      <w:rPr>
        <w:rFonts w:eastAsia="Arial" w:cs="Arial" w:hint="default"/>
        <w:b/>
        <w:color w:val="1E1544"/>
      </w:rPr>
    </w:lvl>
    <w:lvl w:ilvl="4">
      <w:start w:val="1"/>
      <w:numFmt w:val="decimal"/>
      <w:lvlText w:val="%1.%2.%3.%4.%5."/>
      <w:lvlJc w:val="left"/>
      <w:pPr>
        <w:ind w:left="1080" w:hanging="1080"/>
      </w:pPr>
      <w:rPr>
        <w:rFonts w:eastAsia="Arial" w:cs="Arial" w:hint="default"/>
        <w:b/>
        <w:color w:val="1E1544"/>
      </w:rPr>
    </w:lvl>
    <w:lvl w:ilvl="5">
      <w:start w:val="1"/>
      <w:numFmt w:val="decimal"/>
      <w:lvlText w:val="%1.%2.%3.%4.%5.%6."/>
      <w:lvlJc w:val="left"/>
      <w:pPr>
        <w:ind w:left="1440" w:hanging="1440"/>
      </w:pPr>
      <w:rPr>
        <w:rFonts w:eastAsia="Arial" w:cs="Arial" w:hint="default"/>
        <w:b/>
        <w:color w:val="1E1544"/>
      </w:rPr>
    </w:lvl>
    <w:lvl w:ilvl="6">
      <w:start w:val="1"/>
      <w:numFmt w:val="decimal"/>
      <w:lvlText w:val="%1.%2.%3.%4.%5.%6.%7."/>
      <w:lvlJc w:val="left"/>
      <w:pPr>
        <w:ind w:left="1440" w:hanging="1440"/>
      </w:pPr>
      <w:rPr>
        <w:rFonts w:eastAsia="Arial" w:cs="Arial" w:hint="default"/>
        <w:b/>
        <w:color w:val="1E1544"/>
      </w:rPr>
    </w:lvl>
    <w:lvl w:ilvl="7">
      <w:start w:val="1"/>
      <w:numFmt w:val="decimal"/>
      <w:lvlText w:val="%1.%2.%3.%4.%5.%6.%7.%8."/>
      <w:lvlJc w:val="left"/>
      <w:pPr>
        <w:ind w:left="1800" w:hanging="1800"/>
      </w:pPr>
      <w:rPr>
        <w:rFonts w:eastAsia="Arial" w:cs="Arial" w:hint="default"/>
        <w:b/>
        <w:color w:val="1E1544"/>
      </w:rPr>
    </w:lvl>
    <w:lvl w:ilvl="8">
      <w:start w:val="1"/>
      <w:numFmt w:val="decimal"/>
      <w:lvlText w:val="%1.%2.%3.%4.%5.%6.%7.%8.%9."/>
      <w:lvlJc w:val="left"/>
      <w:pPr>
        <w:ind w:left="2160" w:hanging="2160"/>
      </w:pPr>
      <w:rPr>
        <w:rFonts w:eastAsia="Arial" w:cs="Arial" w:hint="default"/>
        <w:b/>
        <w:color w:val="1E1544"/>
      </w:rPr>
    </w:lvl>
  </w:abstractNum>
  <w:abstractNum w:abstractNumId="7" w15:restartNumberingAfterBreak="0">
    <w:nsid w:val="515C76E1"/>
    <w:multiLevelType w:val="multilevel"/>
    <w:tmpl w:val="BFD6134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6F92E8B"/>
    <w:multiLevelType w:val="multilevel"/>
    <w:tmpl w:val="8FDEAB50"/>
    <w:lvl w:ilvl="0">
      <w:start w:val="4"/>
      <w:numFmt w:val="decimal"/>
      <w:lvlText w:val="%1."/>
      <w:lvlJc w:val="left"/>
      <w:pPr>
        <w:ind w:left="390" w:hanging="390"/>
      </w:pPr>
      <w:rPr>
        <w:rFonts w:eastAsia="Arial" w:cs="Arial" w:hint="default"/>
      </w:rPr>
    </w:lvl>
    <w:lvl w:ilvl="1">
      <w:start w:val="1"/>
      <w:numFmt w:val="decimal"/>
      <w:lvlText w:val="%1.%2."/>
      <w:lvlJc w:val="left"/>
      <w:pPr>
        <w:ind w:left="1440" w:hanging="720"/>
      </w:pPr>
      <w:rPr>
        <w:rFonts w:eastAsia="Arial" w:cs="Arial" w:hint="default"/>
        <w:b/>
        <w:bCs/>
      </w:rPr>
    </w:lvl>
    <w:lvl w:ilvl="2">
      <w:start w:val="1"/>
      <w:numFmt w:val="decimal"/>
      <w:lvlText w:val="%1.%2.%3."/>
      <w:lvlJc w:val="left"/>
      <w:pPr>
        <w:ind w:left="2160" w:hanging="720"/>
      </w:pPr>
      <w:rPr>
        <w:rFonts w:eastAsia="Arial" w:cs="Arial" w:hint="default"/>
      </w:rPr>
    </w:lvl>
    <w:lvl w:ilvl="3">
      <w:start w:val="1"/>
      <w:numFmt w:val="decimal"/>
      <w:lvlText w:val="%1.%2.%3.%4."/>
      <w:lvlJc w:val="left"/>
      <w:pPr>
        <w:ind w:left="3240" w:hanging="1080"/>
      </w:pPr>
      <w:rPr>
        <w:rFonts w:eastAsia="Arial" w:cs="Arial" w:hint="default"/>
      </w:rPr>
    </w:lvl>
    <w:lvl w:ilvl="4">
      <w:start w:val="1"/>
      <w:numFmt w:val="decimal"/>
      <w:lvlText w:val="%1.%2.%3.%4.%5."/>
      <w:lvlJc w:val="left"/>
      <w:pPr>
        <w:ind w:left="3960" w:hanging="1080"/>
      </w:pPr>
      <w:rPr>
        <w:rFonts w:eastAsia="Arial" w:cs="Arial" w:hint="default"/>
      </w:rPr>
    </w:lvl>
    <w:lvl w:ilvl="5">
      <w:start w:val="1"/>
      <w:numFmt w:val="decimal"/>
      <w:lvlText w:val="%1.%2.%3.%4.%5.%6."/>
      <w:lvlJc w:val="left"/>
      <w:pPr>
        <w:ind w:left="5040" w:hanging="1440"/>
      </w:pPr>
      <w:rPr>
        <w:rFonts w:eastAsia="Arial" w:cs="Arial" w:hint="default"/>
      </w:rPr>
    </w:lvl>
    <w:lvl w:ilvl="6">
      <w:start w:val="1"/>
      <w:numFmt w:val="decimal"/>
      <w:lvlText w:val="%1.%2.%3.%4.%5.%6.%7."/>
      <w:lvlJc w:val="left"/>
      <w:pPr>
        <w:ind w:left="5760" w:hanging="1440"/>
      </w:pPr>
      <w:rPr>
        <w:rFonts w:eastAsia="Arial" w:cs="Arial" w:hint="default"/>
      </w:rPr>
    </w:lvl>
    <w:lvl w:ilvl="7">
      <w:start w:val="1"/>
      <w:numFmt w:val="decimal"/>
      <w:lvlText w:val="%1.%2.%3.%4.%5.%6.%7.%8."/>
      <w:lvlJc w:val="left"/>
      <w:pPr>
        <w:ind w:left="6840" w:hanging="1800"/>
      </w:pPr>
      <w:rPr>
        <w:rFonts w:eastAsia="Arial" w:cs="Arial" w:hint="default"/>
      </w:rPr>
    </w:lvl>
    <w:lvl w:ilvl="8">
      <w:start w:val="1"/>
      <w:numFmt w:val="decimal"/>
      <w:lvlText w:val="%1.%2.%3.%4.%5.%6.%7.%8.%9."/>
      <w:lvlJc w:val="left"/>
      <w:pPr>
        <w:ind w:left="7920" w:hanging="2160"/>
      </w:pPr>
      <w:rPr>
        <w:rFonts w:eastAsia="Arial" w:cs="Arial" w:hint="default"/>
      </w:rPr>
    </w:lvl>
  </w:abstractNum>
  <w:abstractNum w:abstractNumId="9" w15:restartNumberingAfterBreak="0">
    <w:nsid w:val="6D2203FA"/>
    <w:multiLevelType w:val="multilevel"/>
    <w:tmpl w:val="6C22D9C6"/>
    <w:lvl w:ilvl="0">
      <w:start w:val="7"/>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16cid:durableId="598872638">
    <w:abstractNumId w:val="1"/>
  </w:num>
  <w:num w:numId="2" w16cid:durableId="803236744">
    <w:abstractNumId w:val="4"/>
  </w:num>
  <w:num w:numId="3" w16cid:durableId="1120950837">
    <w:abstractNumId w:val="0"/>
  </w:num>
  <w:num w:numId="4" w16cid:durableId="1883402637">
    <w:abstractNumId w:val="6"/>
  </w:num>
  <w:num w:numId="5" w16cid:durableId="1782606624">
    <w:abstractNumId w:val="7"/>
  </w:num>
  <w:num w:numId="6" w16cid:durableId="658924347">
    <w:abstractNumId w:val="5"/>
  </w:num>
  <w:num w:numId="7" w16cid:durableId="976421371">
    <w:abstractNumId w:val="8"/>
  </w:num>
  <w:num w:numId="8" w16cid:durableId="45028036">
    <w:abstractNumId w:val="3"/>
  </w:num>
  <w:num w:numId="9" w16cid:durableId="2129203777">
    <w:abstractNumId w:val="2"/>
  </w:num>
  <w:num w:numId="10" w16cid:durableId="46022561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508"/>
    <w:rsid w:val="00001571"/>
    <w:rsid w:val="000043E9"/>
    <w:rsid w:val="000053B0"/>
    <w:rsid w:val="00005B99"/>
    <w:rsid w:val="000066D2"/>
    <w:rsid w:val="00006FC0"/>
    <w:rsid w:val="0001003A"/>
    <w:rsid w:val="0001245D"/>
    <w:rsid w:val="00012649"/>
    <w:rsid w:val="00014062"/>
    <w:rsid w:val="000149ED"/>
    <w:rsid w:val="000155D8"/>
    <w:rsid w:val="0001655E"/>
    <w:rsid w:val="00017D82"/>
    <w:rsid w:val="0002096D"/>
    <w:rsid w:val="00020C90"/>
    <w:rsid w:val="00020D85"/>
    <w:rsid w:val="00021AB9"/>
    <w:rsid w:val="00023B8F"/>
    <w:rsid w:val="00024F97"/>
    <w:rsid w:val="00025B78"/>
    <w:rsid w:val="000261E0"/>
    <w:rsid w:val="00030EFC"/>
    <w:rsid w:val="00031364"/>
    <w:rsid w:val="00031961"/>
    <w:rsid w:val="000341BF"/>
    <w:rsid w:val="0003663D"/>
    <w:rsid w:val="00036936"/>
    <w:rsid w:val="00036BE4"/>
    <w:rsid w:val="000412A9"/>
    <w:rsid w:val="00045AAC"/>
    <w:rsid w:val="00046171"/>
    <w:rsid w:val="00047009"/>
    <w:rsid w:val="00050DF9"/>
    <w:rsid w:val="00056649"/>
    <w:rsid w:val="00056BC6"/>
    <w:rsid w:val="0006039F"/>
    <w:rsid w:val="00061051"/>
    <w:rsid w:val="00061329"/>
    <w:rsid w:val="00061AEB"/>
    <w:rsid w:val="00065D75"/>
    <w:rsid w:val="00067499"/>
    <w:rsid w:val="00071C73"/>
    <w:rsid w:val="000737F3"/>
    <w:rsid w:val="0007433B"/>
    <w:rsid w:val="00080927"/>
    <w:rsid w:val="00081A14"/>
    <w:rsid w:val="00083B8E"/>
    <w:rsid w:val="000841BF"/>
    <w:rsid w:val="000846A4"/>
    <w:rsid w:val="00085115"/>
    <w:rsid w:val="00086A21"/>
    <w:rsid w:val="00087102"/>
    <w:rsid w:val="00087779"/>
    <w:rsid w:val="000879B0"/>
    <w:rsid w:val="00087B60"/>
    <w:rsid w:val="000909FD"/>
    <w:rsid w:val="00091558"/>
    <w:rsid w:val="000948D4"/>
    <w:rsid w:val="0009520D"/>
    <w:rsid w:val="00095360"/>
    <w:rsid w:val="00096511"/>
    <w:rsid w:val="000979C9"/>
    <w:rsid w:val="00097F4F"/>
    <w:rsid w:val="000A08EC"/>
    <w:rsid w:val="000A0965"/>
    <w:rsid w:val="000A14AA"/>
    <w:rsid w:val="000A1A44"/>
    <w:rsid w:val="000A2D35"/>
    <w:rsid w:val="000A414B"/>
    <w:rsid w:val="000A5B11"/>
    <w:rsid w:val="000A6F23"/>
    <w:rsid w:val="000B1ABF"/>
    <w:rsid w:val="000B22BE"/>
    <w:rsid w:val="000B31D0"/>
    <w:rsid w:val="000B4650"/>
    <w:rsid w:val="000B4C23"/>
    <w:rsid w:val="000B54B3"/>
    <w:rsid w:val="000B6E63"/>
    <w:rsid w:val="000B77F3"/>
    <w:rsid w:val="000C0B88"/>
    <w:rsid w:val="000C3292"/>
    <w:rsid w:val="000C33C3"/>
    <w:rsid w:val="000C3B76"/>
    <w:rsid w:val="000C53A6"/>
    <w:rsid w:val="000C5AC3"/>
    <w:rsid w:val="000C5E11"/>
    <w:rsid w:val="000C78A4"/>
    <w:rsid w:val="000D0F05"/>
    <w:rsid w:val="000D2DC3"/>
    <w:rsid w:val="000D40AB"/>
    <w:rsid w:val="000D5D35"/>
    <w:rsid w:val="000D66E5"/>
    <w:rsid w:val="000D7AF0"/>
    <w:rsid w:val="000E0B19"/>
    <w:rsid w:val="000E16BF"/>
    <w:rsid w:val="000E1762"/>
    <w:rsid w:val="000E2C62"/>
    <w:rsid w:val="000E5CF8"/>
    <w:rsid w:val="000E65B9"/>
    <w:rsid w:val="000F10D1"/>
    <w:rsid w:val="000F1E38"/>
    <w:rsid w:val="000F2328"/>
    <w:rsid w:val="000F3184"/>
    <w:rsid w:val="000F3300"/>
    <w:rsid w:val="000F3887"/>
    <w:rsid w:val="000F3DE7"/>
    <w:rsid w:val="000F5948"/>
    <w:rsid w:val="000F62F8"/>
    <w:rsid w:val="000F709B"/>
    <w:rsid w:val="000F711D"/>
    <w:rsid w:val="00101BAA"/>
    <w:rsid w:val="001053CF"/>
    <w:rsid w:val="00106884"/>
    <w:rsid w:val="00111BB5"/>
    <w:rsid w:val="00111F7C"/>
    <w:rsid w:val="0011230B"/>
    <w:rsid w:val="00112F89"/>
    <w:rsid w:val="00114033"/>
    <w:rsid w:val="00116072"/>
    <w:rsid w:val="00116674"/>
    <w:rsid w:val="00116BC2"/>
    <w:rsid w:val="0012413A"/>
    <w:rsid w:val="00125730"/>
    <w:rsid w:val="00125E5E"/>
    <w:rsid w:val="00126E94"/>
    <w:rsid w:val="0013009B"/>
    <w:rsid w:val="00130200"/>
    <w:rsid w:val="00130FA6"/>
    <w:rsid w:val="00132A53"/>
    <w:rsid w:val="001353A9"/>
    <w:rsid w:val="00141FA4"/>
    <w:rsid w:val="00142176"/>
    <w:rsid w:val="00142452"/>
    <w:rsid w:val="00143208"/>
    <w:rsid w:val="00150725"/>
    <w:rsid w:val="001509CB"/>
    <w:rsid w:val="00150A7D"/>
    <w:rsid w:val="00151037"/>
    <w:rsid w:val="001529AB"/>
    <w:rsid w:val="00152D7F"/>
    <w:rsid w:val="00154F81"/>
    <w:rsid w:val="00160FE4"/>
    <w:rsid w:val="001617FA"/>
    <w:rsid w:val="00162082"/>
    <w:rsid w:val="00162282"/>
    <w:rsid w:val="0016301C"/>
    <w:rsid w:val="00163FDD"/>
    <w:rsid w:val="00164AC5"/>
    <w:rsid w:val="00164BA4"/>
    <w:rsid w:val="001665E0"/>
    <w:rsid w:val="001714FF"/>
    <w:rsid w:val="00173033"/>
    <w:rsid w:val="001740D6"/>
    <w:rsid w:val="001756DB"/>
    <w:rsid w:val="001760FB"/>
    <w:rsid w:val="00176394"/>
    <w:rsid w:val="00176517"/>
    <w:rsid w:val="00177C7E"/>
    <w:rsid w:val="00181BE9"/>
    <w:rsid w:val="00190BB3"/>
    <w:rsid w:val="00191E5A"/>
    <w:rsid w:val="001923EF"/>
    <w:rsid w:val="00193FF4"/>
    <w:rsid w:val="00194B46"/>
    <w:rsid w:val="0019516F"/>
    <w:rsid w:val="00195E16"/>
    <w:rsid w:val="001970F2"/>
    <w:rsid w:val="001A119A"/>
    <w:rsid w:val="001A209B"/>
    <w:rsid w:val="001A2E4C"/>
    <w:rsid w:val="001A355A"/>
    <w:rsid w:val="001A4831"/>
    <w:rsid w:val="001B3002"/>
    <w:rsid w:val="001B3A1A"/>
    <w:rsid w:val="001B4FBB"/>
    <w:rsid w:val="001B5E4A"/>
    <w:rsid w:val="001B61BE"/>
    <w:rsid w:val="001B6D0E"/>
    <w:rsid w:val="001B74FE"/>
    <w:rsid w:val="001B7614"/>
    <w:rsid w:val="001B7A15"/>
    <w:rsid w:val="001C0AEF"/>
    <w:rsid w:val="001C1D44"/>
    <w:rsid w:val="001C2CAD"/>
    <w:rsid w:val="001C3385"/>
    <w:rsid w:val="001C356C"/>
    <w:rsid w:val="001C4D1B"/>
    <w:rsid w:val="001C5274"/>
    <w:rsid w:val="001C79F8"/>
    <w:rsid w:val="001C7CBA"/>
    <w:rsid w:val="001D05C2"/>
    <w:rsid w:val="001D280C"/>
    <w:rsid w:val="001D2A13"/>
    <w:rsid w:val="001D501D"/>
    <w:rsid w:val="001D5215"/>
    <w:rsid w:val="001E1783"/>
    <w:rsid w:val="001E3FEC"/>
    <w:rsid w:val="001E4546"/>
    <w:rsid w:val="001E5013"/>
    <w:rsid w:val="001E5180"/>
    <w:rsid w:val="001E602D"/>
    <w:rsid w:val="001E6642"/>
    <w:rsid w:val="001F1113"/>
    <w:rsid w:val="001F68F1"/>
    <w:rsid w:val="001F762A"/>
    <w:rsid w:val="0020048F"/>
    <w:rsid w:val="00201270"/>
    <w:rsid w:val="00201950"/>
    <w:rsid w:val="00201C65"/>
    <w:rsid w:val="00201F2D"/>
    <w:rsid w:val="00203013"/>
    <w:rsid w:val="0020340E"/>
    <w:rsid w:val="00204484"/>
    <w:rsid w:val="00207A4F"/>
    <w:rsid w:val="002108DD"/>
    <w:rsid w:val="00212A30"/>
    <w:rsid w:val="00214165"/>
    <w:rsid w:val="00214A44"/>
    <w:rsid w:val="00216FB3"/>
    <w:rsid w:val="00217E35"/>
    <w:rsid w:val="002202E1"/>
    <w:rsid w:val="002205B7"/>
    <w:rsid w:val="002258A3"/>
    <w:rsid w:val="00225D09"/>
    <w:rsid w:val="002267E0"/>
    <w:rsid w:val="00227405"/>
    <w:rsid w:val="002364D9"/>
    <w:rsid w:val="0024057D"/>
    <w:rsid w:val="00241FC0"/>
    <w:rsid w:val="002437E5"/>
    <w:rsid w:val="002460D9"/>
    <w:rsid w:val="002500B2"/>
    <w:rsid w:val="00251CEA"/>
    <w:rsid w:val="00253A31"/>
    <w:rsid w:val="00255649"/>
    <w:rsid w:val="00255D94"/>
    <w:rsid w:val="002564D1"/>
    <w:rsid w:val="00260687"/>
    <w:rsid w:val="00261B23"/>
    <w:rsid w:val="00261F6B"/>
    <w:rsid w:val="00262F8D"/>
    <w:rsid w:val="002664E8"/>
    <w:rsid w:val="00267C22"/>
    <w:rsid w:val="002734EE"/>
    <w:rsid w:val="002744F9"/>
    <w:rsid w:val="00274EAD"/>
    <w:rsid w:val="00277009"/>
    <w:rsid w:val="002772D8"/>
    <w:rsid w:val="00277324"/>
    <w:rsid w:val="00277C06"/>
    <w:rsid w:val="00283DE4"/>
    <w:rsid w:val="002841FD"/>
    <w:rsid w:val="002852B8"/>
    <w:rsid w:val="0028551C"/>
    <w:rsid w:val="00286B3B"/>
    <w:rsid w:val="0029050F"/>
    <w:rsid w:val="00290B72"/>
    <w:rsid w:val="0029157B"/>
    <w:rsid w:val="00292804"/>
    <w:rsid w:val="002932AD"/>
    <w:rsid w:val="00294455"/>
    <w:rsid w:val="00294C59"/>
    <w:rsid w:val="002963AF"/>
    <w:rsid w:val="002964E3"/>
    <w:rsid w:val="0029666A"/>
    <w:rsid w:val="00296CFA"/>
    <w:rsid w:val="002A07EC"/>
    <w:rsid w:val="002A0C00"/>
    <w:rsid w:val="002A1351"/>
    <w:rsid w:val="002A23DA"/>
    <w:rsid w:val="002A3695"/>
    <w:rsid w:val="002A37A4"/>
    <w:rsid w:val="002A6EEB"/>
    <w:rsid w:val="002B3080"/>
    <w:rsid w:val="002B3EAB"/>
    <w:rsid w:val="002B4D51"/>
    <w:rsid w:val="002B6135"/>
    <w:rsid w:val="002B77C8"/>
    <w:rsid w:val="002C01D4"/>
    <w:rsid w:val="002C141C"/>
    <w:rsid w:val="002C3571"/>
    <w:rsid w:val="002C3574"/>
    <w:rsid w:val="002C40E1"/>
    <w:rsid w:val="002C4291"/>
    <w:rsid w:val="002C777C"/>
    <w:rsid w:val="002D1A97"/>
    <w:rsid w:val="002D1AC5"/>
    <w:rsid w:val="002D2BEC"/>
    <w:rsid w:val="002D2F06"/>
    <w:rsid w:val="002D3908"/>
    <w:rsid w:val="002D438B"/>
    <w:rsid w:val="002D43EE"/>
    <w:rsid w:val="002D582C"/>
    <w:rsid w:val="002E0471"/>
    <w:rsid w:val="002E1F2B"/>
    <w:rsid w:val="002E2827"/>
    <w:rsid w:val="002E3E01"/>
    <w:rsid w:val="002E4C6A"/>
    <w:rsid w:val="002E5F7F"/>
    <w:rsid w:val="002E60EB"/>
    <w:rsid w:val="002E7EA2"/>
    <w:rsid w:val="002F074F"/>
    <w:rsid w:val="002F542F"/>
    <w:rsid w:val="002F5563"/>
    <w:rsid w:val="002F6B14"/>
    <w:rsid w:val="00301204"/>
    <w:rsid w:val="00301BE9"/>
    <w:rsid w:val="00302622"/>
    <w:rsid w:val="00302E54"/>
    <w:rsid w:val="00303F6A"/>
    <w:rsid w:val="003053B6"/>
    <w:rsid w:val="003061BD"/>
    <w:rsid w:val="003114B1"/>
    <w:rsid w:val="00312004"/>
    <w:rsid w:val="00312EAF"/>
    <w:rsid w:val="00313BCB"/>
    <w:rsid w:val="00313C5F"/>
    <w:rsid w:val="003150F4"/>
    <w:rsid w:val="00315951"/>
    <w:rsid w:val="0031610A"/>
    <w:rsid w:val="00316395"/>
    <w:rsid w:val="00320539"/>
    <w:rsid w:val="003206E7"/>
    <w:rsid w:val="00321178"/>
    <w:rsid w:val="00325048"/>
    <w:rsid w:val="00325A1E"/>
    <w:rsid w:val="00326B35"/>
    <w:rsid w:val="00327921"/>
    <w:rsid w:val="00327A00"/>
    <w:rsid w:val="00332390"/>
    <w:rsid w:val="003325F3"/>
    <w:rsid w:val="00335434"/>
    <w:rsid w:val="00337572"/>
    <w:rsid w:val="0034073C"/>
    <w:rsid w:val="00340FFE"/>
    <w:rsid w:val="00341A6F"/>
    <w:rsid w:val="00341BE3"/>
    <w:rsid w:val="0034223E"/>
    <w:rsid w:val="00343E92"/>
    <w:rsid w:val="00344697"/>
    <w:rsid w:val="00345345"/>
    <w:rsid w:val="00354266"/>
    <w:rsid w:val="00355D01"/>
    <w:rsid w:val="00357923"/>
    <w:rsid w:val="0036085A"/>
    <w:rsid w:val="0036098E"/>
    <w:rsid w:val="00360B18"/>
    <w:rsid w:val="00360B34"/>
    <w:rsid w:val="00361703"/>
    <w:rsid w:val="0036340D"/>
    <w:rsid w:val="00363637"/>
    <w:rsid w:val="00364FE1"/>
    <w:rsid w:val="00370A8D"/>
    <w:rsid w:val="00372793"/>
    <w:rsid w:val="00374670"/>
    <w:rsid w:val="0037501B"/>
    <w:rsid w:val="00375517"/>
    <w:rsid w:val="00375E62"/>
    <w:rsid w:val="00380BBD"/>
    <w:rsid w:val="00381D85"/>
    <w:rsid w:val="00381F4E"/>
    <w:rsid w:val="00385B65"/>
    <w:rsid w:val="00387BBE"/>
    <w:rsid w:val="00390DB1"/>
    <w:rsid w:val="0039286E"/>
    <w:rsid w:val="00393C31"/>
    <w:rsid w:val="00396224"/>
    <w:rsid w:val="0039673D"/>
    <w:rsid w:val="00396F8B"/>
    <w:rsid w:val="003A1A03"/>
    <w:rsid w:val="003A22DB"/>
    <w:rsid w:val="003A4738"/>
    <w:rsid w:val="003A4C54"/>
    <w:rsid w:val="003B5002"/>
    <w:rsid w:val="003B6A24"/>
    <w:rsid w:val="003C0BBF"/>
    <w:rsid w:val="003C2C08"/>
    <w:rsid w:val="003C38EF"/>
    <w:rsid w:val="003C4E1F"/>
    <w:rsid w:val="003C5C28"/>
    <w:rsid w:val="003D10F6"/>
    <w:rsid w:val="003D1413"/>
    <w:rsid w:val="003D2981"/>
    <w:rsid w:val="003D44C9"/>
    <w:rsid w:val="003D4D9E"/>
    <w:rsid w:val="003D53CF"/>
    <w:rsid w:val="003E047D"/>
    <w:rsid w:val="003E3A5F"/>
    <w:rsid w:val="003E4C32"/>
    <w:rsid w:val="003E6563"/>
    <w:rsid w:val="003E6CCF"/>
    <w:rsid w:val="003E74BF"/>
    <w:rsid w:val="003F0600"/>
    <w:rsid w:val="003F2A0D"/>
    <w:rsid w:val="003F313C"/>
    <w:rsid w:val="003F41C1"/>
    <w:rsid w:val="003F4DF2"/>
    <w:rsid w:val="004003AF"/>
    <w:rsid w:val="00400A87"/>
    <w:rsid w:val="004015B0"/>
    <w:rsid w:val="00402998"/>
    <w:rsid w:val="00403511"/>
    <w:rsid w:val="004037B6"/>
    <w:rsid w:val="00404178"/>
    <w:rsid w:val="00404F4D"/>
    <w:rsid w:val="00410800"/>
    <w:rsid w:val="004110C2"/>
    <w:rsid w:val="004153A5"/>
    <w:rsid w:val="00416508"/>
    <w:rsid w:val="004172BA"/>
    <w:rsid w:val="0042006D"/>
    <w:rsid w:val="004202DE"/>
    <w:rsid w:val="00421006"/>
    <w:rsid w:val="00421F96"/>
    <w:rsid w:val="004245DB"/>
    <w:rsid w:val="004264BE"/>
    <w:rsid w:val="00426F98"/>
    <w:rsid w:val="00427537"/>
    <w:rsid w:val="00431A0B"/>
    <w:rsid w:val="00431CD1"/>
    <w:rsid w:val="00433D7C"/>
    <w:rsid w:val="00434BAB"/>
    <w:rsid w:val="004356F7"/>
    <w:rsid w:val="00436C23"/>
    <w:rsid w:val="00436E04"/>
    <w:rsid w:val="00440121"/>
    <w:rsid w:val="0044024F"/>
    <w:rsid w:val="004423BF"/>
    <w:rsid w:val="004435C2"/>
    <w:rsid w:val="00444070"/>
    <w:rsid w:val="00444533"/>
    <w:rsid w:val="00445846"/>
    <w:rsid w:val="00447DAC"/>
    <w:rsid w:val="00452991"/>
    <w:rsid w:val="00452B3F"/>
    <w:rsid w:val="00452E99"/>
    <w:rsid w:val="0045314E"/>
    <w:rsid w:val="00453AAD"/>
    <w:rsid w:val="00454652"/>
    <w:rsid w:val="004557A0"/>
    <w:rsid w:val="004563CB"/>
    <w:rsid w:val="00457114"/>
    <w:rsid w:val="004577D2"/>
    <w:rsid w:val="0046065C"/>
    <w:rsid w:val="004632D0"/>
    <w:rsid w:val="00465AD8"/>
    <w:rsid w:val="0046643F"/>
    <w:rsid w:val="00467380"/>
    <w:rsid w:val="0047059A"/>
    <w:rsid w:val="00474279"/>
    <w:rsid w:val="0047610A"/>
    <w:rsid w:val="00477856"/>
    <w:rsid w:val="00481E43"/>
    <w:rsid w:val="0048372F"/>
    <w:rsid w:val="004856A4"/>
    <w:rsid w:val="0048583F"/>
    <w:rsid w:val="0049029C"/>
    <w:rsid w:val="00491837"/>
    <w:rsid w:val="00493A64"/>
    <w:rsid w:val="00495DCC"/>
    <w:rsid w:val="00496D69"/>
    <w:rsid w:val="004A03D4"/>
    <w:rsid w:val="004A0602"/>
    <w:rsid w:val="004A2698"/>
    <w:rsid w:val="004A2E7E"/>
    <w:rsid w:val="004A3D1D"/>
    <w:rsid w:val="004A46E2"/>
    <w:rsid w:val="004A4F71"/>
    <w:rsid w:val="004A76FF"/>
    <w:rsid w:val="004A779E"/>
    <w:rsid w:val="004A7C5D"/>
    <w:rsid w:val="004B47DE"/>
    <w:rsid w:val="004B49B5"/>
    <w:rsid w:val="004B567E"/>
    <w:rsid w:val="004B5C5A"/>
    <w:rsid w:val="004B635C"/>
    <w:rsid w:val="004B73F2"/>
    <w:rsid w:val="004C0D5A"/>
    <w:rsid w:val="004C11EB"/>
    <w:rsid w:val="004C142C"/>
    <w:rsid w:val="004C2B90"/>
    <w:rsid w:val="004C30BC"/>
    <w:rsid w:val="004C38D5"/>
    <w:rsid w:val="004C4CF5"/>
    <w:rsid w:val="004C5B46"/>
    <w:rsid w:val="004C7922"/>
    <w:rsid w:val="004D0FF0"/>
    <w:rsid w:val="004D1FAF"/>
    <w:rsid w:val="004D3848"/>
    <w:rsid w:val="004D4AA8"/>
    <w:rsid w:val="004D548B"/>
    <w:rsid w:val="004D7ACF"/>
    <w:rsid w:val="004E1CA3"/>
    <w:rsid w:val="004E1CB7"/>
    <w:rsid w:val="004E1CBB"/>
    <w:rsid w:val="004E4D23"/>
    <w:rsid w:val="004E64FE"/>
    <w:rsid w:val="004F00FB"/>
    <w:rsid w:val="004F0389"/>
    <w:rsid w:val="004F08D4"/>
    <w:rsid w:val="004F19D8"/>
    <w:rsid w:val="004F2A2F"/>
    <w:rsid w:val="004F39D5"/>
    <w:rsid w:val="004F5634"/>
    <w:rsid w:val="004F5D5A"/>
    <w:rsid w:val="004F5F0F"/>
    <w:rsid w:val="004F6647"/>
    <w:rsid w:val="004F6AA8"/>
    <w:rsid w:val="004F79FD"/>
    <w:rsid w:val="00500AA5"/>
    <w:rsid w:val="00501DDA"/>
    <w:rsid w:val="005027B1"/>
    <w:rsid w:val="005035B6"/>
    <w:rsid w:val="00505392"/>
    <w:rsid w:val="0050551A"/>
    <w:rsid w:val="00505EAA"/>
    <w:rsid w:val="005062C4"/>
    <w:rsid w:val="00513AE4"/>
    <w:rsid w:val="00513E64"/>
    <w:rsid w:val="0051471E"/>
    <w:rsid w:val="00515CC7"/>
    <w:rsid w:val="005161AC"/>
    <w:rsid w:val="005162DE"/>
    <w:rsid w:val="005166A0"/>
    <w:rsid w:val="00517CDC"/>
    <w:rsid w:val="00520B69"/>
    <w:rsid w:val="00521739"/>
    <w:rsid w:val="00521BE9"/>
    <w:rsid w:val="00521D53"/>
    <w:rsid w:val="00523614"/>
    <w:rsid w:val="005236DB"/>
    <w:rsid w:val="005277F2"/>
    <w:rsid w:val="00527933"/>
    <w:rsid w:val="00527ACB"/>
    <w:rsid w:val="005318B1"/>
    <w:rsid w:val="00531951"/>
    <w:rsid w:val="00531C54"/>
    <w:rsid w:val="005320E5"/>
    <w:rsid w:val="00532933"/>
    <w:rsid w:val="0053538E"/>
    <w:rsid w:val="005371EC"/>
    <w:rsid w:val="00537A21"/>
    <w:rsid w:val="00540D42"/>
    <w:rsid w:val="00541941"/>
    <w:rsid w:val="0054321D"/>
    <w:rsid w:val="005454F6"/>
    <w:rsid w:val="005460FF"/>
    <w:rsid w:val="0055011B"/>
    <w:rsid w:val="00551A65"/>
    <w:rsid w:val="00554C41"/>
    <w:rsid w:val="0055582B"/>
    <w:rsid w:val="0055729E"/>
    <w:rsid w:val="0056077E"/>
    <w:rsid w:val="00563885"/>
    <w:rsid w:val="00563BF9"/>
    <w:rsid w:val="00571CA3"/>
    <w:rsid w:val="005733AD"/>
    <w:rsid w:val="005744CB"/>
    <w:rsid w:val="00576A5B"/>
    <w:rsid w:val="00577C30"/>
    <w:rsid w:val="00583E80"/>
    <w:rsid w:val="00585B73"/>
    <w:rsid w:val="005908A9"/>
    <w:rsid w:val="00592266"/>
    <w:rsid w:val="0059281A"/>
    <w:rsid w:val="00594E8B"/>
    <w:rsid w:val="00597104"/>
    <w:rsid w:val="00597446"/>
    <w:rsid w:val="00597C84"/>
    <w:rsid w:val="005A10D5"/>
    <w:rsid w:val="005A20B9"/>
    <w:rsid w:val="005A36C8"/>
    <w:rsid w:val="005A3AB8"/>
    <w:rsid w:val="005A44F3"/>
    <w:rsid w:val="005A68A8"/>
    <w:rsid w:val="005A74B8"/>
    <w:rsid w:val="005A75D2"/>
    <w:rsid w:val="005B042D"/>
    <w:rsid w:val="005B0F2A"/>
    <w:rsid w:val="005B101E"/>
    <w:rsid w:val="005B5680"/>
    <w:rsid w:val="005C0CAA"/>
    <w:rsid w:val="005C4AFE"/>
    <w:rsid w:val="005C6605"/>
    <w:rsid w:val="005D0256"/>
    <w:rsid w:val="005D04F2"/>
    <w:rsid w:val="005D094B"/>
    <w:rsid w:val="005D0A63"/>
    <w:rsid w:val="005D0B82"/>
    <w:rsid w:val="005D2980"/>
    <w:rsid w:val="005D3525"/>
    <w:rsid w:val="005D37CB"/>
    <w:rsid w:val="005D4DF7"/>
    <w:rsid w:val="005D5CEC"/>
    <w:rsid w:val="005D5FC4"/>
    <w:rsid w:val="005D6588"/>
    <w:rsid w:val="005D69F3"/>
    <w:rsid w:val="005D7B59"/>
    <w:rsid w:val="005E0B7F"/>
    <w:rsid w:val="005E399D"/>
    <w:rsid w:val="005E478B"/>
    <w:rsid w:val="005F0854"/>
    <w:rsid w:val="005F110F"/>
    <w:rsid w:val="005F253E"/>
    <w:rsid w:val="005F336A"/>
    <w:rsid w:val="005F36AF"/>
    <w:rsid w:val="005F62D8"/>
    <w:rsid w:val="005F6586"/>
    <w:rsid w:val="005F739D"/>
    <w:rsid w:val="00600BE0"/>
    <w:rsid w:val="00602A9B"/>
    <w:rsid w:val="006032F4"/>
    <w:rsid w:val="0060438A"/>
    <w:rsid w:val="00604E38"/>
    <w:rsid w:val="00605B11"/>
    <w:rsid w:val="0060640A"/>
    <w:rsid w:val="0060762A"/>
    <w:rsid w:val="00607A5D"/>
    <w:rsid w:val="00607EEB"/>
    <w:rsid w:val="00611FBF"/>
    <w:rsid w:val="0061358B"/>
    <w:rsid w:val="006137C5"/>
    <w:rsid w:val="006144D1"/>
    <w:rsid w:val="0061485A"/>
    <w:rsid w:val="00615294"/>
    <w:rsid w:val="00620A87"/>
    <w:rsid w:val="00620C6B"/>
    <w:rsid w:val="0062279D"/>
    <w:rsid w:val="00622A15"/>
    <w:rsid w:val="00625B24"/>
    <w:rsid w:val="006271E5"/>
    <w:rsid w:val="0062750F"/>
    <w:rsid w:val="00627ADC"/>
    <w:rsid w:val="0063054E"/>
    <w:rsid w:val="0063087C"/>
    <w:rsid w:val="00630ABB"/>
    <w:rsid w:val="006324C4"/>
    <w:rsid w:val="006335A0"/>
    <w:rsid w:val="00633DB4"/>
    <w:rsid w:val="00634AE1"/>
    <w:rsid w:val="00646B32"/>
    <w:rsid w:val="00647BA4"/>
    <w:rsid w:val="0065025B"/>
    <w:rsid w:val="00650E7F"/>
    <w:rsid w:val="00651365"/>
    <w:rsid w:val="00651ACF"/>
    <w:rsid w:val="006524E5"/>
    <w:rsid w:val="00652D43"/>
    <w:rsid w:val="006541D7"/>
    <w:rsid w:val="006547F4"/>
    <w:rsid w:val="00656D9E"/>
    <w:rsid w:val="0065739B"/>
    <w:rsid w:val="00657693"/>
    <w:rsid w:val="0066587A"/>
    <w:rsid w:val="00665BD8"/>
    <w:rsid w:val="00665C69"/>
    <w:rsid w:val="00666443"/>
    <w:rsid w:val="006712E1"/>
    <w:rsid w:val="00671EBD"/>
    <w:rsid w:val="00672489"/>
    <w:rsid w:val="0067571E"/>
    <w:rsid w:val="006811C4"/>
    <w:rsid w:val="00681E9F"/>
    <w:rsid w:val="0068379D"/>
    <w:rsid w:val="00683F77"/>
    <w:rsid w:val="00684B72"/>
    <w:rsid w:val="00685096"/>
    <w:rsid w:val="00686DB5"/>
    <w:rsid w:val="0069161C"/>
    <w:rsid w:val="00692323"/>
    <w:rsid w:val="00693486"/>
    <w:rsid w:val="006938F1"/>
    <w:rsid w:val="00694BAD"/>
    <w:rsid w:val="0069563C"/>
    <w:rsid w:val="006972AA"/>
    <w:rsid w:val="00697908"/>
    <w:rsid w:val="006A0213"/>
    <w:rsid w:val="006A0C17"/>
    <w:rsid w:val="006A16F1"/>
    <w:rsid w:val="006A20D9"/>
    <w:rsid w:val="006A264C"/>
    <w:rsid w:val="006A282C"/>
    <w:rsid w:val="006A3944"/>
    <w:rsid w:val="006A3E8B"/>
    <w:rsid w:val="006A48B4"/>
    <w:rsid w:val="006A5B63"/>
    <w:rsid w:val="006A73B3"/>
    <w:rsid w:val="006B3AFC"/>
    <w:rsid w:val="006B3CD8"/>
    <w:rsid w:val="006B56A8"/>
    <w:rsid w:val="006B651A"/>
    <w:rsid w:val="006C4204"/>
    <w:rsid w:val="006C52FB"/>
    <w:rsid w:val="006C7289"/>
    <w:rsid w:val="006C72A2"/>
    <w:rsid w:val="006D0AA0"/>
    <w:rsid w:val="006D165A"/>
    <w:rsid w:val="006D1C17"/>
    <w:rsid w:val="006D2A3D"/>
    <w:rsid w:val="006D2F4B"/>
    <w:rsid w:val="006D4C63"/>
    <w:rsid w:val="006D50CF"/>
    <w:rsid w:val="006D5582"/>
    <w:rsid w:val="006E050E"/>
    <w:rsid w:val="006E243C"/>
    <w:rsid w:val="006E2863"/>
    <w:rsid w:val="006E3865"/>
    <w:rsid w:val="006E4793"/>
    <w:rsid w:val="006E641E"/>
    <w:rsid w:val="006F1060"/>
    <w:rsid w:val="006F3449"/>
    <w:rsid w:val="006F370F"/>
    <w:rsid w:val="006F4500"/>
    <w:rsid w:val="006F4BC9"/>
    <w:rsid w:val="006F76D9"/>
    <w:rsid w:val="007003C4"/>
    <w:rsid w:val="00701537"/>
    <w:rsid w:val="0070202D"/>
    <w:rsid w:val="00705528"/>
    <w:rsid w:val="0070592F"/>
    <w:rsid w:val="00705BA6"/>
    <w:rsid w:val="00710C4C"/>
    <w:rsid w:val="007122C7"/>
    <w:rsid w:val="00712951"/>
    <w:rsid w:val="007136EF"/>
    <w:rsid w:val="00714B8B"/>
    <w:rsid w:val="00715901"/>
    <w:rsid w:val="00715D90"/>
    <w:rsid w:val="00717A99"/>
    <w:rsid w:val="00721ADC"/>
    <w:rsid w:val="0072372D"/>
    <w:rsid w:val="00725363"/>
    <w:rsid w:val="00726939"/>
    <w:rsid w:val="0072774B"/>
    <w:rsid w:val="00727C21"/>
    <w:rsid w:val="00727CF9"/>
    <w:rsid w:val="00727EE7"/>
    <w:rsid w:val="00732948"/>
    <w:rsid w:val="00734BE8"/>
    <w:rsid w:val="00735306"/>
    <w:rsid w:val="0073540A"/>
    <w:rsid w:val="0073558D"/>
    <w:rsid w:val="00736325"/>
    <w:rsid w:val="00736F14"/>
    <w:rsid w:val="007372B6"/>
    <w:rsid w:val="00741F08"/>
    <w:rsid w:val="007445A0"/>
    <w:rsid w:val="0074486D"/>
    <w:rsid w:val="00744982"/>
    <w:rsid w:val="00747920"/>
    <w:rsid w:val="00751BD5"/>
    <w:rsid w:val="0075392D"/>
    <w:rsid w:val="007549EE"/>
    <w:rsid w:val="00755A7A"/>
    <w:rsid w:val="00763469"/>
    <w:rsid w:val="0076378B"/>
    <w:rsid w:val="00763A59"/>
    <w:rsid w:val="0076491B"/>
    <w:rsid w:val="0076512F"/>
    <w:rsid w:val="00765384"/>
    <w:rsid w:val="00766F24"/>
    <w:rsid w:val="007675F5"/>
    <w:rsid w:val="007678E2"/>
    <w:rsid w:val="00771B1B"/>
    <w:rsid w:val="00771DFF"/>
    <w:rsid w:val="007720E7"/>
    <w:rsid w:val="00773964"/>
    <w:rsid w:val="0077644E"/>
    <w:rsid w:val="007801DC"/>
    <w:rsid w:val="00783CFB"/>
    <w:rsid w:val="00784F2A"/>
    <w:rsid w:val="00787DA1"/>
    <w:rsid w:val="00792759"/>
    <w:rsid w:val="007A2074"/>
    <w:rsid w:val="007A2792"/>
    <w:rsid w:val="007A4D8E"/>
    <w:rsid w:val="007A67C3"/>
    <w:rsid w:val="007A7ACC"/>
    <w:rsid w:val="007A7DBE"/>
    <w:rsid w:val="007B15F9"/>
    <w:rsid w:val="007B2960"/>
    <w:rsid w:val="007B47C9"/>
    <w:rsid w:val="007C055E"/>
    <w:rsid w:val="007C0FEF"/>
    <w:rsid w:val="007C2275"/>
    <w:rsid w:val="007C49AC"/>
    <w:rsid w:val="007C5DC8"/>
    <w:rsid w:val="007C7A53"/>
    <w:rsid w:val="007D09C6"/>
    <w:rsid w:val="007D0B0E"/>
    <w:rsid w:val="007D0B93"/>
    <w:rsid w:val="007D0CA4"/>
    <w:rsid w:val="007D1388"/>
    <w:rsid w:val="007D2A49"/>
    <w:rsid w:val="007D3CA1"/>
    <w:rsid w:val="007D68EB"/>
    <w:rsid w:val="007D75C5"/>
    <w:rsid w:val="007E253D"/>
    <w:rsid w:val="007E25BA"/>
    <w:rsid w:val="007E32B8"/>
    <w:rsid w:val="007F0F45"/>
    <w:rsid w:val="007F3AB6"/>
    <w:rsid w:val="007F45A1"/>
    <w:rsid w:val="007F5F6C"/>
    <w:rsid w:val="007F6B39"/>
    <w:rsid w:val="007F746F"/>
    <w:rsid w:val="008011B6"/>
    <w:rsid w:val="0080222C"/>
    <w:rsid w:val="0080360F"/>
    <w:rsid w:val="008041C3"/>
    <w:rsid w:val="0080487E"/>
    <w:rsid w:val="00806367"/>
    <w:rsid w:val="0080754E"/>
    <w:rsid w:val="00810FCB"/>
    <w:rsid w:val="00815010"/>
    <w:rsid w:val="00821C3A"/>
    <w:rsid w:val="00821C59"/>
    <w:rsid w:val="0082590D"/>
    <w:rsid w:val="00826BFD"/>
    <w:rsid w:val="008306F7"/>
    <w:rsid w:val="00830BE2"/>
    <w:rsid w:val="00830DA2"/>
    <w:rsid w:val="008311E5"/>
    <w:rsid w:val="0083339C"/>
    <w:rsid w:val="00833929"/>
    <w:rsid w:val="00834694"/>
    <w:rsid w:val="00835B37"/>
    <w:rsid w:val="0083712E"/>
    <w:rsid w:val="00840CF0"/>
    <w:rsid w:val="00842DB0"/>
    <w:rsid w:val="0084574F"/>
    <w:rsid w:val="0084656A"/>
    <w:rsid w:val="00850E6B"/>
    <w:rsid w:val="0085386B"/>
    <w:rsid w:val="00854012"/>
    <w:rsid w:val="00855420"/>
    <w:rsid w:val="008627AE"/>
    <w:rsid w:val="00864468"/>
    <w:rsid w:val="00870889"/>
    <w:rsid w:val="00871A8D"/>
    <w:rsid w:val="00871DE7"/>
    <w:rsid w:val="00872B41"/>
    <w:rsid w:val="0087389A"/>
    <w:rsid w:val="0087640C"/>
    <w:rsid w:val="008768B1"/>
    <w:rsid w:val="008768CA"/>
    <w:rsid w:val="00876A33"/>
    <w:rsid w:val="00877007"/>
    <w:rsid w:val="008818D7"/>
    <w:rsid w:val="00882827"/>
    <w:rsid w:val="00883866"/>
    <w:rsid w:val="008854C8"/>
    <w:rsid w:val="008862BA"/>
    <w:rsid w:val="008873ED"/>
    <w:rsid w:val="00893164"/>
    <w:rsid w:val="008A1B47"/>
    <w:rsid w:val="008A1D31"/>
    <w:rsid w:val="008A59E2"/>
    <w:rsid w:val="008A60C0"/>
    <w:rsid w:val="008A69BE"/>
    <w:rsid w:val="008B0201"/>
    <w:rsid w:val="008B0D38"/>
    <w:rsid w:val="008B0E76"/>
    <w:rsid w:val="008B0F9F"/>
    <w:rsid w:val="008B1960"/>
    <w:rsid w:val="008B4971"/>
    <w:rsid w:val="008B4D90"/>
    <w:rsid w:val="008B62A9"/>
    <w:rsid w:val="008B733F"/>
    <w:rsid w:val="008B78AC"/>
    <w:rsid w:val="008C091A"/>
    <w:rsid w:val="008C26CE"/>
    <w:rsid w:val="008C33AD"/>
    <w:rsid w:val="008C3CED"/>
    <w:rsid w:val="008C3DE3"/>
    <w:rsid w:val="008C5D1A"/>
    <w:rsid w:val="008D1244"/>
    <w:rsid w:val="008D3059"/>
    <w:rsid w:val="008D4542"/>
    <w:rsid w:val="008D4E12"/>
    <w:rsid w:val="008D52FA"/>
    <w:rsid w:val="008D69C5"/>
    <w:rsid w:val="008E3E66"/>
    <w:rsid w:val="008E6DA4"/>
    <w:rsid w:val="008E6F2A"/>
    <w:rsid w:val="008F0CEB"/>
    <w:rsid w:val="008F115B"/>
    <w:rsid w:val="008F3293"/>
    <w:rsid w:val="008F5802"/>
    <w:rsid w:val="008F7044"/>
    <w:rsid w:val="008F768D"/>
    <w:rsid w:val="008F770F"/>
    <w:rsid w:val="00901E78"/>
    <w:rsid w:val="009029A0"/>
    <w:rsid w:val="0090371A"/>
    <w:rsid w:val="00903A96"/>
    <w:rsid w:val="00903B62"/>
    <w:rsid w:val="00903E01"/>
    <w:rsid w:val="00904101"/>
    <w:rsid w:val="00910C48"/>
    <w:rsid w:val="00913F51"/>
    <w:rsid w:val="009143F9"/>
    <w:rsid w:val="00917B49"/>
    <w:rsid w:val="0092047D"/>
    <w:rsid w:val="0092090B"/>
    <w:rsid w:val="0092228B"/>
    <w:rsid w:val="00922C64"/>
    <w:rsid w:val="00923812"/>
    <w:rsid w:val="0092391D"/>
    <w:rsid w:val="00925600"/>
    <w:rsid w:val="00932BF0"/>
    <w:rsid w:val="00933EF2"/>
    <w:rsid w:val="0093426A"/>
    <w:rsid w:val="009346B6"/>
    <w:rsid w:val="00935421"/>
    <w:rsid w:val="009378BF"/>
    <w:rsid w:val="00937F04"/>
    <w:rsid w:val="009414A1"/>
    <w:rsid w:val="00941E85"/>
    <w:rsid w:val="009428C7"/>
    <w:rsid w:val="00942A99"/>
    <w:rsid w:val="00943CA0"/>
    <w:rsid w:val="00945733"/>
    <w:rsid w:val="00950C8A"/>
    <w:rsid w:val="00950D7E"/>
    <w:rsid w:val="009519DB"/>
    <w:rsid w:val="00952787"/>
    <w:rsid w:val="00952DAB"/>
    <w:rsid w:val="00953698"/>
    <w:rsid w:val="0095454B"/>
    <w:rsid w:val="00954823"/>
    <w:rsid w:val="00954EA1"/>
    <w:rsid w:val="00961F1B"/>
    <w:rsid w:val="00962021"/>
    <w:rsid w:val="00963E1D"/>
    <w:rsid w:val="009640E9"/>
    <w:rsid w:val="00965317"/>
    <w:rsid w:val="009655FF"/>
    <w:rsid w:val="00965AF0"/>
    <w:rsid w:val="00966695"/>
    <w:rsid w:val="00972040"/>
    <w:rsid w:val="00973CC6"/>
    <w:rsid w:val="00974BAD"/>
    <w:rsid w:val="00974EFC"/>
    <w:rsid w:val="00974FC7"/>
    <w:rsid w:val="0097607D"/>
    <w:rsid w:val="0098797D"/>
    <w:rsid w:val="00987CAA"/>
    <w:rsid w:val="00992524"/>
    <w:rsid w:val="0099422E"/>
    <w:rsid w:val="009A0285"/>
    <w:rsid w:val="009A0310"/>
    <w:rsid w:val="009A09B7"/>
    <w:rsid w:val="009A1AF4"/>
    <w:rsid w:val="009A1B22"/>
    <w:rsid w:val="009A20E6"/>
    <w:rsid w:val="009A23E6"/>
    <w:rsid w:val="009A55BC"/>
    <w:rsid w:val="009A5FF1"/>
    <w:rsid w:val="009A6E7D"/>
    <w:rsid w:val="009A7FD4"/>
    <w:rsid w:val="009B1EDD"/>
    <w:rsid w:val="009B2828"/>
    <w:rsid w:val="009B4668"/>
    <w:rsid w:val="009B5347"/>
    <w:rsid w:val="009B5726"/>
    <w:rsid w:val="009C055D"/>
    <w:rsid w:val="009C13F8"/>
    <w:rsid w:val="009C16E6"/>
    <w:rsid w:val="009C5706"/>
    <w:rsid w:val="009C5720"/>
    <w:rsid w:val="009C5F08"/>
    <w:rsid w:val="009C6590"/>
    <w:rsid w:val="009D52D0"/>
    <w:rsid w:val="009D718B"/>
    <w:rsid w:val="009E0535"/>
    <w:rsid w:val="009E4028"/>
    <w:rsid w:val="009E403E"/>
    <w:rsid w:val="009E5CD9"/>
    <w:rsid w:val="009F0464"/>
    <w:rsid w:val="009F3DDA"/>
    <w:rsid w:val="009F4339"/>
    <w:rsid w:val="009F4742"/>
    <w:rsid w:val="009F4C9A"/>
    <w:rsid w:val="009F56A0"/>
    <w:rsid w:val="009F56F2"/>
    <w:rsid w:val="009F67AE"/>
    <w:rsid w:val="009F7194"/>
    <w:rsid w:val="00A002C3"/>
    <w:rsid w:val="00A00A99"/>
    <w:rsid w:val="00A015C4"/>
    <w:rsid w:val="00A01DD7"/>
    <w:rsid w:val="00A01E14"/>
    <w:rsid w:val="00A02C07"/>
    <w:rsid w:val="00A066D9"/>
    <w:rsid w:val="00A07E8F"/>
    <w:rsid w:val="00A1022A"/>
    <w:rsid w:val="00A10470"/>
    <w:rsid w:val="00A143A1"/>
    <w:rsid w:val="00A14B7C"/>
    <w:rsid w:val="00A15071"/>
    <w:rsid w:val="00A201F3"/>
    <w:rsid w:val="00A22E5D"/>
    <w:rsid w:val="00A23BA1"/>
    <w:rsid w:val="00A24363"/>
    <w:rsid w:val="00A25CB3"/>
    <w:rsid w:val="00A27EE0"/>
    <w:rsid w:val="00A30475"/>
    <w:rsid w:val="00A33726"/>
    <w:rsid w:val="00A338F8"/>
    <w:rsid w:val="00A345F8"/>
    <w:rsid w:val="00A3559F"/>
    <w:rsid w:val="00A35757"/>
    <w:rsid w:val="00A37BFE"/>
    <w:rsid w:val="00A41AF8"/>
    <w:rsid w:val="00A449BA"/>
    <w:rsid w:val="00A44B49"/>
    <w:rsid w:val="00A45BD1"/>
    <w:rsid w:val="00A47729"/>
    <w:rsid w:val="00A50ADA"/>
    <w:rsid w:val="00A51305"/>
    <w:rsid w:val="00A5136F"/>
    <w:rsid w:val="00A52A60"/>
    <w:rsid w:val="00A54033"/>
    <w:rsid w:val="00A542DA"/>
    <w:rsid w:val="00A54D44"/>
    <w:rsid w:val="00A5554B"/>
    <w:rsid w:val="00A5575F"/>
    <w:rsid w:val="00A56222"/>
    <w:rsid w:val="00A5647F"/>
    <w:rsid w:val="00A56BF0"/>
    <w:rsid w:val="00A571CB"/>
    <w:rsid w:val="00A57D79"/>
    <w:rsid w:val="00A57DD7"/>
    <w:rsid w:val="00A6019C"/>
    <w:rsid w:val="00A62DDD"/>
    <w:rsid w:val="00A63920"/>
    <w:rsid w:val="00A651F0"/>
    <w:rsid w:val="00A700EC"/>
    <w:rsid w:val="00A72861"/>
    <w:rsid w:val="00A72F09"/>
    <w:rsid w:val="00A741DA"/>
    <w:rsid w:val="00A75917"/>
    <w:rsid w:val="00A76753"/>
    <w:rsid w:val="00A816F8"/>
    <w:rsid w:val="00A81AB4"/>
    <w:rsid w:val="00A83409"/>
    <w:rsid w:val="00A91F02"/>
    <w:rsid w:val="00AA0B68"/>
    <w:rsid w:val="00AA2351"/>
    <w:rsid w:val="00AA26D7"/>
    <w:rsid w:val="00AA2C68"/>
    <w:rsid w:val="00AA78A1"/>
    <w:rsid w:val="00AA7C4E"/>
    <w:rsid w:val="00AB1E00"/>
    <w:rsid w:val="00AB3D1D"/>
    <w:rsid w:val="00AB4791"/>
    <w:rsid w:val="00AC09CF"/>
    <w:rsid w:val="00AC23CC"/>
    <w:rsid w:val="00AC2B26"/>
    <w:rsid w:val="00AC587A"/>
    <w:rsid w:val="00AC7592"/>
    <w:rsid w:val="00AD0343"/>
    <w:rsid w:val="00AD075A"/>
    <w:rsid w:val="00AD1831"/>
    <w:rsid w:val="00AD3595"/>
    <w:rsid w:val="00AD4E1C"/>
    <w:rsid w:val="00AD5182"/>
    <w:rsid w:val="00AD559A"/>
    <w:rsid w:val="00AD677D"/>
    <w:rsid w:val="00AE0437"/>
    <w:rsid w:val="00AE24FD"/>
    <w:rsid w:val="00AE266D"/>
    <w:rsid w:val="00AE26C6"/>
    <w:rsid w:val="00AE4B13"/>
    <w:rsid w:val="00AE628C"/>
    <w:rsid w:val="00AE66ED"/>
    <w:rsid w:val="00AE66F7"/>
    <w:rsid w:val="00AF00C9"/>
    <w:rsid w:val="00AF0FD8"/>
    <w:rsid w:val="00AF19E3"/>
    <w:rsid w:val="00AF594C"/>
    <w:rsid w:val="00AF7061"/>
    <w:rsid w:val="00AF74F5"/>
    <w:rsid w:val="00B00D67"/>
    <w:rsid w:val="00B03C5C"/>
    <w:rsid w:val="00B0424D"/>
    <w:rsid w:val="00B0452D"/>
    <w:rsid w:val="00B06955"/>
    <w:rsid w:val="00B06DB5"/>
    <w:rsid w:val="00B07A84"/>
    <w:rsid w:val="00B1075C"/>
    <w:rsid w:val="00B10C5B"/>
    <w:rsid w:val="00B112B4"/>
    <w:rsid w:val="00B114EE"/>
    <w:rsid w:val="00B126F1"/>
    <w:rsid w:val="00B1398E"/>
    <w:rsid w:val="00B149B8"/>
    <w:rsid w:val="00B14B25"/>
    <w:rsid w:val="00B14E8C"/>
    <w:rsid w:val="00B1542B"/>
    <w:rsid w:val="00B16FBF"/>
    <w:rsid w:val="00B20C3D"/>
    <w:rsid w:val="00B22995"/>
    <w:rsid w:val="00B23091"/>
    <w:rsid w:val="00B24170"/>
    <w:rsid w:val="00B253E8"/>
    <w:rsid w:val="00B25406"/>
    <w:rsid w:val="00B271CA"/>
    <w:rsid w:val="00B33459"/>
    <w:rsid w:val="00B3357C"/>
    <w:rsid w:val="00B34510"/>
    <w:rsid w:val="00B407B0"/>
    <w:rsid w:val="00B41066"/>
    <w:rsid w:val="00B42354"/>
    <w:rsid w:val="00B42949"/>
    <w:rsid w:val="00B4317E"/>
    <w:rsid w:val="00B43657"/>
    <w:rsid w:val="00B456DC"/>
    <w:rsid w:val="00B47C1B"/>
    <w:rsid w:val="00B50A5C"/>
    <w:rsid w:val="00B524D1"/>
    <w:rsid w:val="00B540A4"/>
    <w:rsid w:val="00B57BBA"/>
    <w:rsid w:val="00B60502"/>
    <w:rsid w:val="00B62C79"/>
    <w:rsid w:val="00B64046"/>
    <w:rsid w:val="00B6443A"/>
    <w:rsid w:val="00B6454C"/>
    <w:rsid w:val="00B66017"/>
    <w:rsid w:val="00B66A71"/>
    <w:rsid w:val="00B67D39"/>
    <w:rsid w:val="00B70349"/>
    <w:rsid w:val="00B743E6"/>
    <w:rsid w:val="00B7621E"/>
    <w:rsid w:val="00B77F1C"/>
    <w:rsid w:val="00B84B39"/>
    <w:rsid w:val="00B91055"/>
    <w:rsid w:val="00B91D9F"/>
    <w:rsid w:val="00B91F18"/>
    <w:rsid w:val="00B92A39"/>
    <w:rsid w:val="00B92A49"/>
    <w:rsid w:val="00B93DCE"/>
    <w:rsid w:val="00B95131"/>
    <w:rsid w:val="00B95850"/>
    <w:rsid w:val="00B96BA5"/>
    <w:rsid w:val="00BA0C08"/>
    <w:rsid w:val="00BA0EF9"/>
    <w:rsid w:val="00BA24A0"/>
    <w:rsid w:val="00BA25D8"/>
    <w:rsid w:val="00BA4A9D"/>
    <w:rsid w:val="00BA617F"/>
    <w:rsid w:val="00BA6934"/>
    <w:rsid w:val="00BA74D5"/>
    <w:rsid w:val="00BB0E20"/>
    <w:rsid w:val="00BB1E99"/>
    <w:rsid w:val="00BB288C"/>
    <w:rsid w:val="00BB3818"/>
    <w:rsid w:val="00BB4677"/>
    <w:rsid w:val="00BB46B6"/>
    <w:rsid w:val="00BB59F7"/>
    <w:rsid w:val="00BB6CE3"/>
    <w:rsid w:val="00BC0C7C"/>
    <w:rsid w:val="00BC18B9"/>
    <w:rsid w:val="00BC1D9B"/>
    <w:rsid w:val="00BC6963"/>
    <w:rsid w:val="00BC7001"/>
    <w:rsid w:val="00BD0FBF"/>
    <w:rsid w:val="00BD451A"/>
    <w:rsid w:val="00BD4B74"/>
    <w:rsid w:val="00BD4C1D"/>
    <w:rsid w:val="00BD4EE9"/>
    <w:rsid w:val="00BD5306"/>
    <w:rsid w:val="00BD682D"/>
    <w:rsid w:val="00BD750B"/>
    <w:rsid w:val="00BD7B2E"/>
    <w:rsid w:val="00BE0478"/>
    <w:rsid w:val="00BE0F07"/>
    <w:rsid w:val="00BE0F3E"/>
    <w:rsid w:val="00BE3161"/>
    <w:rsid w:val="00BE32F8"/>
    <w:rsid w:val="00BE3C21"/>
    <w:rsid w:val="00BF01B0"/>
    <w:rsid w:val="00BF056D"/>
    <w:rsid w:val="00BF10D2"/>
    <w:rsid w:val="00BF41BA"/>
    <w:rsid w:val="00BF5905"/>
    <w:rsid w:val="00BF6044"/>
    <w:rsid w:val="00BF6675"/>
    <w:rsid w:val="00BF66C8"/>
    <w:rsid w:val="00BF6D3F"/>
    <w:rsid w:val="00C047A0"/>
    <w:rsid w:val="00C05B4D"/>
    <w:rsid w:val="00C05C90"/>
    <w:rsid w:val="00C11BCB"/>
    <w:rsid w:val="00C1294E"/>
    <w:rsid w:val="00C13879"/>
    <w:rsid w:val="00C13901"/>
    <w:rsid w:val="00C144A6"/>
    <w:rsid w:val="00C16FF0"/>
    <w:rsid w:val="00C20E69"/>
    <w:rsid w:val="00C22E33"/>
    <w:rsid w:val="00C23073"/>
    <w:rsid w:val="00C26402"/>
    <w:rsid w:val="00C2764E"/>
    <w:rsid w:val="00C2780C"/>
    <w:rsid w:val="00C27851"/>
    <w:rsid w:val="00C32822"/>
    <w:rsid w:val="00C330AD"/>
    <w:rsid w:val="00C345E7"/>
    <w:rsid w:val="00C35112"/>
    <w:rsid w:val="00C35649"/>
    <w:rsid w:val="00C36094"/>
    <w:rsid w:val="00C363B8"/>
    <w:rsid w:val="00C36B54"/>
    <w:rsid w:val="00C3717C"/>
    <w:rsid w:val="00C37B51"/>
    <w:rsid w:val="00C37E2A"/>
    <w:rsid w:val="00C41A2A"/>
    <w:rsid w:val="00C45DD4"/>
    <w:rsid w:val="00C46331"/>
    <w:rsid w:val="00C50EE6"/>
    <w:rsid w:val="00C5230D"/>
    <w:rsid w:val="00C55F3B"/>
    <w:rsid w:val="00C562ED"/>
    <w:rsid w:val="00C57424"/>
    <w:rsid w:val="00C62AD9"/>
    <w:rsid w:val="00C62F2F"/>
    <w:rsid w:val="00C63D65"/>
    <w:rsid w:val="00C66AAF"/>
    <w:rsid w:val="00C6700A"/>
    <w:rsid w:val="00C70725"/>
    <w:rsid w:val="00C70D9E"/>
    <w:rsid w:val="00C7281E"/>
    <w:rsid w:val="00C73C49"/>
    <w:rsid w:val="00C76786"/>
    <w:rsid w:val="00C76B54"/>
    <w:rsid w:val="00C80B88"/>
    <w:rsid w:val="00C80EAD"/>
    <w:rsid w:val="00C810D3"/>
    <w:rsid w:val="00C8117B"/>
    <w:rsid w:val="00C83306"/>
    <w:rsid w:val="00C83A9B"/>
    <w:rsid w:val="00C83BE2"/>
    <w:rsid w:val="00C84F38"/>
    <w:rsid w:val="00C864F2"/>
    <w:rsid w:val="00C87B97"/>
    <w:rsid w:val="00C87F53"/>
    <w:rsid w:val="00C905D6"/>
    <w:rsid w:val="00C907AA"/>
    <w:rsid w:val="00C9187A"/>
    <w:rsid w:val="00C93DC4"/>
    <w:rsid w:val="00C95923"/>
    <w:rsid w:val="00CA0CFC"/>
    <w:rsid w:val="00CA10EE"/>
    <w:rsid w:val="00CA131A"/>
    <w:rsid w:val="00CA1D4D"/>
    <w:rsid w:val="00CA3A9D"/>
    <w:rsid w:val="00CA6618"/>
    <w:rsid w:val="00CA6C5C"/>
    <w:rsid w:val="00CA77F2"/>
    <w:rsid w:val="00CB1783"/>
    <w:rsid w:val="00CB26D5"/>
    <w:rsid w:val="00CB3A02"/>
    <w:rsid w:val="00CB3C39"/>
    <w:rsid w:val="00CB51C8"/>
    <w:rsid w:val="00CB5E06"/>
    <w:rsid w:val="00CC0894"/>
    <w:rsid w:val="00CC0C52"/>
    <w:rsid w:val="00CC0E9C"/>
    <w:rsid w:val="00CC1211"/>
    <w:rsid w:val="00CC56DB"/>
    <w:rsid w:val="00CC6ACA"/>
    <w:rsid w:val="00CC6AF3"/>
    <w:rsid w:val="00CC7326"/>
    <w:rsid w:val="00CD0F17"/>
    <w:rsid w:val="00CD281E"/>
    <w:rsid w:val="00CD302B"/>
    <w:rsid w:val="00CD3893"/>
    <w:rsid w:val="00CD5417"/>
    <w:rsid w:val="00CD6C96"/>
    <w:rsid w:val="00CD7834"/>
    <w:rsid w:val="00CE0764"/>
    <w:rsid w:val="00CE08F9"/>
    <w:rsid w:val="00CE1E8F"/>
    <w:rsid w:val="00CE2390"/>
    <w:rsid w:val="00CE6562"/>
    <w:rsid w:val="00CE79DE"/>
    <w:rsid w:val="00CF034F"/>
    <w:rsid w:val="00CF150D"/>
    <w:rsid w:val="00CF1838"/>
    <w:rsid w:val="00CF329E"/>
    <w:rsid w:val="00CF488D"/>
    <w:rsid w:val="00CF6F49"/>
    <w:rsid w:val="00CF759D"/>
    <w:rsid w:val="00D00543"/>
    <w:rsid w:val="00D00586"/>
    <w:rsid w:val="00D00724"/>
    <w:rsid w:val="00D00FFC"/>
    <w:rsid w:val="00D07E60"/>
    <w:rsid w:val="00D11F33"/>
    <w:rsid w:val="00D12208"/>
    <w:rsid w:val="00D13BE5"/>
    <w:rsid w:val="00D157C9"/>
    <w:rsid w:val="00D17CAE"/>
    <w:rsid w:val="00D26551"/>
    <w:rsid w:val="00D269EA"/>
    <w:rsid w:val="00D26BCB"/>
    <w:rsid w:val="00D27AF6"/>
    <w:rsid w:val="00D27F5A"/>
    <w:rsid w:val="00D30676"/>
    <w:rsid w:val="00D30EF1"/>
    <w:rsid w:val="00D31008"/>
    <w:rsid w:val="00D350F9"/>
    <w:rsid w:val="00D36B2C"/>
    <w:rsid w:val="00D36F7A"/>
    <w:rsid w:val="00D372BE"/>
    <w:rsid w:val="00D37F6B"/>
    <w:rsid w:val="00D40541"/>
    <w:rsid w:val="00D410F5"/>
    <w:rsid w:val="00D41508"/>
    <w:rsid w:val="00D415BB"/>
    <w:rsid w:val="00D415F3"/>
    <w:rsid w:val="00D42B5E"/>
    <w:rsid w:val="00D451E4"/>
    <w:rsid w:val="00D45FC1"/>
    <w:rsid w:val="00D4731A"/>
    <w:rsid w:val="00D50713"/>
    <w:rsid w:val="00D534D4"/>
    <w:rsid w:val="00D553E4"/>
    <w:rsid w:val="00D55E31"/>
    <w:rsid w:val="00D56EAD"/>
    <w:rsid w:val="00D571FD"/>
    <w:rsid w:val="00D57AB0"/>
    <w:rsid w:val="00D62DF4"/>
    <w:rsid w:val="00D64566"/>
    <w:rsid w:val="00D64C91"/>
    <w:rsid w:val="00D6546F"/>
    <w:rsid w:val="00D655AA"/>
    <w:rsid w:val="00D65A71"/>
    <w:rsid w:val="00D66D16"/>
    <w:rsid w:val="00D72367"/>
    <w:rsid w:val="00D73DC6"/>
    <w:rsid w:val="00D80A73"/>
    <w:rsid w:val="00D815AE"/>
    <w:rsid w:val="00D83916"/>
    <w:rsid w:val="00D83DF4"/>
    <w:rsid w:val="00D8416F"/>
    <w:rsid w:val="00D845A5"/>
    <w:rsid w:val="00D84921"/>
    <w:rsid w:val="00D86771"/>
    <w:rsid w:val="00D87B7C"/>
    <w:rsid w:val="00D90951"/>
    <w:rsid w:val="00D9121A"/>
    <w:rsid w:val="00D91C5C"/>
    <w:rsid w:val="00D929F3"/>
    <w:rsid w:val="00D934B1"/>
    <w:rsid w:val="00D94316"/>
    <w:rsid w:val="00D94837"/>
    <w:rsid w:val="00D95AB4"/>
    <w:rsid w:val="00D96234"/>
    <w:rsid w:val="00D96247"/>
    <w:rsid w:val="00D9692D"/>
    <w:rsid w:val="00D96D10"/>
    <w:rsid w:val="00D977A0"/>
    <w:rsid w:val="00D97AF4"/>
    <w:rsid w:val="00D97EBE"/>
    <w:rsid w:val="00DA0AAA"/>
    <w:rsid w:val="00DA1F9B"/>
    <w:rsid w:val="00DA2109"/>
    <w:rsid w:val="00DA2A59"/>
    <w:rsid w:val="00DA3E79"/>
    <w:rsid w:val="00DA495B"/>
    <w:rsid w:val="00DA57D6"/>
    <w:rsid w:val="00DA7C0B"/>
    <w:rsid w:val="00DB221D"/>
    <w:rsid w:val="00DB3830"/>
    <w:rsid w:val="00DB4624"/>
    <w:rsid w:val="00DB56A9"/>
    <w:rsid w:val="00DB61D4"/>
    <w:rsid w:val="00DB6988"/>
    <w:rsid w:val="00DC01F9"/>
    <w:rsid w:val="00DC073F"/>
    <w:rsid w:val="00DC1A4B"/>
    <w:rsid w:val="00DC1C2C"/>
    <w:rsid w:val="00DC2D6F"/>
    <w:rsid w:val="00DC45BF"/>
    <w:rsid w:val="00DD2230"/>
    <w:rsid w:val="00DD29A0"/>
    <w:rsid w:val="00DD37C5"/>
    <w:rsid w:val="00DD3883"/>
    <w:rsid w:val="00DD47A9"/>
    <w:rsid w:val="00DD60C2"/>
    <w:rsid w:val="00DE05FA"/>
    <w:rsid w:val="00DE1584"/>
    <w:rsid w:val="00DE4270"/>
    <w:rsid w:val="00DE46AE"/>
    <w:rsid w:val="00DE5B7E"/>
    <w:rsid w:val="00DE5DA0"/>
    <w:rsid w:val="00DE691B"/>
    <w:rsid w:val="00DF14C7"/>
    <w:rsid w:val="00DF522D"/>
    <w:rsid w:val="00DF5398"/>
    <w:rsid w:val="00DF649D"/>
    <w:rsid w:val="00DF6FD0"/>
    <w:rsid w:val="00DF7527"/>
    <w:rsid w:val="00DF79B9"/>
    <w:rsid w:val="00DF7F8B"/>
    <w:rsid w:val="00E00C35"/>
    <w:rsid w:val="00E02232"/>
    <w:rsid w:val="00E02AA4"/>
    <w:rsid w:val="00E03ED5"/>
    <w:rsid w:val="00E05218"/>
    <w:rsid w:val="00E07561"/>
    <w:rsid w:val="00E1259D"/>
    <w:rsid w:val="00E13004"/>
    <w:rsid w:val="00E13606"/>
    <w:rsid w:val="00E145DB"/>
    <w:rsid w:val="00E14C08"/>
    <w:rsid w:val="00E15DCF"/>
    <w:rsid w:val="00E166C8"/>
    <w:rsid w:val="00E166ED"/>
    <w:rsid w:val="00E1697C"/>
    <w:rsid w:val="00E17454"/>
    <w:rsid w:val="00E21E5E"/>
    <w:rsid w:val="00E223AE"/>
    <w:rsid w:val="00E2273D"/>
    <w:rsid w:val="00E239E1"/>
    <w:rsid w:val="00E252E1"/>
    <w:rsid w:val="00E262CE"/>
    <w:rsid w:val="00E27023"/>
    <w:rsid w:val="00E3369B"/>
    <w:rsid w:val="00E34B34"/>
    <w:rsid w:val="00E3650E"/>
    <w:rsid w:val="00E4028C"/>
    <w:rsid w:val="00E40866"/>
    <w:rsid w:val="00E431CD"/>
    <w:rsid w:val="00E510D0"/>
    <w:rsid w:val="00E51CB7"/>
    <w:rsid w:val="00E5214B"/>
    <w:rsid w:val="00E5259A"/>
    <w:rsid w:val="00E5343F"/>
    <w:rsid w:val="00E548F5"/>
    <w:rsid w:val="00E57ADC"/>
    <w:rsid w:val="00E60D44"/>
    <w:rsid w:val="00E63C8C"/>
    <w:rsid w:val="00E64F66"/>
    <w:rsid w:val="00E653B5"/>
    <w:rsid w:val="00E67FF5"/>
    <w:rsid w:val="00E709CF"/>
    <w:rsid w:val="00E7171E"/>
    <w:rsid w:val="00E72545"/>
    <w:rsid w:val="00E72576"/>
    <w:rsid w:val="00E73579"/>
    <w:rsid w:val="00E73F61"/>
    <w:rsid w:val="00E74E88"/>
    <w:rsid w:val="00E805F3"/>
    <w:rsid w:val="00E8378A"/>
    <w:rsid w:val="00E83B7D"/>
    <w:rsid w:val="00E848A2"/>
    <w:rsid w:val="00E84E56"/>
    <w:rsid w:val="00E85A75"/>
    <w:rsid w:val="00E86FD7"/>
    <w:rsid w:val="00E879B2"/>
    <w:rsid w:val="00E9140E"/>
    <w:rsid w:val="00E92296"/>
    <w:rsid w:val="00E92E10"/>
    <w:rsid w:val="00E937D9"/>
    <w:rsid w:val="00E93B23"/>
    <w:rsid w:val="00E94928"/>
    <w:rsid w:val="00E97BA4"/>
    <w:rsid w:val="00EA2940"/>
    <w:rsid w:val="00EA3617"/>
    <w:rsid w:val="00EA4E28"/>
    <w:rsid w:val="00EA68E0"/>
    <w:rsid w:val="00EB0018"/>
    <w:rsid w:val="00EB048C"/>
    <w:rsid w:val="00EB0920"/>
    <w:rsid w:val="00EB16AD"/>
    <w:rsid w:val="00EB1A61"/>
    <w:rsid w:val="00EB258F"/>
    <w:rsid w:val="00EB27C5"/>
    <w:rsid w:val="00EB38AE"/>
    <w:rsid w:val="00EB424E"/>
    <w:rsid w:val="00EC1D0C"/>
    <w:rsid w:val="00EC2E20"/>
    <w:rsid w:val="00EC3C87"/>
    <w:rsid w:val="00EC5511"/>
    <w:rsid w:val="00EC624E"/>
    <w:rsid w:val="00EC62CD"/>
    <w:rsid w:val="00EC6A04"/>
    <w:rsid w:val="00EC77EE"/>
    <w:rsid w:val="00ED04F7"/>
    <w:rsid w:val="00ED0510"/>
    <w:rsid w:val="00ED2761"/>
    <w:rsid w:val="00ED2DCC"/>
    <w:rsid w:val="00ED5EDA"/>
    <w:rsid w:val="00ED640B"/>
    <w:rsid w:val="00EE1ACD"/>
    <w:rsid w:val="00EE1DF9"/>
    <w:rsid w:val="00EE2007"/>
    <w:rsid w:val="00EE404B"/>
    <w:rsid w:val="00EE4F32"/>
    <w:rsid w:val="00EE5278"/>
    <w:rsid w:val="00EE623C"/>
    <w:rsid w:val="00EE7A6E"/>
    <w:rsid w:val="00EF0072"/>
    <w:rsid w:val="00EF03FD"/>
    <w:rsid w:val="00EF303B"/>
    <w:rsid w:val="00EF76CC"/>
    <w:rsid w:val="00F0118A"/>
    <w:rsid w:val="00F030FB"/>
    <w:rsid w:val="00F05590"/>
    <w:rsid w:val="00F0568C"/>
    <w:rsid w:val="00F06668"/>
    <w:rsid w:val="00F07920"/>
    <w:rsid w:val="00F117A7"/>
    <w:rsid w:val="00F1182D"/>
    <w:rsid w:val="00F11909"/>
    <w:rsid w:val="00F125FF"/>
    <w:rsid w:val="00F13B1F"/>
    <w:rsid w:val="00F15F34"/>
    <w:rsid w:val="00F16A76"/>
    <w:rsid w:val="00F17EAE"/>
    <w:rsid w:val="00F207C0"/>
    <w:rsid w:val="00F20BD7"/>
    <w:rsid w:val="00F2101D"/>
    <w:rsid w:val="00F2119A"/>
    <w:rsid w:val="00F2175D"/>
    <w:rsid w:val="00F2403D"/>
    <w:rsid w:val="00F24356"/>
    <w:rsid w:val="00F27626"/>
    <w:rsid w:val="00F31051"/>
    <w:rsid w:val="00F32385"/>
    <w:rsid w:val="00F331A9"/>
    <w:rsid w:val="00F332E9"/>
    <w:rsid w:val="00F338D5"/>
    <w:rsid w:val="00F33E16"/>
    <w:rsid w:val="00F34D8E"/>
    <w:rsid w:val="00F3507F"/>
    <w:rsid w:val="00F35E07"/>
    <w:rsid w:val="00F36D0C"/>
    <w:rsid w:val="00F40076"/>
    <w:rsid w:val="00F402FC"/>
    <w:rsid w:val="00F407A9"/>
    <w:rsid w:val="00F4102F"/>
    <w:rsid w:val="00F41D71"/>
    <w:rsid w:val="00F421A1"/>
    <w:rsid w:val="00F45F2C"/>
    <w:rsid w:val="00F53C40"/>
    <w:rsid w:val="00F53EE8"/>
    <w:rsid w:val="00F564FD"/>
    <w:rsid w:val="00F57919"/>
    <w:rsid w:val="00F57DEA"/>
    <w:rsid w:val="00F57E51"/>
    <w:rsid w:val="00F61193"/>
    <w:rsid w:val="00F61896"/>
    <w:rsid w:val="00F61FC0"/>
    <w:rsid w:val="00F63B3E"/>
    <w:rsid w:val="00F6440D"/>
    <w:rsid w:val="00F6457E"/>
    <w:rsid w:val="00F658BF"/>
    <w:rsid w:val="00F65DB0"/>
    <w:rsid w:val="00F66443"/>
    <w:rsid w:val="00F6757D"/>
    <w:rsid w:val="00F71D85"/>
    <w:rsid w:val="00F721B5"/>
    <w:rsid w:val="00F72F56"/>
    <w:rsid w:val="00F74A78"/>
    <w:rsid w:val="00F76BB7"/>
    <w:rsid w:val="00F77933"/>
    <w:rsid w:val="00F8052B"/>
    <w:rsid w:val="00F820B4"/>
    <w:rsid w:val="00F8244E"/>
    <w:rsid w:val="00F82F52"/>
    <w:rsid w:val="00F8584B"/>
    <w:rsid w:val="00F87627"/>
    <w:rsid w:val="00F90D4B"/>
    <w:rsid w:val="00F912D0"/>
    <w:rsid w:val="00F92C17"/>
    <w:rsid w:val="00F93CA6"/>
    <w:rsid w:val="00F95242"/>
    <w:rsid w:val="00F9645C"/>
    <w:rsid w:val="00F97DDF"/>
    <w:rsid w:val="00FA10FB"/>
    <w:rsid w:val="00FA1113"/>
    <w:rsid w:val="00FA3390"/>
    <w:rsid w:val="00FA380B"/>
    <w:rsid w:val="00FA6DE1"/>
    <w:rsid w:val="00FA7154"/>
    <w:rsid w:val="00FB1291"/>
    <w:rsid w:val="00FB1A0E"/>
    <w:rsid w:val="00FB1BC1"/>
    <w:rsid w:val="00FB5422"/>
    <w:rsid w:val="00FB7066"/>
    <w:rsid w:val="00FC0F98"/>
    <w:rsid w:val="00FC14C7"/>
    <w:rsid w:val="00FC1EAF"/>
    <w:rsid w:val="00FC2B58"/>
    <w:rsid w:val="00FC6F55"/>
    <w:rsid w:val="00FD04F9"/>
    <w:rsid w:val="00FD1256"/>
    <w:rsid w:val="00FD1ED0"/>
    <w:rsid w:val="00FD2C3B"/>
    <w:rsid w:val="00FD4DB6"/>
    <w:rsid w:val="00FD5017"/>
    <w:rsid w:val="00FD61EF"/>
    <w:rsid w:val="00FD7010"/>
    <w:rsid w:val="00FD7868"/>
    <w:rsid w:val="00FE215D"/>
    <w:rsid w:val="00FE2C46"/>
    <w:rsid w:val="00FE42B0"/>
    <w:rsid w:val="00FE43FC"/>
    <w:rsid w:val="00FE5301"/>
    <w:rsid w:val="00FE621C"/>
    <w:rsid w:val="00FE62FB"/>
    <w:rsid w:val="00FF038B"/>
    <w:rsid w:val="00FF04F0"/>
    <w:rsid w:val="00FF1060"/>
    <w:rsid w:val="00FF4317"/>
    <w:rsid w:val="00FF593E"/>
    <w:rsid w:val="00FF5BE9"/>
    <w:rsid w:val="016E0A6C"/>
    <w:rsid w:val="018CB279"/>
    <w:rsid w:val="01922738"/>
    <w:rsid w:val="01DCE5AE"/>
    <w:rsid w:val="01FC6795"/>
    <w:rsid w:val="02493B89"/>
    <w:rsid w:val="02F8DF77"/>
    <w:rsid w:val="03C4C091"/>
    <w:rsid w:val="044D0741"/>
    <w:rsid w:val="04AFA37E"/>
    <w:rsid w:val="04D1AE7E"/>
    <w:rsid w:val="04D504B6"/>
    <w:rsid w:val="0524C298"/>
    <w:rsid w:val="058776EA"/>
    <w:rsid w:val="05B23C9E"/>
    <w:rsid w:val="0601EF20"/>
    <w:rsid w:val="06298222"/>
    <w:rsid w:val="0686E07D"/>
    <w:rsid w:val="06B708E4"/>
    <w:rsid w:val="075658CB"/>
    <w:rsid w:val="07A6E91D"/>
    <w:rsid w:val="07C5E9FB"/>
    <w:rsid w:val="0835C1D4"/>
    <w:rsid w:val="08C09D97"/>
    <w:rsid w:val="09185869"/>
    <w:rsid w:val="093F2A20"/>
    <w:rsid w:val="09DD2D03"/>
    <w:rsid w:val="09EEBD1B"/>
    <w:rsid w:val="0A2CAC36"/>
    <w:rsid w:val="0A2DCBFA"/>
    <w:rsid w:val="0A48DD89"/>
    <w:rsid w:val="0A59149E"/>
    <w:rsid w:val="0A6B5504"/>
    <w:rsid w:val="0A99454E"/>
    <w:rsid w:val="0B179F1C"/>
    <w:rsid w:val="0B311404"/>
    <w:rsid w:val="0B578445"/>
    <w:rsid w:val="0B90A125"/>
    <w:rsid w:val="0BAC23F0"/>
    <w:rsid w:val="0BD56D50"/>
    <w:rsid w:val="0BE397F0"/>
    <w:rsid w:val="0C10CF01"/>
    <w:rsid w:val="0C460EBA"/>
    <w:rsid w:val="0CA6AA8F"/>
    <w:rsid w:val="0CB05542"/>
    <w:rsid w:val="0D2FFAE4"/>
    <w:rsid w:val="0D5164A9"/>
    <w:rsid w:val="0D713DB1"/>
    <w:rsid w:val="0D7E7AE4"/>
    <w:rsid w:val="0DE25BAC"/>
    <w:rsid w:val="0EB6FAD6"/>
    <w:rsid w:val="0F4B77C4"/>
    <w:rsid w:val="0FD694A2"/>
    <w:rsid w:val="0FF2984A"/>
    <w:rsid w:val="10429A87"/>
    <w:rsid w:val="105598A2"/>
    <w:rsid w:val="10C85622"/>
    <w:rsid w:val="10E8FC8F"/>
    <w:rsid w:val="10FA035E"/>
    <w:rsid w:val="111930EF"/>
    <w:rsid w:val="1129F807"/>
    <w:rsid w:val="115C8D89"/>
    <w:rsid w:val="11DEE066"/>
    <w:rsid w:val="11EF954D"/>
    <w:rsid w:val="12300366"/>
    <w:rsid w:val="1239532E"/>
    <w:rsid w:val="124B9CB5"/>
    <w:rsid w:val="128717F2"/>
    <w:rsid w:val="1305AC6A"/>
    <w:rsid w:val="131CAED9"/>
    <w:rsid w:val="133CE73D"/>
    <w:rsid w:val="13496DCD"/>
    <w:rsid w:val="137014BD"/>
    <w:rsid w:val="13B4DD16"/>
    <w:rsid w:val="13D73EA8"/>
    <w:rsid w:val="142280CC"/>
    <w:rsid w:val="14601899"/>
    <w:rsid w:val="14737E0A"/>
    <w:rsid w:val="1481CD73"/>
    <w:rsid w:val="14CF0BBF"/>
    <w:rsid w:val="14F2B5AC"/>
    <w:rsid w:val="15422E8A"/>
    <w:rsid w:val="154CF434"/>
    <w:rsid w:val="158F25D7"/>
    <w:rsid w:val="159DC8B8"/>
    <w:rsid w:val="15B4887C"/>
    <w:rsid w:val="160484CB"/>
    <w:rsid w:val="1666D1FC"/>
    <w:rsid w:val="16C4D68E"/>
    <w:rsid w:val="16D10D89"/>
    <w:rsid w:val="17303795"/>
    <w:rsid w:val="177ED956"/>
    <w:rsid w:val="17B04CA7"/>
    <w:rsid w:val="17F30B13"/>
    <w:rsid w:val="18093056"/>
    <w:rsid w:val="1849631B"/>
    <w:rsid w:val="18C58A88"/>
    <w:rsid w:val="18CA67CF"/>
    <w:rsid w:val="195278FF"/>
    <w:rsid w:val="1986A116"/>
    <w:rsid w:val="19B62B77"/>
    <w:rsid w:val="19BDEB72"/>
    <w:rsid w:val="19D614C0"/>
    <w:rsid w:val="19DAD041"/>
    <w:rsid w:val="19FEC196"/>
    <w:rsid w:val="1A16CF5F"/>
    <w:rsid w:val="1AA30545"/>
    <w:rsid w:val="1AF86DFA"/>
    <w:rsid w:val="1BD9B419"/>
    <w:rsid w:val="1C263418"/>
    <w:rsid w:val="1C2D6D5D"/>
    <w:rsid w:val="1C35A94C"/>
    <w:rsid w:val="1C45A429"/>
    <w:rsid w:val="1C505BF3"/>
    <w:rsid w:val="1C6E6DD8"/>
    <w:rsid w:val="1C7E10BA"/>
    <w:rsid w:val="1C8CE0BE"/>
    <w:rsid w:val="1CD9C2D2"/>
    <w:rsid w:val="1CFE2689"/>
    <w:rsid w:val="1D129BD7"/>
    <w:rsid w:val="1D31BF20"/>
    <w:rsid w:val="1D6A6792"/>
    <w:rsid w:val="1D8060AC"/>
    <w:rsid w:val="1E3B2F49"/>
    <w:rsid w:val="1E5526A9"/>
    <w:rsid w:val="1EA362C9"/>
    <w:rsid w:val="1EAE4CD0"/>
    <w:rsid w:val="1EAEC3B3"/>
    <w:rsid w:val="1EECA5A4"/>
    <w:rsid w:val="1EFE4932"/>
    <w:rsid w:val="1F2C507E"/>
    <w:rsid w:val="1F385C95"/>
    <w:rsid w:val="1F3E04D7"/>
    <w:rsid w:val="1F87FCB5"/>
    <w:rsid w:val="1F9E6665"/>
    <w:rsid w:val="1FEC4F2B"/>
    <w:rsid w:val="20366C7E"/>
    <w:rsid w:val="2050C059"/>
    <w:rsid w:val="2057ABCB"/>
    <w:rsid w:val="20623526"/>
    <w:rsid w:val="209F2A04"/>
    <w:rsid w:val="20A7CB0C"/>
    <w:rsid w:val="20F1F120"/>
    <w:rsid w:val="21351D81"/>
    <w:rsid w:val="21D23E6A"/>
    <w:rsid w:val="226EAE9F"/>
    <w:rsid w:val="22984F68"/>
    <w:rsid w:val="22A4C745"/>
    <w:rsid w:val="22B23F1C"/>
    <w:rsid w:val="22B38BE1"/>
    <w:rsid w:val="22C240F0"/>
    <w:rsid w:val="232F579F"/>
    <w:rsid w:val="2330089F"/>
    <w:rsid w:val="23736595"/>
    <w:rsid w:val="23FEF3C4"/>
    <w:rsid w:val="242BBE48"/>
    <w:rsid w:val="2445D433"/>
    <w:rsid w:val="247C311D"/>
    <w:rsid w:val="24915C89"/>
    <w:rsid w:val="24C44CDC"/>
    <w:rsid w:val="25060FC4"/>
    <w:rsid w:val="25425B90"/>
    <w:rsid w:val="25E262A2"/>
    <w:rsid w:val="2616F9E5"/>
    <w:rsid w:val="26186329"/>
    <w:rsid w:val="261FA5C7"/>
    <w:rsid w:val="2625D399"/>
    <w:rsid w:val="26484907"/>
    <w:rsid w:val="2684E34C"/>
    <w:rsid w:val="26B034DB"/>
    <w:rsid w:val="27369486"/>
    <w:rsid w:val="277832DE"/>
    <w:rsid w:val="27A04F7E"/>
    <w:rsid w:val="286C333A"/>
    <w:rsid w:val="2899B494"/>
    <w:rsid w:val="296E0C9D"/>
    <w:rsid w:val="29DFC89F"/>
    <w:rsid w:val="2A4AAD37"/>
    <w:rsid w:val="2AFCD05E"/>
    <w:rsid w:val="2BB8BB41"/>
    <w:rsid w:val="2BC7FAF6"/>
    <w:rsid w:val="2BF4F9FB"/>
    <w:rsid w:val="2C0173A8"/>
    <w:rsid w:val="2C1413E4"/>
    <w:rsid w:val="2C4AF31F"/>
    <w:rsid w:val="2C72A233"/>
    <w:rsid w:val="2C814EB5"/>
    <w:rsid w:val="2C874302"/>
    <w:rsid w:val="2DDB020F"/>
    <w:rsid w:val="2DDC5E81"/>
    <w:rsid w:val="2DE1D3C2"/>
    <w:rsid w:val="2DE938FE"/>
    <w:rsid w:val="2E0A3DA4"/>
    <w:rsid w:val="2E7342BB"/>
    <w:rsid w:val="2ED240E2"/>
    <w:rsid w:val="2EDD2F50"/>
    <w:rsid w:val="2F583697"/>
    <w:rsid w:val="2F630DC1"/>
    <w:rsid w:val="2F9FE54D"/>
    <w:rsid w:val="2FB4FB75"/>
    <w:rsid w:val="2FCD8DCB"/>
    <w:rsid w:val="3048AC2D"/>
    <w:rsid w:val="307B207F"/>
    <w:rsid w:val="307BC2D6"/>
    <w:rsid w:val="30898B0D"/>
    <w:rsid w:val="30B4CA2B"/>
    <w:rsid w:val="30BF8D21"/>
    <w:rsid w:val="30D14D09"/>
    <w:rsid w:val="312BE429"/>
    <w:rsid w:val="3181867E"/>
    <w:rsid w:val="31CC0E7B"/>
    <w:rsid w:val="31E8BCE4"/>
    <w:rsid w:val="321B4AA5"/>
    <w:rsid w:val="32255B6E"/>
    <w:rsid w:val="326C2CAF"/>
    <w:rsid w:val="329FA86F"/>
    <w:rsid w:val="32CCA263"/>
    <w:rsid w:val="32DDAEC7"/>
    <w:rsid w:val="33867DA1"/>
    <w:rsid w:val="3406ADC0"/>
    <w:rsid w:val="3458857E"/>
    <w:rsid w:val="345ECBA0"/>
    <w:rsid w:val="347DABEA"/>
    <w:rsid w:val="3487B187"/>
    <w:rsid w:val="34B89082"/>
    <w:rsid w:val="3591111E"/>
    <w:rsid w:val="3623B0A8"/>
    <w:rsid w:val="364D0473"/>
    <w:rsid w:val="368CA27A"/>
    <w:rsid w:val="36ECC6F7"/>
    <w:rsid w:val="370A1625"/>
    <w:rsid w:val="37400F9D"/>
    <w:rsid w:val="37BE7E2D"/>
    <w:rsid w:val="37E6DBCA"/>
    <w:rsid w:val="38D0DFAC"/>
    <w:rsid w:val="39105313"/>
    <w:rsid w:val="39192CC2"/>
    <w:rsid w:val="397CDDB6"/>
    <w:rsid w:val="39FD8BDA"/>
    <w:rsid w:val="3A69A55C"/>
    <w:rsid w:val="3AEDD77E"/>
    <w:rsid w:val="3B0F2334"/>
    <w:rsid w:val="3B532CFC"/>
    <w:rsid w:val="3B6E0078"/>
    <w:rsid w:val="3B891F2B"/>
    <w:rsid w:val="3BCC876D"/>
    <w:rsid w:val="3BDC3101"/>
    <w:rsid w:val="3C08DA4C"/>
    <w:rsid w:val="3C4912CF"/>
    <w:rsid w:val="3C532C66"/>
    <w:rsid w:val="3C725560"/>
    <w:rsid w:val="3D3D87AF"/>
    <w:rsid w:val="3D46B254"/>
    <w:rsid w:val="3D9BFD12"/>
    <w:rsid w:val="3DC9772A"/>
    <w:rsid w:val="3DEC8589"/>
    <w:rsid w:val="3E31D436"/>
    <w:rsid w:val="3E34B1DE"/>
    <w:rsid w:val="3EC07559"/>
    <w:rsid w:val="3ED832C2"/>
    <w:rsid w:val="3F377610"/>
    <w:rsid w:val="3F5BED82"/>
    <w:rsid w:val="3FCA18B5"/>
    <w:rsid w:val="3FD3E6DD"/>
    <w:rsid w:val="3FD97FA5"/>
    <w:rsid w:val="3FFF6E2B"/>
    <w:rsid w:val="401692BF"/>
    <w:rsid w:val="4049CFA4"/>
    <w:rsid w:val="40E32D9C"/>
    <w:rsid w:val="413F501B"/>
    <w:rsid w:val="415975D7"/>
    <w:rsid w:val="415D06A7"/>
    <w:rsid w:val="4165E916"/>
    <w:rsid w:val="41708A05"/>
    <w:rsid w:val="41C0338C"/>
    <w:rsid w:val="41C761DE"/>
    <w:rsid w:val="41E84F10"/>
    <w:rsid w:val="420FA4FE"/>
    <w:rsid w:val="428478F3"/>
    <w:rsid w:val="42CF36BA"/>
    <w:rsid w:val="4301BF08"/>
    <w:rsid w:val="43369DC6"/>
    <w:rsid w:val="436A058D"/>
    <w:rsid w:val="43B11E6F"/>
    <w:rsid w:val="43C6DECB"/>
    <w:rsid w:val="4413D047"/>
    <w:rsid w:val="445B9ED9"/>
    <w:rsid w:val="44E151D7"/>
    <w:rsid w:val="453B01F3"/>
    <w:rsid w:val="4567CB4D"/>
    <w:rsid w:val="457D208F"/>
    <w:rsid w:val="45BC7A8A"/>
    <w:rsid w:val="4714FB59"/>
    <w:rsid w:val="4718EF5B"/>
    <w:rsid w:val="475C0053"/>
    <w:rsid w:val="478BC576"/>
    <w:rsid w:val="47CA65A9"/>
    <w:rsid w:val="47EA62FC"/>
    <w:rsid w:val="4804C65D"/>
    <w:rsid w:val="481D9FDF"/>
    <w:rsid w:val="4838DB08"/>
    <w:rsid w:val="484DDCE5"/>
    <w:rsid w:val="48A1DE4A"/>
    <w:rsid w:val="490C1F90"/>
    <w:rsid w:val="491852DE"/>
    <w:rsid w:val="49D9CCFE"/>
    <w:rsid w:val="49F26652"/>
    <w:rsid w:val="4A11E019"/>
    <w:rsid w:val="4A303E2D"/>
    <w:rsid w:val="4A476AD4"/>
    <w:rsid w:val="4A6CC6B7"/>
    <w:rsid w:val="4ADC16D4"/>
    <w:rsid w:val="4B5540A1"/>
    <w:rsid w:val="4BAA5DC5"/>
    <w:rsid w:val="4BDE1859"/>
    <w:rsid w:val="4BE86C7C"/>
    <w:rsid w:val="4C3C2080"/>
    <w:rsid w:val="4C66B0BE"/>
    <w:rsid w:val="4C672100"/>
    <w:rsid w:val="4C6A8DA5"/>
    <w:rsid w:val="4C9928CA"/>
    <w:rsid w:val="4D26C06A"/>
    <w:rsid w:val="4D6D7219"/>
    <w:rsid w:val="4DDE801A"/>
    <w:rsid w:val="4DE1DE9D"/>
    <w:rsid w:val="4DEA2108"/>
    <w:rsid w:val="4E5A5BAC"/>
    <w:rsid w:val="4ECA03DE"/>
    <w:rsid w:val="4F6E206E"/>
    <w:rsid w:val="4F844AB9"/>
    <w:rsid w:val="4FC84D7D"/>
    <w:rsid w:val="50606979"/>
    <w:rsid w:val="508BAE84"/>
    <w:rsid w:val="508FD448"/>
    <w:rsid w:val="50A5F98B"/>
    <w:rsid w:val="50E5E6F1"/>
    <w:rsid w:val="5122E27C"/>
    <w:rsid w:val="51630DEE"/>
    <w:rsid w:val="5199878A"/>
    <w:rsid w:val="519F09E3"/>
    <w:rsid w:val="51AE562F"/>
    <w:rsid w:val="51FAD72F"/>
    <w:rsid w:val="5209041E"/>
    <w:rsid w:val="52217281"/>
    <w:rsid w:val="52277EE5"/>
    <w:rsid w:val="5229049F"/>
    <w:rsid w:val="5231FD9D"/>
    <w:rsid w:val="5234E7A0"/>
    <w:rsid w:val="52540268"/>
    <w:rsid w:val="52A05A0C"/>
    <w:rsid w:val="52B15CAD"/>
    <w:rsid w:val="52B311E9"/>
    <w:rsid w:val="52DAE4C8"/>
    <w:rsid w:val="52DBC3CB"/>
    <w:rsid w:val="52F41F91"/>
    <w:rsid w:val="5316095D"/>
    <w:rsid w:val="531EE729"/>
    <w:rsid w:val="54055436"/>
    <w:rsid w:val="54205470"/>
    <w:rsid w:val="547B2580"/>
    <w:rsid w:val="54EB36EB"/>
    <w:rsid w:val="550C20A2"/>
    <w:rsid w:val="55525D64"/>
    <w:rsid w:val="558F85EB"/>
    <w:rsid w:val="55973C48"/>
    <w:rsid w:val="56550F25"/>
    <w:rsid w:val="56A75D1F"/>
    <w:rsid w:val="56CE3883"/>
    <w:rsid w:val="56F71501"/>
    <w:rsid w:val="57330CA9"/>
    <w:rsid w:val="57696394"/>
    <w:rsid w:val="57836BD2"/>
    <w:rsid w:val="5788C0E3"/>
    <w:rsid w:val="57D3BC15"/>
    <w:rsid w:val="5822D7AD"/>
    <w:rsid w:val="584CD3C3"/>
    <w:rsid w:val="586D8114"/>
    <w:rsid w:val="5890B405"/>
    <w:rsid w:val="58BBB490"/>
    <w:rsid w:val="58CEDD0A"/>
    <w:rsid w:val="58D2D919"/>
    <w:rsid w:val="58DF7132"/>
    <w:rsid w:val="597BE1F5"/>
    <w:rsid w:val="597C8972"/>
    <w:rsid w:val="59AB7269"/>
    <w:rsid w:val="59AEAF5C"/>
    <w:rsid w:val="59B38F3A"/>
    <w:rsid w:val="59BBC5E4"/>
    <w:rsid w:val="5A6AAD6B"/>
    <w:rsid w:val="5AC40808"/>
    <w:rsid w:val="5AF67CE3"/>
    <w:rsid w:val="5B5A786F"/>
    <w:rsid w:val="5B7A0065"/>
    <w:rsid w:val="5BA2B6F0"/>
    <w:rsid w:val="5BFD5962"/>
    <w:rsid w:val="5C5B9D15"/>
    <w:rsid w:val="5C793397"/>
    <w:rsid w:val="5C962437"/>
    <w:rsid w:val="5D045609"/>
    <w:rsid w:val="5D06673D"/>
    <w:rsid w:val="5D50D709"/>
    <w:rsid w:val="5D642528"/>
    <w:rsid w:val="5D7F7D70"/>
    <w:rsid w:val="5D88882B"/>
    <w:rsid w:val="5DAF29F7"/>
    <w:rsid w:val="5DE53741"/>
    <w:rsid w:val="5E053180"/>
    <w:rsid w:val="5E05FEAF"/>
    <w:rsid w:val="5E101201"/>
    <w:rsid w:val="5ED80D71"/>
    <w:rsid w:val="5F0601ED"/>
    <w:rsid w:val="5F3E1E8E"/>
    <w:rsid w:val="5FD79AC7"/>
    <w:rsid w:val="602295F9"/>
    <w:rsid w:val="6025488A"/>
    <w:rsid w:val="6089C9F9"/>
    <w:rsid w:val="609E1187"/>
    <w:rsid w:val="60A40014"/>
    <w:rsid w:val="60AEE653"/>
    <w:rsid w:val="611393D0"/>
    <w:rsid w:val="613790AF"/>
    <w:rsid w:val="61420258"/>
    <w:rsid w:val="6171DFFD"/>
    <w:rsid w:val="61AF188F"/>
    <w:rsid w:val="61C0FF93"/>
    <w:rsid w:val="61E579A3"/>
    <w:rsid w:val="6237964B"/>
    <w:rsid w:val="626B6BF6"/>
    <w:rsid w:val="62B54085"/>
    <w:rsid w:val="62DF7AF1"/>
    <w:rsid w:val="630A435B"/>
    <w:rsid w:val="632448BF"/>
    <w:rsid w:val="63B3D254"/>
    <w:rsid w:val="645C0D57"/>
    <w:rsid w:val="6464CF38"/>
    <w:rsid w:val="64B9A70C"/>
    <w:rsid w:val="653CC831"/>
    <w:rsid w:val="654A298E"/>
    <w:rsid w:val="6599D6AF"/>
    <w:rsid w:val="65A8B4A1"/>
    <w:rsid w:val="65CE7833"/>
    <w:rsid w:val="6637D5BB"/>
    <w:rsid w:val="663D58A1"/>
    <w:rsid w:val="66A5542C"/>
    <w:rsid w:val="66AD6757"/>
    <w:rsid w:val="67080705"/>
    <w:rsid w:val="671B4D34"/>
    <w:rsid w:val="677A2A34"/>
    <w:rsid w:val="67A363D5"/>
    <w:rsid w:val="6823501E"/>
    <w:rsid w:val="68257D05"/>
    <w:rsid w:val="6844E6EB"/>
    <w:rsid w:val="68691779"/>
    <w:rsid w:val="687226A6"/>
    <w:rsid w:val="68DFB841"/>
    <w:rsid w:val="68F83022"/>
    <w:rsid w:val="69007BD3"/>
    <w:rsid w:val="691F4F79"/>
    <w:rsid w:val="6942A294"/>
    <w:rsid w:val="69C0BD16"/>
    <w:rsid w:val="6A308DDC"/>
    <w:rsid w:val="6A50A21A"/>
    <w:rsid w:val="6AB6B14B"/>
    <w:rsid w:val="6AC29C2B"/>
    <w:rsid w:val="6AD36E37"/>
    <w:rsid w:val="6ADE72F5"/>
    <w:rsid w:val="6B01B05F"/>
    <w:rsid w:val="6BC183C1"/>
    <w:rsid w:val="6C6A2A0B"/>
    <w:rsid w:val="6C86DF96"/>
    <w:rsid w:val="6D0BB918"/>
    <w:rsid w:val="6D252BA9"/>
    <w:rsid w:val="6D8842DC"/>
    <w:rsid w:val="6E3585E1"/>
    <w:rsid w:val="6E47E68C"/>
    <w:rsid w:val="6E93362F"/>
    <w:rsid w:val="6E9DBA3F"/>
    <w:rsid w:val="6EA24637"/>
    <w:rsid w:val="6ED8BD0A"/>
    <w:rsid w:val="6EF03AEC"/>
    <w:rsid w:val="6EF4B20A"/>
    <w:rsid w:val="6F36E54F"/>
    <w:rsid w:val="6F4785B4"/>
    <w:rsid w:val="6F82D5FC"/>
    <w:rsid w:val="6FF0B3E9"/>
    <w:rsid w:val="7040E20E"/>
    <w:rsid w:val="704E0A70"/>
    <w:rsid w:val="713E2FE8"/>
    <w:rsid w:val="7196DBEE"/>
    <w:rsid w:val="71D4959E"/>
    <w:rsid w:val="72995586"/>
    <w:rsid w:val="72AC3D0D"/>
    <w:rsid w:val="72B61526"/>
    <w:rsid w:val="72E6DA3D"/>
    <w:rsid w:val="734D7201"/>
    <w:rsid w:val="7384627B"/>
    <w:rsid w:val="739B5F62"/>
    <w:rsid w:val="73B955C5"/>
    <w:rsid w:val="73C62F38"/>
    <w:rsid w:val="74452844"/>
    <w:rsid w:val="7449CF2E"/>
    <w:rsid w:val="74CA3170"/>
    <w:rsid w:val="7507ED0B"/>
    <w:rsid w:val="750C3660"/>
    <w:rsid w:val="7519981F"/>
    <w:rsid w:val="75382310"/>
    <w:rsid w:val="759E1C5B"/>
    <w:rsid w:val="75B131AD"/>
    <w:rsid w:val="7663635E"/>
    <w:rsid w:val="7684FD32"/>
    <w:rsid w:val="76FBC032"/>
    <w:rsid w:val="77007D81"/>
    <w:rsid w:val="773B49FD"/>
    <w:rsid w:val="774DA0B9"/>
    <w:rsid w:val="7797CE0C"/>
    <w:rsid w:val="7A3B034D"/>
    <w:rsid w:val="7AAE80A7"/>
    <w:rsid w:val="7AB9C008"/>
    <w:rsid w:val="7ADE63BA"/>
    <w:rsid w:val="7B21E994"/>
    <w:rsid w:val="7B5C5B3A"/>
    <w:rsid w:val="7B624F87"/>
    <w:rsid w:val="7BAA6B46"/>
    <w:rsid w:val="7BC77040"/>
    <w:rsid w:val="7C0769CB"/>
    <w:rsid w:val="7C6483FA"/>
    <w:rsid w:val="7C90CE56"/>
    <w:rsid w:val="7CA87A20"/>
    <w:rsid w:val="7CF82B9B"/>
    <w:rsid w:val="7CFE7286"/>
    <w:rsid w:val="7DB4DA0C"/>
    <w:rsid w:val="7DE6B34A"/>
    <w:rsid w:val="7DEB03EF"/>
    <w:rsid w:val="7EAF1BB5"/>
    <w:rsid w:val="7EF87C76"/>
    <w:rsid w:val="7F06D217"/>
    <w:rsid w:val="7F15413D"/>
    <w:rsid w:val="7F292F82"/>
    <w:rsid w:val="7F3C5E34"/>
    <w:rsid w:val="7F77FB92"/>
    <w:rsid w:val="7F8CEF04"/>
    <w:rsid w:val="7F913394"/>
    <w:rsid w:val="7F98AC80"/>
    <w:rsid w:val="7FC13EB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1FC40"/>
  <w15:chartTrackingRefBased/>
  <w15:docId w15:val="{6EB7E42E-8B3B-4269-B209-69E1E0AE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761"/>
    <w:pPr>
      <w:spacing w:before="120" w:after="120" w:line="276" w:lineRule="auto"/>
    </w:pPr>
    <w:rPr>
      <w:rFonts w:ascii="Arial" w:hAnsi="Arial"/>
      <w:sz w:val="24"/>
      <w:szCs w:val="24"/>
      <w:lang w:eastAsia="en-US"/>
    </w:rPr>
  </w:style>
  <w:style w:type="paragraph" w:styleId="Heading1">
    <w:name w:val="heading 1"/>
    <w:basedOn w:val="Normal"/>
    <w:next w:val="Normal"/>
    <w:link w:val="Heading1Char"/>
    <w:uiPriority w:val="9"/>
    <w:qFormat/>
    <w:rsid w:val="00681E9F"/>
    <w:pPr>
      <w:keepNext/>
      <w:keepLines/>
      <w:spacing w:before="3120" w:after="240"/>
      <w:outlineLvl w:val="0"/>
    </w:pPr>
    <w:rPr>
      <w:rFonts w:eastAsia="Times New Roman" w:cs="Arial"/>
      <w:b/>
      <w:bCs/>
      <w:color w:val="1E1544"/>
      <w:sz w:val="60"/>
      <w:szCs w:val="60"/>
    </w:rPr>
  </w:style>
  <w:style w:type="paragraph" w:styleId="Heading2">
    <w:name w:val="heading 2"/>
    <w:basedOn w:val="Normal"/>
    <w:next w:val="Normal"/>
    <w:link w:val="Heading2Char"/>
    <w:uiPriority w:val="9"/>
    <w:unhideWhenUsed/>
    <w:qFormat/>
    <w:rsid w:val="00E73F61"/>
    <w:pPr>
      <w:keepNext/>
      <w:keepLines/>
      <w:spacing w:before="240" w:line="360" w:lineRule="auto"/>
      <w:outlineLvl w:val="1"/>
    </w:pPr>
    <w:rPr>
      <w:rFonts w:eastAsia="Times New Roman"/>
      <w:b/>
      <w:color w:val="1E1544"/>
      <w:sz w:val="32"/>
      <w:szCs w:val="26"/>
    </w:rPr>
  </w:style>
  <w:style w:type="paragraph" w:styleId="Heading3">
    <w:name w:val="heading 3"/>
    <w:basedOn w:val="Heading2"/>
    <w:next w:val="Normal"/>
    <w:link w:val="Heading3Char"/>
    <w:uiPriority w:val="9"/>
    <w:unhideWhenUsed/>
    <w:qFormat/>
    <w:rsid w:val="003E3A5F"/>
    <w:pPr>
      <w:spacing w:line="288" w:lineRule="auto"/>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81E9F"/>
    <w:rPr>
      <w:rFonts w:ascii="Arial" w:eastAsia="Times New Roman" w:hAnsi="Arial" w:cs="Arial"/>
      <w:b/>
      <w:bCs/>
      <w:color w:val="1E1544"/>
      <w:sz w:val="60"/>
      <w:szCs w:val="60"/>
    </w:rPr>
  </w:style>
  <w:style w:type="paragraph" w:styleId="NoSpacing">
    <w:name w:val="No Spacing"/>
    <w:uiPriority w:val="1"/>
    <w:qFormat/>
    <w:rsid w:val="00C9187A"/>
    <w:pPr>
      <w:spacing w:line="276" w:lineRule="auto"/>
    </w:pPr>
    <w:rPr>
      <w:rFonts w:ascii="Arial" w:hAnsi="Arial"/>
      <w:sz w:val="24"/>
      <w:szCs w:val="24"/>
      <w:lang w:eastAsia="en-US"/>
    </w:rPr>
  </w:style>
  <w:style w:type="character" w:customStyle="1" w:styleId="Heading2Char">
    <w:name w:val="Heading 2 Char"/>
    <w:link w:val="Heading2"/>
    <w:uiPriority w:val="9"/>
    <w:rsid w:val="00E73F61"/>
    <w:rPr>
      <w:rFonts w:ascii="Arial" w:eastAsia="Times New Roman" w:hAnsi="Arial" w:cs="Times New Roman"/>
      <w:b/>
      <w:color w:val="1E1544"/>
      <w:sz w:val="3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Table text"/>
    <w:basedOn w:val="Normal"/>
    <w:link w:val="ListParagraphChar"/>
    <w:uiPriority w:val="34"/>
    <w:qFormat/>
    <w:rsid w:val="00646B32"/>
    <w:pPr>
      <w:spacing w:before="0"/>
      <w:contextualSpacing/>
    </w:pPr>
  </w:style>
  <w:style w:type="character" w:customStyle="1" w:styleId="Heading3Char">
    <w:name w:val="Heading 3 Char"/>
    <w:link w:val="Heading3"/>
    <w:uiPriority w:val="9"/>
    <w:rsid w:val="003E3A5F"/>
    <w:rPr>
      <w:rFonts w:ascii="Arial" w:eastAsia="Times New Roman" w:hAnsi="Arial"/>
      <w:b/>
      <w:color w:val="1E1544"/>
      <w:sz w:val="28"/>
      <w:szCs w:val="24"/>
      <w:lang w:eastAsia="en-US"/>
    </w:rPr>
  </w:style>
  <w:style w:type="character" w:customStyle="1" w:styleId="Heading4Char">
    <w:name w:val="Heading 4 Char"/>
    <w:link w:val="Heading4"/>
    <w:uiPriority w:val="9"/>
    <w:rsid w:val="0076491B"/>
    <w:rPr>
      <w:rFonts w:ascii="Arial" w:eastAsia="Times New Roman" w:hAnsi="Arial" w:cs="Times New Roman"/>
      <w:b/>
      <w:color w:val="1E1544"/>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sz w:val="32"/>
      <w:szCs w:val="32"/>
    </w:rPr>
  </w:style>
  <w:style w:type="paragraph" w:styleId="FootnoteText">
    <w:name w:val="footnote text"/>
    <w:basedOn w:val="Normal"/>
    <w:link w:val="FootnoteTextChar"/>
    <w:uiPriority w:val="99"/>
    <w:semiHidden/>
    <w:unhideWhenUsed/>
    <w:rsid w:val="009F67AE"/>
    <w:pPr>
      <w:spacing w:before="0" w:after="0" w:line="240" w:lineRule="auto"/>
    </w:pPr>
    <w:rPr>
      <w:sz w:val="20"/>
      <w:szCs w:val="20"/>
    </w:rPr>
  </w:style>
  <w:style w:type="character" w:customStyle="1" w:styleId="FootnoteTextChar">
    <w:name w:val="Footnote Text Char"/>
    <w:link w:val="FootnoteText"/>
    <w:uiPriority w:val="99"/>
    <w:semiHidden/>
    <w:rsid w:val="009F67AE"/>
    <w:rPr>
      <w:rFonts w:ascii="Arial" w:hAnsi="Arial"/>
      <w:sz w:val="20"/>
      <w:szCs w:val="20"/>
    </w:rPr>
  </w:style>
  <w:style w:type="character" w:styleId="FootnoteReference">
    <w:name w:val="footnote reference"/>
    <w:uiPriority w:val="99"/>
    <w:semiHidden/>
    <w:unhideWhenUsed/>
    <w:rsid w:val="009F67AE"/>
    <w:rPr>
      <w:vertAlign w:val="superscript"/>
    </w:rPr>
  </w:style>
  <w:style w:type="table" w:styleId="TableGrid">
    <w:name w:val="Table Grid"/>
    <w:basedOn w:val="TableNormal"/>
    <w:uiPriority w:val="39"/>
    <w:rsid w:val="003A22DB"/>
    <w:tblPr>
      <w:tblBorders>
        <w:top w:val="single" w:sz="4" w:space="0" w:color="DA576C"/>
        <w:bottom w:val="single" w:sz="4" w:space="0" w:color="DA576C"/>
        <w:insideH w:val="single" w:sz="4" w:space="0" w:color="DA576C"/>
      </w:tblBorders>
    </w:tblPr>
  </w:style>
  <w:style w:type="paragraph" w:customStyle="1" w:styleId="boxtext">
    <w:name w:val="box text"/>
    <w:basedOn w:val="IntenseQuote"/>
    <w:qFormat/>
    <w:rsid w:val="00E27023"/>
    <w:pPr>
      <w:pBdr>
        <w:top w:val="single" w:sz="4" w:space="10" w:color="DA576C"/>
        <w:left w:val="single" w:sz="4" w:space="4" w:color="DA576C"/>
        <w:bottom w:val="single" w:sz="4" w:space="10" w:color="DA576C"/>
        <w:right w:val="single" w:sz="4" w:space="4" w:color="DA576C"/>
      </w:pBdr>
      <w:spacing w:before="120" w:after="120"/>
      <w:ind w:left="862" w:right="862"/>
      <w:jc w:val="left"/>
    </w:pPr>
    <w:rPr>
      <w:bCs/>
      <w:i w:val="0"/>
      <w:color w:val="auto"/>
    </w:rPr>
  </w:style>
  <w:style w:type="paragraph" w:customStyle="1" w:styleId="Boxtexthead">
    <w:name w:val="Box text head"/>
    <w:basedOn w:val="IntenseQuote"/>
    <w:qFormat/>
    <w:rsid w:val="00E27023"/>
    <w:pPr>
      <w:pBdr>
        <w:top w:val="single" w:sz="4" w:space="10" w:color="DA576C"/>
        <w:left w:val="single" w:sz="4" w:space="4" w:color="DA576C"/>
        <w:bottom w:val="single" w:sz="4" w:space="10" w:color="DA576C"/>
        <w:right w:val="single" w:sz="4" w:space="4" w:color="DA576C"/>
      </w:pBdr>
      <w:spacing w:before="120" w:after="120"/>
      <w:ind w:left="862" w:right="862"/>
      <w:jc w:val="left"/>
    </w:pPr>
    <w:rPr>
      <w:b/>
      <w:i w:val="0"/>
      <w:color w:val="auto"/>
    </w:rPr>
  </w:style>
  <w:style w:type="paragraph" w:customStyle="1" w:styleId="TableHeading">
    <w:name w:val="TableHeading"/>
    <w:qFormat/>
    <w:rsid w:val="003A22DB"/>
    <w:pPr>
      <w:spacing w:before="240" w:after="120" w:line="276" w:lineRule="auto"/>
    </w:pPr>
    <w:rPr>
      <w:rFonts w:ascii="Arial" w:eastAsia="Times New Roman" w:hAnsi="Arial"/>
      <w:b/>
      <w:bCs/>
      <w:color w:val="1E1544"/>
      <w:sz w:val="24"/>
      <w:szCs w:val="24"/>
      <w:lang w:eastAsia="en-US"/>
    </w:rPr>
  </w:style>
  <w:style w:type="paragraph" w:styleId="IntenseQuote">
    <w:name w:val="Intense Quote"/>
    <w:basedOn w:val="Normal"/>
    <w:next w:val="Normal"/>
    <w:link w:val="IntenseQuoteChar"/>
    <w:uiPriority w:val="30"/>
    <w:qFormat/>
    <w:rsid w:val="003A22DB"/>
    <w:pPr>
      <w:pBdr>
        <w:top w:val="single" w:sz="4" w:space="10" w:color="2AB1BB"/>
        <w:bottom w:val="single" w:sz="4" w:space="10" w:color="2AB1BB"/>
      </w:pBdr>
      <w:spacing w:before="360" w:after="360"/>
      <w:ind w:left="864" w:right="864"/>
      <w:jc w:val="center"/>
    </w:pPr>
    <w:rPr>
      <w:i/>
      <w:iCs/>
      <w:color w:val="2AB1BB"/>
    </w:rPr>
  </w:style>
  <w:style w:type="character" w:customStyle="1" w:styleId="IntenseQuoteChar">
    <w:name w:val="Intense Quote Char"/>
    <w:link w:val="IntenseQuote"/>
    <w:uiPriority w:val="30"/>
    <w:rsid w:val="003A22DB"/>
    <w:rPr>
      <w:rFonts w:ascii="Arial" w:hAnsi="Arial"/>
      <w:i/>
      <w:iCs/>
      <w:color w:val="2AB1BB"/>
    </w:rPr>
  </w:style>
  <w:style w:type="character" w:styleId="Hyperlink">
    <w:name w:val="Hyperlink"/>
    <w:uiPriority w:val="99"/>
    <w:unhideWhenUsed/>
    <w:rsid w:val="00684B72"/>
    <w:rPr>
      <w:color w:val="2AB1BB"/>
      <w:u w:val="single"/>
    </w:rPr>
  </w:style>
  <w:style w:type="character" w:styleId="UnresolvedMention">
    <w:name w:val="Unresolved Mention"/>
    <w:uiPriority w:val="99"/>
    <w:unhideWhenUsed/>
    <w:rsid w:val="00E27023"/>
    <w:rPr>
      <w:color w:val="605E5C"/>
      <w:shd w:val="clear" w:color="auto" w:fill="E1DFDD"/>
    </w:rPr>
  </w:style>
  <w:style w:type="paragraph" w:styleId="NormalWeb">
    <w:name w:val="Normal (Web)"/>
    <w:basedOn w:val="Normal"/>
    <w:uiPriority w:val="99"/>
    <w:unhideWhenUsed/>
    <w:rsid w:val="00325048"/>
    <w:pPr>
      <w:spacing w:before="100" w:beforeAutospacing="1" w:after="100" w:afterAutospacing="1" w:line="240" w:lineRule="auto"/>
    </w:pPr>
    <w:rPr>
      <w:rFonts w:ascii="Times New Roman" w:eastAsia="Times New Roman" w:hAnsi="Times New Roman"/>
      <w:lang w:eastAsia="en-AU"/>
    </w:rPr>
  </w:style>
  <w:style w:type="character" w:customStyle="1" w:styleId="normaltextrun">
    <w:name w:val="normaltextrun"/>
    <w:basedOn w:val="DefaultParagraphFont"/>
    <w:rsid w:val="00325048"/>
  </w:style>
  <w:style w:type="character" w:customStyle="1" w:styleId="eop">
    <w:name w:val="eop"/>
    <w:basedOn w:val="DefaultParagraphFont"/>
    <w:rsid w:val="00325048"/>
  </w:style>
  <w:style w:type="character" w:styleId="FollowedHyperlink">
    <w:name w:val="FollowedHyperlink"/>
    <w:uiPriority w:val="99"/>
    <w:semiHidden/>
    <w:unhideWhenUsed/>
    <w:rsid w:val="00325048"/>
    <w:rPr>
      <w:color w:val="6D6D70"/>
      <w:u w:val="single"/>
    </w:rPr>
  </w:style>
  <w:style w:type="paragraph" w:customStyle="1" w:styleId="paragraph">
    <w:name w:val="paragraph"/>
    <w:basedOn w:val="Normal"/>
    <w:link w:val="paragraphChar"/>
    <w:rsid w:val="00325048"/>
    <w:pPr>
      <w:spacing w:before="100" w:beforeAutospacing="1" w:after="100" w:afterAutospacing="1" w:line="240" w:lineRule="auto"/>
    </w:pPr>
    <w:rPr>
      <w:rFonts w:ascii="Times New Roman" w:eastAsia="Times New Roman" w:hAnsi="Times New Roman"/>
      <w:lang w:eastAsia="en-AU"/>
    </w:rPr>
  </w:style>
  <w:style w:type="character" w:styleId="IntenseReference">
    <w:name w:val="Intense Reference"/>
    <w:uiPriority w:val="32"/>
    <w:qFormat/>
    <w:rsid w:val="00325048"/>
    <w:rPr>
      <w:b/>
      <w:bCs/>
      <w:smallCaps/>
      <w:color w:val="2AB1BB"/>
      <w:spacing w:val="5"/>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link w:val="ListParagraph"/>
    <w:uiPriority w:val="34"/>
    <w:qFormat/>
    <w:rsid w:val="00646B32"/>
    <w:rPr>
      <w:rFonts w:ascii="Arial" w:hAnsi="Arial"/>
    </w:rPr>
  </w:style>
  <w:style w:type="character" w:styleId="CommentReference">
    <w:name w:val="annotation reference"/>
    <w:uiPriority w:val="99"/>
    <w:semiHidden/>
    <w:unhideWhenUsed/>
    <w:rsid w:val="00E14C08"/>
    <w:rPr>
      <w:sz w:val="16"/>
      <w:szCs w:val="16"/>
    </w:rPr>
  </w:style>
  <w:style w:type="paragraph" w:styleId="CommentText">
    <w:name w:val="annotation text"/>
    <w:basedOn w:val="Normal"/>
    <w:link w:val="CommentTextChar"/>
    <w:uiPriority w:val="99"/>
    <w:unhideWhenUsed/>
    <w:rsid w:val="00E14C08"/>
    <w:pPr>
      <w:spacing w:line="240" w:lineRule="auto"/>
    </w:pPr>
    <w:rPr>
      <w:sz w:val="20"/>
      <w:szCs w:val="20"/>
    </w:rPr>
  </w:style>
  <w:style w:type="character" w:customStyle="1" w:styleId="CommentTextChar">
    <w:name w:val="Comment Text Char"/>
    <w:link w:val="CommentText"/>
    <w:uiPriority w:val="99"/>
    <w:rsid w:val="00E14C0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14C08"/>
    <w:rPr>
      <w:b/>
      <w:bCs/>
    </w:rPr>
  </w:style>
  <w:style w:type="character" w:customStyle="1" w:styleId="CommentSubjectChar">
    <w:name w:val="Comment Subject Char"/>
    <w:link w:val="CommentSubject"/>
    <w:uiPriority w:val="99"/>
    <w:semiHidden/>
    <w:rsid w:val="00E14C08"/>
    <w:rPr>
      <w:rFonts w:ascii="Arial" w:hAnsi="Arial"/>
      <w:b/>
      <w:bCs/>
      <w:sz w:val="20"/>
      <w:szCs w:val="20"/>
    </w:rPr>
  </w:style>
  <w:style w:type="paragraph" w:customStyle="1" w:styleId="Bullet2">
    <w:name w:val="Bullet2"/>
    <w:basedOn w:val="Heading3"/>
    <w:next w:val="paragraph"/>
    <w:link w:val="Bullet2Char"/>
    <w:qFormat/>
    <w:rsid w:val="00E73F61"/>
    <w:pPr>
      <w:spacing w:before="120" w:line="276" w:lineRule="auto"/>
      <w:textAlignment w:val="baseline"/>
    </w:pPr>
    <w:rPr>
      <w:rFonts w:cs="Arial"/>
      <w:b w:val="0"/>
      <w:bCs/>
      <w:color w:val="1F848B"/>
      <w:szCs w:val="28"/>
      <w:lang w:val="en-US" w:eastAsia="en-AU"/>
    </w:rPr>
  </w:style>
  <w:style w:type="paragraph" w:customStyle="1" w:styleId="null">
    <w:name w:val="null"/>
    <w:basedOn w:val="Normal"/>
    <w:rsid w:val="00AB1E00"/>
    <w:pPr>
      <w:spacing w:before="100" w:beforeAutospacing="1" w:after="100" w:afterAutospacing="1" w:line="240" w:lineRule="auto"/>
    </w:pPr>
    <w:rPr>
      <w:rFonts w:ascii="Calibri" w:hAnsi="Calibri" w:cs="Calibri"/>
      <w:sz w:val="22"/>
      <w:szCs w:val="22"/>
      <w:lang w:eastAsia="en-AU"/>
    </w:rPr>
  </w:style>
  <w:style w:type="character" w:customStyle="1" w:styleId="paragraphChar">
    <w:name w:val="paragraph Char"/>
    <w:link w:val="paragraph"/>
    <w:rsid w:val="00871A8D"/>
    <w:rPr>
      <w:rFonts w:ascii="Times New Roman" w:eastAsia="Times New Roman" w:hAnsi="Times New Roman" w:cs="Times New Roman"/>
      <w:lang w:eastAsia="en-AU"/>
    </w:rPr>
  </w:style>
  <w:style w:type="character" w:customStyle="1" w:styleId="Bullet2Char">
    <w:name w:val="Bullet2 Char"/>
    <w:link w:val="Bullet2"/>
    <w:rsid w:val="00E73F61"/>
    <w:rPr>
      <w:rFonts w:ascii="Arial" w:eastAsia="Times New Roman" w:hAnsi="Arial" w:cs="Arial"/>
      <w:bCs/>
      <w:color w:val="1F848B"/>
      <w:sz w:val="28"/>
      <w:szCs w:val="28"/>
      <w:lang w:val="en-US" w:eastAsia="en-AU"/>
    </w:rPr>
  </w:style>
  <w:style w:type="character" w:customStyle="1" w:styleId="null1">
    <w:name w:val="null1"/>
    <w:basedOn w:val="DefaultParagraphFont"/>
    <w:rsid w:val="00AB1E00"/>
  </w:style>
  <w:style w:type="paragraph" w:customStyle="1" w:styleId="Tableheader">
    <w:name w:val="Table header"/>
    <w:basedOn w:val="Normal"/>
    <w:rsid w:val="00CF150D"/>
    <w:pPr>
      <w:spacing w:before="80" w:after="80"/>
    </w:pPr>
    <w:rPr>
      <w:rFonts w:cs="Arial"/>
      <w:b/>
      <w:bCs/>
      <w:color w:val="FFFFFF"/>
      <w:sz w:val="20"/>
      <w:szCs w:val="20"/>
    </w:rPr>
  </w:style>
  <w:style w:type="character" w:customStyle="1" w:styleId="TabletextleftChar">
    <w:name w:val="Table text left Char"/>
    <w:link w:val="Tabletextleft"/>
    <w:locked/>
    <w:rsid w:val="00CF150D"/>
    <w:rPr>
      <w:rFonts w:ascii="Arial" w:hAnsi="Arial" w:cs="Arial"/>
      <w:color w:val="000000"/>
    </w:rPr>
  </w:style>
  <w:style w:type="paragraph" w:customStyle="1" w:styleId="Tabletextleft">
    <w:name w:val="Table text left"/>
    <w:basedOn w:val="Normal"/>
    <w:link w:val="TabletextleftChar"/>
    <w:rsid w:val="00CF150D"/>
    <w:pPr>
      <w:spacing w:after="60" w:line="240" w:lineRule="auto"/>
    </w:pPr>
    <w:rPr>
      <w:rFonts w:cs="Arial"/>
      <w:color w:val="000000"/>
      <w:sz w:val="20"/>
      <w:szCs w:val="20"/>
      <w:lang w:eastAsia="en-AU"/>
    </w:rPr>
  </w:style>
  <w:style w:type="paragraph" w:styleId="TableofFigures">
    <w:name w:val="table of figures"/>
    <w:next w:val="Normal"/>
    <w:uiPriority w:val="99"/>
    <w:unhideWhenUsed/>
    <w:rsid w:val="002D1A97"/>
    <w:pPr>
      <w:contextualSpacing/>
    </w:pPr>
    <w:rPr>
      <w:rFonts w:ascii="Arial" w:eastAsia="Times New Roman" w:hAnsi="Arial"/>
      <w:noProof/>
      <w:shd w:val="clear" w:color="auto" w:fill="FFFFFF"/>
      <w:lang w:eastAsia="en-GB"/>
    </w:rPr>
  </w:style>
  <w:style w:type="table" w:styleId="ListTable3">
    <w:name w:val="List Table 3"/>
    <w:basedOn w:val="TableNormal"/>
    <w:uiPriority w:val="48"/>
    <w:rsid w:val="002D1A97"/>
    <w:rPr>
      <w:rFonts w:ascii="Helvetica" w:eastAsia="SimSun" w:hAnsi="Helvetica"/>
      <w:sz w:val="24"/>
      <w:szCs w:val="24"/>
      <w:lang w:eastAsia="zh-CN"/>
    </w:rPr>
    <w:tblPr>
      <w:tblStyleRowBandSize w:val="1"/>
      <w:tblStyleColBandSize w:val="1"/>
      <w:tblBorders>
        <w:top w:val="single" w:sz="4" w:space="0" w:color="1E1545"/>
        <w:left w:val="single" w:sz="4" w:space="0" w:color="1E1545"/>
        <w:bottom w:val="single" w:sz="4" w:space="0" w:color="1E1545"/>
        <w:right w:val="single" w:sz="4" w:space="0" w:color="1E1545"/>
      </w:tblBorders>
    </w:tblPr>
    <w:tblStylePr w:type="firstRow">
      <w:rPr>
        <w:b/>
        <w:bCs/>
        <w:color w:val="FFFFFF"/>
      </w:rPr>
      <w:tblPr/>
      <w:tcPr>
        <w:shd w:val="clear" w:color="auto" w:fill="1E1545"/>
      </w:tcPr>
    </w:tblStylePr>
    <w:tblStylePr w:type="lastRow">
      <w:rPr>
        <w:b/>
        <w:bCs/>
      </w:rPr>
      <w:tblPr/>
      <w:tcPr>
        <w:tcBorders>
          <w:top w:val="double" w:sz="4" w:space="0" w:color="1E154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E1545"/>
          <w:right w:val="single" w:sz="4" w:space="0" w:color="1E1545"/>
        </w:tcBorders>
      </w:tcPr>
    </w:tblStylePr>
    <w:tblStylePr w:type="band1Horz">
      <w:tblPr/>
      <w:tcPr>
        <w:tcBorders>
          <w:top w:val="single" w:sz="4" w:space="0" w:color="1E1545"/>
          <w:bottom w:val="single" w:sz="4" w:space="0" w:color="1E154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1545"/>
          <w:left w:val="nil"/>
        </w:tcBorders>
      </w:tcPr>
    </w:tblStylePr>
    <w:tblStylePr w:type="swCell">
      <w:tblPr/>
      <w:tcPr>
        <w:tcBorders>
          <w:top w:val="double" w:sz="4" w:space="0" w:color="1E1545"/>
          <w:right w:val="nil"/>
        </w:tcBorders>
      </w:tcPr>
    </w:tblStylePr>
  </w:style>
  <w:style w:type="paragraph" w:styleId="Revision">
    <w:name w:val="Revision"/>
    <w:hidden/>
    <w:uiPriority w:val="99"/>
    <w:semiHidden/>
    <w:rsid w:val="004172BA"/>
    <w:rPr>
      <w:rFonts w:ascii="Arial" w:hAnsi="Arial"/>
      <w:sz w:val="24"/>
      <w:szCs w:val="24"/>
      <w:lang w:eastAsia="en-US"/>
    </w:rPr>
  </w:style>
  <w:style w:type="paragraph" w:styleId="TOCHeading">
    <w:name w:val="TOC Heading"/>
    <w:basedOn w:val="Heading1"/>
    <w:next w:val="Normal"/>
    <w:uiPriority w:val="39"/>
    <w:unhideWhenUsed/>
    <w:qFormat/>
    <w:rsid w:val="00D31008"/>
    <w:pPr>
      <w:spacing w:before="240" w:after="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950D7E"/>
    <w:pPr>
      <w:tabs>
        <w:tab w:val="right" w:leader="dot" w:pos="10194"/>
      </w:tabs>
      <w:spacing w:after="100"/>
    </w:pPr>
  </w:style>
  <w:style w:type="paragraph" w:styleId="TOC2">
    <w:name w:val="toc 2"/>
    <w:basedOn w:val="Normal"/>
    <w:next w:val="Normal"/>
    <w:autoRedefine/>
    <w:uiPriority w:val="39"/>
    <w:unhideWhenUsed/>
    <w:rsid w:val="005236DB"/>
    <w:pPr>
      <w:tabs>
        <w:tab w:val="right" w:leader="dot" w:pos="10194"/>
      </w:tabs>
      <w:spacing w:after="100"/>
      <w:ind w:left="240"/>
    </w:pPr>
    <w:rPr>
      <w:rFonts w:cs="Arial"/>
      <w:b/>
      <w:bCs/>
      <w:noProof/>
    </w:rPr>
  </w:style>
  <w:style w:type="character" w:styleId="Mention">
    <w:name w:val="Mention"/>
    <w:basedOn w:val="DefaultParagraphFont"/>
    <w:uiPriority w:val="99"/>
    <w:unhideWhenUsed/>
    <w:rPr>
      <w:color w:val="2B579A"/>
      <w:shd w:val="clear" w:color="auto" w:fill="E6E6E6"/>
    </w:rPr>
  </w:style>
  <w:style w:type="paragraph" w:customStyle="1" w:styleId="xparagraphtext">
    <w:name w:val="x_paragraphtext"/>
    <w:basedOn w:val="Normal"/>
    <w:rsid w:val="007C055E"/>
    <w:pPr>
      <w:spacing w:before="100" w:beforeAutospacing="1" w:after="100" w:afterAutospacing="1" w:line="240" w:lineRule="auto"/>
    </w:pPr>
    <w:rPr>
      <w:rFonts w:ascii="Calibri" w:eastAsiaTheme="minorHAnsi" w:hAnsi="Calibri" w:cs="Calibri"/>
      <w:sz w:val="20"/>
      <w:szCs w:val="20"/>
      <w:lang w:eastAsia="en-AU"/>
    </w:rPr>
  </w:style>
  <w:style w:type="character" w:customStyle="1" w:styleId="xnormaltextrun">
    <w:name w:val="x_normaltextrun"/>
    <w:basedOn w:val="DefaultParagraphFont"/>
    <w:rsid w:val="007C055E"/>
  </w:style>
  <w:style w:type="character" w:customStyle="1" w:styleId="xeop">
    <w:name w:val="x_eop"/>
    <w:basedOn w:val="DefaultParagraphFont"/>
    <w:rsid w:val="007C055E"/>
  </w:style>
  <w:style w:type="paragraph" w:styleId="TOC3">
    <w:name w:val="toc 3"/>
    <w:basedOn w:val="Normal"/>
    <w:next w:val="Normal"/>
    <w:autoRedefine/>
    <w:uiPriority w:val="39"/>
    <w:unhideWhenUsed/>
    <w:rsid w:val="00EF0072"/>
    <w:pPr>
      <w:tabs>
        <w:tab w:val="left" w:pos="1100"/>
        <w:tab w:val="right" w:leader="dot" w:pos="10194"/>
      </w:tabs>
      <w:spacing w:after="100"/>
      <w:ind w:left="480"/>
    </w:pPr>
  </w:style>
  <w:style w:type="paragraph" w:customStyle="1" w:styleId="pf0">
    <w:name w:val="pf0"/>
    <w:basedOn w:val="Normal"/>
    <w:rsid w:val="005D7B59"/>
    <w:pPr>
      <w:spacing w:before="100" w:beforeAutospacing="1" w:after="100" w:afterAutospacing="1" w:line="240" w:lineRule="auto"/>
    </w:pPr>
    <w:rPr>
      <w:rFonts w:ascii="Times New Roman" w:eastAsia="Times New Roman" w:hAnsi="Times New Roman"/>
      <w:lang w:eastAsia="en-AU"/>
    </w:rPr>
  </w:style>
  <w:style w:type="character" w:customStyle="1" w:styleId="cf01">
    <w:name w:val="cf01"/>
    <w:basedOn w:val="DefaultParagraphFont"/>
    <w:rsid w:val="005D7B59"/>
    <w:rPr>
      <w:rFonts w:ascii="Segoe UI" w:hAnsi="Segoe UI" w:cs="Segoe UI" w:hint="default"/>
      <w:sz w:val="18"/>
      <w:szCs w:val="18"/>
    </w:rPr>
  </w:style>
  <w:style w:type="character" w:customStyle="1" w:styleId="cf11">
    <w:name w:val="cf11"/>
    <w:basedOn w:val="DefaultParagraphFont"/>
    <w:rsid w:val="00C27851"/>
    <w:rPr>
      <w:rFonts w:ascii="Segoe UI" w:hAnsi="Segoe UI" w:cs="Segoe UI" w:hint="default"/>
      <w:color w:val="313131"/>
      <w:sz w:val="18"/>
      <w:szCs w:val="18"/>
    </w:rPr>
  </w:style>
  <w:style w:type="character" w:customStyle="1" w:styleId="MainTitle">
    <w:name w:val="Main Title"/>
    <w:rsid w:val="00952787"/>
    <w:rPr>
      <w:rFonts w:ascii="Arial" w:hAnsi="Arial"/>
      <w:b/>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45087">
      <w:bodyDiv w:val="1"/>
      <w:marLeft w:val="0"/>
      <w:marRight w:val="0"/>
      <w:marTop w:val="0"/>
      <w:marBottom w:val="0"/>
      <w:divBdr>
        <w:top w:val="none" w:sz="0" w:space="0" w:color="auto"/>
        <w:left w:val="none" w:sz="0" w:space="0" w:color="auto"/>
        <w:bottom w:val="none" w:sz="0" w:space="0" w:color="auto"/>
        <w:right w:val="none" w:sz="0" w:space="0" w:color="auto"/>
      </w:divBdr>
    </w:div>
    <w:div w:id="143671308">
      <w:bodyDiv w:val="1"/>
      <w:marLeft w:val="0"/>
      <w:marRight w:val="0"/>
      <w:marTop w:val="0"/>
      <w:marBottom w:val="0"/>
      <w:divBdr>
        <w:top w:val="none" w:sz="0" w:space="0" w:color="auto"/>
        <w:left w:val="none" w:sz="0" w:space="0" w:color="auto"/>
        <w:bottom w:val="none" w:sz="0" w:space="0" w:color="auto"/>
        <w:right w:val="none" w:sz="0" w:space="0" w:color="auto"/>
      </w:divBdr>
    </w:div>
    <w:div w:id="332880637">
      <w:bodyDiv w:val="1"/>
      <w:marLeft w:val="0"/>
      <w:marRight w:val="0"/>
      <w:marTop w:val="0"/>
      <w:marBottom w:val="0"/>
      <w:divBdr>
        <w:top w:val="none" w:sz="0" w:space="0" w:color="auto"/>
        <w:left w:val="none" w:sz="0" w:space="0" w:color="auto"/>
        <w:bottom w:val="none" w:sz="0" w:space="0" w:color="auto"/>
        <w:right w:val="none" w:sz="0" w:space="0" w:color="auto"/>
      </w:divBdr>
    </w:div>
    <w:div w:id="343626972">
      <w:bodyDiv w:val="1"/>
      <w:marLeft w:val="0"/>
      <w:marRight w:val="0"/>
      <w:marTop w:val="0"/>
      <w:marBottom w:val="0"/>
      <w:divBdr>
        <w:top w:val="none" w:sz="0" w:space="0" w:color="auto"/>
        <w:left w:val="none" w:sz="0" w:space="0" w:color="auto"/>
        <w:bottom w:val="none" w:sz="0" w:space="0" w:color="auto"/>
        <w:right w:val="none" w:sz="0" w:space="0" w:color="auto"/>
      </w:divBdr>
    </w:div>
    <w:div w:id="424813493">
      <w:bodyDiv w:val="1"/>
      <w:marLeft w:val="0"/>
      <w:marRight w:val="0"/>
      <w:marTop w:val="0"/>
      <w:marBottom w:val="0"/>
      <w:divBdr>
        <w:top w:val="none" w:sz="0" w:space="0" w:color="auto"/>
        <w:left w:val="none" w:sz="0" w:space="0" w:color="auto"/>
        <w:bottom w:val="none" w:sz="0" w:space="0" w:color="auto"/>
        <w:right w:val="none" w:sz="0" w:space="0" w:color="auto"/>
      </w:divBdr>
    </w:div>
    <w:div w:id="447166364">
      <w:bodyDiv w:val="1"/>
      <w:marLeft w:val="0"/>
      <w:marRight w:val="0"/>
      <w:marTop w:val="0"/>
      <w:marBottom w:val="0"/>
      <w:divBdr>
        <w:top w:val="none" w:sz="0" w:space="0" w:color="auto"/>
        <w:left w:val="none" w:sz="0" w:space="0" w:color="auto"/>
        <w:bottom w:val="none" w:sz="0" w:space="0" w:color="auto"/>
        <w:right w:val="none" w:sz="0" w:space="0" w:color="auto"/>
      </w:divBdr>
    </w:div>
    <w:div w:id="469518516">
      <w:bodyDiv w:val="1"/>
      <w:marLeft w:val="0"/>
      <w:marRight w:val="0"/>
      <w:marTop w:val="0"/>
      <w:marBottom w:val="0"/>
      <w:divBdr>
        <w:top w:val="none" w:sz="0" w:space="0" w:color="auto"/>
        <w:left w:val="none" w:sz="0" w:space="0" w:color="auto"/>
        <w:bottom w:val="none" w:sz="0" w:space="0" w:color="auto"/>
        <w:right w:val="none" w:sz="0" w:space="0" w:color="auto"/>
      </w:divBdr>
    </w:div>
    <w:div w:id="526218391">
      <w:bodyDiv w:val="1"/>
      <w:marLeft w:val="0"/>
      <w:marRight w:val="0"/>
      <w:marTop w:val="0"/>
      <w:marBottom w:val="0"/>
      <w:divBdr>
        <w:top w:val="none" w:sz="0" w:space="0" w:color="auto"/>
        <w:left w:val="none" w:sz="0" w:space="0" w:color="auto"/>
        <w:bottom w:val="none" w:sz="0" w:space="0" w:color="auto"/>
        <w:right w:val="none" w:sz="0" w:space="0" w:color="auto"/>
      </w:divBdr>
      <w:divsChild>
        <w:div w:id="132912768">
          <w:marLeft w:val="0"/>
          <w:marRight w:val="0"/>
          <w:marTop w:val="0"/>
          <w:marBottom w:val="0"/>
          <w:divBdr>
            <w:top w:val="none" w:sz="0" w:space="0" w:color="auto"/>
            <w:left w:val="none" w:sz="0" w:space="0" w:color="auto"/>
            <w:bottom w:val="none" w:sz="0" w:space="0" w:color="auto"/>
            <w:right w:val="none" w:sz="0" w:space="0" w:color="auto"/>
          </w:divBdr>
        </w:div>
        <w:div w:id="220750212">
          <w:marLeft w:val="0"/>
          <w:marRight w:val="0"/>
          <w:marTop w:val="0"/>
          <w:marBottom w:val="0"/>
          <w:divBdr>
            <w:top w:val="none" w:sz="0" w:space="0" w:color="auto"/>
            <w:left w:val="none" w:sz="0" w:space="0" w:color="auto"/>
            <w:bottom w:val="none" w:sz="0" w:space="0" w:color="auto"/>
            <w:right w:val="none" w:sz="0" w:space="0" w:color="auto"/>
          </w:divBdr>
        </w:div>
        <w:div w:id="237322813">
          <w:marLeft w:val="0"/>
          <w:marRight w:val="0"/>
          <w:marTop w:val="0"/>
          <w:marBottom w:val="0"/>
          <w:divBdr>
            <w:top w:val="none" w:sz="0" w:space="0" w:color="auto"/>
            <w:left w:val="none" w:sz="0" w:space="0" w:color="auto"/>
            <w:bottom w:val="none" w:sz="0" w:space="0" w:color="auto"/>
            <w:right w:val="none" w:sz="0" w:space="0" w:color="auto"/>
          </w:divBdr>
        </w:div>
        <w:div w:id="245044331">
          <w:marLeft w:val="0"/>
          <w:marRight w:val="0"/>
          <w:marTop w:val="0"/>
          <w:marBottom w:val="0"/>
          <w:divBdr>
            <w:top w:val="none" w:sz="0" w:space="0" w:color="auto"/>
            <w:left w:val="none" w:sz="0" w:space="0" w:color="auto"/>
            <w:bottom w:val="none" w:sz="0" w:space="0" w:color="auto"/>
            <w:right w:val="none" w:sz="0" w:space="0" w:color="auto"/>
          </w:divBdr>
        </w:div>
        <w:div w:id="344982196">
          <w:marLeft w:val="0"/>
          <w:marRight w:val="0"/>
          <w:marTop w:val="0"/>
          <w:marBottom w:val="0"/>
          <w:divBdr>
            <w:top w:val="none" w:sz="0" w:space="0" w:color="auto"/>
            <w:left w:val="none" w:sz="0" w:space="0" w:color="auto"/>
            <w:bottom w:val="none" w:sz="0" w:space="0" w:color="auto"/>
            <w:right w:val="none" w:sz="0" w:space="0" w:color="auto"/>
          </w:divBdr>
        </w:div>
        <w:div w:id="373117183">
          <w:marLeft w:val="0"/>
          <w:marRight w:val="0"/>
          <w:marTop w:val="0"/>
          <w:marBottom w:val="0"/>
          <w:divBdr>
            <w:top w:val="none" w:sz="0" w:space="0" w:color="auto"/>
            <w:left w:val="none" w:sz="0" w:space="0" w:color="auto"/>
            <w:bottom w:val="none" w:sz="0" w:space="0" w:color="auto"/>
            <w:right w:val="none" w:sz="0" w:space="0" w:color="auto"/>
          </w:divBdr>
        </w:div>
        <w:div w:id="376586331">
          <w:marLeft w:val="0"/>
          <w:marRight w:val="0"/>
          <w:marTop w:val="0"/>
          <w:marBottom w:val="0"/>
          <w:divBdr>
            <w:top w:val="none" w:sz="0" w:space="0" w:color="auto"/>
            <w:left w:val="none" w:sz="0" w:space="0" w:color="auto"/>
            <w:bottom w:val="none" w:sz="0" w:space="0" w:color="auto"/>
            <w:right w:val="none" w:sz="0" w:space="0" w:color="auto"/>
          </w:divBdr>
        </w:div>
        <w:div w:id="516114074">
          <w:marLeft w:val="0"/>
          <w:marRight w:val="0"/>
          <w:marTop w:val="0"/>
          <w:marBottom w:val="0"/>
          <w:divBdr>
            <w:top w:val="none" w:sz="0" w:space="0" w:color="auto"/>
            <w:left w:val="none" w:sz="0" w:space="0" w:color="auto"/>
            <w:bottom w:val="none" w:sz="0" w:space="0" w:color="auto"/>
            <w:right w:val="none" w:sz="0" w:space="0" w:color="auto"/>
          </w:divBdr>
        </w:div>
        <w:div w:id="549535514">
          <w:marLeft w:val="0"/>
          <w:marRight w:val="0"/>
          <w:marTop w:val="0"/>
          <w:marBottom w:val="0"/>
          <w:divBdr>
            <w:top w:val="none" w:sz="0" w:space="0" w:color="auto"/>
            <w:left w:val="none" w:sz="0" w:space="0" w:color="auto"/>
            <w:bottom w:val="none" w:sz="0" w:space="0" w:color="auto"/>
            <w:right w:val="none" w:sz="0" w:space="0" w:color="auto"/>
          </w:divBdr>
        </w:div>
        <w:div w:id="603421154">
          <w:marLeft w:val="0"/>
          <w:marRight w:val="0"/>
          <w:marTop w:val="0"/>
          <w:marBottom w:val="0"/>
          <w:divBdr>
            <w:top w:val="none" w:sz="0" w:space="0" w:color="auto"/>
            <w:left w:val="none" w:sz="0" w:space="0" w:color="auto"/>
            <w:bottom w:val="none" w:sz="0" w:space="0" w:color="auto"/>
            <w:right w:val="none" w:sz="0" w:space="0" w:color="auto"/>
          </w:divBdr>
        </w:div>
        <w:div w:id="759061269">
          <w:marLeft w:val="0"/>
          <w:marRight w:val="0"/>
          <w:marTop w:val="0"/>
          <w:marBottom w:val="0"/>
          <w:divBdr>
            <w:top w:val="none" w:sz="0" w:space="0" w:color="auto"/>
            <w:left w:val="none" w:sz="0" w:space="0" w:color="auto"/>
            <w:bottom w:val="none" w:sz="0" w:space="0" w:color="auto"/>
            <w:right w:val="none" w:sz="0" w:space="0" w:color="auto"/>
          </w:divBdr>
        </w:div>
        <w:div w:id="761070909">
          <w:marLeft w:val="0"/>
          <w:marRight w:val="0"/>
          <w:marTop w:val="0"/>
          <w:marBottom w:val="0"/>
          <w:divBdr>
            <w:top w:val="none" w:sz="0" w:space="0" w:color="auto"/>
            <w:left w:val="none" w:sz="0" w:space="0" w:color="auto"/>
            <w:bottom w:val="none" w:sz="0" w:space="0" w:color="auto"/>
            <w:right w:val="none" w:sz="0" w:space="0" w:color="auto"/>
          </w:divBdr>
        </w:div>
        <w:div w:id="806778143">
          <w:marLeft w:val="0"/>
          <w:marRight w:val="0"/>
          <w:marTop w:val="0"/>
          <w:marBottom w:val="0"/>
          <w:divBdr>
            <w:top w:val="none" w:sz="0" w:space="0" w:color="auto"/>
            <w:left w:val="none" w:sz="0" w:space="0" w:color="auto"/>
            <w:bottom w:val="none" w:sz="0" w:space="0" w:color="auto"/>
            <w:right w:val="none" w:sz="0" w:space="0" w:color="auto"/>
          </w:divBdr>
        </w:div>
        <w:div w:id="834495185">
          <w:marLeft w:val="0"/>
          <w:marRight w:val="0"/>
          <w:marTop w:val="0"/>
          <w:marBottom w:val="0"/>
          <w:divBdr>
            <w:top w:val="none" w:sz="0" w:space="0" w:color="auto"/>
            <w:left w:val="none" w:sz="0" w:space="0" w:color="auto"/>
            <w:bottom w:val="none" w:sz="0" w:space="0" w:color="auto"/>
            <w:right w:val="none" w:sz="0" w:space="0" w:color="auto"/>
          </w:divBdr>
        </w:div>
        <w:div w:id="900359728">
          <w:marLeft w:val="0"/>
          <w:marRight w:val="0"/>
          <w:marTop w:val="0"/>
          <w:marBottom w:val="0"/>
          <w:divBdr>
            <w:top w:val="none" w:sz="0" w:space="0" w:color="auto"/>
            <w:left w:val="none" w:sz="0" w:space="0" w:color="auto"/>
            <w:bottom w:val="none" w:sz="0" w:space="0" w:color="auto"/>
            <w:right w:val="none" w:sz="0" w:space="0" w:color="auto"/>
          </w:divBdr>
        </w:div>
        <w:div w:id="924075188">
          <w:marLeft w:val="0"/>
          <w:marRight w:val="0"/>
          <w:marTop w:val="0"/>
          <w:marBottom w:val="0"/>
          <w:divBdr>
            <w:top w:val="none" w:sz="0" w:space="0" w:color="auto"/>
            <w:left w:val="none" w:sz="0" w:space="0" w:color="auto"/>
            <w:bottom w:val="none" w:sz="0" w:space="0" w:color="auto"/>
            <w:right w:val="none" w:sz="0" w:space="0" w:color="auto"/>
          </w:divBdr>
        </w:div>
        <w:div w:id="954292129">
          <w:marLeft w:val="0"/>
          <w:marRight w:val="0"/>
          <w:marTop w:val="0"/>
          <w:marBottom w:val="0"/>
          <w:divBdr>
            <w:top w:val="none" w:sz="0" w:space="0" w:color="auto"/>
            <w:left w:val="none" w:sz="0" w:space="0" w:color="auto"/>
            <w:bottom w:val="none" w:sz="0" w:space="0" w:color="auto"/>
            <w:right w:val="none" w:sz="0" w:space="0" w:color="auto"/>
          </w:divBdr>
        </w:div>
        <w:div w:id="1016157505">
          <w:marLeft w:val="0"/>
          <w:marRight w:val="0"/>
          <w:marTop w:val="0"/>
          <w:marBottom w:val="0"/>
          <w:divBdr>
            <w:top w:val="none" w:sz="0" w:space="0" w:color="auto"/>
            <w:left w:val="none" w:sz="0" w:space="0" w:color="auto"/>
            <w:bottom w:val="none" w:sz="0" w:space="0" w:color="auto"/>
            <w:right w:val="none" w:sz="0" w:space="0" w:color="auto"/>
          </w:divBdr>
        </w:div>
        <w:div w:id="1090463664">
          <w:marLeft w:val="0"/>
          <w:marRight w:val="0"/>
          <w:marTop w:val="0"/>
          <w:marBottom w:val="0"/>
          <w:divBdr>
            <w:top w:val="none" w:sz="0" w:space="0" w:color="auto"/>
            <w:left w:val="none" w:sz="0" w:space="0" w:color="auto"/>
            <w:bottom w:val="none" w:sz="0" w:space="0" w:color="auto"/>
            <w:right w:val="none" w:sz="0" w:space="0" w:color="auto"/>
          </w:divBdr>
        </w:div>
        <w:div w:id="1129779895">
          <w:marLeft w:val="0"/>
          <w:marRight w:val="0"/>
          <w:marTop w:val="0"/>
          <w:marBottom w:val="0"/>
          <w:divBdr>
            <w:top w:val="none" w:sz="0" w:space="0" w:color="auto"/>
            <w:left w:val="none" w:sz="0" w:space="0" w:color="auto"/>
            <w:bottom w:val="none" w:sz="0" w:space="0" w:color="auto"/>
            <w:right w:val="none" w:sz="0" w:space="0" w:color="auto"/>
          </w:divBdr>
        </w:div>
        <w:div w:id="1195390535">
          <w:marLeft w:val="0"/>
          <w:marRight w:val="0"/>
          <w:marTop w:val="0"/>
          <w:marBottom w:val="0"/>
          <w:divBdr>
            <w:top w:val="none" w:sz="0" w:space="0" w:color="auto"/>
            <w:left w:val="none" w:sz="0" w:space="0" w:color="auto"/>
            <w:bottom w:val="none" w:sz="0" w:space="0" w:color="auto"/>
            <w:right w:val="none" w:sz="0" w:space="0" w:color="auto"/>
          </w:divBdr>
        </w:div>
        <w:div w:id="1202128395">
          <w:marLeft w:val="0"/>
          <w:marRight w:val="0"/>
          <w:marTop w:val="0"/>
          <w:marBottom w:val="0"/>
          <w:divBdr>
            <w:top w:val="none" w:sz="0" w:space="0" w:color="auto"/>
            <w:left w:val="none" w:sz="0" w:space="0" w:color="auto"/>
            <w:bottom w:val="none" w:sz="0" w:space="0" w:color="auto"/>
            <w:right w:val="none" w:sz="0" w:space="0" w:color="auto"/>
          </w:divBdr>
        </w:div>
        <w:div w:id="1262445652">
          <w:marLeft w:val="0"/>
          <w:marRight w:val="0"/>
          <w:marTop w:val="0"/>
          <w:marBottom w:val="0"/>
          <w:divBdr>
            <w:top w:val="none" w:sz="0" w:space="0" w:color="auto"/>
            <w:left w:val="none" w:sz="0" w:space="0" w:color="auto"/>
            <w:bottom w:val="none" w:sz="0" w:space="0" w:color="auto"/>
            <w:right w:val="none" w:sz="0" w:space="0" w:color="auto"/>
          </w:divBdr>
        </w:div>
        <w:div w:id="1304194497">
          <w:marLeft w:val="0"/>
          <w:marRight w:val="0"/>
          <w:marTop w:val="0"/>
          <w:marBottom w:val="0"/>
          <w:divBdr>
            <w:top w:val="none" w:sz="0" w:space="0" w:color="auto"/>
            <w:left w:val="none" w:sz="0" w:space="0" w:color="auto"/>
            <w:bottom w:val="none" w:sz="0" w:space="0" w:color="auto"/>
            <w:right w:val="none" w:sz="0" w:space="0" w:color="auto"/>
          </w:divBdr>
        </w:div>
        <w:div w:id="1378237770">
          <w:marLeft w:val="0"/>
          <w:marRight w:val="0"/>
          <w:marTop w:val="0"/>
          <w:marBottom w:val="0"/>
          <w:divBdr>
            <w:top w:val="none" w:sz="0" w:space="0" w:color="auto"/>
            <w:left w:val="none" w:sz="0" w:space="0" w:color="auto"/>
            <w:bottom w:val="none" w:sz="0" w:space="0" w:color="auto"/>
            <w:right w:val="none" w:sz="0" w:space="0" w:color="auto"/>
          </w:divBdr>
        </w:div>
        <w:div w:id="1387416783">
          <w:marLeft w:val="0"/>
          <w:marRight w:val="0"/>
          <w:marTop w:val="0"/>
          <w:marBottom w:val="0"/>
          <w:divBdr>
            <w:top w:val="none" w:sz="0" w:space="0" w:color="auto"/>
            <w:left w:val="none" w:sz="0" w:space="0" w:color="auto"/>
            <w:bottom w:val="none" w:sz="0" w:space="0" w:color="auto"/>
            <w:right w:val="none" w:sz="0" w:space="0" w:color="auto"/>
          </w:divBdr>
        </w:div>
        <w:div w:id="1634287496">
          <w:marLeft w:val="0"/>
          <w:marRight w:val="0"/>
          <w:marTop w:val="0"/>
          <w:marBottom w:val="0"/>
          <w:divBdr>
            <w:top w:val="none" w:sz="0" w:space="0" w:color="auto"/>
            <w:left w:val="none" w:sz="0" w:space="0" w:color="auto"/>
            <w:bottom w:val="none" w:sz="0" w:space="0" w:color="auto"/>
            <w:right w:val="none" w:sz="0" w:space="0" w:color="auto"/>
          </w:divBdr>
        </w:div>
        <w:div w:id="1698119836">
          <w:marLeft w:val="0"/>
          <w:marRight w:val="0"/>
          <w:marTop w:val="0"/>
          <w:marBottom w:val="0"/>
          <w:divBdr>
            <w:top w:val="none" w:sz="0" w:space="0" w:color="auto"/>
            <w:left w:val="none" w:sz="0" w:space="0" w:color="auto"/>
            <w:bottom w:val="none" w:sz="0" w:space="0" w:color="auto"/>
            <w:right w:val="none" w:sz="0" w:space="0" w:color="auto"/>
          </w:divBdr>
        </w:div>
        <w:div w:id="1778132926">
          <w:marLeft w:val="0"/>
          <w:marRight w:val="0"/>
          <w:marTop w:val="0"/>
          <w:marBottom w:val="0"/>
          <w:divBdr>
            <w:top w:val="none" w:sz="0" w:space="0" w:color="auto"/>
            <w:left w:val="none" w:sz="0" w:space="0" w:color="auto"/>
            <w:bottom w:val="none" w:sz="0" w:space="0" w:color="auto"/>
            <w:right w:val="none" w:sz="0" w:space="0" w:color="auto"/>
          </w:divBdr>
        </w:div>
        <w:div w:id="1865245834">
          <w:marLeft w:val="0"/>
          <w:marRight w:val="0"/>
          <w:marTop w:val="0"/>
          <w:marBottom w:val="0"/>
          <w:divBdr>
            <w:top w:val="none" w:sz="0" w:space="0" w:color="auto"/>
            <w:left w:val="none" w:sz="0" w:space="0" w:color="auto"/>
            <w:bottom w:val="none" w:sz="0" w:space="0" w:color="auto"/>
            <w:right w:val="none" w:sz="0" w:space="0" w:color="auto"/>
          </w:divBdr>
        </w:div>
        <w:div w:id="1873758907">
          <w:marLeft w:val="0"/>
          <w:marRight w:val="0"/>
          <w:marTop w:val="0"/>
          <w:marBottom w:val="0"/>
          <w:divBdr>
            <w:top w:val="none" w:sz="0" w:space="0" w:color="auto"/>
            <w:left w:val="none" w:sz="0" w:space="0" w:color="auto"/>
            <w:bottom w:val="none" w:sz="0" w:space="0" w:color="auto"/>
            <w:right w:val="none" w:sz="0" w:space="0" w:color="auto"/>
          </w:divBdr>
        </w:div>
        <w:div w:id="1875119763">
          <w:marLeft w:val="0"/>
          <w:marRight w:val="0"/>
          <w:marTop w:val="0"/>
          <w:marBottom w:val="0"/>
          <w:divBdr>
            <w:top w:val="none" w:sz="0" w:space="0" w:color="auto"/>
            <w:left w:val="none" w:sz="0" w:space="0" w:color="auto"/>
            <w:bottom w:val="none" w:sz="0" w:space="0" w:color="auto"/>
            <w:right w:val="none" w:sz="0" w:space="0" w:color="auto"/>
          </w:divBdr>
        </w:div>
        <w:div w:id="1999766363">
          <w:marLeft w:val="0"/>
          <w:marRight w:val="0"/>
          <w:marTop w:val="0"/>
          <w:marBottom w:val="0"/>
          <w:divBdr>
            <w:top w:val="none" w:sz="0" w:space="0" w:color="auto"/>
            <w:left w:val="none" w:sz="0" w:space="0" w:color="auto"/>
            <w:bottom w:val="none" w:sz="0" w:space="0" w:color="auto"/>
            <w:right w:val="none" w:sz="0" w:space="0" w:color="auto"/>
          </w:divBdr>
        </w:div>
        <w:div w:id="2131046458">
          <w:marLeft w:val="0"/>
          <w:marRight w:val="0"/>
          <w:marTop w:val="0"/>
          <w:marBottom w:val="0"/>
          <w:divBdr>
            <w:top w:val="none" w:sz="0" w:space="0" w:color="auto"/>
            <w:left w:val="none" w:sz="0" w:space="0" w:color="auto"/>
            <w:bottom w:val="none" w:sz="0" w:space="0" w:color="auto"/>
            <w:right w:val="none" w:sz="0" w:space="0" w:color="auto"/>
          </w:divBdr>
        </w:div>
      </w:divsChild>
    </w:div>
    <w:div w:id="678778223">
      <w:bodyDiv w:val="1"/>
      <w:marLeft w:val="0"/>
      <w:marRight w:val="0"/>
      <w:marTop w:val="0"/>
      <w:marBottom w:val="0"/>
      <w:divBdr>
        <w:top w:val="none" w:sz="0" w:space="0" w:color="auto"/>
        <w:left w:val="none" w:sz="0" w:space="0" w:color="auto"/>
        <w:bottom w:val="none" w:sz="0" w:space="0" w:color="auto"/>
        <w:right w:val="none" w:sz="0" w:space="0" w:color="auto"/>
      </w:divBdr>
    </w:div>
    <w:div w:id="869998951">
      <w:bodyDiv w:val="1"/>
      <w:marLeft w:val="0"/>
      <w:marRight w:val="0"/>
      <w:marTop w:val="0"/>
      <w:marBottom w:val="0"/>
      <w:divBdr>
        <w:top w:val="none" w:sz="0" w:space="0" w:color="auto"/>
        <w:left w:val="none" w:sz="0" w:space="0" w:color="auto"/>
        <w:bottom w:val="none" w:sz="0" w:space="0" w:color="auto"/>
        <w:right w:val="none" w:sz="0" w:space="0" w:color="auto"/>
      </w:divBdr>
    </w:div>
    <w:div w:id="946037054">
      <w:bodyDiv w:val="1"/>
      <w:marLeft w:val="0"/>
      <w:marRight w:val="0"/>
      <w:marTop w:val="0"/>
      <w:marBottom w:val="0"/>
      <w:divBdr>
        <w:top w:val="none" w:sz="0" w:space="0" w:color="auto"/>
        <w:left w:val="none" w:sz="0" w:space="0" w:color="auto"/>
        <w:bottom w:val="none" w:sz="0" w:space="0" w:color="auto"/>
        <w:right w:val="none" w:sz="0" w:space="0" w:color="auto"/>
      </w:divBdr>
    </w:div>
    <w:div w:id="965505109">
      <w:bodyDiv w:val="1"/>
      <w:marLeft w:val="0"/>
      <w:marRight w:val="0"/>
      <w:marTop w:val="0"/>
      <w:marBottom w:val="0"/>
      <w:divBdr>
        <w:top w:val="none" w:sz="0" w:space="0" w:color="auto"/>
        <w:left w:val="none" w:sz="0" w:space="0" w:color="auto"/>
        <w:bottom w:val="none" w:sz="0" w:space="0" w:color="auto"/>
        <w:right w:val="none" w:sz="0" w:space="0" w:color="auto"/>
      </w:divBdr>
    </w:div>
    <w:div w:id="1341933860">
      <w:bodyDiv w:val="1"/>
      <w:marLeft w:val="0"/>
      <w:marRight w:val="0"/>
      <w:marTop w:val="0"/>
      <w:marBottom w:val="0"/>
      <w:divBdr>
        <w:top w:val="none" w:sz="0" w:space="0" w:color="auto"/>
        <w:left w:val="none" w:sz="0" w:space="0" w:color="auto"/>
        <w:bottom w:val="none" w:sz="0" w:space="0" w:color="auto"/>
        <w:right w:val="none" w:sz="0" w:space="0" w:color="auto"/>
      </w:divBdr>
    </w:div>
    <w:div w:id="1414937932">
      <w:bodyDiv w:val="1"/>
      <w:marLeft w:val="0"/>
      <w:marRight w:val="0"/>
      <w:marTop w:val="0"/>
      <w:marBottom w:val="0"/>
      <w:divBdr>
        <w:top w:val="none" w:sz="0" w:space="0" w:color="auto"/>
        <w:left w:val="none" w:sz="0" w:space="0" w:color="auto"/>
        <w:bottom w:val="none" w:sz="0" w:space="0" w:color="auto"/>
        <w:right w:val="none" w:sz="0" w:space="0" w:color="auto"/>
      </w:divBdr>
      <w:divsChild>
        <w:div w:id="22556180">
          <w:marLeft w:val="0"/>
          <w:marRight w:val="0"/>
          <w:marTop w:val="0"/>
          <w:marBottom w:val="0"/>
          <w:divBdr>
            <w:top w:val="none" w:sz="0" w:space="0" w:color="auto"/>
            <w:left w:val="none" w:sz="0" w:space="0" w:color="auto"/>
            <w:bottom w:val="none" w:sz="0" w:space="0" w:color="auto"/>
            <w:right w:val="none" w:sz="0" w:space="0" w:color="auto"/>
          </w:divBdr>
          <w:divsChild>
            <w:div w:id="1741366401">
              <w:marLeft w:val="0"/>
              <w:marRight w:val="0"/>
              <w:marTop w:val="0"/>
              <w:marBottom w:val="0"/>
              <w:divBdr>
                <w:top w:val="none" w:sz="0" w:space="0" w:color="auto"/>
                <w:left w:val="none" w:sz="0" w:space="0" w:color="auto"/>
                <w:bottom w:val="none" w:sz="0" w:space="0" w:color="auto"/>
                <w:right w:val="none" w:sz="0" w:space="0" w:color="auto"/>
              </w:divBdr>
            </w:div>
            <w:div w:id="2084330499">
              <w:marLeft w:val="0"/>
              <w:marRight w:val="0"/>
              <w:marTop w:val="0"/>
              <w:marBottom w:val="0"/>
              <w:divBdr>
                <w:top w:val="none" w:sz="0" w:space="0" w:color="auto"/>
                <w:left w:val="none" w:sz="0" w:space="0" w:color="auto"/>
                <w:bottom w:val="none" w:sz="0" w:space="0" w:color="auto"/>
                <w:right w:val="none" w:sz="0" w:space="0" w:color="auto"/>
              </w:divBdr>
            </w:div>
          </w:divsChild>
        </w:div>
        <w:div w:id="250743968">
          <w:marLeft w:val="0"/>
          <w:marRight w:val="0"/>
          <w:marTop w:val="0"/>
          <w:marBottom w:val="0"/>
          <w:divBdr>
            <w:top w:val="none" w:sz="0" w:space="0" w:color="auto"/>
            <w:left w:val="none" w:sz="0" w:space="0" w:color="auto"/>
            <w:bottom w:val="none" w:sz="0" w:space="0" w:color="auto"/>
            <w:right w:val="none" w:sz="0" w:space="0" w:color="auto"/>
          </w:divBdr>
        </w:div>
        <w:div w:id="315955180">
          <w:marLeft w:val="0"/>
          <w:marRight w:val="0"/>
          <w:marTop w:val="0"/>
          <w:marBottom w:val="0"/>
          <w:divBdr>
            <w:top w:val="none" w:sz="0" w:space="0" w:color="auto"/>
            <w:left w:val="none" w:sz="0" w:space="0" w:color="auto"/>
            <w:bottom w:val="none" w:sz="0" w:space="0" w:color="auto"/>
            <w:right w:val="none" w:sz="0" w:space="0" w:color="auto"/>
          </w:divBdr>
        </w:div>
        <w:div w:id="814492616">
          <w:marLeft w:val="0"/>
          <w:marRight w:val="0"/>
          <w:marTop w:val="0"/>
          <w:marBottom w:val="0"/>
          <w:divBdr>
            <w:top w:val="none" w:sz="0" w:space="0" w:color="auto"/>
            <w:left w:val="none" w:sz="0" w:space="0" w:color="auto"/>
            <w:bottom w:val="none" w:sz="0" w:space="0" w:color="auto"/>
            <w:right w:val="none" w:sz="0" w:space="0" w:color="auto"/>
          </w:divBdr>
          <w:divsChild>
            <w:div w:id="74205812">
              <w:marLeft w:val="0"/>
              <w:marRight w:val="0"/>
              <w:marTop w:val="0"/>
              <w:marBottom w:val="0"/>
              <w:divBdr>
                <w:top w:val="none" w:sz="0" w:space="0" w:color="auto"/>
                <w:left w:val="none" w:sz="0" w:space="0" w:color="auto"/>
                <w:bottom w:val="none" w:sz="0" w:space="0" w:color="auto"/>
                <w:right w:val="none" w:sz="0" w:space="0" w:color="auto"/>
              </w:divBdr>
            </w:div>
            <w:div w:id="117257561">
              <w:marLeft w:val="0"/>
              <w:marRight w:val="0"/>
              <w:marTop w:val="0"/>
              <w:marBottom w:val="0"/>
              <w:divBdr>
                <w:top w:val="none" w:sz="0" w:space="0" w:color="auto"/>
                <w:left w:val="none" w:sz="0" w:space="0" w:color="auto"/>
                <w:bottom w:val="none" w:sz="0" w:space="0" w:color="auto"/>
                <w:right w:val="none" w:sz="0" w:space="0" w:color="auto"/>
              </w:divBdr>
            </w:div>
            <w:div w:id="490291508">
              <w:marLeft w:val="0"/>
              <w:marRight w:val="0"/>
              <w:marTop w:val="0"/>
              <w:marBottom w:val="0"/>
              <w:divBdr>
                <w:top w:val="none" w:sz="0" w:space="0" w:color="auto"/>
                <w:left w:val="none" w:sz="0" w:space="0" w:color="auto"/>
                <w:bottom w:val="none" w:sz="0" w:space="0" w:color="auto"/>
                <w:right w:val="none" w:sz="0" w:space="0" w:color="auto"/>
              </w:divBdr>
            </w:div>
            <w:div w:id="1271623146">
              <w:marLeft w:val="0"/>
              <w:marRight w:val="0"/>
              <w:marTop w:val="0"/>
              <w:marBottom w:val="0"/>
              <w:divBdr>
                <w:top w:val="none" w:sz="0" w:space="0" w:color="auto"/>
                <w:left w:val="none" w:sz="0" w:space="0" w:color="auto"/>
                <w:bottom w:val="none" w:sz="0" w:space="0" w:color="auto"/>
                <w:right w:val="none" w:sz="0" w:space="0" w:color="auto"/>
              </w:divBdr>
            </w:div>
            <w:div w:id="1494225881">
              <w:marLeft w:val="0"/>
              <w:marRight w:val="0"/>
              <w:marTop w:val="0"/>
              <w:marBottom w:val="0"/>
              <w:divBdr>
                <w:top w:val="none" w:sz="0" w:space="0" w:color="auto"/>
                <w:left w:val="none" w:sz="0" w:space="0" w:color="auto"/>
                <w:bottom w:val="none" w:sz="0" w:space="0" w:color="auto"/>
                <w:right w:val="none" w:sz="0" w:space="0" w:color="auto"/>
              </w:divBdr>
            </w:div>
          </w:divsChild>
        </w:div>
        <w:div w:id="828326324">
          <w:marLeft w:val="0"/>
          <w:marRight w:val="0"/>
          <w:marTop w:val="0"/>
          <w:marBottom w:val="0"/>
          <w:divBdr>
            <w:top w:val="none" w:sz="0" w:space="0" w:color="auto"/>
            <w:left w:val="none" w:sz="0" w:space="0" w:color="auto"/>
            <w:bottom w:val="none" w:sz="0" w:space="0" w:color="auto"/>
            <w:right w:val="none" w:sz="0" w:space="0" w:color="auto"/>
          </w:divBdr>
        </w:div>
        <w:div w:id="881668223">
          <w:marLeft w:val="0"/>
          <w:marRight w:val="0"/>
          <w:marTop w:val="0"/>
          <w:marBottom w:val="0"/>
          <w:divBdr>
            <w:top w:val="none" w:sz="0" w:space="0" w:color="auto"/>
            <w:left w:val="none" w:sz="0" w:space="0" w:color="auto"/>
            <w:bottom w:val="none" w:sz="0" w:space="0" w:color="auto"/>
            <w:right w:val="none" w:sz="0" w:space="0" w:color="auto"/>
          </w:divBdr>
        </w:div>
        <w:div w:id="1125540745">
          <w:marLeft w:val="0"/>
          <w:marRight w:val="0"/>
          <w:marTop w:val="0"/>
          <w:marBottom w:val="0"/>
          <w:divBdr>
            <w:top w:val="none" w:sz="0" w:space="0" w:color="auto"/>
            <w:left w:val="none" w:sz="0" w:space="0" w:color="auto"/>
            <w:bottom w:val="none" w:sz="0" w:space="0" w:color="auto"/>
            <w:right w:val="none" w:sz="0" w:space="0" w:color="auto"/>
          </w:divBdr>
          <w:divsChild>
            <w:div w:id="33964704">
              <w:marLeft w:val="0"/>
              <w:marRight w:val="0"/>
              <w:marTop w:val="0"/>
              <w:marBottom w:val="0"/>
              <w:divBdr>
                <w:top w:val="none" w:sz="0" w:space="0" w:color="auto"/>
                <w:left w:val="none" w:sz="0" w:space="0" w:color="auto"/>
                <w:bottom w:val="none" w:sz="0" w:space="0" w:color="auto"/>
                <w:right w:val="none" w:sz="0" w:space="0" w:color="auto"/>
              </w:divBdr>
            </w:div>
            <w:div w:id="83958897">
              <w:marLeft w:val="0"/>
              <w:marRight w:val="0"/>
              <w:marTop w:val="0"/>
              <w:marBottom w:val="0"/>
              <w:divBdr>
                <w:top w:val="none" w:sz="0" w:space="0" w:color="auto"/>
                <w:left w:val="none" w:sz="0" w:space="0" w:color="auto"/>
                <w:bottom w:val="none" w:sz="0" w:space="0" w:color="auto"/>
                <w:right w:val="none" w:sz="0" w:space="0" w:color="auto"/>
              </w:divBdr>
            </w:div>
            <w:div w:id="822936678">
              <w:marLeft w:val="0"/>
              <w:marRight w:val="0"/>
              <w:marTop w:val="0"/>
              <w:marBottom w:val="0"/>
              <w:divBdr>
                <w:top w:val="none" w:sz="0" w:space="0" w:color="auto"/>
                <w:left w:val="none" w:sz="0" w:space="0" w:color="auto"/>
                <w:bottom w:val="none" w:sz="0" w:space="0" w:color="auto"/>
                <w:right w:val="none" w:sz="0" w:space="0" w:color="auto"/>
              </w:divBdr>
            </w:div>
            <w:div w:id="1647009636">
              <w:marLeft w:val="0"/>
              <w:marRight w:val="0"/>
              <w:marTop w:val="0"/>
              <w:marBottom w:val="0"/>
              <w:divBdr>
                <w:top w:val="none" w:sz="0" w:space="0" w:color="auto"/>
                <w:left w:val="none" w:sz="0" w:space="0" w:color="auto"/>
                <w:bottom w:val="none" w:sz="0" w:space="0" w:color="auto"/>
                <w:right w:val="none" w:sz="0" w:space="0" w:color="auto"/>
              </w:divBdr>
            </w:div>
            <w:div w:id="1689679850">
              <w:marLeft w:val="0"/>
              <w:marRight w:val="0"/>
              <w:marTop w:val="0"/>
              <w:marBottom w:val="0"/>
              <w:divBdr>
                <w:top w:val="none" w:sz="0" w:space="0" w:color="auto"/>
                <w:left w:val="none" w:sz="0" w:space="0" w:color="auto"/>
                <w:bottom w:val="none" w:sz="0" w:space="0" w:color="auto"/>
                <w:right w:val="none" w:sz="0" w:space="0" w:color="auto"/>
              </w:divBdr>
            </w:div>
          </w:divsChild>
        </w:div>
        <w:div w:id="1464425260">
          <w:marLeft w:val="0"/>
          <w:marRight w:val="0"/>
          <w:marTop w:val="0"/>
          <w:marBottom w:val="0"/>
          <w:divBdr>
            <w:top w:val="none" w:sz="0" w:space="0" w:color="auto"/>
            <w:left w:val="none" w:sz="0" w:space="0" w:color="auto"/>
            <w:bottom w:val="none" w:sz="0" w:space="0" w:color="auto"/>
            <w:right w:val="none" w:sz="0" w:space="0" w:color="auto"/>
          </w:divBdr>
        </w:div>
        <w:div w:id="1543248534">
          <w:marLeft w:val="0"/>
          <w:marRight w:val="0"/>
          <w:marTop w:val="0"/>
          <w:marBottom w:val="0"/>
          <w:divBdr>
            <w:top w:val="none" w:sz="0" w:space="0" w:color="auto"/>
            <w:left w:val="none" w:sz="0" w:space="0" w:color="auto"/>
            <w:bottom w:val="none" w:sz="0" w:space="0" w:color="auto"/>
            <w:right w:val="none" w:sz="0" w:space="0" w:color="auto"/>
          </w:divBdr>
        </w:div>
        <w:div w:id="1600914497">
          <w:marLeft w:val="0"/>
          <w:marRight w:val="0"/>
          <w:marTop w:val="0"/>
          <w:marBottom w:val="0"/>
          <w:divBdr>
            <w:top w:val="none" w:sz="0" w:space="0" w:color="auto"/>
            <w:left w:val="none" w:sz="0" w:space="0" w:color="auto"/>
            <w:bottom w:val="none" w:sz="0" w:space="0" w:color="auto"/>
            <w:right w:val="none" w:sz="0" w:space="0" w:color="auto"/>
          </w:divBdr>
        </w:div>
        <w:div w:id="1947150113">
          <w:marLeft w:val="0"/>
          <w:marRight w:val="0"/>
          <w:marTop w:val="0"/>
          <w:marBottom w:val="0"/>
          <w:divBdr>
            <w:top w:val="none" w:sz="0" w:space="0" w:color="auto"/>
            <w:left w:val="none" w:sz="0" w:space="0" w:color="auto"/>
            <w:bottom w:val="none" w:sz="0" w:space="0" w:color="auto"/>
            <w:right w:val="none" w:sz="0" w:space="0" w:color="auto"/>
          </w:divBdr>
          <w:divsChild>
            <w:div w:id="84720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831060">
      <w:bodyDiv w:val="1"/>
      <w:marLeft w:val="0"/>
      <w:marRight w:val="0"/>
      <w:marTop w:val="0"/>
      <w:marBottom w:val="0"/>
      <w:divBdr>
        <w:top w:val="none" w:sz="0" w:space="0" w:color="auto"/>
        <w:left w:val="none" w:sz="0" w:space="0" w:color="auto"/>
        <w:bottom w:val="none" w:sz="0" w:space="0" w:color="auto"/>
        <w:right w:val="none" w:sz="0" w:space="0" w:color="auto"/>
      </w:divBdr>
    </w:div>
    <w:div w:id="1533231110">
      <w:bodyDiv w:val="1"/>
      <w:marLeft w:val="0"/>
      <w:marRight w:val="0"/>
      <w:marTop w:val="0"/>
      <w:marBottom w:val="0"/>
      <w:divBdr>
        <w:top w:val="none" w:sz="0" w:space="0" w:color="auto"/>
        <w:left w:val="none" w:sz="0" w:space="0" w:color="auto"/>
        <w:bottom w:val="none" w:sz="0" w:space="0" w:color="auto"/>
        <w:right w:val="none" w:sz="0" w:space="0" w:color="auto"/>
      </w:divBdr>
      <w:divsChild>
        <w:div w:id="724909836">
          <w:marLeft w:val="0"/>
          <w:marRight w:val="0"/>
          <w:marTop w:val="0"/>
          <w:marBottom w:val="0"/>
          <w:divBdr>
            <w:top w:val="none" w:sz="0" w:space="0" w:color="auto"/>
            <w:left w:val="none" w:sz="0" w:space="0" w:color="auto"/>
            <w:bottom w:val="none" w:sz="0" w:space="0" w:color="auto"/>
            <w:right w:val="none" w:sz="0" w:space="0" w:color="auto"/>
          </w:divBdr>
          <w:divsChild>
            <w:div w:id="1716657071">
              <w:marLeft w:val="0"/>
              <w:marRight w:val="0"/>
              <w:marTop w:val="30"/>
              <w:marBottom w:val="30"/>
              <w:divBdr>
                <w:top w:val="none" w:sz="0" w:space="0" w:color="auto"/>
                <w:left w:val="none" w:sz="0" w:space="0" w:color="auto"/>
                <w:bottom w:val="none" w:sz="0" w:space="0" w:color="auto"/>
                <w:right w:val="none" w:sz="0" w:space="0" w:color="auto"/>
              </w:divBdr>
              <w:divsChild>
                <w:div w:id="121072062">
                  <w:marLeft w:val="0"/>
                  <w:marRight w:val="0"/>
                  <w:marTop w:val="0"/>
                  <w:marBottom w:val="0"/>
                  <w:divBdr>
                    <w:top w:val="none" w:sz="0" w:space="0" w:color="auto"/>
                    <w:left w:val="none" w:sz="0" w:space="0" w:color="auto"/>
                    <w:bottom w:val="none" w:sz="0" w:space="0" w:color="auto"/>
                    <w:right w:val="none" w:sz="0" w:space="0" w:color="auto"/>
                  </w:divBdr>
                  <w:divsChild>
                    <w:div w:id="1584292474">
                      <w:marLeft w:val="0"/>
                      <w:marRight w:val="0"/>
                      <w:marTop w:val="0"/>
                      <w:marBottom w:val="0"/>
                      <w:divBdr>
                        <w:top w:val="none" w:sz="0" w:space="0" w:color="auto"/>
                        <w:left w:val="none" w:sz="0" w:space="0" w:color="auto"/>
                        <w:bottom w:val="none" w:sz="0" w:space="0" w:color="auto"/>
                        <w:right w:val="none" w:sz="0" w:space="0" w:color="auto"/>
                      </w:divBdr>
                    </w:div>
                  </w:divsChild>
                </w:div>
                <w:div w:id="143402569">
                  <w:marLeft w:val="0"/>
                  <w:marRight w:val="0"/>
                  <w:marTop w:val="0"/>
                  <w:marBottom w:val="0"/>
                  <w:divBdr>
                    <w:top w:val="none" w:sz="0" w:space="0" w:color="auto"/>
                    <w:left w:val="none" w:sz="0" w:space="0" w:color="auto"/>
                    <w:bottom w:val="none" w:sz="0" w:space="0" w:color="auto"/>
                    <w:right w:val="none" w:sz="0" w:space="0" w:color="auto"/>
                  </w:divBdr>
                  <w:divsChild>
                    <w:div w:id="1544056086">
                      <w:marLeft w:val="0"/>
                      <w:marRight w:val="0"/>
                      <w:marTop w:val="0"/>
                      <w:marBottom w:val="0"/>
                      <w:divBdr>
                        <w:top w:val="none" w:sz="0" w:space="0" w:color="auto"/>
                        <w:left w:val="none" w:sz="0" w:space="0" w:color="auto"/>
                        <w:bottom w:val="none" w:sz="0" w:space="0" w:color="auto"/>
                        <w:right w:val="none" w:sz="0" w:space="0" w:color="auto"/>
                      </w:divBdr>
                    </w:div>
                  </w:divsChild>
                </w:div>
                <w:div w:id="177623656">
                  <w:marLeft w:val="0"/>
                  <w:marRight w:val="0"/>
                  <w:marTop w:val="0"/>
                  <w:marBottom w:val="0"/>
                  <w:divBdr>
                    <w:top w:val="none" w:sz="0" w:space="0" w:color="auto"/>
                    <w:left w:val="none" w:sz="0" w:space="0" w:color="auto"/>
                    <w:bottom w:val="none" w:sz="0" w:space="0" w:color="auto"/>
                    <w:right w:val="none" w:sz="0" w:space="0" w:color="auto"/>
                  </w:divBdr>
                  <w:divsChild>
                    <w:div w:id="395789160">
                      <w:marLeft w:val="0"/>
                      <w:marRight w:val="0"/>
                      <w:marTop w:val="0"/>
                      <w:marBottom w:val="0"/>
                      <w:divBdr>
                        <w:top w:val="none" w:sz="0" w:space="0" w:color="auto"/>
                        <w:left w:val="none" w:sz="0" w:space="0" w:color="auto"/>
                        <w:bottom w:val="none" w:sz="0" w:space="0" w:color="auto"/>
                        <w:right w:val="none" w:sz="0" w:space="0" w:color="auto"/>
                      </w:divBdr>
                    </w:div>
                    <w:div w:id="693002434">
                      <w:marLeft w:val="0"/>
                      <w:marRight w:val="0"/>
                      <w:marTop w:val="0"/>
                      <w:marBottom w:val="0"/>
                      <w:divBdr>
                        <w:top w:val="none" w:sz="0" w:space="0" w:color="auto"/>
                        <w:left w:val="none" w:sz="0" w:space="0" w:color="auto"/>
                        <w:bottom w:val="none" w:sz="0" w:space="0" w:color="auto"/>
                        <w:right w:val="none" w:sz="0" w:space="0" w:color="auto"/>
                      </w:divBdr>
                    </w:div>
                  </w:divsChild>
                </w:div>
                <w:div w:id="237330320">
                  <w:marLeft w:val="0"/>
                  <w:marRight w:val="0"/>
                  <w:marTop w:val="0"/>
                  <w:marBottom w:val="0"/>
                  <w:divBdr>
                    <w:top w:val="none" w:sz="0" w:space="0" w:color="auto"/>
                    <w:left w:val="none" w:sz="0" w:space="0" w:color="auto"/>
                    <w:bottom w:val="none" w:sz="0" w:space="0" w:color="auto"/>
                    <w:right w:val="none" w:sz="0" w:space="0" w:color="auto"/>
                  </w:divBdr>
                  <w:divsChild>
                    <w:div w:id="1351645146">
                      <w:marLeft w:val="0"/>
                      <w:marRight w:val="0"/>
                      <w:marTop w:val="0"/>
                      <w:marBottom w:val="0"/>
                      <w:divBdr>
                        <w:top w:val="none" w:sz="0" w:space="0" w:color="auto"/>
                        <w:left w:val="none" w:sz="0" w:space="0" w:color="auto"/>
                        <w:bottom w:val="none" w:sz="0" w:space="0" w:color="auto"/>
                        <w:right w:val="none" w:sz="0" w:space="0" w:color="auto"/>
                      </w:divBdr>
                    </w:div>
                  </w:divsChild>
                </w:div>
                <w:div w:id="310601046">
                  <w:marLeft w:val="0"/>
                  <w:marRight w:val="0"/>
                  <w:marTop w:val="0"/>
                  <w:marBottom w:val="0"/>
                  <w:divBdr>
                    <w:top w:val="none" w:sz="0" w:space="0" w:color="auto"/>
                    <w:left w:val="none" w:sz="0" w:space="0" w:color="auto"/>
                    <w:bottom w:val="none" w:sz="0" w:space="0" w:color="auto"/>
                    <w:right w:val="none" w:sz="0" w:space="0" w:color="auto"/>
                  </w:divBdr>
                  <w:divsChild>
                    <w:div w:id="1417750201">
                      <w:marLeft w:val="0"/>
                      <w:marRight w:val="0"/>
                      <w:marTop w:val="0"/>
                      <w:marBottom w:val="0"/>
                      <w:divBdr>
                        <w:top w:val="none" w:sz="0" w:space="0" w:color="auto"/>
                        <w:left w:val="none" w:sz="0" w:space="0" w:color="auto"/>
                        <w:bottom w:val="none" w:sz="0" w:space="0" w:color="auto"/>
                        <w:right w:val="none" w:sz="0" w:space="0" w:color="auto"/>
                      </w:divBdr>
                    </w:div>
                  </w:divsChild>
                </w:div>
                <w:div w:id="475033877">
                  <w:marLeft w:val="0"/>
                  <w:marRight w:val="0"/>
                  <w:marTop w:val="0"/>
                  <w:marBottom w:val="0"/>
                  <w:divBdr>
                    <w:top w:val="none" w:sz="0" w:space="0" w:color="auto"/>
                    <w:left w:val="none" w:sz="0" w:space="0" w:color="auto"/>
                    <w:bottom w:val="none" w:sz="0" w:space="0" w:color="auto"/>
                    <w:right w:val="none" w:sz="0" w:space="0" w:color="auto"/>
                  </w:divBdr>
                  <w:divsChild>
                    <w:div w:id="1880581431">
                      <w:marLeft w:val="0"/>
                      <w:marRight w:val="0"/>
                      <w:marTop w:val="0"/>
                      <w:marBottom w:val="0"/>
                      <w:divBdr>
                        <w:top w:val="none" w:sz="0" w:space="0" w:color="auto"/>
                        <w:left w:val="none" w:sz="0" w:space="0" w:color="auto"/>
                        <w:bottom w:val="none" w:sz="0" w:space="0" w:color="auto"/>
                        <w:right w:val="none" w:sz="0" w:space="0" w:color="auto"/>
                      </w:divBdr>
                    </w:div>
                  </w:divsChild>
                </w:div>
                <w:div w:id="527303792">
                  <w:marLeft w:val="0"/>
                  <w:marRight w:val="0"/>
                  <w:marTop w:val="0"/>
                  <w:marBottom w:val="0"/>
                  <w:divBdr>
                    <w:top w:val="none" w:sz="0" w:space="0" w:color="auto"/>
                    <w:left w:val="none" w:sz="0" w:space="0" w:color="auto"/>
                    <w:bottom w:val="none" w:sz="0" w:space="0" w:color="auto"/>
                    <w:right w:val="none" w:sz="0" w:space="0" w:color="auto"/>
                  </w:divBdr>
                  <w:divsChild>
                    <w:div w:id="2030180167">
                      <w:marLeft w:val="0"/>
                      <w:marRight w:val="0"/>
                      <w:marTop w:val="0"/>
                      <w:marBottom w:val="0"/>
                      <w:divBdr>
                        <w:top w:val="none" w:sz="0" w:space="0" w:color="auto"/>
                        <w:left w:val="none" w:sz="0" w:space="0" w:color="auto"/>
                        <w:bottom w:val="none" w:sz="0" w:space="0" w:color="auto"/>
                        <w:right w:val="none" w:sz="0" w:space="0" w:color="auto"/>
                      </w:divBdr>
                    </w:div>
                  </w:divsChild>
                </w:div>
                <w:div w:id="654264803">
                  <w:marLeft w:val="0"/>
                  <w:marRight w:val="0"/>
                  <w:marTop w:val="0"/>
                  <w:marBottom w:val="0"/>
                  <w:divBdr>
                    <w:top w:val="none" w:sz="0" w:space="0" w:color="auto"/>
                    <w:left w:val="none" w:sz="0" w:space="0" w:color="auto"/>
                    <w:bottom w:val="none" w:sz="0" w:space="0" w:color="auto"/>
                    <w:right w:val="none" w:sz="0" w:space="0" w:color="auto"/>
                  </w:divBdr>
                  <w:divsChild>
                    <w:div w:id="346448163">
                      <w:marLeft w:val="0"/>
                      <w:marRight w:val="0"/>
                      <w:marTop w:val="0"/>
                      <w:marBottom w:val="0"/>
                      <w:divBdr>
                        <w:top w:val="none" w:sz="0" w:space="0" w:color="auto"/>
                        <w:left w:val="none" w:sz="0" w:space="0" w:color="auto"/>
                        <w:bottom w:val="none" w:sz="0" w:space="0" w:color="auto"/>
                        <w:right w:val="none" w:sz="0" w:space="0" w:color="auto"/>
                      </w:divBdr>
                    </w:div>
                  </w:divsChild>
                </w:div>
                <w:div w:id="688726905">
                  <w:marLeft w:val="0"/>
                  <w:marRight w:val="0"/>
                  <w:marTop w:val="0"/>
                  <w:marBottom w:val="0"/>
                  <w:divBdr>
                    <w:top w:val="none" w:sz="0" w:space="0" w:color="auto"/>
                    <w:left w:val="none" w:sz="0" w:space="0" w:color="auto"/>
                    <w:bottom w:val="none" w:sz="0" w:space="0" w:color="auto"/>
                    <w:right w:val="none" w:sz="0" w:space="0" w:color="auto"/>
                  </w:divBdr>
                  <w:divsChild>
                    <w:div w:id="1787581830">
                      <w:marLeft w:val="0"/>
                      <w:marRight w:val="0"/>
                      <w:marTop w:val="0"/>
                      <w:marBottom w:val="0"/>
                      <w:divBdr>
                        <w:top w:val="none" w:sz="0" w:space="0" w:color="auto"/>
                        <w:left w:val="none" w:sz="0" w:space="0" w:color="auto"/>
                        <w:bottom w:val="none" w:sz="0" w:space="0" w:color="auto"/>
                        <w:right w:val="none" w:sz="0" w:space="0" w:color="auto"/>
                      </w:divBdr>
                    </w:div>
                  </w:divsChild>
                </w:div>
                <w:div w:id="751048529">
                  <w:marLeft w:val="0"/>
                  <w:marRight w:val="0"/>
                  <w:marTop w:val="0"/>
                  <w:marBottom w:val="0"/>
                  <w:divBdr>
                    <w:top w:val="none" w:sz="0" w:space="0" w:color="auto"/>
                    <w:left w:val="none" w:sz="0" w:space="0" w:color="auto"/>
                    <w:bottom w:val="none" w:sz="0" w:space="0" w:color="auto"/>
                    <w:right w:val="none" w:sz="0" w:space="0" w:color="auto"/>
                  </w:divBdr>
                  <w:divsChild>
                    <w:div w:id="1009141416">
                      <w:marLeft w:val="0"/>
                      <w:marRight w:val="0"/>
                      <w:marTop w:val="0"/>
                      <w:marBottom w:val="0"/>
                      <w:divBdr>
                        <w:top w:val="none" w:sz="0" w:space="0" w:color="auto"/>
                        <w:left w:val="none" w:sz="0" w:space="0" w:color="auto"/>
                        <w:bottom w:val="none" w:sz="0" w:space="0" w:color="auto"/>
                        <w:right w:val="none" w:sz="0" w:space="0" w:color="auto"/>
                      </w:divBdr>
                    </w:div>
                  </w:divsChild>
                </w:div>
                <w:div w:id="818378938">
                  <w:marLeft w:val="0"/>
                  <w:marRight w:val="0"/>
                  <w:marTop w:val="0"/>
                  <w:marBottom w:val="0"/>
                  <w:divBdr>
                    <w:top w:val="none" w:sz="0" w:space="0" w:color="auto"/>
                    <w:left w:val="none" w:sz="0" w:space="0" w:color="auto"/>
                    <w:bottom w:val="none" w:sz="0" w:space="0" w:color="auto"/>
                    <w:right w:val="none" w:sz="0" w:space="0" w:color="auto"/>
                  </w:divBdr>
                  <w:divsChild>
                    <w:div w:id="1301618268">
                      <w:marLeft w:val="0"/>
                      <w:marRight w:val="0"/>
                      <w:marTop w:val="0"/>
                      <w:marBottom w:val="0"/>
                      <w:divBdr>
                        <w:top w:val="none" w:sz="0" w:space="0" w:color="auto"/>
                        <w:left w:val="none" w:sz="0" w:space="0" w:color="auto"/>
                        <w:bottom w:val="none" w:sz="0" w:space="0" w:color="auto"/>
                        <w:right w:val="none" w:sz="0" w:space="0" w:color="auto"/>
                      </w:divBdr>
                    </w:div>
                  </w:divsChild>
                </w:div>
                <w:div w:id="819884603">
                  <w:marLeft w:val="0"/>
                  <w:marRight w:val="0"/>
                  <w:marTop w:val="0"/>
                  <w:marBottom w:val="0"/>
                  <w:divBdr>
                    <w:top w:val="none" w:sz="0" w:space="0" w:color="auto"/>
                    <w:left w:val="none" w:sz="0" w:space="0" w:color="auto"/>
                    <w:bottom w:val="none" w:sz="0" w:space="0" w:color="auto"/>
                    <w:right w:val="none" w:sz="0" w:space="0" w:color="auto"/>
                  </w:divBdr>
                  <w:divsChild>
                    <w:div w:id="37164921">
                      <w:marLeft w:val="0"/>
                      <w:marRight w:val="0"/>
                      <w:marTop w:val="0"/>
                      <w:marBottom w:val="0"/>
                      <w:divBdr>
                        <w:top w:val="none" w:sz="0" w:space="0" w:color="auto"/>
                        <w:left w:val="none" w:sz="0" w:space="0" w:color="auto"/>
                        <w:bottom w:val="none" w:sz="0" w:space="0" w:color="auto"/>
                        <w:right w:val="none" w:sz="0" w:space="0" w:color="auto"/>
                      </w:divBdr>
                    </w:div>
                    <w:div w:id="348877594">
                      <w:marLeft w:val="0"/>
                      <w:marRight w:val="0"/>
                      <w:marTop w:val="0"/>
                      <w:marBottom w:val="0"/>
                      <w:divBdr>
                        <w:top w:val="none" w:sz="0" w:space="0" w:color="auto"/>
                        <w:left w:val="none" w:sz="0" w:space="0" w:color="auto"/>
                        <w:bottom w:val="none" w:sz="0" w:space="0" w:color="auto"/>
                        <w:right w:val="none" w:sz="0" w:space="0" w:color="auto"/>
                      </w:divBdr>
                    </w:div>
                    <w:div w:id="516426529">
                      <w:marLeft w:val="0"/>
                      <w:marRight w:val="0"/>
                      <w:marTop w:val="0"/>
                      <w:marBottom w:val="0"/>
                      <w:divBdr>
                        <w:top w:val="none" w:sz="0" w:space="0" w:color="auto"/>
                        <w:left w:val="none" w:sz="0" w:space="0" w:color="auto"/>
                        <w:bottom w:val="none" w:sz="0" w:space="0" w:color="auto"/>
                        <w:right w:val="none" w:sz="0" w:space="0" w:color="auto"/>
                      </w:divBdr>
                    </w:div>
                    <w:div w:id="923222419">
                      <w:marLeft w:val="0"/>
                      <w:marRight w:val="0"/>
                      <w:marTop w:val="0"/>
                      <w:marBottom w:val="0"/>
                      <w:divBdr>
                        <w:top w:val="none" w:sz="0" w:space="0" w:color="auto"/>
                        <w:left w:val="none" w:sz="0" w:space="0" w:color="auto"/>
                        <w:bottom w:val="none" w:sz="0" w:space="0" w:color="auto"/>
                        <w:right w:val="none" w:sz="0" w:space="0" w:color="auto"/>
                      </w:divBdr>
                    </w:div>
                    <w:div w:id="1035040255">
                      <w:marLeft w:val="0"/>
                      <w:marRight w:val="0"/>
                      <w:marTop w:val="0"/>
                      <w:marBottom w:val="0"/>
                      <w:divBdr>
                        <w:top w:val="none" w:sz="0" w:space="0" w:color="auto"/>
                        <w:left w:val="none" w:sz="0" w:space="0" w:color="auto"/>
                        <w:bottom w:val="none" w:sz="0" w:space="0" w:color="auto"/>
                        <w:right w:val="none" w:sz="0" w:space="0" w:color="auto"/>
                      </w:divBdr>
                    </w:div>
                    <w:div w:id="1329795948">
                      <w:marLeft w:val="0"/>
                      <w:marRight w:val="0"/>
                      <w:marTop w:val="0"/>
                      <w:marBottom w:val="0"/>
                      <w:divBdr>
                        <w:top w:val="none" w:sz="0" w:space="0" w:color="auto"/>
                        <w:left w:val="none" w:sz="0" w:space="0" w:color="auto"/>
                        <w:bottom w:val="none" w:sz="0" w:space="0" w:color="auto"/>
                        <w:right w:val="none" w:sz="0" w:space="0" w:color="auto"/>
                      </w:divBdr>
                    </w:div>
                    <w:div w:id="1337461289">
                      <w:marLeft w:val="0"/>
                      <w:marRight w:val="0"/>
                      <w:marTop w:val="0"/>
                      <w:marBottom w:val="0"/>
                      <w:divBdr>
                        <w:top w:val="none" w:sz="0" w:space="0" w:color="auto"/>
                        <w:left w:val="none" w:sz="0" w:space="0" w:color="auto"/>
                        <w:bottom w:val="none" w:sz="0" w:space="0" w:color="auto"/>
                        <w:right w:val="none" w:sz="0" w:space="0" w:color="auto"/>
                      </w:divBdr>
                    </w:div>
                    <w:div w:id="1517384395">
                      <w:marLeft w:val="0"/>
                      <w:marRight w:val="0"/>
                      <w:marTop w:val="0"/>
                      <w:marBottom w:val="0"/>
                      <w:divBdr>
                        <w:top w:val="none" w:sz="0" w:space="0" w:color="auto"/>
                        <w:left w:val="none" w:sz="0" w:space="0" w:color="auto"/>
                        <w:bottom w:val="none" w:sz="0" w:space="0" w:color="auto"/>
                        <w:right w:val="none" w:sz="0" w:space="0" w:color="auto"/>
                      </w:divBdr>
                    </w:div>
                    <w:div w:id="1525053707">
                      <w:marLeft w:val="0"/>
                      <w:marRight w:val="0"/>
                      <w:marTop w:val="0"/>
                      <w:marBottom w:val="0"/>
                      <w:divBdr>
                        <w:top w:val="none" w:sz="0" w:space="0" w:color="auto"/>
                        <w:left w:val="none" w:sz="0" w:space="0" w:color="auto"/>
                        <w:bottom w:val="none" w:sz="0" w:space="0" w:color="auto"/>
                        <w:right w:val="none" w:sz="0" w:space="0" w:color="auto"/>
                      </w:divBdr>
                    </w:div>
                    <w:div w:id="1687562055">
                      <w:marLeft w:val="0"/>
                      <w:marRight w:val="0"/>
                      <w:marTop w:val="0"/>
                      <w:marBottom w:val="0"/>
                      <w:divBdr>
                        <w:top w:val="none" w:sz="0" w:space="0" w:color="auto"/>
                        <w:left w:val="none" w:sz="0" w:space="0" w:color="auto"/>
                        <w:bottom w:val="none" w:sz="0" w:space="0" w:color="auto"/>
                        <w:right w:val="none" w:sz="0" w:space="0" w:color="auto"/>
                      </w:divBdr>
                    </w:div>
                    <w:div w:id="1973975144">
                      <w:marLeft w:val="0"/>
                      <w:marRight w:val="0"/>
                      <w:marTop w:val="0"/>
                      <w:marBottom w:val="0"/>
                      <w:divBdr>
                        <w:top w:val="none" w:sz="0" w:space="0" w:color="auto"/>
                        <w:left w:val="none" w:sz="0" w:space="0" w:color="auto"/>
                        <w:bottom w:val="none" w:sz="0" w:space="0" w:color="auto"/>
                        <w:right w:val="none" w:sz="0" w:space="0" w:color="auto"/>
                      </w:divBdr>
                    </w:div>
                  </w:divsChild>
                </w:div>
                <w:div w:id="839197667">
                  <w:marLeft w:val="0"/>
                  <w:marRight w:val="0"/>
                  <w:marTop w:val="0"/>
                  <w:marBottom w:val="0"/>
                  <w:divBdr>
                    <w:top w:val="none" w:sz="0" w:space="0" w:color="auto"/>
                    <w:left w:val="none" w:sz="0" w:space="0" w:color="auto"/>
                    <w:bottom w:val="none" w:sz="0" w:space="0" w:color="auto"/>
                    <w:right w:val="none" w:sz="0" w:space="0" w:color="auto"/>
                  </w:divBdr>
                  <w:divsChild>
                    <w:div w:id="1732537930">
                      <w:marLeft w:val="0"/>
                      <w:marRight w:val="0"/>
                      <w:marTop w:val="0"/>
                      <w:marBottom w:val="0"/>
                      <w:divBdr>
                        <w:top w:val="none" w:sz="0" w:space="0" w:color="auto"/>
                        <w:left w:val="none" w:sz="0" w:space="0" w:color="auto"/>
                        <w:bottom w:val="none" w:sz="0" w:space="0" w:color="auto"/>
                        <w:right w:val="none" w:sz="0" w:space="0" w:color="auto"/>
                      </w:divBdr>
                    </w:div>
                  </w:divsChild>
                </w:div>
                <w:div w:id="857088575">
                  <w:marLeft w:val="0"/>
                  <w:marRight w:val="0"/>
                  <w:marTop w:val="0"/>
                  <w:marBottom w:val="0"/>
                  <w:divBdr>
                    <w:top w:val="none" w:sz="0" w:space="0" w:color="auto"/>
                    <w:left w:val="none" w:sz="0" w:space="0" w:color="auto"/>
                    <w:bottom w:val="none" w:sz="0" w:space="0" w:color="auto"/>
                    <w:right w:val="none" w:sz="0" w:space="0" w:color="auto"/>
                  </w:divBdr>
                  <w:divsChild>
                    <w:div w:id="1125388978">
                      <w:marLeft w:val="0"/>
                      <w:marRight w:val="0"/>
                      <w:marTop w:val="0"/>
                      <w:marBottom w:val="0"/>
                      <w:divBdr>
                        <w:top w:val="none" w:sz="0" w:space="0" w:color="auto"/>
                        <w:left w:val="none" w:sz="0" w:space="0" w:color="auto"/>
                        <w:bottom w:val="none" w:sz="0" w:space="0" w:color="auto"/>
                        <w:right w:val="none" w:sz="0" w:space="0" w:color="auto"/>
                      </w:divBdr>
                    </w:div>
                  </w:divsChild>
                </w:div>
                <w:div w:id="957377396">
                  <w:marLeft w:val="0"/>
                  <w:marRight w:val="0"/>
                  <w:marTop w:val="0"/>
                  <w:marBottom w:val="0"/>
                  <w:divBdr>
                    <w:top w:val="none" w:sz="0" w:space="0" w:color="auto"/>
                    <w:left w:val="none" w:sz="0" w:space="0" w:color="auto"/>
                    <w:bottom w:val="none" w:sz="0" w:space="0" w:color="auto"/>
                    <w:right w:val="none" w:sz="0" w:space="0" w:color="auto"/>
                  </w:divBdr>
                  <w:divsChild>
                    <w:div w:id="1377121132">
                      <w:marLeft w:val="0"/>
                      <w:marRight w:val="0"/>
                      <w:marTop w:val="0"/>
                      <w:marBottom w:val="0"/>
                      <w:divBdr>
                        <w:top w:val="none" w:sz="0" w:space="0" w:color="auto"/>
                        <w:left w:val="none" w:sz="0" w:space="0" w:color="auto"/>
                        <w:bottom w:val="none" w:sz="0" w:space="0" w:color="auto"/>
                        <w:right w:val="none" w:sz="0" w:space="0" w:color="auto"/>
                      </w:divBdr>
                    </w:div>
                    <w:div w:id="1452433463">
                      <w:marLeft w:val="0"/>
                      <w:marRight w:val="0"/>
                      <w:marTop w:val="0"/>
                      <w:marBottom w:val="0"/>
                      <w:divBdr>
                        <w:top w:val="none" w:sz="0" w:space="0" w:color="auto"/>
                        <w:left w:val="none" w:sz="0" w:space="0" w:color="auto"/>
                        <w:bottom w:val="none" w:sz="0" w:space="0" w:color="auto"/>
                        <w:right w:val="none" w:sz="0" w:space="0" w:color="auto"/>
                      </w:divBdr>
                    </w:div>
                  </w:divsChild>
                </w:div>
                <w:div w:id="985159568">
                  <w:marLeft w:val="0"/>
                  <w:marRight w:val="0"/>
                  <w:marTop w:val="0"/>
                  <w:marBottom w:val="0"/>
                  <w:divBdr>
                    <w:top w:val="none" w:sz="0" w:space="0" w:color="auto"/>
                    <w:left w:val="none" w:sz="0" w:space="0" w:color="auto"/>
                    <w:bottom w:val="none" w:sz="0" w:space="0" w:color="auto"/>
                    <w:right w:val="none" w:sz="0" w:space="0" w:color="auto"/>
                  </w:divBdr>
                  <w:divsChild>
                    <w:div w:id="70391190">
                      <w:marLeft w:val="0"/>
                      <w:marRight w:val="0"/>
                      <w:marTop w:val="0"/>
                      <w:marBottom w:val="0"/>
                      <w:divBdr>
                        <w:top w:val="none" w:sz="0" w:space="0" w:color="auto"/>
                        <w:left w:val="none" w:sz="0" w:space="0" w:color="auto"/>
                        <w:bottom w:val="none" w:sz="0" w:space="0" w:color="auto"/>
                        <w:right w:val="none" w:sz="0" w:space="0" w:color="auto"/>
                      </w:divBdr>
                    </w:div>
                  </w:divsChild>
                </w:div>
                <w:div w:id="1088771991">
                  <w:marLeft w:val="0"/>
                  <w:marRight w:val="0"/>
                  <w:marTop w:val="0"/>
                  <w:marBottom w:val="0"/>
                  <w:divBdr>
                    <w:top w:val="none" w:sz="0" w:space="0" w:color="auto"/>
                    <w:left w:val="none" w:sz="0" w:space="0" w:color="auto"/>
                    <w:bottom w:val="none" w:sz="0" w:space="0" w:color="auto"/>
                    <w:right w:val="none" w:sz="0" w:space="0" w:color="auto"/>
                  </w:divBdr>
                  <w:divsChild>
                    <w:div w:id="51731714">
                      <w:marLeft w:val="0"/>
                      <w:marRight w:val="0"/>
                      <w:marTop w:val="0"/>
                      <w:marBottom w:val="0"/>
                      <w:divBdr>
                        <w:top w:val="none" w:sz="0" w:space="0" w:color="auto"/>
                        <w:left w:val="none" w:sz="0" w:space="0" w:color="auto"/>
                        <w:bottom w:val="none" w:sz="0" w:space="0" w:color="auto"/>
                        <w:right w:val="none" w:sz="0" w:space="0" w:color="auto"/>
                      </w:divBdr>
                    </w:div>
                  </w:divsChild>
                </w:div>
                <w:div w:id="1186403042">
                  <w:marLeft w:val="0"/>
                  <w:marRight w:val="0"/>
                  <w:marTop w:val="0"/>
                  <w:marBottom w:val="0"/>
                  <w:divBdr>
                    <w:top w:val="none" w:sz="0" w:space="0" w:color="auto"/>
                    <w:left w:val="none" w:sz="0" w:space="0" w:color="auto"/>
                    <w:bottom w:val="none" w:sz="0" w:space="0" w:color="auto"/>
                    <w:right w:val="none" w:sz="0" w:space="0" w:color="auto"/>
                  </w:divBdr>
                  <w:divsChild>
                    <w:div w:id="1335958331">
                      <w:marLeft w:val="0"/>
                      <w:marRight w:val="0"/>
                      <w:marTop w:val="0"/>
                      <w:marBottom w:val="0"/>
                      <w:divBdr>
                        <w:top w:val="none" w:sz="0" w:space="0" w:color="auto"/>
                        <w:left w:val="none" w:sz="0" w:space="0" w:color="auto"/>
                        <w:bottom w:val="none" w:sz="0" w:space="0" w:color="auto"/>
                        <w:right w:val="none" w:sz="0" w:space="0" w:color="auto"/>
                      </w:divBdr>
                    </w:div>
                  </w:divsChild>
                </w:div>
                <w:div w:id="1228421239">
                  <w:marLeft w:val="0"/>
                  <w:marRight w:val="0"/>
                  <w:marTop w:val="0"/>
                  <w:marBottom w:val="0"/>
                  <w:divBdr>
                    <w:top w:val="none" w:sz="0" w:space="0" w:color="auto"/>
                    <w:left w:val="none" w:sz="0" w:space="0" w:color="auto"/>
                    <w:bottom w:val="none" w:sz="0" w:space="0" w:color="auto"/>
                    <w:right w:val="none" w:sz="0" w:space="0" w:color="auto"/>
                  </w:divBdr>
                  <w:divsChild>
                    <w:div w:id="1055466000">
                      <w:marLeft w:val="0"/>
                      <w:marRight w:val="0"/>
                      <w:marTop w:val="0"/>
                      <w:marBottom w:val="0"/>
                      <w:divBdr>
                        <w:top w:val="none" w:sz="0" w:space="0" w:color="auto"/>
                        <w:left w:val="none" w:sz="0" w:space="0" w:color="auto"/>
                        <w:bottom w:val="none" w:sz="0" w:space="0" w:color="auto"/>
                        <w:right w:val="none" w:sz="0" w:space="0" w:color="auto"/>
                      </w:divBdr>
                    </w:div>
                  </w:divsChild>
                </w:div>
                <w:div w:id="1445618069">
                  <w:marLeft w:val="0"/>
                  <w:marRight w:val="0"/>
                  <w:marTop w:val="0"/>
                  <w:marBottom w:val="0"/>
                  <w:divBdr>
                    <w:top w:val="none" w:sz="0" w:space="0" w:color="auto"/>
                    <w:left w:val="none" w:sz="0" w:space="0" w:color="auto"/>
                    <w:bottom w:val="none" w:sz="0" w:space="0" w:color="auto"/>
                    <w:right w:val="none" w:sz="0" w:space="0" w:color="auto"/>
                  </w:divBdr>
                  <w:divsChild>
                    <w:div w:id="792210727">
                      <w:marLeft w:val="0"/>
                      <w:marRight w:val="0"/>
                      <w:marTop w:val="0"/>
                      <w:marBottom w:val="0"/>
                      <w:divBdr>
                        <w:top w:val="none" w:sz="0" w:space="0" w:color="auto"/>
                        <w:left w:val="none" w:sz="0" w:space="0" w:color="auto"/>
                        <w:bottom w:val="none" w:sz="0" w:space="0" w:color="auto"/>
                        <w:right w:val="none" w:sz="0" w:space="0" w:color="auto"/>
                      </w:divBdr>
                    </w:div>
                  </w:divsChild>
                </w:div>
                <w:div w:id="1448235492">
                  <w:marLeft w:val="0"/>
                  <w:marRight w:val="0"/>
                  <w:marTop w:val="0"/>
                  <w:marBottom w:val="0"/>
                  <w:divBdr>
                    <w:top w:val="none" w:sz="0" w:space="0" w:color="auto"/>
                    <w:left w:val="none" w:sz="0" w:space="0" w:color="auto"/>
                    <w:bottom w:val="none" w:sz="0" w:space="0" w:color="auto"/>
                    <w:right w:val="none" w:sz="0" w:space="0" w:color="auto"/>
                  </w:divBdr>
                  <w:divsChild>
                    <w:div w:id="582841204">
                      <w:marLeft w:val="0"/>
                      <w:marRight w:val="0"/>
                      <w:marTop w:val="0"/>
                      <w:marBottom w:val="0"/>
                      <w:divBdr>
                        <w:top w:val="none" w:sz="0" w:space="0" w:color="auto"/>
                        <w:left w:val="none" w:sz="0" w:space="0" w:color="auto"/>
                        <w:bottom w:val="none" w:sz="0" w:space="0" w:color="auto"/>
                        <w:right w:val="none" w:sz="0" w:space="0" w:color="auto"/>
                      </w:divBdr>
                    </w:div>
                  </w:divsChild>
                </w:div>
                <w:div w:id="1530408233">
                  <w:marLeft w:val="0"/>
                  <w:marRight w:val="0"/>
                  <w:marTop w:val="0"/>
                  <w:marBottom w:val="0"/>
                  <w:divBdr>
                    <w:top w:val="none" w:sz="0" w:space="0" w:color="auto"/>
                    <w:left w:val="none" w:sz="0" w:space="0" w:color="auto"/>
                    <w:bottom w:val="none" w:sz="0" w:space="0" w:color="auto"/>
                    <w:right w:val="none" w:sz="0" w:space="0" w:color="auto"/>
                  </w:divBdr>
                  <w:divsChild>
                    <w:div w:id="1756047021">
                      <w:marLeft w:val="0"/>
                      <w:marRight w:val="0"/>
                      <w:marTop w:val="0"/>
                      <w:marBottom w:val="0"/>
                      <w:divBdr>
                        <w:top w:val="none" w:sz="0" w:space="0" w:color="auto"/>
                        <w:left w:val="none" w:sz="0" w:space="0" w:color="auto"/>
                        <w:bottom w:val="none" w:sz="0" w:space="0" w:color="auto"/>
                        <w:right w:val="none" w:sz="0" w:space="0" w:color="auto"/>
                      </w:divBdr>
                    </w:div>
                  </w:divsChild>
                </w:div>
                <w:div w:id="1579291913">
                  <w:marLeft w:val="0"/>
                  <w:marRight w:val="0"/>
                  <w:marTop w:val="0"/>
                  <w:marBottom w:val="0"/>
                  <w:divBdr>
                    <w:top w:val="none" w:sz="0" w:space="0" w:color="auto"/>
                    <w:left w:val="none" w:sz="0" w:space="0" w:color="auto"/>
                    <w:bottom w:val="none" w:sz="0" w:space="0" w:color="auto"/>
                    <w:right w:val="none" w:sz="0" w:space="0" w:color="auto"/>
                  </w:divBdr>
                  <w:divsChild>
                    <w:div w:id="378745348">
                      <w:marLeft w:val="0"/>
                      <w:marRight w:val="0"/>
                      <w:marTop w:val="0"/>
                      <w:marBottom w:val="0"/>
                      <w:divBdr>
                        <w:top w:val="none" w:sz="0" w:space="0" w:color="auto"/>
                        <w:left w:val="none" w:sz="0" w:space="0" w:color="auto"/>
                        <w:bottom w:val="none" w:sz="0" w:space="0" w:color="auto"/>
                        <w:right w:val="none" w:sz="0" w:space="0" w:color="auto"/>
                      </w:divBdr>
                    </w:div>
                  </w:divsChild>
                </w:div>
                <w:div w:id="1665545960">
                  <w:marLeft w:val="0"/>
                  <w:marRight w:val="0"/>
                  <w:marTop w:val="0"/>
                  <w:marBottom w:val="0"/>
                  <w:divBdr>
                    <w:top w:val="none" w:sz="0" w:space="0" w:color="auto"/>
                    <w:left w:val="none" w:sz="0" w:space="0" w:color="auto"/>
                    <w:bottom w:val="none" w:sz="0" w:space="0" w:color="auto"/>
                    <w:right w:val="none" w:sz="0" w:space="0" w:color="auto"/>
                  </w:divBdr>
                  <w:divsChild>
                    <w:div w:id="1112285479">
                      <w:marLeft w:val="0"/>
                      <w:marRight w:val="0"/>
                      <w:marTop w:val="0"/>
                      <w:marBottom w:val="0"/>
                      <w:divBdr>
                        <w:top w:val="none" w:sz="0" w:space="0" w:color="auto"/>
                        <w:left w:val="none" w:sz="0" w:space="0" w:color="auto"/>
                        <w:bottom w:val="none" w:sz="0" w:space="0" w:color="auto"/>
                        <w:right w:val="none" w:sz="0" w:space="0" w:color="auto"/>
                      </w:divBdr>
                    </w:div>
                  </w:divsChild>
                </w:div>
                <w:div w:id="1681740324">
                  <w:marLeft w:val="0"/>
                  <w:marRight w:val="0"/>
                  <w:marTop w:val="0"/>
                  <w:marBottom w:val="0"/>
                  <w:divBdr>
                    <w:top w:val="none" w:sz="0" w:space="0" w:color="auto"/>
                    <w:left w:val="none" w:sz="0" w:space="0" w:color="auto"/>
                    <w:bottom w:val="none" w:sz="0" w:space="0" w:color="auto"/>
                    <w:right w:val="none" w:sz="0" w:space="0" w:color="auto"/>
                  </w:divBdr>
                  <w:divsChild>
                    <w:div w:id="1261719744">
                      <w:marLeft w:val="0"/>
                      <w:marRight w:val="0"/>
                      <w:marTop w:val="0"/>
                      <w:marBottom w:val="0"/>
                      <w:divBdr>
                        <w:top w:val="none" w:sz="0" w:space="0" w:color="auto"/>
                        <w:left w:val="none" w:sz="0" w:space="0" w:color="auto"/>
                        <w:bottom w:val="none" w:sz="0" w:space="0" w:color="auto"/>
                        <w:right w:val="none" w:sz="0" w:space="0" w:color="auto"/>
                      </w:divBdr>
                    </w:div>
                  </w:divsChild>
                </w:div>
                <w:div w:id="1684744752">
                  <w:marLeft w:val="0"/>
                  <w:marRight w:val="0"/>
                  <w:marTop w:val="0"/>
                  <w:marBottom w:val="0"/>
                  <w:divBdr>
                    <w:top w:val="none" w:sz="0" w:space="0" w:color="auto"/>
                    <w:left w:val="none" w:sz="0" w:space="0" w:color="auto"/>
                    <w:bottom w:val="none" w:sz="0" w:space="0" w:color="auto"/>
                    <w:right w:val="none" w:sz="0" w:space="0" w:color="auto"/>
                  </w:divBdr>
                  <w:divsChild>
                    <w:div w:id="867066122">
                      <w:marLeft w:val="0"/>
                      <w:marRight w:val="0"/>
                      <w:marTop w:val="0"/>
                      <w:marBottom w:val="0"/>
                      <w:divBdr>
                        <w:top w:val="none" w:sz="0" w:space="0" w:color="auto"/>
                        <w:left w:val="none" w:sz="0" w:space="0" w:color="auto"/>
                        <w:bottom w:val="none" w:sz="0" w:space="0" w:color="auto"/>
                        <w:right w:val="none" w:sz="0" w:space="0" w:color="auto"/>
                      </w:divBdr>
                    </w:div>
                  </w:divsChild>
                </w:div>
                <w:div w:id="1772822989">
                  <w:marLeft w:val="0"/>
                  <w:marRight w:val="0"/>
                  <w:marTop w:val="0"/>
                  <w:marBottom w:val="0"/>
                  <w:divBdr>
                    <w:top w:val="none" w:sz="0" w:space="0" w:color="auto"/>
                    <w:left w:val="none" w:sz="0" w:space="0" w:color="auto"/>
                    <w:bottom w:val="none" w:sz="0" w:space="0" w:color="auto"/>
                    <w:right w:val="none" w:sz="0" w:space="0" w:color="auto"/>
                  </w:divBdr>
                  <w:divsChild>
                    <w:div w:id="445348692">
                      <w:marLeft w:val="0"/>
                      <w:marRight w:val="0"/>
                      <w:marTop w:val="0"/>
                      <w:marBottom w:val="0"/>
                      <w:divBdr>
                        <w:top w:val="none" w:sz="0" w:space="0" w:color="auto"/>
                        <w:left w:val="none" w:sz="0" w:space="0" w:color="auto"/>
                        <w:bottom w:val="none" w:sz="0" w:space="0" w:color="auto"/>
                        <w:right w:val="none" w:sz="0" w:space="0" w:color="auto"/>
                      </w:divBdr>
                    </w:div>
                    <w:div w:id="1580944306">
                      <w:marLeft w:val="0"/>
                      <w:marRight w:val="0"/>
                      <w:marTop w:val="0"/>
                      <w:marBottom w:val="0"/>
                      <w:divBdr>
                        <w:top w:val="none" w:sz="0" w:space="0" w:color="auto"/>
                        <w:left w:val="none" w:sz="0" w:space="0" w:color="auto"/>
                        <w:bottom w:val="none" w:sz="0" w:space="0" w:color="auto"/>
                        <w:right w:val="none" w:sz="0" w:space="0" w:color="auto"/>
                      </w:divBdr>
                    </w:div>
                    <w:div w:id="2054885526">
                      <w:marLeft w:val="0"/>
                      <w:marRight w:val="0"/>
                      <w:marTop w:val="0"/>
                      <w:marBottom w:val="0"/>
                      <w:divBdr>
                        <w:top w:val="none" w:sz="0" w:space="0" w:color="auto"/>
                        <w:left w:val="none" w:sz="0" w:space="0" w:color="auto"/>
                        <w:bottom w:val="none" w:sz="0" w:space="0" w:color="auto"/>
                        <w:right w:val="none" w:sz="0" w:space="0" w:color="auto"/>
                      </w:divBdr>
                    </w:div>
                  </w:divsChild>
                </w:div>
                <w:div w:id="1784498434">
                  <w:marLeft w:val="0"/>
                  <w:marRight w:val="0"/>
                  <w:marTop w:val="0"/>
                  <w:marBottom w:val="0"/>
                  <w:divBdr>
                    <w:top w:val="none" w:sz="0" w:space="0" w:color="auto"/>
                    <w:left w:val="none" w:sz="0" w:space="0" w:color="auto"/>
                    <w:bottom w:val="none" w:sz="0" w:space="0" w:color="auto"/>
                    <w:right w:val="none" w:sz="0" w:space="0" w:color="auto"/>
                  </w:divBdr>
                  <w:divsChild>
                    <w:div w:id="2046368692">
                      <w:marLeft w:val="0"/>
                      <w:marRight w:val="0"/>
                      <w:marTop w:val="0"/>
                      <w:marBottom w:val="0"/>
                      <w:divBdr>
                        <w:top w:val="none" w:sz="0" w:space="0" w:color="auto"/>
                        <w:left w:val="none" w:sz="0" w:space="0" w:color="auto"/>
                        <w:bottom w:val="none" w:sz="0" w:space="0" w:color="auto"/>
                        <w:right w:val="none" w:sz="0" w:space="0" w:color="auto"/>
                      </w:divBdr>
                    </w:div>
                  </w:divsChild>
                </w:div>
                <w:div w:id="2063559615">
                  <w:marLeft w:val="0"/>
                  <w:marRight w:val="0"/>
                  <w:marTop w:val="0"/>
                  <w:marBottom w:val="0"/>
                  <w:divBdr>
                    <w:top w:val="none" w:sz="0" w:space="0" w:color="auto"/>
                    <w:left w:val="none" w:sz="0" w:space="0" w:color="auto"/>
                    <w:bottom w:val="none" w:sz="0" w:space="0" w:color="auto"/>
                    <w:right w:val="none" w:sz="0" w:space="0" w:color="auto"/>
                  </w:divBdr>
                  <w:divsChild>
                    <w:div w:id="796067560">
                      <w:marLeft w:val="0"/>
                      <w:marRight w:val="0"/>
                      <w:marTop w:val="0"/>
                      <w:marBottom w:val="0"/>
                      <w:divBdr>
                        <w:top w:val="none" w:sz="0" w:space="0" w:color="auto"/>
                        <w:left w:val="none" w:sz="0" w:space="0" w:color="auto"/>
                        <w:bottom w:val="none" w:sz="0" w:space="0" w:color="auto"/>
                        <w:right w:val="none" w:sz="0" w:space="0" w:color="auto"/>
                      </w:divBdr>
                    </w:div>
                  </w:divsChild>
                </w:div>
                <w:div w:id="2133017487">
                  <w:marLeft w:val="0"/>
                  <w:marRight w:val="0"/>
                  <w:marTop w:val="0"/>
                  <w:marBottom w:val="0"/>
                  <w:divBdr>
                    <w:top w:val="none" w:sz="0" w:space="0" w:color="auto"/>
                    <w:left w:val="none" w:sz="0" w:space="0" w:color="auto"/>
                    <w:bottom w:val="none" w:sz="0" w:space="0" w:color="auto"/>
                    <w:right w:val="none" w:sz="0" w:space="0" w:color="auto"/>
                  </w:divBdr>
                  <w:divsChild>
                    <w:div w:id="172879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67360">
          <w:marLeft w:val="0"/>
          <w:marRight w:val="0"/>
          <w:marTop w:val="0"/>
          <w:marBottom w:val="0"/>
          <w:divBdr>
            <w:top w:val="none" w:sz="0" w:space="0" w:color="auto"/>
            <w:left w:val="none" w:sz="0" w:space="0" w:color="auto"/>
            <w:bottom w:val="none" w:sz="0" w:space="0" w:color="auto"/>
            <w:right w:val="none" w:sz="0" w:space="0" w:color="auto"/>
          </w:divBdr>
        </w:div>
      </w:divsChild>
    </w:div>
    <w:div w:id="1678771434">
      <w:bodyDiv w:val="1"/>
      <w:marLeft w:val="0"/>
      <w:marRight w:val="0"/>
      <w:marTop w:val="0"/>
      <w:marBottom w:val="0"/>
      <w:divBdr>
        <w:top w:val="none" w:sz="0" w:space="0" w:color="auto"/>
        <w:left w:val="none" w:sz="0" w:space="0" w:color="auto"/>
        <w:bottom w:val="none" w:sz="0" w:space="0" w:color="auto"/>
        <w:right w:val="none" w:sz="0" w:space="0" w:color="auto"/>
      </w:divBdr>
    </w:div>
    <w:div w:id="1787504403">
      <w:bodyDiv w:val="1"/>
      <w:marLeft w:val="0"/>
      <w:marRight w:val="0"/>
      <w:marTop w:val="0"/>
      <w:marBottom w:val="0"/>
      <w:divBdr>
        <w:top w:val="none" w:sz="0" w:space="0" w:color="auto"/>
        <w:left w:val="none" w:sz="0" w:space="0" w:color="auto"/>
        <w:bottom w:val="none" w:sz="0" w:space="0" w:color="auto"/>
        <w:right w:val="none" w:sz="0" w:space="0" w:color="auto"/>
      </w:divBdr>
    </w:div>
    <w:div w:id="1802456344">
      <w:bodyDiv w:val="1"/>
      <w:marLeft w:val="0"/>
      <w:marRight w:val="0"/>
      <w:marTop w:val="0"/>
      <w:marBottom w:val="0"/>
      <w:divBdr>
        <w:top w:val="none" w:sz="0" w:space="0" w:color="auto"/>
        <w:left w:val="none" w:sz="0" w:space="0" w:color="auto"/>
        <w:bottom w:val="none" w:sz="0" w:space="0" w:color="auto"/>
        <w:right w:val="none" w:sz="0" w:space="0" w:color="auto"/>
      </w:divBdr>
    </w:div>
    <w:div w:id="1833791187">
      <w:bodyDiv w:val="1"/>
      <w:marLeft w:val="0"/>
      <w:marRight w:val="0"/>
      <w:marTop w:val="0"/>
      <w:marBottom w:val="0"/>
      <w:divBdr>
        <w:top w:val="none" w:sz="0" w:space="0" w:color="auto"/>
        <w:left w:val="none" w:sz="0" w:space="0" w:color="auto"/>
        <w:bottom w:val="none" w:sz="0" w:space="0" w:color="auto"/>
        <w:right w:val="none" w:sz="0" w:space="0" w:color="auto"/>
      </w:divBdr>
    </w:div>
    <w:div w:id="1870794351">
      <w:bodyDiv w:val="1"/>
      <w:marLeft w:val="0"/>
      <w:marRight w:val="0"/>
      <w:marTop w:val="0"/>
      <w:marBottom w:val="0"/>
      <w:divBdr>
        <w:top w:val="none" w:sz="0" w:space="0" w:color="auto"/>
        <w:left w:val="none" w:sz="0" w:space="0" w:color="auto"/>
        <w:bottom w:val="none" w:sz="0" w:space="0" w:color="auto"/>
        <w:right w:val="none" w:sz="0" w:space="0" w:color="auto"/>
      </w:divBdr>
    </w:div>
    <w:div w:id="1948652652">
      <w:bodyDiv w:val="1"/>
      <w:marLeft w:val="0"/>
      <w:marRight w:val="0"/>
      <w:marTop w:val="0"/>
      <w:marBottom w:val="0"/>
      <w:divBdr>
        <w:top w:val="none" w:sz="0" w:space="0" w:color="auto"/>
        <w:left w:val="none" w:sz="0" w:space="0" w:color="auto"/>
        <w:bottom w:val="none" w:sz="0" w:space="0" w:color="auto"/>
        <w:right w:val="none" w:sz="0" w:space="0" w:color="auto"/>
      </w:divBdr>
    </w:div>
    <w:div w:id="1998418736">
      <w:bodyDiv w:val="1"/>
      <w:marLeft w:val="0"/>
      <w:marRight w:val="0"/>
      <w:marTop w:val="0"/>
      <w:marBottom w:val="0"/>
      <w:divBdr>
        <w:top w:val="none" w:sz="0" w:space="0" w:color="auto"/>
        <w:left w:val="none" w:sz="0" w:space="0" w:color="auto"/>
        <w:bottom w:val="none" w:sz="0" w:space="0" w:color="auto"/>
        <w:right w:val="none" w:sz="0" w:space="0" w:color="auto"/>
      </w:divBdr>
    </w:div>
    <w:div w:id="208876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quarterly-financial-snapshot-of-the-aged-care-sector-quarter-1-2023-24-july-to-september-2023?language=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yagedcare.gov.au/find-provider/understanding-costs/understanding-financial-information-find-provide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webinars/greater-transparency-about-aged-care-providers-and-services-upcoming-reporting-requirement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b2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0F25F82DC70E46BECCBAC5959F994A" ma:contentTypeVersion="8" ma:contentTypeDescription="Create a new document." ma:contentTypeScope="" ma:versionID="2c8fca807d6256045163bfbd9a40d71c">
  <xsd:schema xmlns:xsd="http://www.w3.org/2001/XMLSchema" xmlns:xs="http://www.w3.org/2001/XMLSchema" xmlns:p="http://schemas.microsoft.com/office/2006/metadata/properties" xmlns:ns2="02622428-b056-4156-8618-9b4665fa4c5e" targetNamespace="http://schemas.microsoft.com/office/2006/metadata/properties" ma:root="true" ma:fieldsID="0929410129f265f07c786d841a2b3699" ns2:_="">
    <xsd:import namespace="02622428-b056-4156-8618-9b4665fa4c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22428-b056-4156-8618-9b4665fa4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8D9E96-6689-43F2-B967-26A26A358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22428-b056-4156-8618-9b4665fa4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A27801-8554-E843-8F95-A508B3213042}">
  <ds:schemaRefs>
    <ds:schemaRef ds:uri="http://schemas.openxmlformats.org/officeDocument/2006/bibliography"/>
  </ds:schemaRefs>
</ds:datastoreItem>
</file>

<file path=customXml/itemProps3.xml><?xml version="1.0" encoding="utf-8"?>
<ds:datastoreItem xmlns:ds="http://schemas.openxmlformats.org/officeDocument/2006/customXml" ds:itemID="{A40A4526-3B1A-4483-BC33-A89599EBB9EF}">
  <ds:schemaRefs>
    <ds:schemaRef ds:uri="http://schemas.microsoft.com/sharepoint/v3/contenttype/forms"/>
  </ds:schemaRefs>
</ds:datastoreItem>
</file>

<file path=customXml/itemProps4.xml><?xml version="1.0" encoding="utf-8"?>
<ds:datastoreItem xmlns:ds="http://schemas.openxmlformats.org/officeDocument/2006/customXml" ds:itemID="{0A071644-DA3E-4CB8-B19E-2F3DF50FA85E}">
  <ds:schemaRefs>
    <ds:schemaRef ds:uri="http://purl.org/dc/terms/"/>
    <ds:schemaRef ds:uri="http://schemas.microsoft.com/office/2006/documentManagement/types"/>
    <ds:schemaRef ds:uri="http://schemas.microsoft.com/office/infopath/2007/PartnerControls"/>
    <ds:schemaRef ds:uri="02622428-b056-4156-8618-9b4665fa4c5e"/>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2981</Words>
  <Characters>15065</Characters>
  <Application>Microsoft Office Word</Application>
  <DocSecurity>4</DocSecurity>
  <Lines>308</Lines>
  <Paragraphs>122</Paragraphs>
  <ScaleCrop>false</ScaleCrop>
  <HeadingPairs>
    <vt:vector size="2" baseType="variant">
      <vt:variant>
        <vt:lpstr>Title</vt:lpstr>
      </vt:variant>
      <vt:variant>
        <vt:i4>1</vt:i4>
      </vt:variant>
    </vt:vector>
  </HeadingPairs>
  <TitlesOfParts>
    <vt:vector size="1" baseType="lpstr">
      <vt:lpstr>Question and answers – Quarterly Financial Report webinar 9 April 2024</vt:lpstr>
    </vt:vector>
  </TitlesOfParts>
  <Company/>
  <LinksUpToDate>false</LinksUpToDate>
  <CharactersWithSpaces>17976</CharactersWithSpaces>
  <SharedDoc>false</SharedDoc>
  <HLinks>
    <vt:vector size="78" baseType="variant">
      <vt:variant>
        <vt:i4>3080226</vt:i4>
      </vt:variant>
      <vt:variant>
        <vt:i4>66</vt:i4>
      </vt:variant>
      <vt:variant>
        <vt:i4>0</vt:i4>
      </vt:variant>
      <vt:variant>
        <vt:i4>5</vt:i4>
      </vt:variant>
      <vt:variant>
        <vt:lpwstr>https://www.health.gov.au/our-work/b2g</vt:lpwstr>
      </vt:variant>
      <vt:variant>
        <vt:lpwstr/>
      </vt:variant>
      <vt:variant>
        <vt:i4>3014776</vt:i4>
      </vt:variant>
      <vt:variant>
        <vt:i4>63</vt:i4>
      </vt:variant>
      <vt:variant>
        <vt:i4>0</vt:i4>
      </vt:variant>
      <vt:variant>
        <vt:i4>5</vt:i4>
      </vt:variant>
      <vt:variant>
        <vt:lpwstr>https://www.health.gov.au/resources/publications/quarterly-financial-snapshot-of-the-aged-care-sector-quarter-1-2023-24-july-to-september-2023?language=en</vt:lpwstr>
      </vt:variant>
      <vt:variant>
        <vt:lpwstr/>
      </vt:variant>
      <vt:variant>
        <vt:i4>983115</vt:i4>
      </vt:variant>
      <vt:variant>
        <vt:i4>60</vt:i4>
      </vt:variant>
      <vt:variant>
        <vt:i4>0</vt:i4>
      </vt:variant>
      <vt:variant>
        <vt:i4>5</vt:i4>
      </vt:variant>
      <vt:variant>
        <vt:lpwstr>https://www.myagedcare.gov.au/find-provider/understanding-costs/understanding-financial-information-find-provider</vt:lpwstr>
      </vt:variant>
      <vt:variant>
        <vt:lpwstr/>
      </vt:variant>
      <vt:variant>
        <vt:i4>1245246</vt:i4>
      </vt:variant>
      <vt:variant>
        <vt:i4>53</vt:i4>
      </vt:variant>
      <vt:variant>
        <vt:i4>0</vt:i4>
      </vt:variant>
      <vt:variant>
        <vt:i4>5</vt:i4>
      </vt:variant>
      <vt:variant>
        <vt:lpwstr/>
      </vt:variant>
      <vt:variant>
        <vt:lpwstr>_Toc167712971</vt:lpwstr>
      </vt:variant>
      <vt:variant>
        <vt:i4>1245246</vt:i4>
      </vt:variant>
      <vt:variant>
        <vt:i4>47</vt:i4>
      </vt:variant>
      <vt:variant>
        <vt:i4>0</vt:i4>
      </vt:variant>
      <vt:variant>
        <vt:i4>5</vt:i4>
      </vt:variant>
      <vt:variant>
        <vt:lpwstr/>
      </vt:variant>
      <vt:variant>
        <vt:lpwstr>_Toc167712970</vt:lpwstr>
      </vt:variant>
      <vt:variant>
        <vt:i4>1179710</vt:i4>
      </vt:variant>
      <vt:variant>
        <vt:i4>41</vt:i4>
      </vt:variant>
      <vt:variant>
        <vt:i4>0</vt:i4>
      </vt:variant>
      <vt:variant>
        <vt:i4>5</vt:i4>
      </vt:variant>
      <vt:variant>
        <vt:lpwstr/>
      </vt:variant>
      <vt:variant>
        <vt:lpwstr>_Toc167712969</vt:lpwstr>
      </vt:variant>
      <vt:variant>
        <vt:i4>1179710</vt:i4>
      </vt:variant>
      <vt:variant>
        <vt:i4>35</vt:i4>
      </vt:variant>
      <vt:variant>
        <vt:i4>0</vt:i4>
      </vt:variant>
      <vt:variant>
        <vt:i4>5</vt:i4>
      </vt:variant>
      <vt:variant>
        <vt:lpwstr/>
      </vt:variant>
      <vt:variant>
        <vt:lpwstr>_Toc167712968</vt:lpwstr>
      </vt:variant>
      <vt:variant>
        <vt:i4>1179710</vt:i4>
      </vt:variant>
      <vt:variant>
        <vt:i4>29</vt:i4>
      </vt:variant>
      <vt:variant>
        <vt:i4>0</vt:i4>
      </vt:variant>
      <vt:variant>
        <vt:i4>5</vt:i4>
      </vt:variant>
      <vt:variant>
        <vt:lpwstr/>
      </vt:variant>
      <vt:variant>
        <vt:lpwstr>_Toc167712967</vt:lpwstr>
      </vt:variant>
      <vt:variant>
        <vt:i4>1179710</vt:i4>
      </vt:variant>
      <vt:variant>
        <vt:i4>23</vt:i4>
      </vt:variant>
      <vt:variant>
        <vt:i4>0</vt:i4>
      </vt:variant>
      <vt:variant>
        <vt:i4>5</vt:i4>
      </vt:variant>
      <vt:variant>
        <vt:lpwstr/>
      </vt:variant>
      <vt:variant>
        <vt:lpwstr>_Toc167712966</vt:lpwstr>
      </vt:variant>
      <vt:variant>
        <vt:i4>1179710</vt:i4>
      </vt:variant>
      <vt:variant>
        <vt:i4>17</vt:i4>
      </vt:variant>
      <vt:variant>
        <vt:i4>0</vt:i4>
      </vt:variant>
      <vt:variant>
        <vt:i4>5</vt:i4>
      </vt:variant>
      <vt:variant>
        <vt:lpwstr/>
      </vt:variant>
      <vt:variant>
        <vt:lpwstr>_Toc167712965</vt:lpwstr>
      </vt:variant>
      <vt:variant>
        <vt:i4>1179710</vt:i4>
      </vt:variant>
      <vt:variant>
        <vt:i4>11</vt:i4>
      </vt:variant>
      <vt:variant>
        <vt:i4>0</vt:i4>
      </vt:variant>
      <vt:variant>
        <vt:i4>5</vt:i4>
      </vt:variant>
      <vt:variant>
        <vt:lpwstr/>
      </vt:variant>
      <vt:variant>
        <vt:lpwstr>_Toc167712964</vt:lpwstr>
      </vt:variant>
      <vt:variant>
        <vt:i4>1179710</vt:i4>
      </vt:variant>
      <vt:variant>
        <vt:i4>5</vt:i4>
      </vt:variant>
      <vt:variant>
        <vt:i4>0</vt:i4>
      </vt:variant>
      <vt:variant>
        <vt:i4>5</vt:i4>
      </vt:variant>
      <vt:variant>
        <vt:lpwstr/>
      </vt:variant>
      <vt:variant>
        <vt:lpwstr>_Toc167712963</vt:lpwstr>
      </vt:variant>
      <vt:variant>
        <vt:i4>2031700</vt:i4>
      </vt:variant>
      <vt:variant>
        <vt:i4>0</vt:i4>
      </vt:variant>
      <vt:variant>
        <vt:i4>0</vt:i4>
      </vt:variant>
      <vt:variant>
        <vt:i4>5</vt:i4>
      </vt:variant>
      <vt:variant>
        <vt:lpwstr>https://www.health.gov.au/resources/webinars/greater-transparency-about-aged-care-providers-and-services-upcoming-reporting-requirements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and answers – Quarterly Financial Report webinar 9 April 2024</dc:title>
  <dc:subject>Aged Care</dc:subject>
  <dc:creator>Australian Government Department of Health and Aged Care</dc:creator>
  <cp:keywords>Aged Care, Aged Care Reforms</cp:keywords>
  <dc:description/>
  <cp:revision>2</cp:revision>
  <cp:lastPrinted>2023-10-26T08:41:00Z</cp:lastPrinted>
  <dcterms:created xsi:type="dcterms:W3CDTF">2024-08-05T01:17:00Z</dcterms:created>
  <dcterms:modified xsi:type="dcterms:W3CDTF">2024-08-05T01:17:00Z</dcterms:modified>
</cp:coreProperties>
</file>