
<file path=[Content_Types].xml><?xml version="1.0" encoding="utf-8"?>
<Types xmlns="http://schemas.openxmlformats.org/package/2006/content-types">
  <Default Extension="jp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DB803A8" w14:textId="7BF5B5BB" w:rsidR="002C53FF" w:rsidRPr="003A0AA2" w:rsidRDefault="002C53FF" w:rsidP="002C53FF">
      <w:pPr>
        <w:pStyle w:val="Heading1"/>
        <w:rPr>
          <w:lang w:eastAsia="en-AU"/>
        </w:rPr>
      </w:pPr>
      <w:r w:rsidRPr="003A0AA2">
        <w:rPr>
          <w:lang w:eastAsia="en-AU"/>
        </w:rPr>
        <w:t xml:space="preserve">New arrangements for </w:t>
      </w:r>
      <w:r>
        <w:rPr>
          <w:lang w:eastAsia="en-AU"/>
        </w:rPr>
        <w:t>migalastat (</w:t>
      </w:r>
      <w:proofErr w:type="spellStart"/>
      <w:r>
        <w:rPr>
          <w:lang w:eastAsia="en-AU"/>
        </w:rPr>
        <w:t>Galafold</w:t>
      </w:r>
      <w:proofErr w:type="spellEnd"/>
      <w:r w:rsidRPr="00F2468B">
        <w:rPr>
          <w:rStyle w:val="SuperscriptHeading1Char"/>
        </w:rPr>
        <w:t>®</w:t>
      </w:r>
      <w:r>
        <w:rPr>
          <w:lang w:eastAsia="en-AU"/>
        </w:rPr>
        <w:t>)</w:t>
      </w:r>
      <w:r w:rsidRPr="003A0AA2">
        <w:rPr>
          <w:lang w:eastAsia="en-AU"/>
        </w:rPr>
        <w:t xml:space="preserve"> </w:t>
      </w:r>
      <w:r>
        <w:rPr>
          <w:lang w:eastAsia="en-AU"/>
        </w:rPr>
        <w:t>for treatment of Fabry Disease</w:t>
      </w:r>
      <w:r w:rsidR="00F2468B">
        <w:rPr>
          <w:lang w:eastAsia="en-AU"/>
        </w:rPr>
        <w:t xml:space="preserve"> – </w:t>
      </w:r>
      <w:r w:rsidR="002D4A32">
        <w:rPr>
          <w:lang w:eastAsia="en-AU"/>
        </w:rPr>
        <w:t>Information</w:t>
      </w:r>
      <w:r w:rsidRPr="003A0AA2">
        <w:rPr>
          <w:lang w:eastAsia="en-AU"/>
        </w:rPr>
        <w:t xml:space="preserve"> for</w:t>
      </w:r>
      <w:r w:rsidR="002D4A32">
        <w:rPr>
          <w:lang w:eastAsia="en-AU"/>
        </w:rPr>
        <w:t xml:space="preserve"> p</w:t>
      </w:r>
      <w:r w:rsidRPr="003A0AA2">
        <w:rPr>
          <w:lang w:eastAsia="en-AU"/>
        </w:rPr>
        <w:t>atients</w:t>
      </w:r>
    </w:p>
    <w:p w14:paraId="3771000D" w14:textId="77777777" w:rsidR="002C53FF" w:rsidRPr="002C53FF" w:rsidRDefault="002C53FF" w:rsidP="002C53FF">
      <w:pPr>
        <w:pStyle w:val="Heading2"/>
      </w:pPr>
      <w:r w:rsidRPr="002C53FF">
        <w:t>Migalastat (</w:t>
      </w:r>
      <w:proofErr w:type="spellStart"/>
      <w:r w:rsidRPr="002C53FF">
        <w:t>Galafold</w:t>
      </w:r>
      <w:proofErr w:type="spellEnd"/>
      <w:r w:rsidRPr="00F2468B">
        <w:rPr>
          <w:rStyle w:val="SuperscriptHeading2Char"/>
        </w:rPr>
        <w:t>®</w:t>
      </w:r>
      <w:r w:rsidRPr="002C53FF">
        <w:t>) for Fabry disease is moving to the Pharmaceutical Benefits Scheme (PBS)</w:t>
      </w:r>
    </w:p>
    <w:p w14:paraId="051BB929" w14:textId="7C6EC881" w:rsidR="002C53FF" w:rsidRDefault="002C53FF" w:rsidP="002C53FF">
      <w:pPr>
        <w:rPr>
          <w:lang w:eastAsia="en-AU"/>
        </w:rPr>
      </w:pPr>
      <w:bookmarkStart w:id="0" w:name="_Hlk93560855"/>
      <w:r w:rsidRPr="00584439">
        <w:rPr>
          <w:lang w:eastAsia="en-AU"/>
        </w:rPr>
        <w:t xml:space="preserve">From </w:t>
      </w:r>
      <w:r>
        <w:rPr>
          <w:lang w:eastAsia="en-AU"/>
        </w:rPr>
        <w:t>1 September 2024</w:t>
      </w:r>
      <w:r w:rsidRPr="00584439">
        <w:rPr>
          <w:lang w:eastAsia="en-AU"/>
        </w:rPr>
        <w:t xml:space="preserve">, following a recommendation by the Pharmaceutical Benefits Advisory Committee, </w:t>
      </w:r>
      <w:r>
        <w:rPr>
          <w:lang w:eastAsia="en-AU"/>
        </w:rPr>
        <w:t>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 will be available through the </w:t>
      </w:r>
      <w:r w:rsidRPr="00584439">
        <w:rPr>
          <w:lang w:eastAsia="en-AU"/>
        </w:rPr>
        <w:t>PBS</w:t>
      </w:r>
      <w:r>
        <w:rPr>
          <w:lang w:eastAsia="en-AU"/>
        </w:rPr>
        <w:t xml:space="preserve">, rather than the Life Saving Drugs Program (LSDP). </w:t>
      </w:r>
    </w:p>
    <w:bookmarkEnd w:id="0"/>
    <w:p w14:paraId="139B037C" w14:textId="50378708" w:rsidR="002C53FF" w:rsidRPr="003A0AA2" w:rsidRDefault="002C53FF" w:rsidP="002C53FF">
      <w:pPr>
        <w:pStyle w:val="Heading2"/>
        <w:rPr>
          <w:lang w:eastAsia="en-AU"/>
        </w:rPr>
      </w:pPr>
      <w:r w:rsidRPr="003A0AA2">
        <w:rPr>
          <w:lang w:eastAsia="en-AU"/>
        </w:rPr>
        <w:t xml:space="preserve">What does this mean for </w:t>
      </w:r>
      <w:r>
        <w:rPr>
          <w:lang w:eastAsia="en-AU"/>
        </w:rPr>
        <w:t>patients</w:t>
      </w:r>
      <w:r w:rsidRPr="003A0AA2">
        <w:rPr>
          <w:lang w:eastAsia="en-AU"/>
        </w:rPr>
        <w:t>?</w:t>
      </w:r>
    </w:p>
    <w:p w14:paraId="3CE15841" w14:textId="77777777" w:rsidR="002C53FF" w:rsidRDefault="002C53FF" w:rsidP="002C53FF">
      <w:pPr>
        <w:rPr>
          <w:lang w:eastAsia="en-AU"/>
        </w:rPr>
      </w:pPr>
      <w:bookmarkStart w:id="1" w:name="_Hlk95212454"/>
      <w:r>
        <w:rPr>
          <w:lang w:eastAsia="en-AU"/>
        </w:rPr>
        <w:t xml:space="preserve">If you are an existing LSDP patient, you can continue to receive your treatment through the LSDP until you transition to the PBS. </w:t>
      </w:r>
      <w:bookmarkEnd w:id="1"/>
    </w:p>
    <w:p w14:paraId="2C0395E6" w14:textId="77777777" w:rsidR="002C53FF" w:rsidRDefault="002C53FF" w:rsidP="002C53FF">
      <w:pPr>
        <w:rPr>
          <w:lang w:eastAsia="en-AU"/>
        </w:rPr>
      </w:pPr>
      <w:r>
        <w:rPr>
          <w:lang w:eastAsia="en-AU"/>
        </w:rPr>
        <w:t xml:space="preserve">You will need to arrange an appointment with your treating physician to discuss transitioning to the PBS from 1 September 2024. Transitional arrangements will be in place until </w:t>
      </w:r>
      <w:r w:rsidRPr="00E60DC2">
        <w:rPr>
          <w:lang w:eastAsia="en-AU"/>
        </w:rPr>
        <w:t>30</w:t>
      </w:r>
      <w:r>
        <w:rPr>
          <w:lang w:eastAsia="en-AU"/>
        </w:rPr>
        <w:t> </w:t>
      </w:r>
      <w:r w:rsidRPr="00E60DC2">
        <w:rPr>
          <w:lang w:eastAsia="en-AU"/>
        </w:rPr>
        <w:t>November</w:t>
      </w:r>
      <w:r>
        <w:rPr>
          <w:lang w:eastAsia="en-AU"/>
        </w:rPr>
        <w:t> </w:t>
      </w:r>
      <w:r w:rsidRPr="00E60DC2">
        <w:rPr>
          <w:lang w:eastAsia="en-AU"/>
        </w:rPr>
        <w:t>2024</w:t>
      </w:r>
      <w:r>
        <w:rPr>
          <w:lang w:eastAsia="en-AU"/>
        </w:rPr>
        <w:t xml:space="preserve">. </w:t>
      </w:r>
    </w:p>
    <w:p w14:paraId="209A5BB1" w14:textId="16F32552" w:rsidR="002C53FF" w:rsidRPr="00052596" w:rsidRDefault="002C53FF" w:rsidP="00052596">
      <w:pPr>
        <w:pStyle w:val="Heading3"/>
      </w:pPr>
      <w:r w:rsidRPr="00052596">
        <w:t>This means that there should be no disruption to your treatment.</w:t>
      </w:r>
    </w:p>
    <w:p w14:paraId="5CBC658C" w14:textId="77777777" w:rsidR="002C53FF" w:rsidRDefault="002C53FF" w:rsidP="002C53FF">
      <w:pPr>
        <w:rPr>
          <w:lang w:eastAsia="en-AU"/>
        </w:rPr>
      </w:pPr>
      <w:r>
        <w:rPr>
          <w:lang w:eastAsia="en-AU"/>
        </w:rPr>
        <w:t xml:space="preserve">The eligibility criteria for the PBS are </w:t>
      </w:r>
      <w:proofErr w:type="gramStart"/>
      <w:r>
        <w:rPr>
          <w:lang w:eastAsia="en-AU"/>
        </w:rPr>
        <w:t>similar to</w:t>
      </w:r>
      <w:proofErr w:type="gramEnd"/>
      <w:r>
        <w:rPr>
          <w:lang w:eastAsia="en-AU"/>
        </w:rPr>
        <w:t xml:space="preserve"> the eligibility criteria for the LSDP with some differences. If you are already receiving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 through the LSDP, you will be eligible to keep accessing it through the PBS. </w:t>
      </w:r>
    </w:p>
    <w:p w14:paraId="42909A4E" w14:textId="77777777" w:rsidR="002C53FF" w:rsidRPr="003A0AA2" w:rsidRDefault="002C53FF" w:rsidP="002C53FF">
      <w:pPr>
        <w:rPr>
          <w:lang w:eastAsia="en-AU"/>
        </w:rPr>
      </w:pPr>
      <w:r>
        <w:rPr>
          <w:lang w:eastAsia="en-AU"/>
        </w:rPr>
        <w:t>If you are a current LSDP patient receiving enzyme replacement therapy (ERT) for Fabry disease and wish to transition to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>), you should discuss this with your treating physician.</w:t>
      </w:r>
      <w:r w:rsidDel="00800ED9">
        <w:rPr>
          <w:lang w:eastAsia="en-AU"/>
        </w:rPr>
        <w:t xml:space="preserve"> </w:t>
      </w:r>
    </w:p>
    <w:p w14:paraId="407C7223" w14:textId="77777777" w:rsidR="002C53FF" w:rsidRPr="003A0AA2" w:rsidRDefault="002C53FF" w:rsidP="002C53FF">
      <w:pPr>
        <w:pStyle w:val="Heading2"/>
        <w:rPr>
          <w:lang w:eastAsia="en-AU"/>
        </w:rPr>
      </w:pPr>
      <w:r>
        <w:rPr>
          <w:lang w:eastAsia="en-AU"/>
        </w:rPr>
        <w:t>Who is eligible to be prescribed migalastat (</w:t>
      </w:r>
      <w:proofErr w:type="spellStart"/>
      <w:r>
        <w:rPr>
          <w:lang w:eastAsia="en-AU"/>
        </w:rPr>
        <w:t>Galafold</w:t>
      </w:r>
      <w:proofErr w:type="spellEnd"/>
      <w:r w:rsidRPr="00F2468B">
        <w:rPr>
          <w:rStyle w:val="SuperscriptHeading2Char"/>
        </w:rPr>
        <w:t>®</w:t>
      </w:r>
      <w:r>
        <w:rPr>
          <w:lang w:eastAsia="en-AU"/>
        </w:rPr>
        <w:t>) through the PBS?</w:t>
      </w:r>
    </w:p>
    <w:p w14:paraId="01336D5A" w14:textId="77777777" w:rsidR="002C53FF" w:rsidRPr="003A0AA2" w:rsidRDefault="002C53FF" w:rsidP="002C53FF">
      <w:pPr>
        <w:rPr>
          <w:lang w:eastAsia="en-AU"/>
        </w:rPr>
      </w:pPr>
      <w:r w:rsidRPr="003A0AA2">
        <w:rPr>
          <w:lang w:eastAsia="en-AU"/>
        </w:rPr>
        <w:t xml:space="preserve">To </w:t>
      </w:r>
      <w:r>
        <w:rPr>
          <w:lang w:eastAsia="en-AU"/>
        </w:rPr>
        <w:t>be eligible for access</w:t>
      </w:r>
      <w:r w:rsidRPr="003A0AA2">
        <w:rPr>
          <w:lang w:eastAsia="en-AU"/>
        </w:rPr>
        <w:t xml:space="preserve"> to</w:t>
      </w:r>
      <w:r>
        <w:rPr>
          <w:lang w:eastAsia="en-AU"/>
        </w:rPr>
        <w:t xml:space="preserve"> PBS-subsidised</w:t>
      </w:r>
      <w:r w:rsidRPr="003A0AA2">
        <w:rPr>
          <w:lang w:eastAsia="en-AU"/>
        </w:rPr>
        <w:t xml:space="preserve"> </w:t>
      </w:r>
      <w:r>
        <w:rPr>
          <w:lang w:eastAsia="en-AU"/>
        </w:rPr>
        <w:t>migalastat (</w:t>
      </w:r>
      <w:proofErr w:type="spellStart"/>
      <w:r>
        <w:rPr>
          <w:lang w:eastAsia="en-AU"/>
        </w:rPr>
        <w:t>Galafold</w:t>
      </w:r>
      <w:proofErr w:type="spellEnd"/>
      <w:r w:rsidRPr="00052596">
        <w:rPr>
          <w:vertAlign w:val="superscript"/>
        </w:rPr>
        <w:t>®</w:t>
      </w:r>
      <w:r w:rsidRPr="003A0AA2">
        <w:rPr>
          <w:color w:val="000000"/>
          <w:kern w:val="36"/>
          <w:lang w:eastAsia="en-AU"/>
        </w:rPr>
        <w:t>)</w:t>
      </w:r>
      <w:r w:rsidRPr="003A0AA2">
        <w:rPr>
          <w:lang w:eastAsia="en-AU"/>
        </w:rPr>
        <w:t xml:space="preserve">, </w:t>
      </w:r>
      <w:r>
        <w:rPr>
          <w:lang w:eastAsia="en-AU"/>
        </w:rPr>
        <w:t xml:space="preserve">you </w:t>
      </w:r>
      <w:r w:rsidRPr="003A0AA2">
        <w:rPr>
          <w:lang w:eastAsia="en-AU"/>
        </w:rPr>
        <w:t>must:</w:t>
      </w:r>
    </w:p>
    <w:p w14:paraId="2CF6D7DC" w14:textId="77777777" w:rsidR="002C53FF" w:rsidRPr="003A0AA2" w:rsidRDefault="002C53FF" w:rsidP="002C53FF">
      <w:pPr>
        <w:pStyle w:val="ListBullet"/>
        <w:rPr>
          <w:lang w:eastAsia="en-AU"/>
        </w:rPr>
      </w:pPr>
      <w:r w:rsidRPr="003A0AA2">
        <w:rPr>
          <w:lang w:eastAsia="en-AU"/>
        </w:rPr>
        <w:t>be an Australian resident and eligible for a Medicare card</w:t>
      </w:r>
    </w:p>
    <w:p w14:paraId="14C3D550" w14:textId="3DEFCB5E" w:rsidR="002C53FF" w:rsidRDefault="002C53FF" w:rsidP="002C53FF">
      <w:pPr>
        <w:pStyle w:val="ListBullet"/>
        <w:rPr>
          <w:lang w:eastAsia="en-AU"/>
        </w:rPr>
      </w:pPr>
      <w:r w:rsidRPr="003A0AA2">
        <w:rPr>
          <w:lang w:eastAsia="en-AU"/>
        </w:rPr>
        <w:t>be under appropriate specialist medical care</w:t>
      </w:r>
      <w:r>
        <w:rPr>
          <w:lang w:eastAsia="en-AU"/>
        </w:rPr>
        <w:t>,</w:t>
      </w:r>
      <w:r w:rsidRPr="003A0AA2">
        <w:rPr>
          <w:lang w:eastAsia="en-AU"/>
        </w:rPr>
        <w:t xml:space="preserve"> and</w:t>
      </w:r>
    </w:p>
    <w:p w14:paraId="37DB1A7E" w14:textId="77777777" w:rsidR="002C53FF" w:rsidRDefault="002C53FF" w:rsidP="002C53FF">
      <w:pPr>
        <w:pStyle w:val="ListBullet"/>
        <w:rPr>
          <w:lang w:eastAsia="en-AU"/>
        </w:rPr>
      </w:pPr>
      <w:r w:rsidRPr="003A0AA2">
        <w:rPr>
          <w:lang w:eastAsia="en-AU"/>
        </w:rPr>
        <w:t xml:space="preserve">meet </w:t>
      </w:r>
      <w:r>
        <w:rPr>
          <w:lang w:eastAsia="en-AU"/>
        </w:rPr>
        <w:t xml:space="preserve">the required PBS </w:t>
      </w:r>
      <w:r w:rsidRPr="003A0AA2">
        <w:rPr>
          <w:lang w:eastAsia="en-AU"/>
        </w:rPr>
        <w:t>criteria.</w:t>
      </w:r>
    </w:p>
    <w:p w14:paraId="6B942D59" w14:textId="77777777" w:rsidR="002C53FF" w:rsidRPr="00214483" w:rsidRDefault="002C53FF" w:rsidP="002C53FF">
      <w:pPr>
        <w:rPr>
          <w:lang w:eastAsia="en-AU"/>
        </w:rPr>
      </w:pPr>
      <w:r>
        <w:rPr>
          <w:lang w:eastAsia="en-AU"/>
        </w:rPr>
        <w:t xml:space="preserve">The PBS access criteria are </w:t>
      </w:r>
      <w:proofErr w:type="gramStart"/>
      <w:r>
        <w:rPr>
          <w:lang w:eastAsia="en-AU"/>
        </w:rPr>
        <w:t>similar to</w:t>
      </w:r>
      <w:proofErr w:type="gramEnd"/>
      <w:r>
        <w:rPr>
          <w:lang w:eastAsia="en-AU"/>
        </w:rPr>
        <w:t xml:space="preserve"> the previous LSDP access criteria, but patients will no longer be required to complete 12 months of ERT before being eligible for PBS-subsidised access to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). </w:t>
      </w:r>
    </w:p>
    <w:p w14:paraId="2E9CA220" w14:textId="0DB41B19" w:rsidR="002C53FF" w:rsidRPr="003A0AA2" w:rsidRDefault="002C53FF" w:rsidP="002C53FF">
      <w:pPr>
        <w:pStyle w:val="Heading2"/>
        <w:rPr>
          <w:lang w:eastAsia="en-AU"/>
        </w:rPr>
      </w:pPr>
      <w:bookmarkStart w:id="2" w:name="_Hlk93050780"/>
      <w:r w:rsidRPr="003A0AA2">
        <w:rPr>
          <w:lang w:eastAsia="en-AU"/>
        </w:rPr>
        <w:lastRenderedPageBreak/>
        <w:t xml:space="preserve">How </w:t>
      </w:r>
      <w:r>
        <w:rPr>
          <w:lang w:eastAsia="en-AU"/>
        </w:rPr>
        <w:t>do I access migalastat (</w:t>
      </w:r>
      <w:proofErr w:type="spellStart"/>
      <w:r>
        <w:rPr>
          <w:lang w:eastAsia="en-AU"/>
        </w:rPr>
        <w:t>Galafold</w:t>
      </w:r>
      <w:proofErr w:type="spellEnd"/>
      <w:r w:rsidRPr="00F2468B">
        <w:rPr>
          <w:rStyle w:val="SuperscriptHeading2Char"/>
        </w:rPr>
        <w:t>®</w:t>
      </w:r>
      <w:r>
        <w:rPr>
          <w:lang w:eastAsia="en-AU"/>
        </w:rPr>
        <w:t>) through the PBS</w:t>
      </w:r>
      <w:r w:rsidRPr="003A0AA2">
        <w:rPr>
          <w:lang w:eastAsia="en-AU"/>
        </w:rPr>
        <w:t>?</w:t>
      </w:r>
      <w:bookmarkEnd w:id="2"/>
    </w:p>
    <w:p w14:paraId="4A046397" w14:textId="77777777" w:rsidR="002C53FF" w:rsidRDefault="002C53FF" w:rsidP="002C53FF">
      <w:pPr>
        <w:rPr>
          <w:lang w:eastAsia="en-AU"/>
        </w:rPr>
      </w:pPr>
      <w:r>
        <w:rPr>
          <w:lang w:eastAsia="en-AU"/>
        </w:rPr>
        <w:t>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 will be listed on the PBS as an Authority Required benefit. This means that your treating physician will need to have your prescription approved by </w:t>
      </w:r>
      <w:r w:rsidRPr="003A0AA2">
        <w:rPr>
          <w:lang w:eastAsia="en-AU"/>
        </w:rPr>
        <w:t>Services Australia</w:t>
      </w:r>
      <w:r>
        <w:rPr>
          <w:lang w:eastAsia="en-AU"/>
        </w:rPr>
        <w:t xml:space="preserve">. Generally, it </w:t>
      </w:r>
      <w:r w:rsidRPr="003A0AA2">
        <w:rPr>
          <w:lang w:eastAsia="en-AU"/>
        </w:rPr>
        <w:t>t</w:t>
      </w:r>
      <w:r w:rsidRPr="00566848">
        <w:rPr>
          <w:lang w:eastAsia="en-AU"/>
        </w:rPr>
        <w:t>ake</w:t>
      </w:r>
      <w:r>
        <w:rPr>
          <w:lang w:eastAsia="en-AU"/>
        </w:rPr>
        <w:t>s</w:t>
      </w:r>
      <w:r w:rsidRPr="00566848">
        <w:rPr>
          <w:lang w:eastAsia="en-AU"/>
        </w:rPr>
        <w:t xml:space="preserve"> </w:t>
      </w:r>
      <w:r>
        <w:t>1 to 2</w:t>
      </w:r>
      <w:r w:rsidRPr="00856485">
        <w:t xml:space="preserve"> weeks</w:t>
      </w:r>
      <w:r>
        <w:rPr>
          <w:i/>
          <w:iCs/>
        </w:rPr>
        <w:t xml:space="preserve"> </w:t>
      </w:r>
      <w:r>
        <w:rPr>
          <w:lang w:eastAsia="en-AU"/>
        </w:rPr>
        <w:t>for this process and for you to receive your approved Authority prescription</w:t>
      </w:r>
      <w:r w:rsidRPr="00566848">
        <w:rPr>
          <w:lang w:eastAsia="en-AU"/>
        </w:rPr>
        <w:t>.</w:t>
      </w:r>
      <w:r w:rsidRPr="003A0AA2">
        <w:rPr>
          <w:lang w:eastAsia="en-AU"/>
        </w:rPr>
        <w:t xml:space="preserve"> </w:t>
      </w:r>
    </w:p>
    <w:p w14:paraId="256D7A03" w14:textId="77777777" w:rsidR="002C53FF" w:rsidRDefault="002C53FF" w:rsidP="002C53FF">
      <w:pPr>
        <w:pStyle w:val="Heading2"/>
        <w:rPr>
          <w:lang w:eastAsia="en-AU"/>
        </w:rPr>
      </w:pPr>
      <w:r w:rsidRPr="003A0AA2">
        <w:rPr>
          <w:lang w:eastAsia="en-AU"/>
        </w:rPr>
        <w:t xml:space="preserve">How </w:t>
      </w:r>
      <w:r>
        <w:rPr>
          <w:lang w:eastAsia="en-AU"/>
        </w:rPr>
        <w:t>often do I need to get a prescription</w:t>
      </w:r>
      <w:r w:rsidRPr="003A0AA2">
        <w:rPr>
          <w:lang w:eastAsia="en-AU"/>
        </w:rPr>
        <w:t xml:space="preserve">? </w:t>
      </w:r>
    </w:p>
    <w:p w14:paraId="73EE9CFA" w14:textId="509CF572" w:rsidR="002C53FF" w:rsidRDefault="002C53FF" w:rsidP="002C53FF">
      <w:pPr>
        <w:rPr>
          <w:lang w:eastAsia="en-AU"/>
        </w:rPr>
      </w:pPr>
      <w:r>
        <w:rPr>
          <w:lang w:eastAsia="en-AU"/>
        </w:rPr>
        <w:t>If you are</w:t>
      </w:r>
      <w:r w:rsidRPr="003A0AA2">
        <w:rPr>
          <w:lang w:eastAsia="en-AU"/>
        </w:rPr>
        <w:t xml:space="preserve"> </w:t>
      </w:r>
      <w:r>
        <w:rPr>
          <w:lang w:eastAsia="en-AU"/>
        </w:rPr>
        <w:t>being treated with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 </w:t>
      </w:r>
      <w:r>
        <w:rPr>
          <w:color w:val="000000"/>
          <w:kern w:val="36"/>
          <w:lang w:eastAsia="en-AU"/>
        </w:rPr>
        <w:t xml:space="preserve">through the PBS, your treating physician can request quantity and repeats to allow up to </w:t>
      </w:r>
      <w:r>
        <w:rPr>
          <w:lang w:eastAsia="en-AU"/>
        </w:rPr>
        <w:t>6 months treatment per prescription. However, this may vary from patient to patient depending on how often your treating physician</w:t>
      </w:r>
      <w:r w:rsidDel="00DE367F">
        <w:rPr>
          <w:lang w:eastAsia="en-AU"/>
        </w:rPr>
        <w:t xml:space="preserve"> </w:t>
      </w:r>
      <w:r>
        <w:rPr>
          <w:lang w:eastAsia="en-AU"/>
        </w:rPr>
        <w:t>may wish to review your treatment.</w:t>
      </w:r>
    </w:p>
    <w:p w14:paraId="2409257F" w14:textId="77777777" w:rsidR="002C53FF" w:rsidRPr="003A0AA2" w:rsidRDefault="002C53FF" w:rsidP="002C53FF">
      <w:pPr>
        <w:pStyle w:val="Heading2"/>
        <w:rPr>
          <w:lang w:eastAsia="en-AU"/>
        </w:rPr>
      </w:pPr>
      <w:r w:rsidRPr="003A0AA2">
        <w:rPr>
          <w:lang w:eastAsia="en-AU"/>
        </w:rPr>
        <w:t>Will this</w:t>
      </w:r>
      <w:r>
        <w:rPr>
          <w:lang w:eastAsia="en-AU"/>
        </w:rPr>
        <w:t xml:space="preserve"> change</w:t>
      </w:r>
      <w:r w:rsidRPr="003A0AA2">
        <w:rPr>
          <w:lang w:eastAsia="en-AU"/>
        </w:rPr>
        <w:t xml:space="preserve"> affect my access </w:t>
      </w:r>
      <w:r>
        <w:rPr>
          <w:lang w:eastAsia="en-AU"/>
        </w:rPr>
        <w:t>to</w:t>
      </w:r>
      <w:r w:rsidRPr="003A0AA2">
        <w:rPr>
          <w:lang w:eastAsia="en-AU"/>
        </w:rPr>
        <w:t xml:space="preserve"> treatment? </w:t>
      </w:r>
    </w:p>
    <w:p w14:paraId="0DF04A96" w14:textId="791909E1" w:rsidR="002C53FF" w:rsidRPr="003A0AA2" w:rsidRDefault="002C53FF" w:rsidP="002C53FF">
      <w:pPr>
        <w:rPr>
          <w:lang w:eastAsia="en-AU"/>
        </w:rPr>
      </w:pPr>
      <w:r w:rsidRPr="003A0AA2">
        <w:rPr>
          <w:lang w:eastAsia="en-AU"/>
        </w:rPr>
        <w:t xml:space="preserve">There should be no impact to </w:t>
      </w:r>
      <w:r>
        <w:rPr>
          <w:lang w:eastAsia="en-AU"/>
        </w:rPr>
        <w:t>your</w:t>
      </w:r>
      <w:r w:rsidRPr="003A0AA2">
        <w:rPr>
          <w:lang w:eastAsia="en-AU"/>
        </w:rPr>
        <w:t xml:space="preserve"> </w:t>
      </w:r>
      <w:r>
        <w:rPr>
          <w:lang w:eastAsia="en-AU"/>
        </w:rPr>
        <w:t>a</w:t>
      </w:r>
      <w:r w:rsidRPr="003A0AA2">
        <w:rPr>
          <w:lang w:eastAsia="en-AU"/>
        </w:rPr>
        <w:t>ccess</w:t>
      </w:r>
      <w:r>
        <w:rPr>
          <w:lang w:eastAsia="en-AU"/>
        </w:rPr>
        <w:t xml:space="preserve"> to</w:t>
      </w:r>
      <w:r w:rsidRPr="003A0AA2">
        <w:rPr>
          <w:lang w:eastAsia="en-AU"/>
        </w:rPr>
        <w:t xml:space="preserve"> treatment. However, to ensure a smooth transition from LSDP to PBS supply, </w:t>
      </w:r>
      <w:r>
        <w:rPr>
          <w:lang w:eastAsia="en-AU"/>
        </w:rPr>
        <w:t xml:space="preserve">you </w:t>
      </w:r>
      <w:r w:rsidRPr="003A0AA2">
        <w:rPr>
          <w:lang w:eastAsia="en-AU"/>
        </w:rPr>
        <w:t xml:space="preserve">should schedule </w:t>
      </w:r>
      <w:r>
        <w:rPr>
          <w:lang w:eastAsia="en-AU"/>
        </w:rPr>
        <w:t>an</w:t>
      </w:r>
      <w:r w:rsidRPr="003A0AA2">
        <w:rPr>
          <w:lang w:eastAsia="en-AU"/>
        </w:rPr>
        <w:t xml:space="preserve"> appointment with </w:t>
      </w:r>
      <w:r>
        <w:rPr>
          <w:lang w:eastAsia="en-AU"/>
        </w:rPr>
        <w:t>your</w:t>
      </w:r>
      <w:r w:rsidRPr="003A0AA2">
        <w:rPr>
          <w:lang w:eastAsia="en-AU"/>
        </w:rPr>
        <w:t xml:space="preserve"> treating </w:t>
      </w:r>
      <w:r>
        <w:rPr>
          <w:lang w:eastAsia="en-AU"/>
        </w:rPr>
        <w:t>physician</w:t>
      </w:r>
      <w:r w:rsidRPr="003A0AA2">
        <w:rPr>
          <w:lang w:eastAsia="en-AU"/>
        </w:rPr>
        <w:t xml:space="preserve"> as soon as possible</w:t>
      </w:r>
      <w:r>
        <w:rPr>
          <w:lang w:eastAsia="en-AU"/>
        </w:rPr>
        <w:t xml:space="preserve"> on or</w:t>
      </w:r>
      <w:r w:rsidRPr="003A0AA2">
        <w:rPr>
          <w:lang w:eastAsia="en-AU"/>
        </w:rPr>
        <w:t xml:space="preserve"> </w:t>
      </w:r>
      <w:r w:rsidRPr="00263E82">
        <w:rPr>
          <w:lang w:eastAsia="en-AU"/>
        </w:rPr>
        <w:t xml:space="preserve">after </w:t>
      </w:r>
      <w:r w:rsidRPr="00F91EF2">
        <w:rPr>
          <w:lang w:eastAsia="en-AU"/>
        </w:rPr>
        <w:t>1 September 2024.</w:t>
      </w:r>
      <w:r w:rsidRPr="00263E82">
        <w:rPr>
          <w:lang w:eastAsia="en-AU"/>
        </w:rPr>
        <w:t xml:space="preserve"> If you are an existing LSDP patient, we will continue to supply your treatment </w:t>
      </w:r>
      <w:r>
        <w:rPr>
          <w:lang w:eastAsia="en-AU"/>
        </w:rPr>
        <w:t>through</w:t>
      </w:r>
      <w:r w:rsidRPr="00263E82">
        <w:rPr>
          <w:lang w:eastAsia="en-AU"/>
        </w:rPr>
        <w:t xml:space="preserve"> the LSDP</w:t>
      </w:r>
      <w:r>
        <w:rPr>
          <w:lang w:eastAsia="en-AU"/>
        </w:rPr>
        <w:t xml:space="preserve"> for up to 3 months</w:t>
      </w:r>
      <w:r w:rsidRPr="00263E82">
        <w:rPr>
          <w:lang w:eastAsia="en-AU"/>
        </w:rPr>
        <w:t xml:space="preserve"> </w:t>
      </w:r>
      <w:r>
        <w:rPr>
          <w:lang w:eastAsia="en-AU"/>
        </w:rPr>
        <w:t xml:space="preserve">(to 30 November 2024) </w:t>
      </w:r>
      <w:r w:rsidRPr="00263E82">
        <w:rPr>
          <w:lang w:eastAsia="en-AU"/>
        </w:rPr>
        <w:t>until you transition to the P</w:t>
      </w:r>
      <w:r>
        <w:rPr>
          <w:lang w:eastAsia="en-AU"/>
        </w:rPr>
        <w:t>BS.</w:t>
      </w:r>
    </w:p>
    <w:p w14:paraId="566A20FA" w14:textId="71678F0D" w:rsidR="002C53FF" w:rsidRDefault="002C53FF" w:rsidP="002C53FF">
      <w:r>
        <w:t>If you are a new patient seeking access to migalastat (</w:t>
      </w:r>
      <w:proofErr w:type="spellStart"/>
      <w:r>
        <w:t>Galafold</w:t>
      </w:r>
      <w:proofErr w:type="spellEnd"/>
      <w:r w:rsidRPr="002C53FF">
        <w:rPr>
          <w:vertAlign w:val="superscript"/>
        </w:rPr>
        <w:t>®</w:t>
      </w:r>
      <w:r>
        <w:t xml:space="preserve">), you should discuss this with your treating physician. If you are eligible, your treating physician can arrange a PBS prescription for you on or after </w:t>
      </w:r>
      <w:r w:rsidRPr="00EE5475">
        <w:t>1 September 2024</w:t>
      </w:r>
      <w:r w:rsidRPr="00052596">
        <w:t>.</w:t>
      </w:r>
    </w:p>
    <w:p w14:paraId="407FF169" w14:textId="77777777" w:rsidR="002C53FF" w:rsidRPr="003A0AA2" w:rsidRDefault="002C53FF" w:rsidP="002C53FF">
      <w:pPr>
        <w:pStyle w:val="Heading2"/>
        <w:rPr>
          <w:lang w:eastAsia="en-AU"/>
        </w:rPr>
      </w:pPr>
      <w:r>
        <w:rPr>
          <w:lang w:eastAsia="en-AU"/>
        </w:rPr>
        <w:t>I’m a current migalastat (</w:t>
      </w:r>
      <w:proofErr w:type="spellStart"/>
      <w:r>
        <w:rPr>
          <w:lang w:eastAsia="en-AU"/>
        </w:rPr>
        <w:t>Galafold</w:t>
      </w:r>
      <w:proofErr w:type="spellEnd"/>
      <w:r w:rsidRPr="00F2468B">
        <w:rPr>
          <w:rStyle w:val="SuperscriptHeading2Char"/>
        </w:rPr>
        <w:t>®</w:t>
      </w:r>
      <w:r>
        <w:rPr>
          <w:lang w:eastAsia="en-AU"/>
        </w:rPr>
        <w:t xml:space="preserve">) patient. </w:t>
      </w:r>
      <w:bookmarkStart w:id="3" w:name="Bookmark_1"/>
      <w:r w:rsidRPr="003A0AA2">
        <w:rPr>
          <w:lang w:eastAsia="en-AU"/>
        </w:rPr>
        <w:t xml:space="preserve">When does </w:t>
      </w:r>
      <w:r>
        <w:rPr>
          <w:lang w:eastAsia="en-AU"/>
        </w:rPr>
        <w:t xml:space="preserve">my </w:t>
      </w:r>
      <w:r w:rsidRPr="003A0AA2">
        <w:rPr>
          <w:lang w:eastAsia="en-AU"/>
        </w:rPr>
        <w:t>LSDP supply cease?</w:t>
      </w:r>
    </w:p>
    <w:bookmarkEnd w:id="3"/>
    <w:p w14:paraId="075D13C7" w14:textId="0428CFEA" w:rsidR="002C53FF" w:rsidRPr="00263E82" w:rsidRDefault="002C53FF" w:rsidP="002C53FF">
      <w:pPr>
        <w:rPr>
          <w:lang w:eastAsia="en-AU"/>
        </w:rPr>
      </w:pPr>
      <w:r>
        <w:rPr>
          <w:lang w:eastAsia="en-AU"/>
        </w:rPr>
        <w:t>If you are currently accessing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 for Fabry disease through the LSDP, you will have 3 months (from </w:t>
      </w:r>
      <w:r w:rsidRPr="00F91EF2">
        <w:rPr>
          <w:lang w:eastAsia="en-AU"/>
        </w:rPr>
        <w:t>1 September to 30 November 2024</w:t>
      </w:r>
      <w:r w:rsidRPr="00263E82">
        <w:rPr>
          <w:lang w:eastAsia="en-AU"/>
        </w:rPr>
        <w:t xml:space="preserve">) to arrange your transition to the PBS through your </w:t>
      </w:r>
      <w:r>
        <w:rPr>
          <w:lang w:eastAsia="en-AU"/>
        </w:rPr>
        <w:t>treating physician</w:t>
      </w:r>
      <w:r w:rsidRPr="00263E82">
        <w:rPr>
          <w:lang w:eastAsia="en-AU"/>
        </w:rPr>
        <w:t xml:space="preserve">. Supply </w:t>
      </w:r>
      <w:r>
        <w:rPr>
          <w:lang w:eastAsia="en-AU"/>
        </w:rPr>
        <w:t>through</w:t>
      </w:r>
      <w:r w:rsidRPr="00263E82">
        <w:rPr>
          <w:lang w:eastAsia="en-AU"/>
        </w:rPr>
        <w:t xml:space="preserve"> the LSDP will cease from </w:t>
      </w:r>
      <w:r w:rsidRPr="00F91EF2">
        <w:rPr>
          <w:lang w:eastAsia="en-AU"/>
        </w:rPr>
        <w:t>1 December 2024</w:t>
      </w:r>
      <w:r w:rsidRPr="00263E82">
        <w:rPr>
          <w:lang w:eastAsia="en-AU"/>
        </w:rPr>
        <w:t xml:space="preserve"> (or from the date of your transition to the PBS arrangements, whichever </w:t>
      </w:r>
      <w:r>
        <w:rPr>
          <w:lang w:eastAsia="en-AU"/>
        </w:rPr>
        <w:t>comes first</w:t>
      </w:r>
      <w:r w:rsidRPr="00263E82">
        <w:rPr>
          <w:lang w:eastAsia="en-AU"/>
        </w:rPr>
        <w:t xml:space="preserve">). </w:t>
      </w:r>
    </w:p>
    <w:p w14:paraId="18CC6979" w14:textId="77777777" w:rsidR="002C53FF" w:rsidRPr="00263E82" w:rsidRDefault="002C53FF" w:rsidP="002C53FF">
      <w:pPr>
        <w:pStyle w:val="Heading2"/>
        <w:rPr>
          <w:lang w:eastAsia="en-AU"/>
        </w:rPr>
      </w:pPr>
      <w:r w:rsidRPr="00263E82">
        <w:rPr>
          <w:lang w:eastAsia="en-AU"/>
        </w:rPr>
        <w:t>Is there a change to the cost?</w:t>
      </w:r>
    </w:p>
    <w:p w14:paraId="74F718ED" w14:textId="77777777" w:rsidR="002C53FF" w:rsidRDefault="002C53FF" w:rsidP="002C53FF">
      <w:r w:rsidRPr="00263E82">
        <w:t xml:space="preserve">Yes. </w:t>
      </w:r>
      <w:r>
        <w:t>If</w:t>
      </w:r>
      <w:r w:rsidRPr="00263E82">
        <w:t xml:space="preserve"> you are prescribed </w:t>
      </w:r>
      <w:r>
        <w:t>migalastat (</w:t>
      </w:r>
      <w:proofErr w:type="spellStart"/>
      <w:r>
        <w:t>Galafold</w:t>
      </w:r>
      <w:proofErr w:type="spellEnd"/>
      <w:r w:rsidRPr="002C53FF">
        <w:rPr>
          <w:vertAlign w:val="superscript"/>
        </w:rPr>
        <w:t>®</w:t>
      </w:r>
      <w:r>
        <w:t>) through the PBS,</w:t>
      </w:r>
      <w:r w:rsidRPr="00263E82">
        <w:t xml:space="preserve"> you will be required to pay </w:t>
      </w:r>
      <w:r>
        <w:t>a co-payment each time your prescription is dispensed</w:t>
      </w:r>
      <w:r w:rsidRPr="003A0AA2">
        <w:t>.</w:t>
      </w:r>
      <w:r>
        <w:t xml:space="preserve"> Current co-payments (in 2024) are </w:t>
      </w:r>
      <w:r w:rsidRPr="00263E82">
        <w:t>$</w:t>
      </w:r>
      <w:r>
        <w:t xml:space="preserve">31.60 for general patients, or </w:t>
      </w:r>
      <w:r w:rsidRPr="00263E82">
        <w:t>$</w:t>
      </w:r>
      <w:r>
        <w:t>7.7</w:t>
      </w:r>
      <w:r w:rsidRPr="00263E82">
        <w:t>0 if you have a concession card</w:t>
      </w:r>
      <w:r>
        <w:t xml:space="preserve">. This also means that your </w:t>
      </w:r>
      <w:r w:rsidRPr="00982EBE">
        <w:t xml:space="preserve">PBS prescriptions for migalastat </w:t>
      </w:r>
      <w:r>
        <w:t>(</w:t>
      </w:r>
      <w:proofErr w:type="spellStart"/>
      <w:r>
        <w:t>Galafold</w:t>
      </w:r>
      <w:proofErr w:type="spellEnd"/>
      <w:r w:rsidRPr="002C53FF">
        <w:rPr>
          <w:vertAlign w:val="superscript"/>
        </w:rPr>
        <w:t>®</w:t>
      </w:r>
      <w:r>
        <w:t xml:space="preserve">) </w:t>
      </w:r>
      <w:r w:rsidRPr="00982EBE">
        <w:t xml:space="preserve">will </w:t>
      </w:r>
      <w:r>
        <w:t>be counted</w:t>
      </w:r>
      <w:r w:rsidRPr="00982EBE">
        <w:t xml:space="preserve"> towards </w:t>
      </w:r>
      <w:r>
        <w:t xml:space="preserve">your or your family’s </w:t>
      </w:r>
      <w:hyperlink r:id="rId13" w:anchor="WhatisthePBSSafetyNet" w:history="1">
        <w:r w:rsidRPr="002C53FF">
          <w:rPr>
            <w:rStyle w:val="Hyperlink"/>
          </w:rPr>
          <w:t>PBS Safety Net</w:t>
        </w:r>
        <w:r w:rsidRPr="002C53FF">
          <w:t>.</w:t>
        </w:r>
      </w:hyperlink>
    </w:p>
    <w:p w14:paraId="4684315C" w14:textId="498B4F47" w:rsidR="002C53FF" w:rsidRPr="00EE5475" w:rsidRDefault="002C53FF" w:rsidP="002C53FF">
      <w:r w:rsidRPr="00EE5475">
        <w:t>When you reach the Safety Net threshold, you may pay the concessional co-payment for your medicines under the PBS for the rest of that calendar year if you are a general patient. Also, if you are</w:t>
      </w:r>
      <w:r w:rsidR="002D4A32">
        <w:t xml:space="preserve"> a</w:t>
      </w:r>
      <w:r w:rsidRPr="00EE5475">
        <w:t xml:space="preserve"> concessional patient, you may receive your medicines under the PBS free of charge for the rest of that calendar year.</w:t>
      </w:r>
    </w:p>
    <w:p w14:paraId="58667A9A" w14:textId="77777777" w:rsidR="002C53FF" w:rsidRPr="003A0AA2" w:rsidRDefault="002C53FF" w:rsidP="002C53FF">
      <w:pPr>
        <w:pStyle w:val="Heading2"/>
        <w:rPr>
          <w:lang w:eastAsia="en-AU"/>
        </w:rPr>
      </w:pPr>
      <w:r w:rsidRPr="003A0AA2">
        <w:rPr>
          <w:lang w:eastAsia="en-AU"/>
        </w:rPr>
        <w:lastRenderedPageBreak/>
        <w:t>Will my local pharmacy stock these medicines?</w:t>
      </w:r>
    </w:p>
    <w:p w14:paraId="6E7A3A2A" w14:textId="77777777" w:rsidR="002C53FF" w:rsidRDefault="002C53FF" w:rsidP="002C53FF">
      <w:pPr>
        <w:rPr>
          <w:lang w:eastAsia="en-AU"/>
        </w:rPr>
      </w:pPr>
      <w:r>
        <w:rPr>
          <w:lang w:eastAsia="en-AU"/>
        </w:rPr>
        <w:t xml:space="preserve">Yes. </w:t>
      </w:r>
      <w:r w:rsidRPr="00355737">
        <w:rPr>
          <w:lang w:eastAsia="en-AU"/>
        </w:rPr>
        <w:t xml:space="preserve">Approved pharmacists </w:t>
      </w:r>
      <w:proofErr w:type="gramStart"/>
      <w:r>
        <w:rPr>
          <w:lang w:eastAsia="en-AU"/>
        </w:rPr>
        <w:t xml:space="preserve">are </w:t>
      </w:r>
      <w:r w:rsidRPr="00355737">
        <w:rPr>
          <w:lang w:eastAsia="en-AU"/>
        </w:rPr>
        <w:t>able to</w:t>
      </w:r>
      <w:proofErr w:type="gramEnd"/>
      <w:r w:rsidRPr="00355737">
        <w:rPr>
          <w:lang w:eastAsia="en-AU"/>
        </w:rPr>
        <w:t xml:space="preserve"> dispense and supply </w:t>
      </w:r>
      <w:r>
        <w:rPr>
          <w:lang w:eastAsia="en-AU"/>
        </w:rPr>
        <w:t xml:space="preserve">all </w:t>
      </w:r>
      <w:r w:rsidRPr="00355737">
        <w:rPr>
          <w:lang w:eastAsia="en-AU"/>
        </w:rPr>
        <w:t>pharmaceutical benefits</w:t>
      </w:r>
      <w:r>
        <w:rPr>
          <w:lang w:eastAsia="en-AU"/>
        </w:rPr>
        <w:t xml:space="preserve"> including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>).</w:t>
      </w:r>
    </w:p>
    <w:p w14:paraId="62163D64" w14:textId="77777777" w:rsidR="002C53FF" w:rsidRPr="001C509A" w:rsidRDefault="002C53FF" w:rsidP="002C53FF">
      <w:pPr>
        <w:rPr>
          <w:lang w:eastAsia="en-AU"/>
        </w:rPr>
      </w:pPr>
      <w:r w:rsidRPr="00C77201">
        <w:rPr>
          <w:lang w:eastAsia="en-AU"/>
        </w:rPr>
        <w:t>Some pharmacies may only stock</w:t>
      </w:r>
      <w:r>
        <w:rPr>
          <w:lang w:eastAsia="en-AU"/>
        </w:rPr>
        <w:t xml:space="preserve"> certain</w:t>
      </w:r>
      <w:r w:rsidRPr="00C77201">
        <w:rPr>
          <w:lang w:eastAsia="en-AU"/>
        </w:rPr>
        <w:t xml:space="preserve"> medicines as needed or </w:t>
      </w:r>
      <w:r>
        <w:rPr>
          <w:lang w:eastAsia="en-AU"/>
        </w:rPr>
        <w:t xml:space="preserve">on an </w:t>
      </w:r>
      <w:r w:rsidRPr="00C77201">
        <w:rPr>
          <w:lang w:eastAsia="en-AU"/>
        </w:rPr>
        <w:t xml:space="preserve">individual patient </w:t>
      </w:r>
      <w:r w:rsidRPr="003E1AE3">
        <w:rPr>
          <w:lang w:eastAsia="en-AU"/>
        </w:rPr>
        <w:t>basis.</w:t>
      </w:r>
      <w:r>
        <w:rPr>
          <w:lang w:eastAsia="en-AU"/>
        </w:rPr>
        <w:t xml:space="preserve"> Your pharmacy may need to order migalastat (</w:t>
      </w:r>
      <w:proofErr w:type="spellStart"/>
      <w:r>
        <w:rPr>
          <w:lang w:eastAsia="en-AU"/>
        </w:rPr>
        <w:t>Galafold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>) for you.</w:t>
      </w:r>
      <w:r w:rsidRPr="003E1AE3">
        <w:rPr>
          <w:lang w:eastAsia="en-AU"/>
        </w:rPr>
        <w:t> </w:t>
      </w:r>
      <w:r>
        <w:rPr>
          <w:lang w:eastAsia="en-AU"/>
        </w:rPr>
        <w:t>We recommend that</w:t>
      </w:r>
      <w:r w:rsidRPr="003E1AE3">
        <w:rPr>
          <w:lang w:eastAsia="en-AU"/>
        </w:rPr>
        <w:t xml:space="preserve"> </w:t>
      </w:r>
      <w:r>
        <w:rPr>
          <w:lang w:eastAsia="en-AU"/>
        </w:rPr>
        <w:t>you</w:t>
      </w:r>
      <w:r w:rsidRPr="003E1AE3">
        <w:rPr>
          <w:lang w:eastAsia="en-AU"/>
        </w:rPr>
        <w:t xml:space="preserve"> </w:t>
      </w:r>
      <w:r>
        <w:rPr>
          <w:lang w:eastAsia="en-AU"/>
        </w:rPr>
        <w:t>contact</w:t>
      </w:r>
      <w:r w:rsidRPr="003E1AE3">
        <w:rPr>
          <w:lang w:eastAsia="en-AU"/>
        </w:rPr>
        <w:t xml:space="preserve"> </w:t>
      </w:r>
      <w:r>
        <w:rPr>
          <w:lang w:eastAsia="en-AU"/>
        </w:rPr>
        <w:t>your chosen</w:t>
      </w:r>
      <w:r w:rsidRPr="003E1AE3">
        <w:rPr>
          <w:lang w:eastAsia="en-AU"/>
        </w:rPr>
        <w:t xml:space="preserve"> pharmacy to confirm </w:t>
      </w:r>
      <w:r>
        <w:rPr>
          <w:lang w:eastAsia="en-AU"/>
        </w:rPr>
        <w:t xml:space="preserve">availability and ongoing </w:t>
      </w:r>
      <w:r w:rsidRPr="003E1AE3">
        <w:rPr>
          <w:lang w:eastAsia="en-AU"/>
        </w:rPr>
        <w:t>supply arrangements.</w:t>
      </w:r>
      <w:r>
        <w:rPr>
          <w:lang w:eastAsia="en-AU"/>
        </w:rPr>
        <w:t xml:space="preserve"> </w:t>
      </w:r>
    </w:p>
    <w:p w14:paraId="0A3E00F8" w14:textId="2CBCFD1B" w:rsidR="002C53FF" w:rsidRDefault="002C53FF" w:rsidP="002C53FF">
      <w:pPr>
        <w:pStyle w:val="Heading2"/>
        <w:rPr>
          <w:lang w:eastAsia="en-AU"/>
        </w:rPr>
      </w:pPr>
      <w:r w:rsidRPr="00A074D7">
        <w:rPr>
          <w:lang w:eastAsia="en-AU"/>
        </w:rPr>
        <w:t>I currently receive enzyme replacement therapy for Fabry disease through the LSDP. Are these medicines also moving to the PBS?</w:t>
      </w:r>
    </w:p>
    <w:p w14:paraId="2EC3E619" w14:textId="5067EF2E" w:rsidR="009040E9" w:rsidRPr="002C53FF" w:rsidRDefault="002C53FF" w:rsidP="002C53FF">
      <w:pPr>
        <w:rPr>
          <w:strike/>
          <w:lang w:eastAsia="en-AU"/>
        </w:rPr>
      </w:pPr>
      <w:r>
        <w:rPr>
          <w:lang w:eastAsia="en-AU"/>
        </w:rPr>
        <w:t xml:space="preserve">There are no changes to arrangements for accessing other Fabry disease medicines on the LSDP. </w:t>
      </w:r>
      <w:proofErr w:type="spellStart"/>
      <w:r>
        <w:rPr>
          <w:lang w:eastAsia="en-AU"/>
        </w:rPr>
        <w:t>Agalsidase</w:t>
      </w:r>
      <w:proofErr w:type="spellEnd"/>
      <w:r>
        <w:rPr>
          <w:lang w:eastAsia="en-AU"/>
        </w:rPr>
        <w:t xml:space="preserve"> alfa (</w:t>
      </w:r>
      <w:proofErr w:type="spellStart"/>
      <w:r>
        <w:rPr>
          <w:lang w:eastAsia="en-AU"/>
        </w:rPr>
        <w:t>Replagal</w:t>
      </w:r>
      <w:proofErr w:type="spellEnd"/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 xml:space="preserve">) and </w:t>
      </w:r>
      <w:proofErr w:type="spellStart"/>
      <w:r>
        <w:rPr>
          <w:lang w:eastAsia="en-AU"/>
        </w:rPr>
        <w:t>agalsidase</w:t>
      </w:r>
      <w:proofErr w:type="spellEnd"/>
      <w:r>
        <w:rPr>
          <w:lang w:eastAsia="en-AU"/>
        </w:rPr>
        <w:t xml:space="preserve"> beta (Fabrazyme</w:t>
      </w:r>
      <w:r w:rsidRPr="002C53FF">
        <w:rPr>
          <w:vertAlign w:val="superscript"/>
          <w:lang w:eastAsia="en-AU"/>
        </w:rPr>
        <w:t>®</w:t>
      </w:r>
      <w:r>
        <w:rPr>
          <w:lang w:eastAsia="en-AU"/>
        </w:rPr>
        <w:t>) will remain available through normal LSDP arrangements.</w:t>
      </w:r>
    </w:p>
    <w:sectPr w:rsidR="009040E9" w:rsidRPr="002C53FF" w:rsidSect="00B53987">
      <w:headerReference w:type="default" r:id="rId14"/>
      <w:footerReference w:type="default" r:id="rId15"/>
      <w:headerReference w:type="first" r:id="rId16"/>
      <w:footerReference w:type="first" r:id="rId17"/>
      <w:type w:val="continuous"/>
      <w:pgSz w:w="11906" w:h="16838"/>
      <w:pgMar w:top="1701" w:right="1418" w:bottom="1418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10AA87" w14:textId="77777777" w:rsidR="00742CE0" w:rsidRDefault="00742CE0" w:rsidP="006B56BB">
      <w:r>
        <w:separator/>
      </w:r>
    </w:p>
    <w:p w14:paraId="5A6ACA98" w14:textId="77777777" w:rsidR="00742CE0" w:rsidRDefault="00742CE0"/>
  </w:endnote>
  <w:endnote w:type="continuationSeparator" w:id="0">
    <w:p w14:paraId="4BDE4840" w14:textId="77777777" w:rsidR="00742CE0" w:rsidRDefault="00742CE0" w:rsidP="006B56BB">
      <w:r>
        <w:continuationSeparator/>
      </w:r>
    </w:p>
    <w:p w14:paraId="29869CC3" w14:textId="77777777" w:rsidR="00742CE0" w:rsidRDefault="00742CE0"/>
  </w:endnote>
  <w:endnote w:type="continuationNotice" w:id="1">
    <w:p w14:paraId="162BFF94" w14:textId="77777777" w:rsidR="00742CE0" w:rsidRDefault="00742CE0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6178B17" w14:textId="3FCEAA53" w:rsidR="00B53987" w:rsidRDefault="002D4A32" w:rsidP="002D4A32">
    <w:pPr>
      <w:pStyle w:val="Footer"/>
      <w:jc w:val="left"/>
    </w:pPr>
    <w:r>
      <w:t>Department of Health and Aged Care – New arrangements for migalastat (</w:t>
    </w:r>
    <w:proofErr w:type="spellStart"/>
    <w:r>
      <w:t>Galafold</w:t>
    </w:r>
    <w:proofErr w:type="spellEnd"/>
    <w:r w:rsidRPr="002D4A32">
      <w:rPr>
        <w:vertAlign w:val="superscript"/>
      </w:rPr>
      <w:t>®</w:t>
    </w:r>
    <w:r>
      <w:t xml:space="preserve">) for treatment of Fabry disease – information for patients </w:t>
    </w:r>
    <w:sdt>
      <w:sdtPr>
        <w:id w:val="-183903453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1</w:t>
        </w:r>
        <w:r w:rsidR="00B53987" w:rsidRPr="003D033A">
          <w:fldChar w:fldCharType="end"/>
        </w:r>
      </w:sdtContent>
    </w:sdt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65BE43" w14:textId="2BB5C138" w:rsidR="00B53987" w:rsidRDefault="00AA262B" w:rsidP="002D4A32">
    <w:pPr>
      <w:pStyle w:val="Footer"/>
      <w:jc w:val="left"/>
    </w:pPr>
    <w:r>
      <w:t xml:space="preserve">Department of Health and Aged Care </w:t>
    </w:r>
    <w:r w:rsidR="00B53987">
      <w:t xml:space="preserve">– </w:t>
    </w:r>
    <w:r w:rsidR="002D4A32">
      <w:t>New arrangements for migalastat (</w:t>
    </w:r>
    <w:proofErr w:type="spellStart"/>
    <w:r w:rsidR="002D4A32">
      <w:t>Galafold</w:t>
    </w:r>
    <w:proofErr w:type="spellEnd"/>
    <w:r w:rsidR="002D4A32" w:rsidRPr="002D4A32">
      <w:rPr>
        <w:vertAlign w:val="superscript"/>
      </w:rPr>
      <w:t>®</w:t>
    </w:r>
    <w:r w:rsidR="002D4A32">
      <w:t>) for treatment of Fabry disease – information for patients</w:t>
    </w:r>
    <w:sdt>
      <w:sdtPr>
        <w:id w:val="-178737789"/>
        <w:docPartObj>
          <w:docPartGallery w:val="Page Numbers (Bottom of Page)"/>
          <w:docPartUnique/>
        </w:docPartObj>
      </w:sdtPr>
      <w:sdtContent>
        <w:r w:rsidR="00B53987">
          <w:tab/>
        </w:r>
        <w:r w:rsidR="00B53987" w:rsidRPr="003D033A">
          <w:fldChar w:fldCharType="begin"/>
        </w:r>
        <w:r w:rsidR="00B53987" w:rsidRPr="003D033A">
          <w:instrText xml:space="preserve"> PAGE   \* MERGEFORMAT </w:instrText>
        </w:r>
        <w:r w:rsidR="00B53987" w:rsidRPr="003D033A">
          <w:fldChar w:fldCharType="separate"/>
        </w:r>
        <w:r w:rsidR="00B53987">
          <w:t>2</w:t>
        </w:r>
        <w:r w:rsidR="00B53987" w:rsidRPr="003D033A">
          <w:fldChar w:fldCharType="end"/>
        </w:r>
      </w:sdtContent>
    </w:sdt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A7D4E6D" w14:textId="77777777" w:rsidR="00742CE0" w:rsidRDefault="00742CE0" w:rsidP="006B56BB">
      <w:r>
        <w:separator/>
      </w:r>
    </w:p>
    <w:p w14:paraId="443687AF" w14:textId="77777777" w:rsidR="00742CE0" w:rsidRDefault="00742CE0"/>
  </w:footnote>
  <w:footnote w:type="continuationSeparator" w:id="0">
    <w:p w14:paraId="4FF76A88" w14:textId="77777777" w:rsidR="00742CE0" w:rsidRDefault="00742CE0" w:rsidP="006B56BB">
      <w:r>
        <w:continuationSeparator/>
      </w:r>
    </w:p>
    <w:p w14:paraId="61BEBCF2" w14:textId="77777777" w:rsidR="00742CE0" w:rsidRDefault="00742CE0"/>
  </w:footnote>
  <w:footnote w:type="continuationNotice" w:id="1">
    <w:p w14:paraId="1A35FEC7" w14:textId="77777777" w:rsidR="00742CE0" w:rsidRDefault="00742CE0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239976" w14:textId="098AC0AE" w:rsidR="008E0C77" w:rsidRDefault="008E0C77" w:rsidP="008E0C77">
    <w:pPr>
      <w:pStyle w:val="Headertext"/>
      <w:spacing w:after="180"/>
      <w:jc w:val="left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C98AE14" w14:textId="2B0E905B" w:rsidR="00B53987" w:rsidRDefault="00B53987">
    <w:pPr>
      <w:pStyle w:val="Header"/>
    </w:pPr>
    <w:r>
      <w:rPr>
        <w:noProof/>
        <w:lang w:eastAsia="en-AU"/>
      </w:rPr>
      <w:drawing>
        <wp:inline distT="0" distB="0" distL="0" distR="0" wp14:anchorId="68C4AEED" wp14:editId="10DCF004">
          <wp:extent cx="5759450" cy="941705"/>
          <wp:effectExtent l="0" t="0" r="6350" b="0"/>
          <wp:docPr id="3" name="Picture 3" descr="Australian Government Department of Health and Aged Care bann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Picture 6" descr="Australian Government Department of Health and Aged Care banner"/>
                  <pic:cNvPicPr/>
                </pic:nvPicPr>
                <pic:blipFill rotWithShape="1"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 t="-11037"/>
                  <a:stretch/>
                </pic:blipFill>
                <pic:spPr bwMode="auto">
                  <a:xfrm>
                    <a:off x="0" y="0"/>
                    <a:ext cx="5759450" cy="941705"/>
                  </a:xfrm>
                  <a:prstGeom prst="rect">
                    <a:avLst/>
                  </a:prstGeom>
                  <a:ln>
                    <a:noFill/>
                  </a:ln>
                  <a:extLst>
                    <a:ext uri="{53640926-AAD7-44D8-BBD7-CCE9431645EC}">
                      <a14:shadowObscured xmlns:a14="http://schemas.microsoft.com/office/drawing/2010/main"/>
                    </a:ext>
                  </a:extLst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9EA0D68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01C57EE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80"/>
    <w:multiLevelType w:val="singleLevel"/>
    <w:tmpl w:val="4DD2D666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3" w15:restartNumberingAfterBreak="0">
    <w:nsid w:val="FFFFFF81"/>
    <w:multiLevelType w:val="singleLevel"/>
    <w:tmpl w:val="B82AA00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4" w15:restartNumberingAfterBreak="0">
    <w:nsid w:val="FFFFFF82"/>
    <w:multiLevelType w:val="singleLevel"/>
    <w:tmpl w:val="1126434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5" w15:restartNumberingAfterBreak="0">
    <w:nsid w:val="FFFFFF83"/>
    <w:multiLevelType w:val="singleLevel"/>
    <w:tmpl w:val="FEBE606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6" w15:restartNumberingAfterBreak="0">
    <w:nsid w:val="FFFFFF88"/>
    <w:multiLevelType w:val="singleLevel"/>
    <w:tmpl w:val="1594553A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7" w15:restartNumberingAfterBreak="0">
    <w:nsid w:val="FFFFFF89"/>
    <w:multiLevelType w:val="singleLevel"/>
    <w:tmpl w:val="D752FC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8" w15:restartNumberingAfterBreak="0">
    <w:nsid w:val="03311526"/>
    <w:multiLevelType w:val="hybridMultilevel"/>
    <w:tmpl w:val="1A242556"/>
    <w:lvl w:ilvl="0" w:tplc="7E481060">
      <w:start w:val="1"/>
      <w:numFmt w:val="decimal"/>
      <w:pStyle w:val="Tablelistnumber"/>
      <w:lvlText w:val="%1."/>
      <w:lvlJc w:val="left"/>
      <w:pPr>
        <w:ind w:left="36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0A1D3ADF"/>
    <w:multiLevelType w:val="hybridMultilevel"/>
    <w:tmpl w:val="1AD4A19C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3363506"/>
    <w:multiLevelType w:val="hybridMultilevel"/>
    <w:tmpl w:val="9FEA7CEA"/>
    <w:lvl w:ilvl="0" w:tplc="B722292C">
      <w:start w:val="1"/>
      <w:numFmt w:val="bullet"/>
      <w:pStyle w:val="List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1EB23D3C"/>
    <w:multiLevelType w:val="hybridMultilevel"/>
    <w:tmpl w:val="D77C3A6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4E77DB8"/>
    <w:multiLevelType w:val="multilevel"/>
    <w:tmpl w:val="A21ECE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3" w15:restartNumberingAfterBreak="0">
    <w:nsid w:val="34CD50FD"/>
    <w:multiLevelType w:val="hybridMultilevel"/>
    <w:tmpl w:val="2EC6E5F4"/>
    <w:lvl w:ilvl="0" w:tplc="98DA49D4">
      <w:start w:val="1"/>
      <w:numFmt w:val="bullet"/>
      <w:pStyle w:val="ListNumber2"/>
      <w:lvlText w:val=""/>
      <w:lvlJc w:val="left"/>
      <w:pPr>
        <w:ind w:left="644" w:hanging="360"/>
      </w:pPr>
      <w:rPr>
        <w:rFonts w:ascii="Symbol" w:hAnsi="Symbol" w:hint="default"/>
        <w:color w:val="auto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14" w15:restartNumberingAfterBreak="0">
    <w:nsid w:val="4354390E"/>
    <w:multiLevelType w:val="hybridMultilevel"/>
    <w:tmpl w:val="221CF9CA"/>
    <w:lvl w:ilvl="0" w:tplc="6556FF0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Calibri" w:hAnsi="Calibri" w:hint="default"/>
      </w:rPr>
    </w:lvl>
    <w:lvl w:ilvl="1" w:tplc="B770D50E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Calibri" w:hAnsi="Calibri" w:hint="default"/>
      </w:rPr>
    </w:lvl>
    <w:lvl w:ilvl="2" w:tplc="D1AC3FE6">
      <w:start w:val="1"/>
      <w:numFmt w:val="bullet"/>
      <w:lvlText w:val=""/>
      <w:lvlJc w:val="left"/>
      <w:pPr>
        <w:tabs>
          <w:tab w:val="num" w:pos="2084"/>
        </w:tabs>
        <w:ind w:left="2084" w:hanging="284"/>
      </w:pPr>
      <w:rPr>
        <w:rFonts w:ascii="Symbol" w:hAnsi="Symbol" w:hint="default"/>
      </w:rPr>
    </w:lvl>
    <w:lvl w:ilvl="3" w:tplc="2E722BD4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Calibri" w:hAnsi="Calibri" w:hint="default"/>
      </w:rPr>
    </w:lvl>
    <w:lvl w:ilvl="4" w:tplc="CDB2B8BC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Calibri" w:hAnsi="Calibri" w:hint="default"/>
      </w:rPr>
    </w:lvl>
    <w:lvl w:ilvl="5" w:tplc="7D8CFA7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Calibri" w:hAnsi="Calibri" w:hint="default"/>
      </w:rPr>
    </w:lvl>
    <w:lvl w:ilvl="6" w:tplc="349224D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Calibri" w:hAnsi="Calibri" w:hint="default"/>
      </w:rPr>
    </w:lvl>
    <w:lvl w:ilvl="7" w:tplc="AD2E393C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Calibri" w:hAnsi="Calibri" w:hint="default"/>
      </w:rPr>
    </w:lvl>
    <w:lvl w:ilvl="8" w:tplc="22B27F6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Calibri" w:hAnsi="Calibri" w:hint="default"/>
      </w:rPr>
    </w:lvl>
  </w:abstractNum>
  <w:abstractNum w:abstractNumId="15" w15:restartNumberingAfterBreak="0">
    <w:nsid w:val="500A4EAD"/>
    <w:multiLevelType w:val="hybridMultilevel"/>
    <w:tmpl w:val="2654DC9E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1E0409D"/>
    <w:multiLevelType w:val="hybridMultilevel"/>
    <w:tmpl w:val="B9020172"/>
    <w:lvl w:ilvl="0" w:tplc="C4020892">
      <w:start w:val="1"/>
      <w:numFmt w:val="bullet"/>
      <w:pStyle w:val="ListNumber3"/>
      <w:lvlText w:val=""/>
      <w:lvlJc w:val="left"/>
      <w:pPr>
        <w:ind w:left="360" w:hanging="360"/>
      </w:pPr>
      <w:rPr>
        <w:rFonts w:ascii="Wingdings" w:hAnsi="Wingdings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8F41A2F"/>
    <w:multiLevelType w:val="hybridMultilevel"/>
    <w:tmpl w:val="50320C18"/>
    <w:lvl w:ilvl="0" w:tplc="0C09000F">
      <w:start w:val="1"/>
      <w:numFmt w:val="decimal"/>
      <w:lvlText w:val="%1."/>
      <w:lvlJc w:val="left"/>
      <w:pPr>
        <w:ind w:left="360" w:hanging="360"/>
      </w:pPr>
    </w:lvl>
    <w:lvl w:ilvl="1" w:tplc="0C090019" w:tentative="1">
      <w:start w:val="1"/>
      <w:numFmt w:val="lowerLetter"/>
      <w:lvlText w:val="%2."/>
      <w:lvlJc w:val="left"/>
      <w:pPr>
        <w:ind w:left="1080" w:hanging="360"/>
      </w:pPr>
    </w:lvl>
    <w:lvl w:ilvl="2" w:tplc="0C09001B" w:tentative="1">
      <w:start w:val="1"/>
      <w:numFmt w:val="lowerRoman"/>
      <w:lvlText w:val="%3."/>
      <w:lvlJc w:val="right"/>
      <w:pPr>
        <w:ind w:left="1800" w:hanging="180"/>
      </w:pPr>
    </w:lvl>
    <w:lvl w:ilvl="3" w:tplc="0C09000F" w:tentative="1">
      <w:start w:val="1"/>
      <w:numFmt w:val="decimal"/>
      <w:lvlText w:val="%4."/>
      <w:lvlJc w:val="left"/>
      <w:pPr>
        <w:ind w:left="2520" w:hanging="360"/>
      </w:pPr>
    </w:lvl>
    <w:lvl w:ilvl="4" w:tplc="0C090019" w:tentative="1">
      <w:start w:val="1"/>
      <w:numFmt w:val="lowerLetter"/>
      <w:lvlText w:val="%5."/>
      <w:lvlJc w:val="left"/>
      <w:pPr>
        <w:ind w:left="3240" w:hanging="360"/>
      </w:pPr>
    </w:lvl>
    <w:lvl w:ilvl="5" w:tplc="0C09001B" w:tentative="1">
      <w:start w:val="1"/>
      <w:numFmt w:val="lowerRoman"/>
      <w:lvlText w:val="%6."/>
      <w:lvlJc w:val="right"/>
      <w:pPr>
        <w:ind w:left="3960" w:hanging="180"/>
      </w:pPr>
    </w:lvl>
    <w:lvl w:ilvl="6" w:tplc="0C09000F" w:tentative="1">
      <w:start w:val="1"/>
      <w:numFmt w:val="decimal"/>
      <w:lvlText w:val="%7."/>
      <w:lvlJc w:val="left"/>
      <w:pPr>
        <w:ind w:left="4680" w:hanging="360"/>
      </w:pPr>
    </w:lvl>
    <w:lvl w:ilvl="7" w:tplc="0C090019" w:tentative="1">
      <w:start w:val="1"/>
      <w:numFmt w:val="lowerLetter"/>
      <w:lvlText w:val="%8."/>
      <w:lvlJc w:val="left"/>
      <w:pPr>
        <w:ind w:left="5400" w:hanging="360"/>
      </w:pPr>
    </w:lvl>
    <w:lvl w:ilvl="8" w:tplc="0C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6CF8287E"/>
    <w:multiLevelType w:val="hybridMultilevel"/>
    <w:tmpl w:val="A44C6632"/>
    <w:lvl w:ilvl="0" w:tplc="B6B6120E">
      <w:start w:val="1"/>
      <w:numFmt w:val="bullet"/>
      <w:pStyle w:val="Tablelist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7E391716"/>
    <w:multiLevelType w:val="hybridMultilevel"/>
    <w:tmpl w:val="DDBC3032"/>
    <w:lvl w:ilvl="0" w:tplc="F4C86310">
      <w:start w:val="1"/>
      <w:numFmt w:val="bullet"/>
      <w:pStyle w:val="ListBullet2"/>
      <w:lvlText w:val="o"/>
      <w:lvlJc w:val="left"/>
      <w:pPr>
        <w:ind w:left="1004" w:hanging="360"/>
      </w:pPr>
      <w:rPr>
        <w:rFonts w:ascii="Courier New" w:hAnsi="Courier New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num w:numId="1" w16cid:durableId="1835103499">
    <w:abstractNumId w:val="7"/>
  </w:num>
  <w:num w:numId="2" w16cid:durableId="1694376784">
    <w:abstractNumId w:val="16"/>
  </w:num>
  <w:num w:numId="3" w16cid:durableId="99111382">
    <w:abstractNumId w:val="18"/>
  </w:num>
  <w:num w:numId="4" w16cid:durableId="1851481786">
    <w:abstractNumId w:val="8"/>
  </w:num>
  <w:num w:numId="5" w16cid:durableId="210196529">
    <w:abstractNumId w:val="8"/>
    <w:lvlOverride w:ilvl="0">
      <w:startOverride w:val="1"/>
    </w:lvlOverride>
  </w:num>
  <w:num w:numId="6" w16cid:durableId="1810857969">
    <w:abstractNumId w:val="9"/>
  </w:num>
  <w:num w:numId="7" w16cid:durableId="1996758693">
    <w:abstractNumId w:val="14"/>
  </w:num>
  <w:num w:numId="8" w16cid:durableId="1674914654">
    <w:abstractNumId w:val="17"/>
  </w:num>
  <w:num w:numId="9" w16cid:durableId="474026350">
    <w:abstractNumId w:val="5"/>
  </w:num>
  <w:num w:numId="10" w16cid:durableId="219294836">
    <w:abstractNumId w:val="4"/>
  </w:num>
  <w:num w:numId="11" w16cid:durableId="1057047598">
    <w:abstractNumId w:val="3"/>
  </w:num>
  <w:num w:numId="12" w16cid:durableId="1872105819">
    <w:abstractNumId w:val="2"/>
  </w:num>
  <w:num w:numId="13" w16cid:durableId="1149253252">
    <w:abstractNumId w:val="6"/>
  </w:num>
  <w:num w:numId="14" w16cid:durableId="1025398335">
    <w:abstractNumId w:val="1"/>
  </w:num>
  <w:num w:numId="15" w16cid:durableId="1180704368">
    <w:abstractNumId w:val="0"/>
  </w:num>
  <w:num w:numId="16" w16cid:durableId="1236473037">
    <w:abstractNumId w:val="19"/>
  </w:num>
  <w:num w:numId="17" w16cid:durableId="1161384352">
    <w:abstractNumId w:val="10"/>
  </w:num>
  <w:num w:numId="18" w16cid:durableId="1115442587">
    <w:abstractNumId w:val="11"/>
  </w:num>
  <w:num w:numId="19" w16cid:durableId="913049504">
    <w:abstractNumId w:val="13"/>
  </w:num>
  <w:num w:numId="20" w16cid:durableId="1185171215">
    <w:abstractNumId w:val="10"/>
  </w:num>
  <w:num w:numId="21" w16cid:durableId="1306743019">
    <w:abstractNumId w:val="13"/>
  </w:num>
  <w:num w:numId="22" w16cid:durableId="1809544992">
    <w:abstractNumId w:val="19"/>
  </w:num>
  <w:num w:numId="23" w16cid:durableId="638191149">
    <w:abstractNumId w:val="16"/>
  </w:num>
  <w:num w:numId="24" w16cid:durableId="503975017">
    <w:abstractNumId w:val="18"/>
  </w:num>
  <w:num w:numId="25" w16cid:durableId="215359669">
    <w:abstractNumId w:val="8"/>
  </w:num>
  <w:num w:numId="26" w16cid:durableId="352608886">
    <w:abstractNumId w:val="15"/>
  </w:num>
  <w:num w:numId="27" w16cid:durableId="1896962094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stylePaneFormatFilter w:val="BF24" w:allStyles="0" w:customStyles="0" w:latentStyles="1" w:stylesInUse="0" w:headingStyles="1" w:numberingStyles="0" w:tableStyles="0" w:directFormattingOnRuns="1" w:directFormattingOnParagraphs="1" w:directFormattingOnNumbering="1" w:directFormattingOnTables="1" w:clearFormatting="1" w:top3HeadingStyles="1" w:visibleStyles="0" w:alternateStyleNames="1"/>
  <w:stylePaneSortMethod w:val="0000"/>
  <w:documentProtection w:formatting="1" w:enforcement="0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5097A"/>
    <w:rsid w:val="00003743"/>
    <w:rsid w:val="000047B4"/>
    <w:rsid w:val="00005712"/>
    <w:rsid w:val="00007FD8"/>
    <w:rsid w:val="000117F8"/>
    <w:rsid w:val="0001460F"/>
    <w:rsid w:val="00022629"/>
    <w:rsid w:val="00026139"/>
    <w:rsid w:val="00027601"/>
    <w:rsid w:val="00033321"/>
    <w:rsid w:val="000338E5"/>
    <w:rsid w:val="00033ECC"/>
    <w:rsid w:val="0003422F"/>
    <w:rsid w:val="00043DC0"/>
    <w:rsid w:val="00046FF0"/>
    <w:rsid w:val="00050176"/>
    <w:rsid w:val="00050342"/>
    <w:rsid w:val="00052596"/>
    <w:rsid w:val="00067456"/>
    <w:rsid w:val="00071506"/>
    <w:rsid w:val="0007154F"/>
    <w:rsid w:val="00081AB1"/>
    <w:rsid w:val="00090316"/>
    <w:rsid w:val="00093981"/>
    <w:rsid w:val="000B067A"/>
    <w:rsid w:val="000B1540"/>
    <w:rsid w:val="000B1E53"/>
    <w:rsid w:val="000B33FD"/>
    <w:rsid w:val="000B4ABA"/>
    <w:rsid w:val="000C4B16"/>
    <w:rsid w:val="000C50C3"/>
    <w:rsid w:val="000C5E14"/>
    <w:rsid w:val="000D21F6"/>
    <w:rsid w:val="000D4500"/>
    <w:rsid w:val="000D7AEA"/>
    <w:rsid w:val="000E2C66"/>
    <w:rsid w:val="000F123C"/>
    <w:rsid w:val="000F2FED"/>
    <w:rsid w:val="0010616D"/>
    <w:rsid w:val="00110478"/>
    <w:rsid w:val="0011711B"/>
    <w:rsid w:val="00117F8A"/>
    <w:rsid w:val="00121B9B"/>
    <w:rsid w:val="00122ADC"/>
    <w:rsid w:val="00130F59"/>
    <w:rsid w:val="00133EC0"/>
    <w:rsid w:val="00141CE5"/>
    <w:rsid w:val="00144908"/>
    <w:rsid w:val="00156D96"/>
    <w:rsid w:val="001571C7"/>
    <w:rsid w:val="00161094"/>
    <w:rsid w:val="0017665C"/>
    <w:rsid w:val="00177AD2"/>
    <w:rsid w:val="001815A8"/>
    <w:rsid w:val="001840FA"/>
    <w:rsid w:val="00190079"/>
    <w:rsid w:val="0019622E"/>
    <w:rsid w:val="001966A7"/>
    <w:rsid w:val="001A4627"/>
    <w:rsid w:val="001A4979"/>
    <w:rsid w:val="001B15D3"/>
    <w:rsid w:val="001B3443"/>
    <w:rsid w:val="001C0326"/>
    <w:rsid w:val="001C192F"/>
    <w:rsid w:val="001C3C42"/>
    <w:rsid w:val="001D7869"/>
    <w:rsid w:val="002026CD"/>
    <w:rsid w:val="002033FC"/>
    <w:rsid w:val="002044BB"/>
    <w:rsid w:val="00210B09"/>
    <w:rsid w:val="00210C9E"/>
    <w:rsid w:val="00211840"/>
    <w:rsid w:val="00220E5F"/>
    <w:rsid w:val="002212B5"/>
    <w:rsid w:val="00226668"/>
    <w:rsid w:val="00233809"/>
    <w:rsid w:val="00240046"/>
    <w:rsid w:val="0024797F"/>
    <w:rsid w:val="0025119E"/>
    <w:rsid w:val="00251269"/>
    <w:rsid w:val="002535C0"/>
    <w:rsid w:val="002579FE"/>
    <w:rsid w:val="0026311C"/>
    <w:rsid w:val="0026668C"/>
    <w:rsid w:val="00266AC1"/>
    <w:rsid w:val="0027178C"/>
    <w:rsid w:val="002719FA"/>
    <w:rsid w:val="00272668"/>
    <w:rsid w:val="0027330B"/>
    <w:rsid w:val="002803AD"/>
    <w:rsid w:val="00282052"/>
    <w:rsid w:val="002831A3"/>
    <w:rsid w:val="0028519E"/>
    <w:rsid w:val="002856A5"/>
    <w:rsid w:val="002872ED"/>
    <w:rsid w:val="002905C2"/>
    <w:rsid w:val="00295AF2"/>
    <w:rsid w:val="00295C91"/>
    <w:rsid w:val="00297151"/>
    <w:rsid w:val="002B20E6"/>
    <w:rsid w:val="002B42A3"/>
    <w:rsid w:val="002C0CDD"/>
    <w:rsid w:val="002C38C4"/>
    <w:rsid w:val="002C53FF"/>
    <w:rsid w:val="002D4A32"/>
    <w:rsid w:val="002E1A1D"/>
    <w:rsid w:val="002E4081"/>
    <w:rsid w:val="002E5B78"/>
    <w:rsid w:val="002F3AE3"/>
    <w:rsid w:val="0030464B"/>
    <w:rsid w:val="0030786C"/>
    <w:rsid w:val="003233DE"/>
    <w:rsid w:val="0032466B"/>
    <w:rsid w:val="003330EB"/>
    <w:rsid w:val="003415FD"/>
    <w:rsid w:val="003429F0"/>
    <w:rsid w:val="00345A82"/>
    <w:rsid w:val="0035097A"/>
    <w:rsid w:val="003540A4"/>
    <w:rsid w:val="00357BCC"/>
    <w:rsid w:val="00360E4E"/>
    <w:rsid w:val="00370AAA"/>
    <w:rsid w:val="00375F77"/>
    <w:rsid w:val="00381BBE"/>
    <w:rsid w:val="00382903"/>
    <w:rsid w:val="003846FF"/>
    <w:rsid w:val="003857D4"/>
    <w:rsid w:val="00385AD4"/>
    <w:rsid w:val="00387924"/>
    <w:rsid w:val="0039384D"/>
    <w:rsid w:val="00395C23"/>
    <w:rsid w:val="003A2E4F"/>
    <w:rsid w:val="003A4438"/>
    <w:rsid w:val="003A5013"/>
    <w:rsid w:val="003A5078"/>
    <w:rsid w:val="003A62DD"/>
    <w:rsid w:val="003A775A"/>
    <w:rsid w:val="003B213A"/>
    <w:rsid w:val="003B43AD"/>
    <w:rsid w:val="003C0FEC"/>
    <w:rsid w:val="003C2AC8"/>
    <w:rsid w:val="003D033A"/>
    <w:rsid w:val="003D17F9"/>
    <w:rsid w:val="003D2D88"/>
    <w:rsid w:val="003D41EA"/>
    <w:rsid w:val="003D4850"/>
    <w:rsid w:val="003D535A"/>
    <w:rsid w:val="003E5265"/>
    <w:rsid w:val="003F0955"/>
    <w:rsid w:val="003F5F4D"/>
    <w:rsid w:val="003F646F"/>
    <w:rsid w:val="00400F00"/>
    <w:rsid w:val="00404F8B"/>
    <w:rsid w:val="00405256"/>
    <w:rsid w:val="00410031"/>
    <w:rsid w:val="00415C81"/>
    <w:rsid w:val="00432378"/>
    <w:rsid w:val="00440D65"/>
    <w:rsid w:val="004435E6"/>
    <w:rsid w:val="00447E31"/>
    <w:rsid w:val="00453923"/>
    <w:rsid w:val="00454B9B"/>
    <w:rsid w:val="00457858"/>
    <w:rsid w:val="00460B0B"/>
    <w:rsid w:val="00461023"/>
    <w:rsid w:val="00462FAC"/>
    <w:rsid w:val="00464631"/>
    <w:rsid w:val="00464B79"/>
    <w:rsid w:val="00467BBF"/>
    <w:rsid w:val="0048593C"/>
    <w:rsid w:val="004867E2"/>
    <w:rsid w:val="004929A9"/>
    <w:rsid w:val="004A78D9"/>
    <w:rsid w:val="004C6BCF"/>
    <w:rsid w:val="004D58BF"/>
    <w:rsid w:val="004E4335"/>
    <w:rsid w:val="004F13EE"/>
    <w:rsid w:val="004F2022"/>
    <w:rsid w:val="004F7C05"/>
    <w:rsid w:val="00501C94"/>
    <w:rsid w:val="00506432"/>
    <w:rsid w:val="00506E82"/>
    <w:rsid w:val="0052051D"/>
    <w:rsid w:val="00545EE6"/>
    <w:rsid w:val="005550E7"/>
    <w:rsid w:val="005564FB"/>
    <w:rsid w:val="005572C7"/>
    <w:rsid w:val="005650ED"/>
    <w:rsid w:val="00575754"/>
    <w:rsid w:val="00581FBA"/>
    <w:rsid w:val="00591E20"/>
    <w:rsid w:val="00595408"/>
    <w:rsid w:val="00595E84"/>
    <w:rsid w:val="005A0C59"/>
    <w:rsid w:val="005A48EB"/>
    <w:rsid w:val="005A6CFB"/>
    <w:rsid w:val="005C5AEB"/>
    <w:rsid w:val="005E0A3F"/>
    <w:rsid w:val="005E6883"/>
    <w:rsid w:val="005E772F"/>
    <w:rsid w:val="005F4ECA"/>
    <w:rsid w:val="006041BE"/>
    <w:rsid w:val="006043C7"/>
    <w:rsid w:val="00624B52"/>
    <w:rsid w:val="00630794"/>
    <w:rsid w:val="00631DF4"/>
    <w:rsid w:val="00634175"/>
    <w:rsid w:val="006408AC"/>
    <w:rsid w:val="006511B6"/>
    <w:rsid w:val="00657FF8"/>
    <w:rsid w:val="00670D99"/>
    <w:rsid w:val="00670E2B"/>
    <w:rsid w:val="006734BB"/>
    <w:rsid w:val="0067697A"/>
    <w:rsid w:val="006821EB"/>
    <w:rsid w:val="006B2286"/>
    <w:rsid w:val="006B56BB"/>
    <w:rsid w:val="006C77A8"/>
    <w:rsid w:val="006D4098"/>
    <w:rsid w:val="006D7681"/>
    <w:rsid w:val="006D7B2E"/>
    <w:rsid w:val="006E02EA"/>
    <w:rsid w:val="006E0968"/>
    <w:rsid w:val="006E2AF6"/>
    <w:rsid w:val="00701275"/>
    <w:rsid w:val="00707F56"/>
    <w:rsid w:val="00713558"/>
    <w:rsid w:val="00720D08"/>
    <w:rsid w:val="007263B9"/>
    <w:rsid w:val="007334F8"/>
    <w:rsid w:val="007339CD"/>
    <w:rsid w:val="007359D8"/>
    <w:rsid w:val="007362D4"/>
    <w:rsid w:val="00742CE0"/>
    <w:rsid w:val="0076672A"/>
    <w:rsid w:val="00775E45"/>
    <w:rsid w:val="00776E74"/>
    <w:rsid w:val="00785169"/>
    <w:rsid w:val="007954AB"/>
    <w:rsid w:val="007A14C5"/>
    <w:rsid w:val="007A4A10"/>
    <w:rsid w:val="007B1760"/>
    <w:rsid w:val="007C1FDC"/>
    <w:rsid w:val="007C6D9C"/>
    <w:rsid w:val="007C7DDB"/>
    <w:rsid w:val="007D2CC7"/>
    <w:rsid w:val="007D673D"/>
    <w:rsid w:val="007E0FB8"/>
    <w:rsid w:val="007E4D09"/>
    <w:rsid w:val="007F2220"/>
    <w:rsid w:val="007F4B3E"/>
    <w:rsid w:val="008127AF"/>
    <w:rsid w:val="00812B46"/>
    <w:rsid w:val="00815700"/>
    <w:rsid w:val="008264EB"/>
    <w:rsid w:val="00826B8F"/>
    <w:rsid w:val="00831E8A"/>
    <w:rsid w:val="00835C76"/>
    <w:rsid w:val="008376E2"/>
    <w:rsid w:val="00843049"/>
    <w:rsid w:val="0085209B"/>
    <w:rsid w:val="00856B66"/>
    <w:rsid w:val="008601AC"/>
    <w:rsid w:val="00861A5F"/>
    <w:rsid w:val="008644AD"/>
    <w:rsid w:val="00865735"/>
    <w:rsid w:val="00865DDB"/>
    <w:rsid w:val="00867538"/>
    <w:rsid w:val="00873D90"/>
    <w:rsid w:val="00873FC8"/>
    <w:rsid w:val="00884C63"/>
    <w:rsid w:val="00885908"/>
    <w:rsid w:val="008864B7"/>
    <w:rsid w:val="0089677E"/>
    <w:rsid w:val="008A7438"/>
    <w:rsid w:val="008B1334"/>
    <w:rsid w:val="008B25C7"/>
    <w:rsid w:val="008C0278"/>
    <w:rsid w:val="008C24E9"/>
    <w:rsid w:val="008D0533"/>
    <w:rsid w:val="008D42CB"/>
    <w:rsid w:val="008D48C9"/>
    <w:rsid w:val="008D6381"/>
    <w:rsid w:val="008E0C77"/>
    <w:rsid w:val="008E625F"/>
    <w:rsid w:val="008F264D"/>
    <w:rsid w:val="009040E9"/>
    <w:rsid w:val="009074E1"/>
    <w:rsid w:val="009112F7"/>
    <w:rsid w:val="009122AF"/>
    <w:rsid w:val="00912D54"/>
    <w:rsid w:val="0091389F"/>
    <w:rsid w:val="009208F7"/>
    <w:rsid w:val="00921649"/>
    <w:rsid w:val="00922517"/>
    <w:rsid w:val="00922722"/>
    <w:rsid w:val="009261E6"/>
    <w:rsid w:val="009268E1"/>
    <w:rsid w:val="009271EE"/>
    <w:rsid w:val="009344AE"/>
    <w:rsid w:val="009344DE"/>
    <w:rsid w:val="00945E7F"/>
    <w:rsid w:val="009557C1"/>
    <w:rsid w:val="00960D6E"/>
    <w:rsid w:val="00974B59"/>
    <w:rsid w:val="0098340B"/>
    <w:rsid w:val="00986830"/>
    <w:rsid w:val="009924C3"/>
    <w:rsid w:val="00993102"/>
    <w:rsid w:val="009B1570"/>
    <w:rsid w:val="009C6F10"/>
    <w:rsid w:val="009D148F"/>
    <w:rsid w:val="009D3D70"/>
    <w:rsid w:val="009D6E31"/>
    <w:rsid w:val="009E6F7E"/>
    <w:rsid w:val="009E7A57"/>
    <w:rsid w:val="009F4803"/>
    <w:rsid w:val="009F4F6A"/>
    <w:rsid w:val="00A13EB5"/>
    <w:rsid w:val="00A16E36"/>
    <w:rsid w:val="00A24961"/>
    <w:rsid w:val="00A24B10"/>
    <w:rsid w:val="00A277EF"/>
    <w:rsid w:val="00A30E9B"/>
    <w:rsid w:val="00A4512D"/>
    <w:rsid w:val="00A50244"/>
    <w:rsid w:val="00A627D7"/>
    <w:rsid w:val="00A656C7"/>
    <w:rsid w:val="00A705AF"/>
    <w:rsid w:val="00A719F6"/>
    <w:rsid w:val="00A72454"/>
    <w:rsid w:val="00A77696"/>
    <w:rsid w:val="00A80557"/>
    <w:rsid w:val="00A81D33"/>
    <w:rsid w:val="00A8341C"/>
    <w:rsid w:val="00A930AE"/>
    <w:rsid w:val="00AA1A95"/>
    <w:rsid w:val="00AA260F"/>
    <w:rsid w:val="00AA262B"/>
    <w:rsid w:val="00AB1EE7"/>
    <w:rsid w:val="00AB4B37"/>
    <w:rsid w:val="00AB5762"/>
    <w:rsid w:val="00AC2679"/>
    <w:rsid w:val="00AC4BE4"/>
    <w:rsid w:val="00AD05E6"/>
    <w:rsid w:val="00AD0D3F"/>
    <w:rsid w:val="00AE1D7D"/>
    <w:rsid w:val="00AE2A8B"/>
    <w:rsid w:val="00AE3F64"/>
    <w:rsid w:val="00AF7386"/>
    <w:rsid w:val="00AF7934"/>
    <w:rsid w:val="00B00B81"/>
    <w:rsid w:val="00B04580"/>
    <w:rsid w:val="00B04B09"/>
    <w:rsid w:val="00B16A51"/>
    <w:rsid w:val="00B32222"/>
    <w:rsid w:val="00B3618D"/>
    <w:rsid w:val="00B36233"/>
    <w:rsid w:val="00B42851"/>
    <w:rsid w:val="00B45AC7"/>
    <w:rsid w:val="00B5372F"/>
    <w:rsid w:val="00B53987"/>
    <w:rsid w:val="00B61129"/>
    <w:rsid w:val="00B67E7F"/>
    <w:rsid w:val="00B839B2"/>
    <w:rsid w:val="00B94252"/>
    <w:rsid w:val="00B9715A"/>
    <w:rsid w:val="00BA14BE"/>
    <w:rsid w:val="00BA2732"/>
    <w:rsid w:val="00BA293D"/>
    <w:rsid w:val="00BA49BC"/>
    <w:rsid w:val="00BA56B7"/>
    <w:rsid w:val="00BA7A1E"/>
    <w:rsid w:val="00BB2F6C"/>
    <w:rsid w:val="00BB3875"/>
    <w:rsid w:val="00BB5860"/>
    <w:rsid w:val="00BB6AAD"/>
    <w:rsid w:val="00BC4A19"/>
    <w:rsid w:val="00BC4E6D"/>
    <w:rsid w:val="00BD0617"/>
    <w:rsid w:val="00BD2E9B"/>
    <w:rsid w:val="00BD7FB2"/>
    <w:rsid w:val="00C00930"/>
    <w:rsid w:val="00C060AD"/>
    <w:rsid w:val="00C113BF"/>
    <w:rsid w:val="00C2176E"/>
    <w:rsid w:val="00C23430"/>
    <w:rsid w:val="00C27D67"/>
    <w:rsid w:val="00C4631F"/>
    <w:rsid w:val="00C47CDE"/>
    <w:rsid w:val="00C50E16"/>
    <w:rsid w:val="00C55258"/>
    <w:rsid w:val="00C82EEB"/>
    <w:rsid w:val="00C971DC"/>
    <w:rsid w:val="00CA16B7"/>
    <w:rsid w:val="00CA62AE"/>
    <w:rsid w:val="00CB5B1A"/>
    <w:rsid w:val="00CC220B"/>
    <w:rsid w:val="00CC5C43"/>
    <w:rsid w:val="00CD02AE"/>
    <w:rsid w:val="00CD2A4F"/>
    <w:rsid w:val="00CE03CA"/>
    <w:rsid w:val="00CE22F1"/>
    <w:rsid w:val="00CE50F2"/>
    <w:rsid w:val="00CE6502"/>
    <w:rsid w:val="00CF7D3C"/>
    <w:rsid w:val="00D01F09"/>
    <w:rsid w:val="00D147EB"/>
    <w:rsid w:val="00D34667"/>
    <w:rsid w:val="00D401E1"/>
    <w:rsid w:val="00D408B4"/>
    <w:rsid w:val="00D524C8"/>
    <w:rsid w:val="00D65099"/>
    <w:rsid w:val="00D70E24"/>
    <w:rsid w:val="00D72B61"/>
    <w:rsid w:val="00DA3D1D"/>
    <w:rsid w:val="00DB6286"/>
    <w:rsid w:val="00DB645F"/>
    <w:rsid w:val="00DB76E9"/>
    <w:rsid w:val="00DC0A67"/>
    <w:rsid w:val="00DC1D5E"/>
    <w:rsid w:val="00DC5220"/>
    <w:rsid w:val="00DD2061"/>
    <w:rsid w:val="00DD7DAB"/>
    <w:rsid w:val="00DE3355"/>
    <w:rsid w:val="00DF0C60"/>
    <w:rsid w:val="00DF486F"/>
    <w:rsid w:val="00DF5B5B"/>
    <w:rsid w:val="00DF7619"/>
    <w:rsid w:val="00E042D8"/>
    <w:rsid w:val="00E07EE7"/>
    <w:rsid w:val="00E1103B"/>
    <w:rsid w:val="00E17B44"/>
    <w:rsid w:val="00E20F27"/>
    <w:rsid w:val="00E22443"/>
    <w:rsid w:val="00E25B1F"/>
    <w:rsid w:val="00E27FEA"/>
    <w:rsid w:val="00E4086F"/>
    <w:rsid w:val="00E42BCE"/>
    <w:rsid w:val="00E43B3C"/>
    <w:rsid w:val="00E50188"/>
    <w:rsid w:val="00E50BB3"/>
    <w:rsid w:val="00E515CB"/>
    <w:rsid w:val="00E52260"/>
    <w:rsid w:val="00E639B6"/>
    <w:rsid w:val="00E6434B"/>
    <w:rsid w:val="00E6463D"/>
    <w:rsid w:val="00E72E9B"/>
    <w:rsid w:val="00E850C3"/>
    <w:rsid w:val="00E87DF2"/>
    <w:rsid w:val="00E9462E"/>
    <w:rsid w:val="00EA470E"/>
    <w:rsid w:val="00EA47A7"/>
    <w:rsid w:val="00EA57EB"/>
    <w:rsid w:val="00EB3226"/>
    <w:rsid w:val="00EC213A"/>
    <w:rsid w:val="00EC7744"/>
    <w:rsid w:val="00ED0DAD"/>
    <w:rsid w:val="00ED0F46"/>
    <w:rsid w:val="00ED2373"/>
    <w:rsid w:val="00EE3E8A"/>
    <w:rsid w:val="00EF58B8"/>
    <w:rsid w:val="00EF6ECA"/>
    <w:rsid w:val="00F024E1"/>
    <w:rsid w:val="00F06C10"/>
    <w:rsid w:val="00F1096F"/>
    <w:rsid w:val="00F12589"/>
    <w:rsid w:val="00F12595"/>
    <w:rsid w:val="00F134D9"/>
    <w:rsid w:val="00F1403D"/>
    <w:rsid w:val="00F1463F"/>
    <w:rsid w:val="00F21302"/>
    <w:rsid w:val="00F2430D"/>
    <w:rsid w:val="00F2468B"/>
    <w:rsid w:val="00F321DE"/>
    <w:rsid w:val="00F33777"/>
    <w:rsid w:val="00F40648"/>
    <w:rsid w:val="00F47DA2"/>
    <w:rsid w:val="00F519FC"/>
    <w:rsid w:val="00F6239D"/>
    <w:rsid w:val="00F715D2"/>
    <w:rsid w:val="00F7274F"/>
    <w:rsid w:val="00F74E84"/>
    <w:rsid w:val="00F76FA8"/>
    <w:rsid w:val="00F93F08"/>
    <w:rsid w:val="00F94CED"/>
    <w:rsid w:val="00FA02BB"/>
    <w:rsid w:val="00FA2CEE"/>
    <w:rsid w:val="00FA318C"/>
    <w:rsid w:val="00FB6F92"/>
    <w:rsid w:val="00FC026E"/>
    <w:rsid w:val="00FC5124"/>
    <w:rsid w:val="00FD4731"/>
    <w:rsid w:val="00FD6768"/>
    <w:rsid w:val="00FF0AB0"/>
    <w:rsid w:val="00FF28AC"/>
    <w:rsid w:val="00FF777D"/>
    <w:rsid w:val="00FF7F6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0BBEAB15"/>
  <w15:docId w15:val="{103FAB4C-9057-4299-A961-4C80D268FD5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heading 1" w:qFormat="1"/>
    <w:lsdException w:name="heading 2" w:qFormat="1"/>
    <w:lsdException w:name="heading 3" w:qFormat="1"/>
    <w:lsdException w:name="heading 4" w:qFormat="1"/>
    <w:lsdException w:name="heading 7" w:semiHidden="1" w:unhideWhenUsed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iPriority="99" w:unhideWhenUsed="1"/>
    <w:lsdException w:name="header" w:semiHidden="1" w:unhideWhenUsed="1" w:qFormat="1"/>
    <w:lsdException w:name="footer" w:semiHidden="1" w:uiPriority="99" w:unhideWhenUsed="1" w:qFormat="1"/>
    <w:lsdException w:name="index heading" w:semiHidden="1" w:unhideWhenUsed="1"/>
    <w:lsdException w:name="caption" w:semiHidden="1" w:unhideWhenUsed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 w:qFormat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 w:qFormat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 w:qFormat="1"/>
    <w:lsdException w:name="FollowedHyperlink" w:semiHidden="1" w:unhideWhenUsed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semiHidden="1" w:unhideWhenUsed="1"/>
    <w:lsdException w:name="Table Theme" w:locked="1" w:semiHidden="1" w:unhideWhenUsed="1"/>
    <w:lsdException w:name="Placeholder Text" w:semiHidden="1" w:uiPriority="99"/>
    <w:lsdException w:name="No Spacing" w:uiPriority="1"/>
    <w:lsdException w:name="Light Shading" w:locked="1" w:uiPriority="60"/>
    <w:lsdException w:name="Light List" w:locked="1" w:uiPriority="61"/>
    <w:lsdException w:name="Light Grid" w:locked="1" w:uiPriority="62"/>
    <w:lsdException w:name="Medium Shading 1" w:locked="1" w:uiPriority="63"/>
    <w:lsdException w:name="Medium Shading 2" w:locked="1" w:uiPriority="64"/>
    <w:lsdException w:name="Medium List 1" w:locked="1" w:uiPriority="65"/>
    <w:lsdException w:name="Medium List 2" w:locked="1" w:uiPriority="66"/>
    <w:lsdException w:name="Medium Grid 1" w:locked="1" w:uiPriority="67"/>
    <w:lsdException w:name="Medium Grid 2" w:locked="1" w:uiPriority="68"/>
    <w:lsdException w:name="Medium Grid 3" w:locked="1" w:uiPriority="69"/>
    <w:lsdException w:name="Dark List" w:locked="1" w:uiPriority="70"/>
    <w:lsdException w:name="Colorful Shading" w:locked="1" w:uiPriority="71"/>
    <w:lsdException w:name="Colorful List" w:locked="1" w:uiPriority="72"/>
    <w:lsdException w:name="Colorful Grid" w:locked="1" w:uiPriority="73"/>
    <w:lsdException w:name="Light Shading Accent 1" w:locked="1" w:uiPriority="60"/>
    <w:lsdException w:name="Light List Accent 1" w:locked="1" w:uiPriority="61"/>
    <w:lsdException w:name="Light Grid Accent 1" w:locked="1" w:uiPriority="62"/>
    <w:lsdException w:name="Medium Shading 1 Accent 1" w:locked="1" w:uiPriority="63"/>
    <w:lsdException w:name="Medium Shading 2 Accent 1" w:locked="1" w:uiPriority="64"/>
    <w:lsdException w:name="Medium List 1 Accent 1" w:locked="1" w:uiPriority="65"/>
    <w:lsdException w:name="Revision" w:semiHidden="1" w:uiPriority="99"/>
    <w:lsdException w:name="List Paragraph" w:uiPriority="34"/>
    <w:lsdException w:name="Quote" w:uiPriority="29" w:qFormat="1"/>
    <w:lsdException w:name="Intense Quote" w:uiPriority="30" w:qFormat="1"/>
    <w:lsdException w:name="Medium List 2 Accent 1" w:locked="1" w:uiPriority="66"/>
    <w:lsdException w:name="Medium Grid 1 Accent 1" w:locked="1" w:uiPriority="67"/>
    <w:lsdException w:name="Medium Grid 2 Accent 1" w:locked="1" w:uiPriority="68"/>
    <w:lsdException w:name="Medium Grid 3 Accent 1" w:locked="1" w:uiPriority="69"/>
    <w:lsdException w:name="Dark List Accent 1" w:locked="1" w:uiPriority="70"/>
    <w:lsdException w:name="Colorful Shading Accent 1" w:locked="1" w:uiPriority="71"/>
    <w:lsdException w:name="Colorful List Accent 1" w:locked="1" w:uiPriority="72"/>
    <w:lsdException w:name="Colorful Grid Accent 1" w:locked="1" w:uiPriority="73"/>
    <w:lsdException w:name="Light Shading Accent 2" w:locked="1" w:uiPriority="60"/>
    <w:lsdException w:name="Light List Accent 2" w:locked="1" w:uiPriority="61"/>
    <w:lsdException w:name="Light Grid Accent 2" w:locked="1" w:uiPriority="62"/>
    <w:lsdException w:name="Medium Shading 1 Accent 2" w:locked="1" w:uiPriority="63"/>
    <w:lsdException w:name="Medium Shading 2 Accent 2" w:locked="1" w:uiPriority="64"/>
    <w:lsdException w:name="Medium List 1 Accent 2" w:locked="1" w:uiPriority="65"/>
    <w:lsdException w:name="Medium List 2 Accent 2" w:locked="1" w:uiPriority="66"/>
    <w:lsdException w:name="Medium Grid 1 Accent 2" w:locked="1" w:uiPriority="67"/>
    <w:lsdException w:name="Medium Grid 2 Accent 2" w:locked="1" w:uiPriority="68"/>
    <w:lsdException w:name="Medium Grid 3 Accent 2" w:locked="1" w:uiPriority="69"/>
    <w:lsdException w:name="Dark List Accent 2" w:locked="1" w:uiPriority="70"/>
    <w:lsdException w:name="Colorful Shading Accent 2" w:locked="1" w:uiPriority="71"/>
    <w:lsdException w:name="Colorful List Accent 2" w:locked="1" w:uiPriority="72"/>
    <w:lsdException w:name="Colorful Grid Accent 2" w:locked="1" w:uiPriority="73"/>
    <w:lsdException w:name="Light Shading Accent 3" w:locked="1" w:uiPriority="60"/>
    <w:lsdException w:name="Light List Accent 3" w:locked="1" w:uiPriority="61"/>
    <w:lsdException w:name="Light Grid Accent 3" w:locked="1" w:uiPriority="62"/>
    <w:lsdException w:name="Medium Shading 1 Accent 3" w:locked="1" w:uiPriority="63"/>
    <w:lsdException w:name="Medium Shading 2 Accent 3" w:locked="1" w:uiPriority="64"/>
    <w:lsdException w:name="Medium List 1 Accent 3" w:locked="1" w:uiPriority="65"/>
    <w:lsdException w:name="Medium List 2 Accent 3" w:locked="1" w:uiPriority="66"/>
    <w:lsdException w:name="Medium Grid 1 Accent 3" w:locked="1" w:uiPriority="67"/>
    <w:lsdException w:name="Medium Grid 2 Accent 3" w:locked="1" w:uiPriority="68"/>
    <w:lsdException w:name="Medium Grid 3 Accent 3" w:locked="1" w:uiPriority="69"/>
    <w:lsdException w:name="Dark List Accent 3" w:locked="1" w:uiPriority="70"/>
    <w:lsdException w:name="Colorful Shading Accent 3" w:locked="1" w:uiPriority="71"/>
    <w:lsdException w:name="Colorful List Accent 3" w:locked="1" w:uiPriority="72"/>
    <w:lsdException w:name="Colorful Grid Accent 3" w:locked="1" w:uiPriority="73"/>
    <w:lsdException w:name="Light Shading Accent 4" w:locked="1" w:uiPriority="60"/>
    <w:lsdException w:name="Light List Accent 4" w:locked="1" w:uiPriority="61"/>
    <w:lsdException w:name="Light Grid Accent 4" w:locked="1" w:uiPriority="62"/>
    <w:lsdException w:name="Medium Shading 1 Accent 4" w:locked="1" w:uiPriority="63"/>
    <w:lsdException w:name="Medium Shading 2 Accent 4" w:locked="1" w:uiPriority="64"/>
    <w:lsdException w:name="Medium List 1 Accent 4" w:locked="1" w:uiPriority="65"/>
    <w:lsdException w:name="Medium List 2 Accent 4" w:locked="1" w:uiPriority="66"/>
    <w:lsdException w:name="Medium Grid 1 Accent 4" w:locked="1" w:uiPriority="67"/>
    <w:lsdException w:name="Medium Grid 2 Accent 4" w:locked="1" w:uiPriority="68"/>
    <w:lsdException w:name="Medium Grid 3 Accent 4" w:locked="1" w:uiPriority="69"/>
    <w:lsdException w:name="Dark List Accent 4" w:locked="1" w:uiPriority="70"/>
    <w:lsdException w:name="Colorful Shading Accent 4" w:locked="1" w:uiPriority="71"/>
    <w:lsdException w:name="Colorful List Accent 4" w:locked="1" w:uiPriority="72"/>
    <w:lsdException w:name="Colorful Grid Accent 4" w:locked="1" w:uiPriority="73"/>
    <w:lsdException w:name="Light Shading Accent 5" w:locked="1" w:uiPriority="60"/>
    <w:lsdException w:name="Light List Accent 5" w:locked="1" w:uiPriority="61"/>
    <w:lsdException w:name="Light Grid Accent 5" w:locked="1" w:uiPriority="62"/>
    <w:lsdException w:name="Medium Shading 1 Accent 5" w:locked="1" w:uiPriority="63"/>
    <w:lsdException w:name="Medium Shading 2 Accent 5" w:locked="1" w:uiPriority="64"/>
    <w:lsdException w:name="Medium List 1 Accent 5" w:locked="1" w:uiPriority="65"/>
    <w:lsdException w:name="Medium List 2 Accent 5" w:locked="1" w:uiPriority="66"/>
    <w:lsdException w:name="Medium Grid 1 Accent 5" w:locked="1" w:uiPriority="67"/>
    <w:lsdException w:name="Medium Grid 2 Accent 5" w:locked="1" w:uiPriority="68"/>
    <w:lsdException w:name="Medium Grid 3 Accent 5" w:locked="1" w:uiPriority="69"/>
    <w:lsdException w:name="Dark List Accent 5" w:locked="1" w:uiPriority="70"/>
    <w:lsdException w:name="Colorful Shading Accent 5" w:locked="1" w:uiPriority="71"/>
    <w:lsdException w:name="Colorful List Accent 5" w:locked="1" w:uiPriority="72"/>
    <w:lsdException w:name="Colorful Grid Accent 5" w:locked="1" w:uiPriority="73"/>
    <w:lsdException w:name="Light Shading Accent 6" w:locked="1" w:uiPriority="60"/>
    <w:lsdException w:name="Light List Accent 6" w:locked="1" w:uiPriority="61"/>
    <w:lsdException w:name="Light Grid Accent 6" w:locked="1" w:uiPriority="62"/>
    <w:lsdException w:name="Medium Shading 1 Accent 6" w:locked="1" w:uiPriority="63"/>
    <w:lsdException w:name="Medium Shading 2 Accent 6" w:locked="1" w:uiPriority="64"/>
    <w:lsdException w:name="Medium List 1 Accent 6" w:locked="1" w:uiPriority="65"/>
    <w:lsdException w:name="Medium List 2 Accent 6" w:locked="1" w:uiPriority="66"/>
    <w:lsdException w:name="Medium Grid 1 Accent 6" w:locked="1" w:uiPriority="67"/>
    <w:lsdException w:name="Medium Grid 2 Accent 6" w:locked="1" w:uiPriority="68"/>
    <w:lsdException w:name="Medium Grid 3 Accent 6" w:locked="1" w:uiPriority="69"/>
    <w:lsdException w:name="Dark List Accent 6" w:locked="1" w:uiPriority="70"/>
    <w:lsdException w:name="Colorful Shading Accent 6" w:locked="1" w:uiPriority="71"/>
    <w:lsdException w:name="Colorful List Accent 6" w:locked="1" w:uiPriority="72"/>
    <w:lsdException w:name="Colorful Grid Accent 6" w:locked="1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rsid w:val="00F2468B"/>
    <w:pPr>
      <w:spacing w:before="120" w:after="120" w:line="276" w:lineRule="auto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Heading1">
    <w:name w:val="heading 1"/>
    <w:next w:val="Normal"/>
    <w:link w:val="Heading1Char"/>
    <w:qFormat/>
    <w:rsid w:val="00F2468B"/>
    <w:pPr>
      <w:keepNext/>
      <w:spacing w:before="240" w:after="60"/>
      <w:ind w:right="624"/>
      <w:outlineLvl w:val="0"/>
    </w:pPr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paragraph" w:styleId="Heading2">
    <w:name w:val="heading 2"/>
    <w:next w:val="Normal"/>
    <w:link w:val="Heading2Char"/>
    <w:qFormat/>
    <w:rsid w:val="00A719F6"/>
    <w:pPr>
      <w:keepNext/>
      <w:spacing w:before="240" w:after="60"/>
      <w:outlineLvl w:val="1"/>
    </w:pPr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paragraph" w:styleId="Heading3">
    <w:name w:val="heading 3"/>
    <w:next w:val="Normal"/>
    <w:qFormat/>
    <w:rsid w:val="00052596"/>
    <w:pPr>
      <w:keepNext/>
      <w:spacing w:before="180" w:after="60"/>
      <w:outlineLvl w:val="2"/>
    </w:pPr>
    <w:rPr>
      <w:rFonts w:ascii="Arial" w:hAnsi="Arial" w:cs="Arial"/>
      <w:b/>
      <w:bCs/>
      <w:color w:val="358189"/>
      <w:sz w:val="24"/>
      <w:szCs w:val="26"/>
      <w:lang w:eastAsia="en-US"/>
    </w:rPr>
  </w:style>
  <w:style w:type="paragraph" w:styleId="Heading4">
    <w:name w:val="heading 4"/>
    <w:next w:val="Normal"/>
    <w:qFormat/>
    <w:rsid w:val="00A719F6"/>
    <w:pPr>
      <w:keepNext/>
      <w:spacing w:before="240" w:after="60"/>
      <w:outlineLvl w:val="3"/>
    </w:pPr>
    <w:rPr>
      <w:rFonts w:ascii="Arial" w:hAnsi="Arial"/>
      <w:b/>
      <w:bCs/>
      <w:i/>
      <w:color w:val="358189" w:themeColor="accent2"/>
      <w:sz w:val="28"/>
      <w:szCs w:val="28"/>
      <w:lang w:eastAsia="en-US"/>
    </w:rPr>
  </w:style>
  <w:style w:type="paragraph" w:styleId="Heading5">
    <w:name w:val="heading 5"/>
    <w:next w:val="Normal"/>
    <w:rsid w:val="00A719F6"/>
    <w:pPr>
      <w:keepNext/>
      <w:spacing w:before="240" w:after="60"/>
      <w:outlineLvl w:val="4"/>
    </w:pPr>
    <w:rPr>
      <w:rFonts w:ascii="Arial" w:hAnsi="Arial"/>
      <w:b/>
      <w:bCs/>
      <w:iCs/>
      <w:color w:val="358189" w:themeColor="accent2"/>
      <w:sz w:val="24"/>
      <w:szCs w:val="26"/>
      <w:lang w:eastAsia="en-US"/>
    </w:rPr>
  </w:style>
  <w:style w:type="paragraph" w:styleId="Heading6">
    <w:name w:val="heading 6"/>
    <w:next w:val="Normal"/>
    <w:rsid w:val="00A719F6"/>
    <w:pPr>
      <w:keepNext/>
      <w:spacing w:before="240" w:after="60"/>
      <w:outlineLvl w:val="5"/>
    </w:pPr>
    <w:rPr>
      <w:rFonts w:ascii="Arial" w:hAnsi="Arial"/>
      <w:b/>
      <w:bCs/>
      <w:sz w:val="22"/>
      <w:szCs w:val="22"/>
      <w:lang w:eastAsia="en-US"/>
    </w:rPr>
  </w:style>
  <w:style w:type="paragraph" w:styleId="Heading7">
    <w:name w:val="heading 7"/>
    <w:next w:val="Normal"/>
    <w:link w:val="Heading7Char"/>
    <w:semiHidden/>
    <w:unhideWhenUsed/>
    <w:rsid w:val="00A719F6"/>
    <w:pPr>
      <w:keepNext/>
      <w:keepLines/>
      <w:spacing w:before="40"/>
      <w:outlineLvl w:val="6"/>
    </w:pPr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Emphasis">
    <w:name w:val="Emphasis"/>
    <w:basedOn w:val="DefaultParagraphFont"/>
    <w:rsid w:val="00A719F6"/>
    <w:rPr>
      <w:i/>
      <w:iCs/>
    </w:rPr>
  </w:style>
  <w:style w:type="character" w:styleId="Strong">
    <w:name w:val="Strong"/>
    <w:basedOn w:val="DefaultParagraphFont"/>
    <w:rsid w:val="00A719F6"/>
    <w:rPr>
      <w:b/>
      <w:bCs/>
    </w:rPr>
  </w:style>
  <w:style w:type="paragraph" w:styleId="Subtitle">
    <w:name w:val="Subtitle"/>
    <w:next w:val="Normal"/>
    <w:link w:val="SubtitleChar"/>
    <w:qFormat/>
    <w:rsid w:val="00A719F6"/>
    <w:pPr>
      <w:numPr>
        <w:ilvl w:val="1"/>
      </w:numPr>
      <w:spacing w:before="120" w:after="60"/>
    </w:pPr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character" w:customStyle="1" w:styleId="SubtitleChar">
    <w:name w:val="Subtitle Char"/>
    <w:basedOn w:val="DefaultParagraphFont"/>
    <w:link w:val="Subtitle"/>
    <w:rsid w:val="00A719F6"/>
    <w:rPr>
      <w:rFonts w:ascii="Arial" w:eastAsiaTheme="majorEastAsia" w:hAnsi="Arial" w:cstheme="majorBidi"/>
      <w:iCs/>
      <w:color w:val="3F4A75"/>
      <w:spacing w:val="15"/>
      <w:sz w:val="40"/>
      <w:szCs w:val="24"/>
      <w:lang w:eastAsia="en-US"/>
    </w:rPr>
  </w:style>
  <w:style w:type="paragraph" w:styleId="Title">
    <w:name w:val="Title"/>
    <w:next w:val="Normal"/>
    <w:link w:val="TitleChar"/>
    <w:qFormat/>
    <w:rsid w:val="00A719F6"/>
    <w:pPr>
      <w:spacing w:before="360" w:after="120"/>
      <w:contextualSpacing/>
    </w:pPr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character" w:customStyle="1" w:styleId="TitleChar">
    <w:name w:val="Title Char"/>
    <w:basedOn w:val="DefaultParagraphFont"/>
    <w:link w:val="Title"/>
    <w:rsid w:val="00A719F6"/>
    <w:rPr>
      <w:rFonts w:ascii="Arial" w:eastAsiaTheme="majorEastAsia" w:hAnsi="Arial" w:cstheme="majorBidi"/>
      <w:b/>
      <w:color w:val="3F4A75"/>
      <w:kern w:val="28"/>
      <w:sz w:val="48"/>
      <w:szCs w:val="52"/>
      <w:lang w:eastAsia="en-US"/>
    </w:rPr>
  </w:style>
  <w:style w:type="paragraph" w:customStyle="1" w:styleId="Boxheading">
    <w:name w:val="Box heading"/>
    <w:basedOn w:val="Boxtype"/>
    <w:qFormat/>
    <w:rsid w:val="00A719F6"/>
    <w:pPr>
      <w:spacing w:before="240"/>
    </w:pPr>
    <w:rPr>
      <w:rFonts w:cs="Times New Roman"/>
      <w:b/>
      <w:bCs/>
      <w:caps/>
      <w:color w:val="358189"/>
      <w:szCs w:val="20"/>
    </w:rPr>
  </w:style>
  <w:style w:type="character" w:styleId="SubtleEmphasis">
    <w:name w:val="Subtle Emphasis"/>
    <w:basedOn w:val="DefaultParagraphFont"/>
    <w:uiPriority w:val="19"/>
    <w:rsid w:val="00A719F6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rsid w:val="00A719F6"/>
    <w:rPr>
      <w:b/>
      <w:bCs/>
      <w:i/>
      <w:iCs/>
      <w:color w:val="3F4A75" w:themeColor="accent1"/>
    </w:rPr>
  </w:style>
  <w:style w:type="paragraph" w:styleId="Quote">
    <w:name w:val="Quote"/>
    <w:next w:val="Normal"/>
    <w:link w:val="QuoteChar"/>
    <w:uiPriority w:val="29"/>
    <w:qFormat/>
    <w:rsid w:val="00A719F6"/>
    <w:pPr>
      <w:ind w:left="720"/>
    </w:pPr>
    <w:rPr>
      <w:rFonts w:ascii="Arial" w:hAnsi="Arial"/>
      <w:i/>
      <w:iCs/>
      <w:color w:val="000000" w:themeColor="text1"/>
      <w:sz w:val="22"/>
      <w:szCs w:val="24"/>
      <w:lang w:eastAsia="en-US"/>
    </w:rPr>
  </w:style>
  <w:style w:type="character" w:customStyle="1" w:styleId="QuoteChar">
    <w:name w:val="Quote Char"/>
    <w:basedOn w:val="DefaultParagraphFont"/>
    <w:link w:val="Quote"/>
    <w:uiPriority w:val="29"/>
    <w:rsid w:val="00A719F6"/>
    <w:rPr>
      <w:rFonts w:ascii="Arial" w:hAnsi="Arial"/>
      <w:i/>
      <w:iCs/>
      <w:color w:val="000000" w:themeColor="text1"/>
      <w:sz w:val="22"/>
      <w:szCs w:val="24"/>
      <w:lang w:eastAsia="en-US"/>
    </w:rPr>
  </w:style>
  <w:style w:type="paragraph" w:styleId="IntenseQuote">
    <w:name w:val="Intense Quote"/>
    <w:next w:val="Normal"/>
    <w:link w:val="IntenseQuoteChar"/>
    <w:uiPriority w:val="30"/>
    <w:rsid w:val="00A719F6"/>
    <w:pPr>
      <w:pBdr>
        <w:bottom w:val="single" w:sz="4" w:space="4" w:color="3F4A75" w:themeColor="accent1"/>
      </w:pBdr>
      <w:spacing w:before="200" w:after="280"/>
      <w:ind w:left="936" w:right="936"/>
    </w:pPr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A719F6"/>
    <w:rPr>
      <w:rFonts w:ascii="Arial" w:hAnsi="Arial"/>
      <w:b/>
      <w:bCs/>
      <w:i/>
      <w:iCs/>
      <w:color w:val="3F4A75" w:themeColor="accent1"/>
      <w:sz w:val="22"/>
      <w:szCs w:val="24"/>
      <w:lang w:eastAsia="en-US"/>
    </w:rPr>
  </w:style>
  <w:style w:type="character" w:styleId="SubtleReference">
    <w:name w:val="Subtle Reference"/>
    <w:basedOn w:val="DefaultParagraphFont"/>
    <w:uiPriority w:val="31"/>
    <w:rsid w:val="00A719F6"/>
    <w:rPr>
      <w:smallCaps/>
      <w:color w:val="358189" w:themeColor="accent2"/>
      <w:u w:val="single"/>
    </w:rPr>
  </w:style>
  <w:style w:type="character" w:styleId="IntenseReference">
    <w:name w:val="Intense Reference"/>
    <w:basedOn w:val="DefaultParagraphFont"/>
    <w:uiPriority w:val="32"/>
    <w:rsid w:val="00A719F6"/>
    <w:rPr>
      <w:b/>
      <w:bCs/>
      <w:i/>
      <w:smallCaps/>
      <w:color w:val="358189" w:themeColor="accent2"/>
      <w:spacing w:val="5"/>
      <w:u w:val="none"/>
    </w:rPr>
  </w:style>
  <w:style w:type="paragraph" w:styleId="ListBullet2">
    <w:name w:val="List Bullet 2"/>
    <w:basedOn w:val="ListNumber2"/>
    <w:rsid w:val="00A719F6"/>
    <w:pPr>
      <w:numPr>
        <w:numId w:val="22"/>
      </w:numPr>
    </w:pPr>
  </w:style>
  <w:style w:type="paragraph" w:styleId="ListNumber2">
    <w:name w:val="List Number 2"/>
    <w:basedOn w:val="ListBullet"/>
    <w:qFormat/>
    <w:rsid w:val="00A719F6"/>
    <w:pPr>
      <w:numPr>
        <w:numId w:val="21"/>
      </w:numPr>
    </w:pPr>
  </w:style>
  <w:style w:type="paragraph" w:styleId="ListBullet">
    <w:name w:val="List Bullet"/>
    <w:basedOn w:val="Normal"/>
    <w:qFormat/>
    <w:rsid w:val="00A719F6"/>
    <w:pPr>
      <w:numPr>
        <w:numId w:val="20"/>
      </w:numPr>
      <w:tabs>
        <w:tab w:val="left" w:pos="340"/>
        <w:tab w:val="left" w:pos="680"/>
      </w:tabs>
      <w:spacing w:before="60" w:after="60"/>
    </w:pPr>
  </w:style>
  <w:style w:type="paragraph" w:styleId="ListParagraph">
    <w:name w:val="List Paragraph"/>
    <w:basedOn w:val="Normal"/>
    <w:uiPriority w:val="34"/>
    <w:rsid w:val="00A719F6"/>
    <w:pPr>
      <w:ind w:left="720"/>
      <w:contextualSpacing/>
    </w:pPr>
  </w:style>
  <w:style w:type="paragraph" w:styleId="ListNumber3">
    <w:name w:val="List Number 3"/>
    <w:aliases w:val="List Third Level"/>
    <w:basedOn w:val="ListNumber2"/>
    <w:rsid w:val="00A719F6"/>
    <w:pPr>
      <w:numPr>
        <w:numId w:val="23"/>
      </w:numPr>
      <w:tabs>
        <w:tab w:val="num" w:pos="1440"/>
      </w:tabs>
    </w:pPr>
    <w:rPr>
      <w:rFonts w:eastAsia="Cambria"/>
      <w:color w:val="auto"/>
      <w:szCs w:val="22"/>
      <w:lang w:val="en-US"/>
    </w:rPr>
  </w:style>
  <w:style w:type="paragraph" w:customStyle="1" w:styleId="ImageTitle">
    <w:name w:val="Image Title"/>
    <w:locked/>
    <w:rsid w:val="00A719F6"/>
    <w:pPr>
      <w:tabs>
        <w:tab w:val="num" w:pos="1080"/>
      </w:tabs>
      <w:spacing w:before="120" w:line="240" w:lineRule="exact"/>
    </w:pPr>
    <w:rPr>
      <w:rFonts w:ascii="Arial" w:hAnsi="Arial"/>
      <w:color w:val="000000" w:themeColor="text1"/>
      <w:sz w:val="22"/>
      <w:szCs w:val="24"/>
      <w:lang w:eastAsia="en-US"/>
    </w:rPr>
  </w:style>
  <w:style w:type="paragraph" w:styleId="BodyText">
    <w:name w:val="Body Text"/>
    <w:basedOn w:val="Normal"/>
    <w:link w:val="BodyTextChar"/>
    <w:semiHidden/>
    <w:unhideWhenUsed/>
    <w:rsid w:val="00A719F6"/>
  </w:style>
  <w:style w:type="character" w:customStyle="1" w:styleId="BodyTextChar">
    <w:name w:val="Body Text Char"/>
    <w:basedOn w:val="DefaultParagraphFont"/>
    <w:link w:val="BodyText"/>
    <w:semiHidden/>
    <w:rsid w:val="00A719F6"/>
    <w:rPr>
      <w:rFonts w:ascii="Arial" w:hAnsi="Arial"/>
      <w:color w:val="000000" w:themeColor="text1"/>
      <w:sz w:val="22"/>
      <w:szCs w:val="24"/>
      <w:lang w:eastAsia="en-US"/>
    </w:rPr>
  </w:style>
  <w:style w:type="table" w:styleId="TableGrid">
    <w:name w:val="Table Grid"/>
    <w:basedOn w:val="TableNormal"/>
    <w:locked/>
    <w:rsid w:val="00A719F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eColumns3">
    <w:name w:val="Table Columns 3"/>
    <w:basedOn w:val="TableNormal"/>
    <w:locked/>
    <w:rsid w:val="00A719F6"/>
    <w:rPr>
      <w:b/>
      <w:bCs/>
    </w:rPr>
    <w:tblPr>
      <w:tblStyleColBandSize w:val="1"/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V w:val="single" w:sz="6" w:space="0" w:color="000080"/>
      </w:tblBorders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op w:val="single" w:sz="6" w:space="0" w:color="00008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10" w:color="0000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ext">
    <w:name w:val="Table Text"/>
    <w:autoRedefine/>
    <w:qFormat/>
    <w:locked/>
    <w:rsid w:val="000047B4"/>
    <w:pPr>
      <w:spacing w:before="60" w:after="60"/>
    </w:pPr>
    <w:rPr>
      <w:rFonts w:ascii="Arial" w:hAnsi="Arial"/>
      <w:color w:val="000000" w:themeColor="text1"/>
      <w:sz w:val="22"/>
      <w:szCs w:val="24"/>
      <w:lang w:eastAsia="en-US"/>
    </w:rPr>
  </w:style>
  <w:style w:type="table" w:styleId="TableColumns2">
    <w:name w:val="Table Columns 2"/>
    <w:basedOn w:val="TableNormal"/>
    <w:locked/>
    <w:rsid w:val="00A719F6"/>
    <w:pPr>
      <w:spacing w:before="120" w:line="240" w:lineRule="exact"/>
    </w:pPr>
    <w:rPr>
      <w:b/>
      <w:bCs/>
    </w:rPr>
    <w:tblPr>
      <w:tblStyleColBandSize w:val="1"/>
    </w:tblPr>
    <w:tblStylePr w:type="firstRow">
      <w:rPr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30" w:color="000000" w:fill="FFFFFF"/>
      </w:tcPr>
    </w:tblStylePr>
    <w:tblStylePr w:type="band2Vert">
      <w:rPr>
        <w:color w:val="auto"/>
      </w:rPr>
      <w:tblPr/>
      <w:tcPr>
        <w:shd w:val="pct25" w:color="00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umns1">
    <w:name w:val="Table Columns 1"/>
    <w:basedOn w:val="TableNormal"/>
    <w:locked/>
    <w:rsid w:val="00A719F6"/>
    <w:rPr>
      <w:bCs/>
    </w:rPr>
    <w:tblPr>
      <w:tblStyleColBandSize w:val="1"/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blStylePr w:type="firstRow">
      <w:rPr>
        <w:b w:val="0"/>
        <w:bCs w:val="0"/>
      </w:rPr>
      <w:tblPr/>
      <w:tcPr>
        <w:tcBorders>
          <w:bottom w:val="doub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pct25" w:color="000000" w:fill="FFFFFF"/>
      </w:tcPr>
    </w:tblStylePr>
    <w:tblStylePr w:type="band2Vert">
      <w:rPr>
        <w:color w:val="auto"/>
      </w:rPr>
      <w:tblPr/>
      <w:tcPr>
        <w:shd w:val="pct25" w:color="FFFF00" w:fill="FFFFFF"/>
      </w:tcPr>
    </w:tblStylePr>
    <w:tblStylePr w:type="ne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Colorful3">
    <w:name w:val="Table Colorful 3"/>
    <w:basedOn w:val="TableNormal"/>
    <w:locked/>
    <w:rsid w:val="00A719F6"/>
    <w:tblPr>
      <w:tblBorders>
        <w:top w:val="single" w:sz="18" w:space="0" w:color="000000"/>
        <w:left w:val="single" w:sz="18" w:space="0" w:color="000000"/>
        <w:bottom w:val="single" w:sz="18" w:space="0" w:color="000000"/>
        <w:right w:val="single" w:sz="18" w:space="0" w:color="000000"/>
        <w:insideH w:val="single" w:sz="6" w:space="0" w:color="C0C0C0"/>
      </w:tblBorders>
    </w:tblPr>
    <w:tcPr>
      <w:shd w:val="pct25" w:color="008080" w:fill="FFFFFF"/>
    </w:tcPr>
    <w:tblStylePr w:type="firstRow"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firstCol">
      <w:tblPr/>
      <w:tcPr>
        <w:tcBorders>
          <w:left w:val="single" w:sz="36" w:space="0" w:color="000000"/>
          <w:right w:val="single" w:sz="6" w:space="0" w:color="000000"/>
          <w:tl2br w:val="none" w:sz="0" w:space="0" w:color="auto"/>
          <w:tr2bl w:val="none" w:sz="0" w:space="0" w:color="auto"/>
        </w:tcBorders>
        <w:shd w:val="solid" w:color="008080" w:fill="FFFFFF"/>
      </w:tcPr>
    </w:tblStylePr>
    <w:tblStylePr w:type="nwCell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00" w:fill="FFFFFF"/>
      </w:tcPr>
    </w:tblStylePr>
  </w:style>
  <w:style w:type="table" w:styleId="TableClassic4">
    <w:name w:val="Table Classic 4"/>
    <w:basedOn w:val="TableNormal"/>
    <w:locked/>
    <w:rsid w:val="00A719F6"/>
    <w:tblPr>
      <w:tblBorders>
        <w:top w:val="single" w:sz="12" w:space="0" w:color="000000"/>
        <w:left w:val="single" w:sz="6" w:space="0" w:color="000000"/>
        <w:bottom w:val="single" w:sz="12" w:space="0" w:color="000000"/>
        <w:right w:val="single" w:sz="6" w:space="0" w:color="000000"/>
      </w:tblBorders>
    </w:tblPr>
    <w:tcPr>
      <w:shd w:val="clear" w:color="auto" w:fill="auto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80" w:fill="FFFFFF"/>
      </w:tcPr>
    </w:tblStylePr>
    <w:tblStylePr w:type="lastRow">
      <w:rPr>
        <w:color w:val="000080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pct50" w:color="000000" w:fill="FFFFFF"/>
      </w:tcPr>
    </w:tblStylePr>
    <w:tblStylePr w:type="firstCo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Grid8">
    <w:name w:val="Table Grid 8"/>
    <w:basedOn w:val="TableNormal"/>
    <w:locked/>
    <w:rsid w:val="00A719F6"/>
    <w:tblPr>
      <w:tblBorders>
        <w:top w:val="single" w:sz="6" w:space="0" w:color="000080"/>
        <w:left w:val="single" w:sz="6" w:space="0" w:color="000080"/>
        <w:bottom w:val="single" w:sz="6" w:space="0" w:color="000080"/>
        <w:right w:val="single" w:sz="6" w:space="0" w:color="000080"/>
        <w:insideH w:val="single" w:sz="6" w:space="0" w:color="000080"/>
        <w:insideV w:val="single" w:sz="6" w:space="0" w:color="000080"/>
      </w:tblBorders>
    </w:tblPr>
    <w:tcPr>
      <w:shd w:val="clear" w:color="auto" w:fill="auto"/>
    </w:tcPr>
    <w:tblStylePr w:type="firstRow">
      <w:rPr>
        <w:b/>
        <w:bCs/>
        <w:color w:val="FFFFFF"/>
      </w:rPr>
      <w:tblPr/>
      <w:tcPr>
        <w:tcBorders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/>
        <w:bCs/>
        <w:color w:val="auto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customStyle="1" w:styleId="TableTitle">
    <w:name w:val="Table Title"/>
    <w:link w:val="TableTitleChar"/>
    <w:qFormat/>
    <w:locked/>
    <w:rsid w:val="00A719F6"/>
    <w:pPr>
      <w:spacing w:before="120" w:after="120"/>
    </w:pPr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styleId="Header">
    <w:name w:val="header"/>
    <w:link w:val="HeaderChar"/>
    <w:qFormat/>
    <w:rsid w:val="00A719F6"/>
    <w:pPr>
      <w:tabs>
        <w:tab w:val="center" w:pos="4513"/>
        <w:tab w:val="right" w:pos="9026"/>
      </w:tabs>
    </w:pPr>
    <w:rPr>
      <w:rFonts w:ascii="Arial" w:hAnsi="Arial"/>
      <w:sz w:val="22"/>
      <w:szCs w:val="24"/>
      <w:lang w:eastAsia="en-US"/>
    </w:rPr>
  </w:style>
  <w:style w:type="character" w:customStyle="1" w:styleId="HeaderChar">
    <w:name w:val="Header Char"/>
    <w:basedOn w:val="DefaultParagraphFont"/>
    <w:link w:val="Header"/>
    <w:rsid w:val="00A719F6"/>
    <w:rPr>
      <w:rFonts w:ascii="Arial" w:hAnsi="Arial"/>
      <w:sz w:val="22"/>
      <w:szCs w:val="24"/>
      <w:lang w:eastAsia="en-US"/>
    </w:rPr>
  </w:style>
  <w:style w:type="paragraph" w:styleId="Footer">
    <w:name w:val="footer"/>
    <w:link w:val="FooterChar"/>
    <w:uiPriority w:val="99"/>
    <w:qFormat/>
    <w:rsid w:val="00A719F6"/>
    <w:pPr>
      <w:tabs>
        <w:tab w:val="center" w:pos="0"/>
        <w:tab w:val="right" w:pos="9026"/>
      </w:tabs>
      <w:jc w:val="right"/>
    </w:pPr>
    <w:rPr>
      <w:rFonts w:ascii="Arial" w:hAnsi="Arial"/>
      <w:szCs w:val="24"/>
      <w:lang w:eastAsia="en-US"/>
    </w:rPr>
  </w:style>
  <w:style w:type="character" w:customStyle="1" w:styleId="FooterChar">
    <w:name w:val="Footer Char"/>
    <w:basedOn w:val="DefaultParagraphFont"/>
    <w:link w:val="Footer"/>
    <w:uiPriority w:val="99"/>
    <w:rsid w:val="00A719F6"/>
    <w:rPr>
      <w:rFonts w:ascii="Arial" w:hAnsi="Arial"/>
      <w:szCs w:val="24"/>
      <w:lang w:eastAsia="en-US"/>
    </w:rPr>
  </w:style>
  <w:style w:type="paragraph" w:customStyle="1" w:styleId="TableHeaderWhite">
    <w:name w:val="Table Header White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table" w:styleId="TableGrid7">
    <w:name w:val="Table Grid 7"/>
    <w:basedOn w:val="TableNormal"/>
    <w:locked/>
    <w:rsid w:val="00A719F6"/>
    <w:rPr>
      <w:b/>
      <w:bCs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  <w:insideH w:val="single" w:sz="6" w:space="0" w:color="000000"/>
        <w:insideV w:val="single" w:sz="6" w:space="0" w:color="000000"/>
      </w:tblBorders>
    </w:tblPr>
    <w:tcPr>
      <w:shd w:val="clear" w:color="auto" w:fill="auto"/>
    </w:tcPr>
    <w:tblStylePr w:type="firstRow">
      <w:rPr>
        <w:b w:val="0"/>
        <w:bCs w:val="0"/>
      </w:rPr>
      <w:tblPr/>
      <w:tcPr>
        <w:tcBorders>
          <w:bottom w:val="single" w:sz="12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b w:val="0"/>
        <w:bCs w:val="0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lastCol">
      <w:rPr>
        <w:b w:val="0"/>
        <w:b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tl2br w:val="single" w:sz="6" w:space="0" w:color="000000"/>
          <w:tr2bl w:val="none" w:sz="0" w:space="0" w:color="auto"/>
        </w:tcBorders>
      </w:tcPr>
    </w:tblStylePr>
  </w:style>
  <w:style w:type="paragraph" w:customStyle="1" w:styleId="Tablehead">
    <w:name w:val="Table_head"/>
    <w:basedOn w:val="Normal"/>
    <w:locked/>
    <w:rsid w:val="00A719F6"/>
    <w:pPr>
      <w:spacing w:before="60"/>
    </w:pPr>
    <w:rPr>
      <w:rFonts w:cs="Arial"/>
      <w:b/>
      <w:sz w:val="20"/>
    </w:rPr>
  </w:style>
  <w:style w:type="paragraph" w:customStyle="1" w:styleId="FigureTitle">
    <w:name w:val="Figure Title"/>
    <w:next w:val="Normal"/>
    <w:qFormat/>
    <w:rsid w:val="00A719F6"/>
    <w:pPr>
      <w:spacing w:before="120" w:after="120"/>
    </w:pPr>
    <w:rPr>
      <w:rFonts w:ascii="Arial" w:hAnsi="Arial" w:cs="Arial"/>
      <w:b/>
      <w:bCs/>
      <w:iCs/>
      <w:color w:val="000000" w:themeColor="text1"/>
      <w:sz w:val="22"/>
      <w:szCs w:val="22"/>
      <w:lang w:eastAsia="en-US"/>
    </w:rPr>
  </w:style>
  <w:style w:type="paragraph" w:customStyle="1" w:styleId="Headertext">
    <w:name w:val="Header text"/>
    <w:rsid w:val="00A719F6"/>
    <w:pPr>
      <w:jc w:val="right"/>
    </w:pPr>
    <w:rPr>
      <w:rFonts w:ascii="Arial" w:hAnsi="Arial"/>
      <w:szCs w:val="24"/>
      <w:lang w:eastAsia="en-US"/>
    </w:rPr>
  </w:style>
  <w:style w:type="character" w:styleId="Hyperlink">
    <w:name w:val="Hyperlink"/>
    <w:basedOn w:val="DefaultParagraphFont"/>
    <w:uiPriority w:val="99"/>
    <w:qFormat/>
    <w:rsid w:val="00A719F6"/>
    <w:rPr>
      <w:color w:val="0000FF" w:themeColor="hyperlink"/>
      <w:u w:val="single"/>
    </w:rPr>
  </w:style>
  <w:style w:type="table" w:customStyle="1" w:styleId="PHNGreyTable">
    <w:name w:val="PHN Grey Table"/>
    <w:basedOn w:val="TableNormal"/>
    <w:uiPriority w:val="99"/>
    <w:rsid w:val="00A719F6"/>
    <w:pPr>
      <w:spacing w:before="120" w:after="120"/>
    </w:pPr>
    <w:rPr>
      <w:rFonts w:ascii="Arial" w:hAnsi="Arial"/>
      <w:sz w:val="22"/>
    </w:r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  <w:tblStylePr w:type="firstRow">
      <w:rPr>
        <w:rFonts w:ascii="Arial" w:hAnsi="Arial"/>
        <w:b/>
        <w:color w:val="FFFFFF" w:themeColor="background1"/>
        <w:sz w:val="22"/>
      </w:rPr>
      <w:tblPr/>
      <w:tcPr>
        <w:shd w:val="clear" w:color="auto" w:fill="32373A"/>
      </w:tcPr>
    </w:tblStylePr>
  </w:style>
  <w:style w:type="paragraph" w:customStyle="1" w:styleId="Tablelistbullet">
    <w:name w:val="Table list bullet"/>
    <w:basedOn w:val="Tabletextleft"/>
    <w:qFormat/>
    <w:rsid w:val="00A719F6"/>
    <w:pPr>
      <w:numPr>
        <w:numId w:val="24"/>
      </w:numPr>
    </w:pPr>
    <w:rPr>
      <w:szCs w:val="20"/>
    </w:rPr>
  </w:style>
  <w:style w:type="paragraph" w:customStyle="1" w:styleId="Tablelistnumber">
    <w:name w:val="Table list number"/>
    <w:basedOn w:val="Tabletextleft"/>
    <w:qFormat/>
    <w:rsid w:val="00A719F6"/>
    <w:pPr>
      <w:numPr>
        <w:numId w:val="25"/>
      </w:numPr>
    </w:pPr>
    <w:rPr>
      <w:bCs/>
      <w14:numSpacing w14:val="proportional"/>
    </w:rPr>
  </w:style>
  <w:style w:type="paragraph" w:customStyle="1" w:styleId="TableHeader">
    <w:name w:val="Table Header"/>
    <w:basedOn w:val="Normal"/>
    <w:next w:val="Tabletextleft"/>
    <w:qFormat/>
    <w:rsid w:val="00A719F6"/>
    <w:pPr>
      <w:spacing w:before="80" w:after="80"/>
    </w:pPr>
    <w:rPr>
      <w:rFonts w:eastAsia="Cambria"/>
      <w:b/>
      <w:color w:val="FFFFFF" w:themeColor="background1"/>
      <w:szCs w:val="22"/>
      <w:lang w:val="en-US"/>
    </w:rPr>
  </w:style>
  <w:style w:type="paragraph" w:customStyle="1" w:styleId="SectionHeading">
    <w:name w:val="Section Heading"/>
    <w:basedOn w:val="Heading1"/>
    <w:next w:val="Normal"/>
    <w:rsid w:val="00A719F6"/>
    <w:rPr>
      <w:szCs w:val="32"/>
    </w:rPr>
  </w:style>
  <w:style w:type="paragraph" w:styleId="FootnoteText">
    <w:name w:val="footnote text"/>
    <w:link w:val="FootnoteTextChar"/>
    <w:rsid w:val="00A719F6"/>
    <w:rPr>
      <w:rFonts w:ascii="Arial" w:hAnsi="Arial"/>
      <w:lang w:eastAsia="en-US"/>
    </w:rPr>
  </w:style>
  <w:style w:type="character" w:customStyle="1" w:styleId="FootnoteTextChar">
    <w:name w:val="Footnote Text Char"/>
    <w:basedOn w:val="DefaultParagraphFont"/>
    <w:link w:val="FootnoteText"/>
    <w:rsid w:val="00A719F6"/>
    <w:rPr>
      <w:rFonts w:ascii="Arial" w:hAnsi="Arial"/>
      <w:lang w:eastAsia="en-US"/>
    </w:rPr>
  </w:style>
  <w:style w:type="paragraph" w:customStyle="1" w:styleId="VisionBox">
    <w:name w:val="VisionBox"/>
    <w:basedOn w:val="Normal"/>
    <w:qFormat/>
    <w:rsid w:val="00A719F6"/>
    <w:pPr>
      <w:pBdr>
        <w:top w:val="single" w:sz="4" w:space="15" w:color="358189"/>
        <w:bottom w:val="single" w:sz="4" w:space="10" w:color="358189"/>
      </w:pBdr>
      <w:spacing w:before="240" w:after="240" w:line="340" w:lineRule="exact"/>
    </w:pPr>
    <w:rPr>
      <w:rFonts w:eastAsiaTheme="minorHAnsi"/>
      <w:color w:val="358189"/>
    </w:rPr>
  </w:style>
  <w:style w:type="paragraph" w:customStyle="1" w:styleId="Boxtype">
    <w:name w:val="Box type"/>
    <w:next w:val="Normal"/>
    <w:qFormat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76" w:lineRule="auto"/>
      <w:ind w:left="227" w:right="227"/>
    </w:pPr>
    <w:rPr>
      <w:rFonts w:ascii="Arial" w:hAnsi="Arial" w:cs="Arial"/>
      <w:color w:val="000000" w:themeColor="text1"/>
      <w:sz w:val="22"/>
      <w:szCs w:val="24"/>
      <w:lang w:val="en" w:eastAsia="en-US"/>
    </w:rPr>
  </w:style>
  <w:style w:type="character" w:customStyle="1" w:styleId="BoldAllCaps">
    <w:name w:val="Bold All Caps"/>
    <w:basedOn w:val="DefaultParagraphFont"/>
    <w:uiPriority w:val="1"/>
    <w:qFormat/>
    <w:rsid w:val="00177AD2"/>
    <w:rPr>
      <w:b/>
      <w:caps/>
      <w:smallCaps w:val="0"/>
      <w:color w:val="358189"/>
      <w:bdr w:val="none" w:sz="0" w:space="0" w:color="auto"/>
    </w:rPr>
  </w:style>
  <w:style w:type="paragraph" w:customStyle="1" w:styleId="PolicyStatement">
    <w:name w:val="PolicyStatement"/>
    <w:basedOn w:val="Normal"/>
    <w:qFormat/>
    <w:rsid w:val="00A719F6"/>
    <w:pPr>
      <w:pBdr>
        <w:top w:val="single" w:sz="4" w:space="20" w:color="F2F2F2" w:themeColor="background1" w:themeShade="F2"/>
        <w:left w:val="single" w:sz="4" w:space="10" w:color="F2F2F2" w:themeColor="background1" w:themeShade="F2"/>
        <w:bottom w:val="single" w:sz="4" w:space="10" w:color="F2F2F2" w:themeColor="background1" w:themeShade="F2"/>
        <w:right w:val="single" w:sz="4" w:space="10" w:color="F2F2F2" w:themeColor="background1" w:themeShade="F2"/>
      </w:pBdr>
      <w:shd w:val="clear" w:color="auto" w:fill="F2F2F2" w:themeFill="background1" w:themeFillShade="F2"/>
      <w:spacing w:before="240" w:line="260" w:lineRule="auto"/>
      <w:ind w:left="227" w:right="227"/>
    </w:pPr>
  </w:style>
  <w:style w:type="paragraph" w:customStyle="1" w:styleId="IntroPara">
    <w:name w:val="Intro Para"/>
    <w:basedOn w:val="Normal"/>
    <w:next w:val="Normal"/>
    <w:qFormat/>
    <w:rsid w:val="00A719F6"/>
    <w:pPr>
      <w:spacing w:before="480" w:line="400" w:lineRule="exact"/>
    </w:pPr>
    <w:rPr>
      <w:color w:val="358189"/>
      <w:sz w:val="28"/>
    </w:rPr>
  </w:style>
  <w:style w:type="paragraph" w:customStyle="1" w:styleId="Intropara0">
    <w:name w:val="Intro para"/>
    <w:basedOn w:val="VisionBox"/>
    <w:rsid w:val="008376E2"/>
    <w:pPr>
      <w:pBdr>
        <w:top w:val="none" w:sz="0" w:space="0" w:color="auto"/>
        <w:bottom w:val="none" w:sz="0" w:space="0" w:color="auto"/>
      </w:pBdr>
      <w:spacing w:before="480" w:line="400" w:lineRule="exact"/>
    </w:pPr>
    <w:rPr>
      <w:sz w:val="28"/>
    </w:rPr>
  </w:style>
  <w:style w:type="table" w:customStyle="1" w:styleId="DepartmentofHealthtable">
    <w:name w:val="Department of Health table"/>
    <w:basedOn w:val="TableNormal"/>
    <w:uiPriority w:val="99"/>
    <w:rsid w:val="00A719F6"/>
    <w:rPr>
      <w:rFonts w:ascii="Arial" w:hAnsi="Arial"/>
      <w:color w:val="000000" w:themeColor="text1"/>
      <w:sz w:val="21"/>
    </w:rPr>
    <w:tblPr>
      <w:tblStyleRowBandSize w:val="1"/>
      <w:tblBorders>
        <w:top w:val="single" w:sz="4" w:space="0" w:color="auto"/>
        <w:bottom w:val="single" w:sz="4" w:space="0" w:color="auto"/>
        <w:insideH w:val="single" w:sz="4" w:space="0" w:color="auto"/>
      </w:tblBorders>
    </w:tblPr>
    <w:tcPr>
      <w:shd w:val="clear" w:color="auto" w:fill="FFFFFF" w:themeFill="background1"/>
    </w:tcPr>
    <w:tblStylePr w:type="firstRow">
      <w:rPr>
        <w:rFonts w:ascii="Arial" w:hAnsi="Arial"/>
        <w:color w:val="F2F2F2" w:themeColor="background1" w:themeShade="F2"/>
        <w:sz w:val="22"/>
      </w:rPr>
      <w:tblPr/>
      <w:tcPr>
        <w:shd w:val="clear" w:color="auto" w:fill="3F4A75"/>
      </w:tcPr>
    </w:tblStylePr>
    <w:tblStylePr w:type="lastRow">
      <w:rPr>
        <w:rFonts w:ascii="Arial" w:hAnsi="Arial"/>
        <w:color w:val="000000" w:themeColor="text1"/>
      </w:rPr>
      <w:tblPr/>
      <w:tcPr>
        <w:shd w:val="clear" w:color="auto" w:fill="FFFFFF" w:themeFill="background1"/>
      </w:tcPr>
    </w:tblStylePr>
    <w:tblStylePr w:type="firstCol">
      <w:tblPr/>
      <w:tcPr>
        <w:shd w:val="clear" w:color="auto" w:fill="FFFFFF" w:themeFill="background1"/>
      </w:tcPr>
    </w:tblStylePr>
    <w:tblStylePr w:type="band1Horz">
      <w:tblPr/>
      <w:tcPr>
        <w:shd w:val="clear" w:color="auto" w:fill="FFFFFF" w:themeFill="background1"/>
      </w:tcPr>
    </w:tblStylePr>
    <w:tblStylePr w:type="band2Horz">
      <w:tblPr/>
      <w:tcPr>
        <w:shd w:val="clear" w:color="auto" w:fill="FFFFFF" w:themeFill="background1"/>
      </w:tcPr>
    </w:tblStylePr>
  </w:style>
  <w:style w:type="paragraph" w:customStyle="1" w:styleId="Tabletitle0">
    <w:name w:val="Table title"/>
    <w:basedOn w:val="Normal"/>
    <w:rsid w:val="009040E9"/>
    <w:rPr>
      <w:b/>
      <w:bCs/>
      <w:szCs w:val="20"/>
    </w:rPr>
  </w:style>
  <w:style w:type="paragraph" w:customStyle="1" w:styleId="Tableheader0">
    <w:name w:val="Table header"/>
    <w:basedOn w:val="Normal"/>
    <w:rsid w:val="009040E9"/>
    <w:pPr>
      <w:spacing w:before="80" w:after="80"/>
    </w:pPr>
    <w:rPr>
      <w:b/>
      <w:bCs/>
      <w:color w:val="FFFFFF" w:themeColor="background1"/>
      <w:szCs w:val="20"/>
    </w:rPr>
  </w:style>
  <w:style w:type="paragraph" w:customStyle="1" w:styleId="Tabletextleft">
    <w:name w:val="Table text left"/>
    <w:autoRedefine/>
    <w:qFormat/>
    <w:rsid w:val="00A719F6"/>
    <w:pPr>
      <w:spacing w:before="60" w:after="60"/>
    </w:pPr>
    <w:rPr>
      <w:rFonts w:ascii="Arial" w:hAnsi="Arial"/>
      <w:color w:val="000000" w:themeColor="text1"/>
      <w:sz w:val="21"/>
      <w:szCs w:val="24"/>
      <w:lang w:eastAsia="en-US"/>
    </w:rPr>
  </w:style>
  <w:style w:type="paragraph" w:customStyle="1" w:styleId="TabletextRight">
    <w:name w:val="Table text Right"/>
    <w:basedOn w:val="Tabletextleft"/>
    <w:rsid w:val="009040E9"/>
    <w:pPr>
      <w:jc w:val="right"/>
    </w:pPr>
  </w:style>
  <w:style w:type="paragraph" w:customStyle="1" w:styleId="Tabletextright0">
    <w:name w:val="Table text right"/>
    <w:basedOn w:val="Tabletextleft"/>
    <w:rsid w:val="00A719F6"/>
    <w:pPr>
      <w:jc w:val="right"/>
    </w:pPr>
  </w:style>
  <w:style w:type="paragraph" w:styleId="BalloonText">
    <w:name w:val="Balloon Text"/>
    <w:basedOn w:val="Normal"/>
    <w:link w:val="BalloonTextChar"/>
    <w:rsid w:val="00A719F6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A719F6"/>
    <w:rPr>
      <w:rFonts w:ascii="Tahoma" w:hAnsi="Tahoma" w:cs="Tahoma"/>
      <w:color w:val="000000" w:themeColor="text1"/>
      <w:sz w:val="16"/>
      <w:szCs w:val="16"/>
      <w:lang w:eastAsia="en-US"/>
    </w:rPr>
  </w:style>
  <w:style w:type="paragraph" w:styleId="Caption">
    <w:name w:val="caption"/>
    <w:basedOn w:val="Normal"/>
    <w:next w:val="Normal"/>
    <w:unhideWhenUsed/>
    <w:rsid w:val="00A719F6"/>
    <w:pPr>
      <w:spacing w:after="200"/>
    </w:pPr>
    <w:rPr>
      <w:b/>
      <w:bCs/>
      <w:color w:val="3F4A75" w:themeColor="accent1"/>
      <w:sz w:val="18"/>
      <w:szCs w:val="18"/>
    </w:rPr>
  </w:style>
  <w:style w:type="paragraph" w:customStyle="1" w:styleId="Footerrightpage">
    <w:name w:val="Footer right page"/>
    <w:basedOn w:val="Footer"/>
    <w:rsid w:val="00A719F6"/>
  </w:style>
  <w:style w:type="character" w:customStyle="1" w:styleId="Heading7Char">
    <w:name w:val="Heading 7 Char"/>
    <w:basedOn w:val="DefaultParagraphFont"/>
    <w:link w:val="Heading7"/>
    <w:semiHidden/>
    <w:rsid w:val="00A719F6"/>
    <w:rPr>
      <w:rFonts w:ascii="Arial" w:eastAsiaTheme="majorEastAsia" w:hAnsi="Arial" w:cstheme="majorBidi"/>
      <w:b/>
      <w:i/>
      <w:iCs/>
      <w:color w:val="1F243A" w:themeColor="accent1" w:themeShade="7F"/>
      <w:sz w:val="22"/>
      <w:szCs w:val="24"/>
      <w:lang w:eastAsia="en-US"/>
    </w:rPr>
  </w:style>
  <w:style w:type="paragraph" w:styleId="NoSpacing">
    <w:name w:val="No Spacing"/>
    <w:uiPriority w:val="1"/>
    <w:rsid w:val="00A719F6"/>
    <w:rPr>
      <w:sz w:val="24"/>
      <w:szCs w:val="24"/>
      <w:lang w:eastAsia="en-US"/>
    </w:rPr>
  </w:style>
  <w:style w:type="paragraph" w:styleId="NormalWeb">
    <w:name w:val="Normal (Web)"/>
    <w:basedOn w:val="Normal"/>
    <w:uiPriority w:val="99"/>
    <w:unhideWhenUsed/>
    <w:rsid w:val="00A719F6"/>
    <w:pPr>
      <w:spacing w:before="100" w:beforeAutospacing="1" w:after="100" w:afterAutospacing="1"/>
    </w:pPr>
    <w:rPr>
      <w:rFonts w:ascii="Times New Roman" w:hAnsi="Times New Roman"/>
      <w:sz w:val="24"/>
      <w:lang w:eastAsia="en-AU"/>
    </w:rPr>
  </w:style>
  <w:style w:type="paragraph" w:customStyle="1" w:styleId="Style1">
    <w:name w:val="Style1"/>
    <w:next w:val="Normal"/>
    <w:rsid w:val="00A719F6"/>
    <w:pPr>
      <w:pBdr>
        <w:top w:val="single" w:sz="6" w:space="20" w:color="358189"/>
        <w:left w:val="single" w:sz="6" w:space="10" w:color="358189"/>
        <w:bottom w:val="single" w:sz="6" w:space="10" w:color="358189"/>
        <w:right w:val="single" w:sz="6" w:space="10" w:color="358189"/>
      </w:pBdr>
      <w:spacing w:after="240" w:line="260" w:lineRule="auto"/>
      <w:ind w:left="227" w:right="227"/>
    </w:pPr>
    <w:rPr>
      <w:rFonts w:ascii="Arial" w:hAnsi="Arial" w:cs="Arial"/>
      <w:color w:val="000000" w:themeColor="text1"/>
      <w:sz w:val="21"/>
      <w:szCs w:val="24"/>
      <w:lang w:val="en" w:eastAsia="en-US"/>
    </w:rPr>
  </w:style>
  <w:style w:type="paragraph" w:customStyle="1" w:styleId="Tabletextcentre">
    <w:name w:val="Table text centre"/>
    <w:basedOn w:val="Tabletextleft"/>
    <w:rsid w:val="00A719F6"/>
    <w:pPr>
      <w:jc w:val="center"/>
    </w:pPr>
  </w:style>
  <w:style w:type="paragraph" w:customStyle="1" w:styleId="TableTextright1">
    <w:name w:val="Table Text right"/>
    <w:basedOn w:val="Tabletextleft"/>
    <w:rsid w:val="00A719F6"/>
    <w:pPr>
      <w:jc w:val="right"/>
    </w:pPr>
  </w:style>
  <w:style w:type="character" w:customStyle="1" w:styleId="TableTitleChar">
    <w:name w:val="Table Title Char"/>
    <w:basedOn w:val="DefaultParagraphFont"/>
    <w:link w:val="TableTitle"/>
    <w:rsid w:val="00A719F6"/>
    <w:rPr>
      <w:rFonts w:ascii="Arial" w:hAnsi="Arial"/>
      <w:b/>
      <w:color w:val="000000" w:themeColor="text1"/>
      <w:sz w:val="22"/>
      <w:szCs w:val="24"/>
      <w:lang w:val="en-US" w:eastAsia="en-US"/>
    </w:rPr>
  </w:style>
  <w:style w:type="paragraph" w:customStyle="1" w:styleId="URL">
    <w:name w:val="URL"/>
    <w:basedOn w:val="Normal"/>
    <w:rsid w:val="00A719F6"/>
    <w:pPr>
      <w:spacing w:before="3120"/>
      <w:jc w:val="center"/>
    </w:pPr>
    <w:rPr>
      <w:b/>
      <w:bCs/>
      <w:sz w:val="24"/>
      <w:szCs w:val="20"/>
    </w:rPr>
  </w:style>
  <w:style w:type="paragraph" w:styleId="CommentText">
    <w:name w:val="annotation text"/>
    <w:basedOn w:val="Normal"/>
    <w:link w:val="CommentTextChar"/>
    <w:uiPriority w:val="99"/>
    <w:unhideWhenUsed/>
    <w:rsid w:val="002C53FF"/>
    <w:pPr>
      <w:spacing w:before="0" w:after="160" w:line="240" w:lineRule="auto"/>
    </w:pPr>
    <w:rPr>
      <w:rFonts w:asciiTheme="minorHAnsi" w:eastAsiaTheme="minorHAnsi" w:hAnsiTheme="minorHAnsi" w:cstheme="minorBidi"/>
      <w:color w:val="auto"/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C53FF"/>
    <w:rPr>
      <w:rFonts w:asciiTheme="minorHAnsi" w:eastAsiaTheme="minorHAnsi" w:hAnsiTheme="minorHAnsi" w:cstheme="minorBidi"/>
      <w:lang w:eastAsia="en-US"/>
    </w:rPr>
  </w:style>
  <w:style w:type="paragraph" w:customStyle="1" w:styleId="SuperscriptHeading2">
    <w:name w:val="Superscript (Heading 2)"/>
    <w:basedOn w:val="Heading2"/>
    <w:link w:val="SuperscriptHeading2Char"/>
    <w:qFormat/>
    <w:rsid w:val="00F2468B"/>
    <w:rPr>
      <w:b w:val="0"/>
      <w:bCs w:val="0"/>
      <w:iCs w:val="0"/>
      <w:color w:val="358189" w:themeColor="accent2"/>
      <w:vertAlign w:val="superscript"/>
    </w:rPr>
  </w:style>
  <w:style w:type="character" w:customStyle="1" w:styleId="Heading2Char">
    <w:name w:val="Heading 2 Char"/>
    <w:basedOn w:val="DefaultParagraphFont"/>
    <w:link w:val="Heading2"/>
    <w:rsid w:val="00F2468B"/>
    <w:rPr>
      <w:rFonts w:ascii="Arial" w:hAnsi="Arial" w:cs="Arial"/>
      <w:b/>
      <w:bCs/>
      <w:iCs/>
      <w:color w:val="358189"/>
      <w:sz w:val="36"/>
      <w:szCs w:val="28"/>
      <w:lang w:eastAsia="en-US"/>
    </w:rPr>
  </w:style>
  <w:style w:type="character" w:customStyle="1" w:styleId="SuperscriptHeading2Char">
    <w:name w:val="Superscript (Heading 2) Char"/>
    <w:basedOn w:val="Heading2Char"/>
    <w:link w:val="SuperscriptHeading2"/>
    <w:rsid w:val="00F2468B"/>
    <w:rPr>
      <w:rFonts w:ascii="Arial" w:hAnsi="Arial" w:cs="Arial"/>
      <w:b w:val="0"/>
      <w:bCs w:val="0"/>
      <w:iCs w:val="0"/>
      <w:color w:val="358189" w:themeColor="accent2"/>
      <w:sz w:val="36"/>
      <w:szCs w:val="28"/>
      <w:vertAlign w:val="superscript"/>
      <w:lang w:eastAsia="en-US"/>
    </w:rPr>
  </w:style>
  <w:style w:type="paragraph" w:customStyle="1" w:styleId="SuperscriptHeading1">
    <w:name w:val="Superscript (Heading 1)"/>
    <w:basedOn w:val="Heading1"/>
    <w:link w:val="SuperscriptHeading1Char"/>
    <w:qFormat/>
    <w:rsid w:val="00F2468B"/>
    <w:rPr>
      <w:vertAlign w:val="superscript"/>
    </w:rPr>
  </w:style>
  <w:style w:type="character" w:customStyle="1" w:styleId="Heading1Char">
    <w:name w:val="Heading 1 Char"/>
    <w:basedOn w:val="DefaultParagraphFont"/>
    <w:link w:val="Heading1"/>
    <w:rsid w:val="00F2468B"/>
    <w:rPr>
      <w:rFonts w:ascii="Arial" w:hAnsi="Arial" w:cs="Arial"/>
      <w:b/>
      <w:bCs/>
      <w:color w:val="3F4A75"/>
      <w:kern w:val="28"/>
      <w:sz w:val="44"/>
      <w:szCs w:val="36"/>
      <w:lang w:eastAsia="en-US"/>
    </w:rPr>
  </w:style>
  <w:style w:type="character" w:customStyle="1" w:styleId="SuperscriptHeading1Char">
    <w:name w:val="Superscript (Heading 1) Char"/>
    <w:basedOn w:val="Heading1Char"/>
    <w:link w:val="SuperscriptHeading1"/>
    <w:rsid w:val="00F2468B"/>
    <w:rPr>
      <w:rFonts w:ascii="Arial" w:hAnsi="Arial" w:cs="Arial"/>
      <w:b/>
      <w:bCs/>
      <w:color w:val="3F4A75"/>
      <w:kern w:val="28"/>
      <w:sz w:val="44"/>
      <w:szCs w:val="36"/>
      <w:vertAlign w:val="superscript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45596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401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0670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668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987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yperlink" Target="https://www.pbs.gov.au/info/general/faq" TargetMode="External"/><Relationship Id="rId1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footer" Target="footer2.xml"/><Relationship Id="rId2" Type="http://schemas.openxmlformats.org/officeDocument/2006/relationships/customXml" Target="../customXml/item2.xml"/><Relationship Id="rId16" Type="http://schemas.openxmlformats.org/officeDocument/2006/relationships/header" Target="header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footer" Target="footer1.xml"/><Relationship Id="rId10" Type="http://schemas.openxmlformats.org/officeDocument/2006/relationships/webSettings" Target="webSettings.xml"/><Relationship Id="rId19" Type="http://schemas.openxmlformats.org/officeDocument/2006/relationships/theme" Target="theme/theme1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header" Target="header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Health">
      <a:dk1>
        <a:sysClr val="windowText" lastClr="000000"/>
      </a:dk1>
      <a:lt1>
        <a:sysClr val="window" lastClr="FFFFFF"/>
      </a:lt1>
      <a:dk2>
        <a:srgbClr val="3F4A75"/>
      </a:dk2>
      <a:lt2>
        <a:srgbClr val="E6E6E6"/>
      </a:lt2>
      <a:accent1>
        <a:srgbClr val="3F4A75"/>
      </a:accent1>
      <a:accent2>
        <a:srgbClr val="358189"/>
      </a:accent2>
      <a:accent3>
        <a:srgbClr val="0078BF"/>
      </a:accent3>
      <a:accent4>
        <a:srgbClr val="9E4C6E"/>
      </a:accent4>
      <a:accent5>
        <a:srgbClr val="3998B5"/>
      </a:accent5>
      <a:accent6>
        <a:srgbClr val="97A92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Intranet Document" ma:contentTypeID="0x010100C2A214FDA4C8B34E994552DAA26C07150079AFCCD31D8DF84FBFA0F95ECE6BDBA6" ma:contentTypeVersion="5" ma:contentTypeDescription="Create a new document." ma:contentTypeScope="" ma:versionID="40e3ac8f0e99f73ea482c52d07781add">
  <xsd:schema xmlns:xsd="http://www.w3.org/2001/XMLSchema" xmlns:xs="http://www.w3.org/2001/XMLSchema" xmlns:p="http://schemas.microsoft.com/office/2006/metadata/properties" xmlns:ns2="15225296-5bc7-404a-82af-55dc9cd4c2a2" xmlns:ns3="d29d5f7a-be03-4e9c-abe5-c85ece0a2186" targetNamespace="http://schemas.microsoft.com/office/2006/metadata/properties" ma:root="true" ma:fieldsID="d748506b67d098199a266f9f1c404d07" ns2:_="" ns3:_="">
    <xsd:import namespace="15225296-5bc7-404a-82af-55dc9cd4c2a2"/>
    <xsd:import namespace="d29d5f7a-be03-4e9c-abe5-c85ece0a2186"/>
    <xsd:element name="properties">
      <xsd:complexType>
        <xsd:sequence>
          <xsd:element name="documentManagement">
            <xsd:complexType>
              <xsd:all>
                <xsd:element ref="ns2:n6ab4887e3574344bf29833a7599c9ee" minOccurs="0"/>
                <xsd:element ref="ns2:TaxCatchAll" minOccurs="0"/>
                <xsd:element ref="ns2:TaxCatchAllLabel" minOccurs="0"/>
                <xsd:element ref="ns2:Int-LastReviewed"/>
                <xsd:element ref="ns2:kc71ab0cbf48464c93da22616a13f899" minOccurs="0"/>
                <xsd:element ref="ns2:k9f8275dd1c043809a82b7dbd201a9b2" minOccurs="0"/>
                <xsd:element ref="ns2:Int-SortOrder" minOccurs="0"/>
                <xsd:element ref="ns2:Int-ReferenceNo" minOccurs="0"/>
                <xsd:element ref="ns2:Int-Intranet" minOccurs="0"/>
                <xsd:element ref="ns3:_dlc_DocId" minOccurs="0"/>
                <xsd:element ref="ns3:_dlc_DocIdUrl" minOccurs="0"/>
                <xsd:element ref="ns3:_dlc_DocIdPersistId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5225296-5bc7-404a-82af-55dc9cd4c2a2" elementFormDefault="qualified">
    <xsd:import namespace="http://schemas.microsoft.com/office/2006/documentManagement/types"/>
    <xsd:import namespace="http://schemas.microsoft.com/office/infopath/2007/PartnerControls"/>
    <xsd:element name="n6ab4887e3574344bf29833a7599c9ee" ma:index="8" ma:taxonomy="true" ma:internalName="n6ab4887e3574344bf29833a7599c9ee" ma:taxonomyFieldName="Int_x002d_Contact" ma:displayName="Contact (key)" ma:fieldId="{76ab4887-e357-4344-bf29-833a7599c9ee}" ma:sspId="89927c38-8944-418e-ac9b-4d6e75543028" ma:termSetId="9c4e6da8-cca8-4ef3-87a9-3524c702ad3e" ma:anchorId="6427c93b-a2ce-47b8-adc9-3160436ccaed" ma:open="false" ma:isKeyword="false">
      <xsd:complexType>
        <xsd:sequence>
          <xsd:element ref="pc:Terms" minOccurs="0" maxOccurs="1"/>
        </xsd:sequence>
      </xsd:complexType>
    </xsd:element>
    <xsd:element name="TaxCatchAll" ma:index="9" nillable="true" ma:displayName="Taxonomy Catch All Column" ma:hidden="true" ma:list="{a0d120bb-aa24-4a37-a861-0884664f337e}" ma:internalName="TaxCatchAll" ma:showField="CatchAllData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0" nillable="true" ma:displayName="Taxonomy Catch All Column1" ma:hidden="true" ma:list="{a0d120bb-aa24-4a37-a861-0884664f337e}" ma:internalName="TaxCatchAllLabel" ma:readOnly="true" ma:showField="CatchAllDataLabel" ma:web="d29d5f7a-be03-4e9c-abe5-c85ece0a2186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Int-LastReviewed" ma:index="12" ma:displayName="Last reviewed" ma:default="[today]" ma:format="DateOnly" ma:internalName="Int_x002d_LastReviewed">
      <xsd:simpleType>
        <xsd:restriction base="dms:DateTime"/>
      </xsd:simpleType>
    </xsd:element>
    <xsd:element name="kc71ab0cbf48464c93da22616a13f899" ma:index="13" ma:taxonomy="true" ma:internalName="kc71ab0cbf48464c93da22616a13f899" ma:taxonomyFieldName="Int_x002d_InformationType" ma:displayName="Information Type" ma:fieldId="{4c71ab0c-bf48-464c-93da-22616a13f899}" ma:sspId="89927c38-8944-418e-ac9b-4d6e75543028" ma:termSetId="9c4e6da8-cca8-4ef3-87a9-3524c702ad3e" ma:anchorId="ababb3c8-605c-4190-9a94-e7220db2976d" ma:open="false" ma:isKeyword="false">
      <xsd:complexType>
        <xsd:sequence>
          <xsd:element ref="pc:Terms" minOccurs="0" maxOccurs="1"/>
        </xsd:sequence>
      </xsd:complexType>
    </xsd:element>
    <xsd:element name="k9f8275dd1c043809a82b7dbd201a9b2" ma:index="15" ma:taxonomy="true" ma:internalName="k9f8275dd1c043809a82b7dbd201a9b2" ma:taxonomyFieldName="Int_x002d_Topics" ma:displayName="Topics" ma:fieldId="{49f8275d-d1c0-4380-9a82-b7dbd201a9b2}" ma:taxonomyMulti="true" ma:sspId="89927c38-8944-418e-ac9b-4d6e75543028" ma:termSetId="9c4e6da8-cca8-4ef3-87a9-3524c702ad3e" ma:anchorId="99034dcf-6686-4bcf-ac70-fb6dfea5341c" ma:open="false" ma:isKeyword="false">
      <xsd:complexType>
        <xsd:sequence>
          <xsd:element ref="pc:Terms" minOccurs="0" maxOccurs="1"/>
        </xsd:sequence>
      </xsd:complexType>
    </xsd:element>
    <xsd:element name="Int-SortOrder" ma:index="17" nillable="true" ma:displayName="Sort order" ma:internalName="Int_x002d_SortOrder">
      <xsd:simpleType>
        <xsd:restriction base="dms:Text"/>
      </xsd:simpleType>
    </xsd:element>
    <xsd:element name="Int-ReferenceNo" ma:index="18" nillable="true" ma:displayName="Reference No" ma:internalName="Int_x002d_ReferenceNo">
      <xsd:simpleType>
        <xsd:restriction base="dms:Text"/>
      </xsd:simpleType>
    </xsd:element>
    <xsd:element name="Int-Intranet" ma:index="19" nillable="true" ma:displayName="Intranet" ma:hidden="true" ma:internalName="Int_x002d_Intranet" ma:readOnly="fals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9d5f7a-be03-4e9c-abe5-c85ece0a2186" elementFormDefault="qualified">
    <xsd:import namespace="http://schemas.microsoft.com/office/2006/documentManagement/types"/>
    <xsd:import namespace="http://schemas.microsoft.com/office/infopath/2007/PartnerControls"/>
    <xsd:element name="_dlc_DocId" ma:index="20" nillable="true" ma:displayName="Document ID Value" ma:description="The value of the document ID assigned to this item." ma:indexed="true" ma:internalName="_dlc_DocId" ma:readOnly="true">
      <xsd:simpleType>
        <xsd:restriction base="dms:Text"/>
      </xsd:simpleType>
    </xsd:element>
    <xsd:element name="_dlc_DocIdUrl" ma:index="21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22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Version=16.0.0.0,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Version=16.0.0.0, Culture=neutral, PublicKeyToken=71e9bce111e9429c</Assembly>
    <Class>Microsoft.Office.DocumentManagement.Internal.DocIdHandler</Class>
    <Data/>
    <Filter/>
  </Receiver>
</spe:Receivers>
</file>

<file path=customXml/item5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_dlc_DocIdPersistId xmlns="d29d5f7a-be03-4e9c-abe5-c85ece0a2186" xsi:nil="true"/>
    <_dlc_DocIdUrl xmlns="d29d5f7a-be03-4e9c-abe5-c85ece0a2186">
      <Url>https://healthgov.sharepoint.com/sites/support-comms/_layouts/15/DocIdRedir.aspx?ID=INTCOMMS-1466148216-32</Url>
      <Description>INTCOMMS-1466148216-32</Description>
    </_dlc_DocIdUrl>
    <_dlc_DocId xmlns="d29d5f7a-be03-4e9c-abe5-c85ece0a2186">INTCOMMS-1466148216-32</_dlc_DocId>
    <TaxCatchAll xmlns="15225296-5bc7-404a-82af-55dc9cd4c2a2">
      <Value>89</Value>
      <Value>4</Value>
      <Value>45</Value>
      <Value>42</Value>
    </TaxCatchAll>
    <TaxCatchAllLabel xmlns="15225296-5bc7-404a-82af-55dc9cd4c2a2" xsi:nil="true"/>
    <kc71ab0cbf48464c93da22616a13f899 xmlns="15225296-5bc7-404a-82af-55dc9cd4c2a2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0635ea83-9a41-497c-9b11-d9d7178dcab7</TermId>
        </TermInfo>
      </Terms>
    </kc71ab0cbf48464c93da22616a13f899>
    <n6ab4887e3574344bf29833a7599c9ee xmlns="15225296-5bc7-404a-82af-55dc9cd4c2a2">
      <Terms xmlns="http://schemas.microsoft.com/office/infopath/2007/PartnerControls">
        <TermInfo xmlns="http://schemas.microsoft.com/office/infopath/2007/PartnerControls">
          <TermName xmlns="http://schemas.microsoft.com/office/infopath/2007/PartnerControls"/>
          <TermId xmlns="http://schemas.microsoft.com/office/infopath/2007/PartnerControls">08e901f7-7c65-407e-b680-5c7872e4b1fa</TermId>
        </TermInfo>
      </Terms>
    </n6ab4887e3574344bf29833a7599c9ee>
    <k9f8275dd1c043809a82b7dbd201a9b2 xmlns="15225296-5bc7-404a-82af-55dc9cd4c2a2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Factsheet</TermName>
          <TermId xmlns="http://schemas.microsoft.com/office/infopath/2007/PartnerControls">e6399178-8246-423e-9818-2fbb787c959a</TermId>
        </TermInfo>
        <TermInfo xmlns="http://schemas.microsoft.com/office/infopath/2007/PartnerControls">
          <TermName xmlns="http://schemas.microsoft.com/office/infopath/2007/PartnerControls">visual identity</TermName>
          <TermId xmlns="http://schemas.microsoft.com/office/infopath/2007/PartnerControls">a54ebda2-a0fd-45ec-8fc0-1cf31001b526</TermId>
        </TermInfo>
      </Terms>
    </k9f8275dd1c043809a82b7dbd201a9b2>
    <Int-Intranet xmlns="15225296-5bc7-404a-82af-55dc9cd4c2a2">true</Int-Intranet>
    <Int-LastReviewed xmlns="15225296-5bc7-404a-82af-55dc9cd4c2a2">2023-05-10T14:00:00+00:00</Int-LastReviewed>
    <Int-ReferenceNo xmlns="15225296-5bc7-404a-82af-55dc9cd4c2a2" xsi:nil="true"/>
    <Int-SortOrder xmlns="15225296-5bc7-404a-82af-55dc9cd4c2a2" xsi:nil="true"/>
  </documentManagement>
</p:properties>
</file>

<file path=customXml/item6.xml><?xml version="1.0" encoding="utf-8"?>
<?mso-contentType ?>
<SharedContentType xmlns="Microsoft.SharePoint.Taxonomy.ContentTypeSync" SourceId="89927c38-8944-418e-ac9b-4d6e75543028" ContentTypeId="0x010100C2A214FDA4C8B34E994552DAA26C0715" PreviousValue="false" LastSyncTimeStamp="2024-03-01T04:37:47.153Z"/>
</file>

<file path=customXml/itemProps1.xml><?xml version="1.0" encoding="utf-8"?>
<ds:datastoreItem xmlns:ds="http://schemas.openxmlformats.org/officeDocument/2006/customXml" ds:itemID="{200C2AE0-42EB-455C-957E-E788C41DA600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3BFCAFB5-863C-4C24-ACB5-1626D6CA35D8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916B158F-9310-4A04-BF1D-929FF85802C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15225296-5bc7-404a-82af-55dc9cd4c2a2"/>
    <ds:schemaRef ds:uri="d29d5f7a-be03-4e9c-abe5-c85ece0a218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EC3CCC73-FC82-4473-87C6-5C0EA042979A}">
  <ds:schemaRefs>
    <ds:schemaRef ds:uri="http://schemas.microsoft.com/sharepoint/events"/>
  </ds:schemaRefs>
</ds:datastoreItem>
</file>

<file path=customXml/itemProps5.xml><?xml version="1.0" encoding="utf-8"?>
<ds:datastoreItem xmlns:ds="http://schemas.openxmlformats.org/officeDocument/2006/customXml" ds:itemID="{D20C6417-ADBB-487B-9091-DC3471F064BF}">
  <ds:schemaRefs>
    <ds:schemaRef ds:uri="http://schemas.microsoft.com/office/2006/metadata/properties"/>
    <ds:schemaRef ds:uri="http://schemas.microsoft.com/office/infopath/2007/PartnerControls"/>
    <ds:schemaRef ds:uri="d29d5f7a-be03-4e9c-abe5-c85ece0a2186"/>
    <ds:schemaRef ds:uri="15225296-5bc7-404a-82af-55dc9cd4c2a2"/>
  </ds:schemaRefs>
</ds:datastoreItem>
</file>

<file path=customXml/itemProps6.xml><?xml version="1.0" encoding="utf-8"?>
<ds:datastoreItem xmlns:ds="http://schemas.openxmlformats.org/officeDocument/2006/customXml" ds:itemID="{16CD7B6C-E87A-4ECB-BAE1-BA50C0B88DF0}">
  <ds:schemaRefs>
    <ds:schemaRef ds:uri="Microsoft.SharePoint.Taxonomy.ContentTypeSync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3</Pages>
  <Words>778</Words>
  <Characters>4437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Fact sheet template (blue)</vt:lpstr>
    </vt:vector>
  </TitlesOfParts>
  <Company/>
  <LinksUpToDate>false</LinksUpToDate>
  <CharactersWithSpaces>5205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New arrangements for migalastat (Galafold®) for treatment of Fabry Disease – Information for patients</dc:title>
  <dc:subject>Life Saving Drugs Program</dc:subject>
  <dc:creator>Australian Government Department of Health and Aged Care</dc:creator>
  <cp:lastModifiedBy>Australian Government Department of Health and Aged </cp:lastModifiedBy>
  <cp:revision>2</cp:revision>
  <dcterms:created xsi:type="dcterms:W3CDTF">2024-08-14T05:21:00Z</dcterms:created>
  <dcterms:modified xsi:type="dcterms:W3CDTF">2024-08-14T05:21:00Z</dcterms:modified>
</cp:coreProperties>
</file>