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B07D" w14:textId="61D13940" w:rsidR="002C341A" w:rsidRPr="00F6553C" w:rsidRDefault="002C341A" w:rsidP="00F6553C">
      <w:r>
        <w:rPr>
          <w:noProof/>
          <w:lang w:eastAsia="en-AU"/>
        </w:rPr>
        <w:drawing>
          <wp:inline distT="0" distB="0" distL="0" distR="0" wp14:anchorId="7022FF05" wp14:editId="099E66C5">
            <wp:extent cx="2511376" cy="74929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539684" cy="757741"/>
                    </a:xfrm>
                    <a:prstGeom prst="rect">
                      <a:avLst/>
                    </a:prstGeom>
                    <a:noFill/>
                    <a:ln>
                      <a:noFill/>
                    </a:ln>
                  </pic:spPr>
                </pic:pic>
              </a:graphicData>
            </a:graphic>
          </wp:inline>
        </w:drawing>
      </w:r>
    </w:p>
    <w:p w14:paraId="7F5075A9" w14:textId="77777777" w:rsidR="002C341A" w:rsidRPr="00F6553C" w:rsidRDefault="002C341A" w:rsidP="00F6553C">
      <w:r w:rsidRPr="00F6553C">
        <w:drawing>
          <wp:inline distT="0" distB="0" distL="0" distR="0" wp14:anchorId="1CD94219" wp14:editId="55C98B34">
            <wp:extent cx="5759450" cy="119864"/>
            <wp:effectExtent l="0" t="0" r="0" b="0"/>
            <wp:docPr id="3" name="Picture 3" descr="cid:image003.png@01D51610.1D98D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1610.1D98D2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9450" cy="119864"/>
                    </a:xfrm>
                    <a:prstGeom prst="rect">
                      <a:avLst/>
                    </a:prstGeom>
                    <a:noFill/>
                    <a:ln>
                      <a:noFill/>
                    </a:ln>
                  </pic:spPr>
                </pic:pic>
              </a:graphicData>
            </a:graphic>
          </wp:inline>
        </w:drawing>
      </w:r>
    </w:p>
    <w:p w14:paraId="609E6B6A" w14:textId="3BC9B89E" w:rsidR="002C341A" w:rsidRPr="008733C0" w:rsidRDefault="002C341A" w:rsidP="00F6553C">
      <w:pPr>
        <w:pStyle w:val="Title"/>
        <w:spacing w:before="360" w:line="276" w:lineRule="auto"/>
        <w:contextualSpacing w:val="0"/>
        <w:rPr>
          <w:b/>
          <w:sz w:val="36"/>
          <w:szCs w:val="36"/>
        </w:rPr>
      </w:pPr>
      <w:r w:rsidRPr="008733C0">
        <w:rPr>
          <w:b/>
          <w:sz w:val="36"/>
          <w:szCs w:val="36"/>
        </w:rPr>
        <w:t xml:space="preserve">National Clinical Quality Registry Program Communique: </w:t>
      </w:r>
      <w:r w:rsidR="00841834" w:rsidRPr="00CD0C3A">
        <w:rPr>
          <w:b/>
          <w:sz w:val="36"/>
          <w:szCs w:val="36"/>
        </w:rPr>
        <w:t>August</w:t>
      </w:r>
      <w:r w:rsidRPr="008733C0">
        <w:rPr>
          <w:b/>
          <w:sz w:val="36"/>
          <w:szCs w:val="36"/>
        </w:rPr>
        <w:t xml:space="preserve"> 2024</w:t>
      </w:r>
    </w:p>
    <w:p w14:paraId="388BAEFB" w14:textId="69A479A4" w:rsidR="002C341A" w:rsidRDefault="002C341A" w:rsidP="00F6553C">
      <w:pPr>
        <w:rPr>
          <w:rFonts w:cs="Arial"/>
          <w:szCs w:val="22"/>
        </w:rPr>
      </w:pPr>
      <w:r w:rsidRPr="00071634">
        <w:rPr>
          <w:szCs w:val="22"/>
        </w:rPr>
        <w:t xml:space="preserve">The Australian government is </w:t>
      </w:r>
      <w:r>
        <w:rPr>
          <w:szCs w:val="22"/>
        </w:rPr>
        <w:t xml:space="preserve">establishing </w:t>
      </w:r>
      <w:r w:rsidRPr="00071634">
        <w:rPr>
          <w:szCs w:val="22"/>
        </w:rPr>
        <w:t xml:space="preserve">a National Clinical Quality Registry Program (the Program). The purpose of the Program is to improve the quality of health care and ensure better health outcomes for Australian patients. It is designed to reflect the key priorities of the </w:t>
      </w:r>
      <w:hyperlink r:id="rId10" w:history="1">
        <w:r w:rsidRPr="00BC55AD">
          <w:rPr>
            <w:rStyle w:val="Hyperlink"/>
            <w:szCs w:val="22"/>
          </w:rPr>
          <w:t>National Clinical Quality Registry and Virtual Strategy 2020-2030</w:t>
        </w:r>
      </w:hyperlink>
      <w:r w:rsidRPr="00071634">
        <w:rPr>
          <w:szCs w:val="22"/>
        </w:rPr>
        <w:t xml:space="preserve"> (the Strategy).</w:t>
      </w:r>
      <w:r w:rsidRPr="00E36D7C">
        <w:rPr>
          <w:rFonts w:cs="Arial"/>
          <w:szCs w:val="22"/>
        </w:rPr>
        <w:t xml:space="preserve"> </w:t>
      </w:r>
    </w:p>
    <w:p w14:paraId="61C4951E" w14:textId="221BCBDE" w:rsidR="002C341A" w:rsidRDefault="002C341A" w:rsidP="00F6553C">
      <w:pPr>
        <w:rPr>
          <w:szCs w:val="22"/>
        </w:rPr>
      </w:pPr>
      <w:r w:rsidRPr="00253979">
        <w:rPr>
          <w:szCs w:val="22"/>
        </w:rPr>
        <w:t>This</w:t>
      </w:r>
      <w:r>
        <w:rPr>
          <w:szCs w:val="22"/>
        </w:rPr>
        <w:t xml:space="preserve"> is</w:t>
      </w:r>
      <w:r w:rsidRPr="00253979">
        <w:rPr>
          <w:szCs w:val="22"/>
        </w:rPr>
        <w:t xml:space="preserve"> </w:t>
      </w:r>
      <w:r>
        <w:rPr>
          <w:szCs w:val="22"/>
        </w:rPr>
        <w:t xml:space="preserve">the </w:t>
      </w:r>
      <w:r w:rsidR="00841834">
        <w:rPr>
          <w:szCs w:val="22"/>
        </w:rPr>
        <w:t>third</w:t>
      </w:r>
      <w:r>
        <w:rPr>
          <w:szCs w:val="22"/>
        </w:rPr>
        <w:t xml:space="preserve"> </w:t>
      </w:r>
      <w:r w:rsidRPr="00253979">
        <w:rPr>
          <w:szCs w:val="22"/>
        </w:rPr>
        <w:t xml:space="preserve">communique </w:t>
      </w:r>
      <w:r w:rsidRPr="00F6553C">
        <w:t>providing</w:t>
      </w:r>
      <w:r>
        <w:rPr>
          <w:szCs w:val="22"/>
        </w:rPr>
        <w:t xml:space="preserve"> updates on the Program. Further details can be found on the Department’s </w:t>
      </w:r>
      <w:bookmarkStart w:id="0" w:name="_Hlk143503902"/>
      <w:r>
        <w:rPr>
          <w:color w:val="358189"/>
          <w:sz w:val="28"/>
        </w:rPr>
        <w:fldChar w:fldCharType="begin"/>
      </w:r>
      <w:r>
        <w:instrText xml:space="preserve"> HYPERLINK "https://www.health.gov.au/our-work/national-clinical-quality-registry-program?utm_source=health.gov.au&amp;utm_medium=callout-auto-custom&amp;utm_campaign=digital_transformation" </w:instrText>
      </w:r>
      <w:r>
        <w:rPr>
          <w:color w:val="358189"/>
          <w:sz w:val="28"/>
        </w:rPr>
        <w:fldChar w:fldCharType="separate"/>
      </w:r>
      <w:r w:rsidRPr="00BC55AD">
        <w:rPr>
          <w:rStyle w:val="Hyperlink"/>
          <w:szCs w:val="22"/>
        </w:rPr>
        <w:t>website</w:t>
      </w:r>
      <w:r>
        <w:rPr>
          <w:rStyle w:val="Hyperlink"/>
          <w:szCs w:val="22"/>
        </w:rPr>
        <w:fldChar w:fldCharType="end"/>
      </w:r>
      <w:bookmarkEnd w:id="0"/>
      <w:r>
        <w:rPr>
          <w:szCs w:val="22"/>
        </w:rPr>
        <w:t>.</w:t>
      </w:r>
    </w:p>
    <w:p w14:paraId="4D999A1B" w14:textId="681B39C1" w:rsidR="002C341A" w:rsidRPr="00F6553C" w:rsidRDefault="00841834" w:rsidP="00F6553C">
      <w:pPr>
        <w:pStyle w:val="Heading2"/>
      </w:pPr>
      <w:r w:rsidRPr="00F6553C">
        <w:t>Current and u</w:t>
      </w:r>
      <w:r w:rsidR="002C341A" w:rsidRPr="00F6553C">
        <w:t xml:space="preserve">pcoming </w:t>
      </w:r>
      <w:r w:rsidR="00F95915" w:rsidRPr="00F6553C">
        <w:t>f</w:t>
      </w:r>
      <w:r w:rsidR="002C341A" w:rsidRPr="00F6553C">
        <w:t xml:space="preserve">unding </w:t>
      </w:r>
      <w:bookmarkStart w:id="1" w:name="_Hlk127437867"/>
      <w:r w:rsidR="00F95915" w:rsidRPr="00F6553C">
        <w:t>opportunities</w:t>
      </w:r>
    </w:p>
    <w:p w14:paraId="1BFD8397" w14:textId="5E333B28" w:rsidR="00130248" w:rsidRDefault="00C96C47" w:rsidP="00F6553C">
      <w:pPr>
        <w:rPr>
          <w:rFonts w:cs="Arial"/>
          <w:szCs w:val="22"/>
        </w:rPr>
      </w:pPr>
      <w:r>
        <w:rPr>
          <w:rFonts w:cs="Arial"/>
          <w:szCs w:val="22"/>
        </w:rPr>
        <w:t xml:space="preserve">A new </w:t>
      </w:r>
      <w:r w:rsidRPr="00C6362A">
        <w:rPr>
          <w:rFonts w:cs="Arial"/>
          <w:szCs w:val="22"/>
        </w:rPr>
        <w:t xml:space="preserve">Strategy </w:t>
      </w:r>
      <w:r w:rsidR="00C6362A" w:rsidRPr="00C6362A">
        <w:rPr>
          <w:rFonts w:cs="Arial"/>
          <w:szCs w:val="22"/>
        </w:rPr>
        <w:t xml:space="preserve">activity funding </w:t>
      </w:r>
      <w:r w:rsidR="00C6362A" w:rsidRPr="00F6553C">
        <w:t>opportunity</w:t>
      </w:r>
      <w:r w:rsidR="00C6362A" w:rsidRPr="00C6362A">
        <w:rPr>
          <w:rFonts w:cs="Arial"/>
          <w:szCs w:val="22"/>
        </w:rPr>
        <w:t xml:space="preserve"> is now open on </w:t>
      </w:r>
      <w:hyperlink r:id="rId11" w:history="1">
        <w:proofErr w:type="spellStart"/>
        <w:r w:rsidR="00C6362A" w:rsidRPr="00130248">
          <w:rPr>
            <w:rStyle w:val="Hyperlink"/>
            <w:rFonts w:cs="Arial"/>
            <w:szCs w:val="22"/>
          </w:rPr>
          <w:t>AusTender</w:t>
        </w:r>
        <w:proofErr w:type="spellEnd"/>
        <w:r w:rsidR="00130248" w:rsidRPr="00130248">
          <w:rPr>
            <w:rStyle w:val="Hyperlink"/>
            <w:rFonts w:cs="Arial"/>
            <w:szCs w:val="22"/>
          </w:rPr>
          <w:t>.</w:t>
        </w:r>
      </w:hyperlink>
      <w:r w:rsidR="00CD2845">
        <w:rPr>
          <w:rStyle w:val="Hyperlink"/>
          <w:rFonts w:cs="Arial"/>
          <w:szCs w:val="22"/>
        </w:rPr>
        <w:t xml:space="preserve"> </w:t>
      </w:r>
      <w:r w:rsidR="00CD2845" w:rsidRPr="00330716">
        <w:rPr>
          <w:rFonts w:cs="Arial"/>
          <w:szCs w:val="22"/>
        </w:rPr>
        <w:t>Applications close on 9 September 2024.</w:t>
      </w:r>
    </w:p>
    <w:p w14:paraId="1C837299" w14:textId="0508E583" w:rsidR="00183062" w:rsidRPr="00183062" w:rsidRDefault="00183062" w:rsidP="00F6553C">
      <w:pPr>
        <w:rPr>
          <w:rFonts w:cs="Arial"/>
          <w:color w:val="313131"/>
          <w:szCs w:val="22"/>
          <w:lang w:eastAsia="en-AU"/>
        </w:rPr>
      </w:pPr>
      <w:r w:rsidRPr="00183062">
        <w:rPr>
          <w:rFonts w:cs="Arial"/>
          <w:color w:val="313131"/>
          <w:szCs w:val="22"/>
          <w:lang w:eastAsia="en-AU"/>
        </w:rPr>
        <w:t xml:space="preserve">A new </w:t>
      </w:r>
      <w:r w:rsidR="00BA6BE7">
        <w:rPr>
          <w:rFonts w:cs="Arial"/>
          <w:color w:val="313131"/>
          <w:szCs w:val="22"/>
          <w:lang w:eastAsia="en-AU"/>
        </w:rPr>
        <w:t xml:space="preserve">Stream 2 </w:t>
      </w:r>
      <w:r w:rsidRPr="00183062">
        <w:rPr>
          <w:rFonts w:cs="Arial"/>
          <w:color w:val="313131"/>
          <w:szCs w:val="22"/>
          <w:lang w:eastAsia="en-AU"/>
        </w:rPr>
        <w:t xml:space="preserve">grant </w:t>
      </w:r>
      <w:r w:rsidRPr="00F6553C">
        <w:t>opportunity</w:t>
      </w:r>
      <w:r w:rsidRPr="00183062">
        <w:rPr>
          <w:rFonts w:cs="Arial"/>
          <w:color w:val="313131"/>
          <w:szCs w:val="22"/>
          <w:lang w:eastAsia="en-AU"/>
        </w:rPr>
        <w:t xml:space="preserve"> </w:t>
      </w:r>
      <w:r w:rsidR="00BA6BE7">
        <w:rPr>
          <w:rFonts w:cs="Arial"/>
          <w:color w:val="313131"/>
          <w:szCs w:val="22"/>
          <w:lang w:eastAsia="en-AU"/>
        </w:rPr>
        <w:t>is now open</w:t>
      </w:r>
      <w:r w:rsidRPr="00183062">
        <w:rPr>
          <w:rFonts w:cs="Arial"/>
          <w:color w:val="313131"/>
          <w:szCs w:val="22"/>
          <w:lang w:eastAsia="en-AU"/>
        </w:rPr>
        <w:t xml:space="preserve"> on </w:t>
      </w:r>
      <w:hyperlink r:id="rId12" w:history="1">
        <w:r w:rsidRPr="007E3910">
          <w:rPr>
            <w:rStyle w:val="Hyperlink"/>
            <w:rFonts w:cs="Arial"/>
            <w:szCs w:val="22"/>
            <w:lang w:eastAsia="en-AU"/>
          </w:rPr>
          <w:t>Grant Connect</w:t>
        </w:r>
      </w:hyperlink>
      <w:r w:rsidRPr="00183062">
        <w:rPr>
          <w:rFonts w:cs="Arial"/>
          <w:color w:val="313131"/>
          <w:szCs w:val="22"/>
          <w:lang w:eastAsia="en-AU"/>
        </w:rPr>
        <w:t>.</w:t>
      </w:r>
      <w:r w:rsidR="00BA6BE7">
        <w:rPr>
          <w:rFonts w:cs="Arial"/>
          <w:color w:val="313131"/>
          <w:szCs w:val="22"/>
          <w:lang w:eastAsia="en-AU"/>
        </w:rPr>
        <w:t xml:space="preserve"> Applications close on 26 September 2024. </w:t>
      </w:r>
    </w:p>
    <w:p w14:paraId="0DAA3FA5" w14:textId="04C6313E" w:rsidR="002C341A" w:rsidRPr="002C341A" w:rsidRDefault="002C341A" w:rsidP="00CD2845">
      <w:pPr>
        <w:spacing w:line="259" w:lineRule="auto"/>
        <w:rPr>
          <w:b/>
          <w:bCs/>
          <w:szCs w:val="22"/>
        </w:rPr>
      </w:pPr>
      <w:r w:rsidRPr="00FA62F4">
        <w:rPr>
          <w:b/>
          <w:bCs/>
          <w:szCs w:val="22"/>
        </w:rPr>
        <w:t>How to apply</w:t>
      </w:r>
    </w:p>
    <w:p w14:paraId="7C3BEB4B" w14:textId="77777777" w:rsidR="00F06581" w:rsidRDefault="002C341A" w:rsidP="00F6553C">
      <w:pPr>
        <w:rPr>
          <w:szCs w:val="22"/>
        </w:rPr>
      </w:pPr>
      <w:r w:rsidRPr="002C341A">
        <w:rPr>
          <w:rFonts w:cs="Arial"/>
          <w:szCs w:val="22"/>
        </w:rPr>
        <w:t xml:space="preserve">Please </w:t>
      </w:r>
      <w:r w:rsidR="00F06581" w:rsidRPr="002C341A">
        <w:rPr>
          <w:szCs w:val="22"/>
        </w:rPr>
        <w:t>visit the</w:t>
      </w:r>
      <w:r w:rsidR="00F06581">
        <w:rPr>
          <w:szCs w:val="22"/>
        </w:rPr>
        <w:t xml:space="preserve"> ‘Apply for </w:t>
      </w:r>
      <w:r w:rsidR="00F06581" w:rsidRPr="00F6553C">
        <w:t>funding’</w:t>
      </w:r>
      <w:r w:rsidR="00F06581">
        <w:rPr>
          <w:szCs w:val="22"/>
        </w:rPr>
        <w:t xml:space="preserve"> section on our </w:t>
      </w:r>
      <w:hyperlink r:id="rId13" w:history="1">
        <w:r w:rsidR="00F06581" w:rsidRPr="00BC55AD">
          <w:rPr>
            <w:rStyle w:val="Hyperlink"/>
            <w:szCs w:val="22"/>
          </w:rPr>
          <w:t>website</w:t>
        </w:r>
      </w:hyperlink>
      <w:r w:rsidR="00F06581" w:rsidRPr="00AB7A09">
        <w:rPr>
          <w:szCs w:val="22"/>
        </w:rPr>
        <w:t>.</w:t>
      </w:r>
      <w:r w:rsidR="00F06581">
        <w:rPr>
          <w:szCs w:val="22"/>
        </w:rPr>
        <w:t xml:space="preserve"> </w:t>
      </w:r>
    </w:p>
    <w:p w14:paraId="112AF599" w14:textId="77777777" w:rsidR="00F06581" w:rsidRDefault="00F06581" w:rsidP="00CD2845">
      <w:pPr>
        <w:spacing w:line="259" w:lineRule="auto"/>
        <w:rPr>
          <w:szCs w:val="22"/>
        </w:rPr>
      </w:pPr>
      <w:r>
        <w:rPr>
          <w:szCs w:val="22"/>
        </w:rPr>
        <w:t xml:space="preserve">You can apply for: </w:t>
      </w:r>
    </w:p>
    <w:p w14:paraId="71E4CB60" w14:textId="28147103" w:rsidR="00F06581" w:rsidRPr="00F06581" w:rsidRDefault="00F06581" w:rsidP="00F6553C">
      <w:pPr>
        <w:pStyle w:val="ListBullet"/>
        <w:rPr>
          <w:rStyle w:val="Hyperlink"/>
          <w:rFonts w:cs="Arial"/>
          <w:szCs w:val="22"/>
        </w:rPr>
      </w:pPr>
      <w:r w:rsidRPr="00F06581">
        <w:rPr>
          <w:rFonts w:cs="Arial"/>
          <w:szCs w:val="22"/>
        </w:rPr>
        <w:t>Strategy activities</w:t>
      </w:r>
      <w:r w:rsidR="00D707D2" w:rsidRPr="00F06581">
        <w:rPr>
          <w:rFonts w:cs="Arial"/>
          <w:szCs w:val="22"/>
        </w:rPr>
        <w:t xml:space="preserve"> </w:t>
      </w:r>
      <w:r>
        <w:rPr>
          <w:rFonts w:cs="Arial"/>
          <w:szCs w:val="22"/>
        </w:rPr>
        <w:t>via</w:t>
      </w:r>
      <w:r w:rsidR="002C341A" w:rsidRPr="00F06581">
        <w:rPr>
          <w:rFonts w:cs="Arial"/>
          <w:szCs w:val="22"/>
        </w:rPr>
        <w:t> </w:t>
      </w:r>
      <w:proofErr w:type="spellStart"/>
      <w:r w:rsidR="00000000">
        <w:fldChar w:fldCharType="begin"/>
      </w:r>
      <w:r w:rsidR="00000000">
        <w:instrText>HYPERLINK "https://www.tenders.gov.au/"</w:instrText>
      </w:r>
      <w:r w:rsidR="00000000">
        <w:fldChar w:fldCharType="separate"/>
      </w:r>
      <w:r w:rsidR="002C341A" w:rsidRPr="00F06581">
        <w:rPr>
          <w:rStyle w:val="Hyperlink"/>
          <w:rFonts w:cs="Arial"/>
          <w:szCs w:val="22"/>
        </w:rPr>
        <w:t>AusTender</w:t>
      </w:r>
      <w:proofErr w:type="spellEnd"/>
      <w:r w:rsidR="00000000">
        <w:rPr>
          <w:rStyle w:val="Hyperlink"/>
          <w:rFonts w:cs="Arial"/>
          <w:szCs w:val="22"/>
        </w:rPr>
        <w:fldChar w:fldCharType="end"/>
      </w:r>
    </w:p>
    <w:p w14:paraId="7283C3B9" w14:textId="77777777" w:rsidR="00F06581" w:rsidRDefault="00F06581" w:rsidP="00F6553C">
      <w:pPr>
        <w:pStyle w:val="ListBullet"/>
        <w:rPr>
          <w:rFonts w:ascii="Segoe UI" w:hAnsi="Segoe UI" w:cs="Segoe UI"/>
          <w:color w:val="313131"/>
        </w:rPr>
      </w:pPr>
      <w:r w:rsidRPr="002720DB">
        <w:rPr>
          <w:rFonts w:cs="Arial"/>
          <w:szCs w:val="22"/>
        </w:rPr>
        <w:t>Stream 2 via </w:t>
      </w:r>
      <w:hyperlink r:id="rId14" w:history="1">
        <w:r>
          <w:rPr>
            <w:rStyle w:val="Hyperlink"/>
            <w:rFonts w:ascii="Segoe UI" w:hAnsi="Segoe UI" w:cs="Segoe UI"/>
            <w:color w:val="006FB0"/>
          </w:rPr>
          <w:t>Grant Connect</w:t>
        </w:r>
      </w:hyperlink>
      <w:r>
        <w:rPr>
          <w:rFonts w:ascii="Segoe UI" w:hAnsi="Segoe UI" w:cs="Segoe UI"/>
          <w:color w:val="313131"/>
        </w:rPr>
        <w:t>.</w:t>
      </w:r>
    </w:p>
    <w:p w14:paraId="29455D82" w14:textId="77777777" w:rsidR="00CD2845" w:rsidRPr="00F6553C" w:rsidRDefault="00CD2845" w:rsidP="00F6553C">
      <w:pPr>
        <w:pStyle w:val="Heading2"/>
      </w:pPr>
      <w:r w:rsidRPr="00F6553C">
        <w:t>Outcomes of previous funding opportunities</w:t>
      </w:r>
    </w:p>
    <w:p w14:paraId="6520FAEC" w14:textId="77777777" w:rsidR="00CD2845" w:rsidRPr="00DD7398" w:rsidRDefault="00CD2845" w:rsidP="00CD2845">
      <w:pPr>
        <w:spacing w:line="259" w:lineRule="auto"/>
        <w:rPr>
          <w:rFonts w:cs="Arial"/>
          <w:szCs w:val="22"/>
        </w:rPr>
      </w:pPr>
      <w:r w:rsidRPr="00DD7398">
        <w:rPr>
          <w:rFonts w:cs="Arial"/>
          <w:szCs w:val="22"/>
        </w:rPr>
        <w:t>We are pleased to announce that two national CQRs were successful in the</w:t>
      </w:r>
      <w:r>
        <w:rPr>
          <w:rFonts w:cs="Arial"/>
          <w:szCs w:val="22"/>
        </w:rPr>
        <w:t xml:space="preserve"> recent Stream 1</w:t>
      </w:r>
      <w:r w:rsidRPr="00DD7398">
        <w:rPr>
          <w:rFonts w:cs="Arial"/>
          <w:szCs w:val="22"/>
        </w:rPr>
        <w:t xml:space="preserve"> round:</w:t>
      </w:r>
    </w:p>
    <w:p w14:paraId="3D472080" w14:textId="77777777" w:rsidR="00CD2845" w:rsidRPr="00DD7398" w:rsidRDefault="00CD2845" w:rsidP="00F6553C">
      <w:pPr>
        <w:pStyle w:val="ListBullet"/>
      </w:pPr>
      <w:r w:rsidRPr="00DD7398">
        <w:t>Australian and New Zealand Intensive Care Registry</w:t>
      </w:r>
    </w:p>
    <w:p w14:paraId="6CB6B680" w14:textId="77777777" w:rsidR="00CD2845" w:rsidRDefault="00CD2845" w:rsidP="00F6553C">
      <w:pPr>
        <w:pStyle w:val="ListBullet"/>
      </w:pPr>
      <w:r w:rsidRPr="00DD7398">
        <w:t>Australian Stroke Clinical Registry.</w:t>
      </w:r>
    </w:p>
    <w:p w14:paraId="38842AD6" w14:textId="77777777" w:rsidR="00CD2845" w:rsidRDefault="00CD2845" w:rsidP="00F6553C">
      <w:pPr>
        <w:rPr>
          <w:rFonts w:cs="Arial"/>
          <w:szCs w:val="22"/>
        </w:rPr>
      </w:pPr>
      <w:bookmarkStart w:id="2" w:name="_Hlk174469991"/>
      <w:r w:rsidRPr="00CD0C3A">
        <w:rPr>
          <w:rFonts w:cs="Arial"/>
          <w:szCs w:val="22"/>
        </w:rPr>
        <w:t>We intend to advertise a second Stream 1 opportunity in the first quarter of 2025.</w:t>
      </w:r>
    </w:p>
    <w:bookmarkEnd w:id="2"/>
    <w:p w14:paraId="416C2198" w14:textId="77777777" w:rsidR="00CD2845" w:rsidRPr="005D37FF" w:rsidRDefault="00CD2845" w:rsidP="00CD2845">
      <w:pPr>
        <w:spacing w:line="259" w:lineRule="auto"/>
        <w:rPr>
          <w:rFonts w:cs="Arial"/>
          <w:sz w:val="4"/>
          <w:szCs w:val="4"/>
        </w:rPr>
      </w:pPr>
    </w:p>
    <w:p w14:paraId="6C51937E" w14:textId="0E5B1625" w:rsidR="00CD2845" w:rsidRPr="00F6553C" w:rsidRDefault="00CD2845" w:rsidP="00F6553C">
      <w:pPr>
        <w:pStyle w:val="Heading2"/>
      </w:pPr>
      <w:r w:rsidRPr="00F6553C">
        <w:t>New Strategy activities</w:t>
      </w:r>
    </w:p>
    <w:p w14:paraId="1094295C" w14:textId="77777777" w:rsidR="00CD2845" w:rsidRPr="00F6553C" w:rsidRDefault="00CD2845" w:rsidP="00F6553C">
      <w:r w:rsidRPr="00F6553C">
        <w:t xml:space="preserve">The Program will fund selected activities that support continued implementation of the Strategy. </w:t>
      </w:r>
    </w:p>
    <w:p w14:paraId="1F036725" w14:textId="01075408" w:rsidR="00CD2845" w:rsidRPr="003B4DF7" w:rsidRDefault="00CD2845" w:rsidP="00F6553C">
      <w:pPr>
        <w:rPr>
          <w:szCs w:val="22"/>
        </w:rPr>
      </w:pPr>
      <w:r w:rsidRPr="003B4DF7">
        <w:rPr>
          <w:szCs w:val="22"/>
        </w:rPr>
        <w:t xml:space="preserve">The </w:t>
      </w:r>
      <w:r>
        <w:rPr>
          <w:szCs w:val="22"/>
        </w:rPr>
        <w:t xml:space="preserve">Australian </w:t>
      </w:r>
      <w:r w:rsidRPr="00F6553C">
        <w:t>Commission</w:t>
      </w:r>
      <w:r>
        <w:rPr>
          <w:szCs w:val="22"/>
        </w:rPr>
        <w:t xml:space="preserve"> on Safety and Quality in Health Care</w:t>
      </w:r>
      <w:r w:rsidR="001108CE">
        <w:rPr>
          <w:szCs w:val="22"/>
        </w:rPr>
        <w:t xml:space="preserve"> (ACSQHC)</w:t>
      </w:r>
      <w:r w:rsidRPr="003B4DF7">
        <w:rPr>
          <w:szCs w:val="22"/>
        </w:rPr>
        <w:t xml:space="preserve"> recently </w:t>
      </w:r>
      <w:r w:rsidR="00FD454F">
        <w:rPr>
          <w:szCs w:val="22"/>
        </w:rPr>
        <w:t xml:space="preserve">released the </w:t>
      </w:r>
      <w:hyperlink r:id="rId15" w:history="1">
        <w:r w:rsidR="00FD454F" w:rsidRPr="00FD454F">
          <w:rPr>
            <w:rStyle w:val="Hyperlink"/>
            <w:szCs w:val="22"/>
          </w:rPr>
          <w:t>Australian Framework for National Clinical Quality Registries 2024</w:t>
        </w:r>
      </w:hyperlink>
      <w:r w:rsidR="00FD454F">
        <w:rPr>
          <w:szCs w:val="22"/>
        </w:rPr>
        <w:t xml:space="preserve">. ACSQHC also </w:t>
      </w:r>
      <w:r w:rsidRPr="003B4DF7">
        <w:rPr>
          <w:szCs w:val="22"/>
        </w:rPr>
        <w:t>started work to:</w:t>
      </w:r>
    </w:p>
    <w:p w14:paraId="421284DF" w14:textId="77777777" w:rsidR="00CD2845" w:rsidRPr="00CD2845" w:rsidRDefault="00CD2845" w:rsidP="00F6553C">
      <w:pPr>
        <w:pStyle w:val="ListBullet"/>
        <w:rPr>
          <w:rFonts w:cs="Arial"/>
          <w:color w:val="313131"/>
          <w:szCs w:val="22"/>
          <w:lang w:eastAsia="en-AU"/>
        </w:rPr>
      </w:pPr>
      <w:r w:rsidRPr="00CD2845">
        <w:rPr>
          <w:rFonts w:cs="Arial"/>
          <w:color w:val="313131"/>
          <w:szCs w:val="22"/>
          <w:lang w:eastAsia="en-AU"/>
        </w:rPr>
        <w:t>update the </w:t>
      </w:r>
      <w:hyperlink r:id="rId16" w:history="1">
        <w:r w:rsidRPr="00CD2845">
          <w:rPr>
            <w:rFonts w:cs="Arial"/>
            <w:color w:val="006FB0"/>
            <w:szCs w:val="22"/>
            <w:u w:val="single"/>
            <w:lang w:eastAsia="en-AU"/>
          </w:rPr>
          <w:t>Prioritised list of clinical domains for clinical quality registry development </w:t>
        </w:r>
      </w:hyperlink>
    </w:p>
    <w:p w14:paraId="5B8037E0" w14:textId="77777777" w:rsidR="00CD2845" w:rsidRPr="00A96BC7" w:rsidRDefault="00CD2845" w:rsidP="00F6553C">
      <w:pPr>
        <w:pStyle w:val="ListBullet"/>
        <w:rPr>
          <w:rFonts w:cs="Arial"/>
          <w:color w:val="313131"/>
          <w:szCs w:val="22"/>
          <w:lang w:eastAsia="en-AU"/>
        </w:rPr>
      </w:pPr>
      <w:r w:rsidRPr="00CD2845">
        <w:rPr>
          <w:rFonts w:cs="Arial"/>
          <w:color w:val="313131"/>
          <w:szCs w:val="22"/>
          <w:lang w:eastAsia="en-AU"/>
        </w:rPr>
        <w:t>modernise the </w:t>
      </w:r>
      <w:hyperlink r:id="rId17" w:history="1">
        <w:r w:rsidRPr="00CD2845">
          <w:rPr>
            <w:rFonts w:cs="Arial"/>
            <w:color w:val="006FB0"/>
            <w:szCs w:val="22"/>
            <w:u w:val="single"/>
            <w:lang w:eastAsia="en-AU"/>
          </w:rPr>
          <w:t>Australian Register of Clinical Registries</w:t>
        </w:r>
      </w:hyperlink>
      <w:r w:rsidRPr="00CD2845">
        <w:rPr>
          <w:rFonts w:cs="Arial"/>
          <w:color w:val="313131"/>
          <w:szCs w:val="22"/>
          <w:lang w:eastAsia="en-AU"/>
        </w:rPr>
        <w:t>.</w:t>
      </w:r>
    </w:p>
    <w:p w14:paraId="14BBC342" w14:textId="50ABD1A7" w:rsidR="00CD2845" w:rsidRPr="00CD2845" w:rsidRDefault="00CD2845" w:rsidP="00A96BC7">
      <w:pPr>
        <w:shd w:val="clear" w:color="auto" w:fill="FFFFFF"/>
        <w:spacing w:line="259" w:lineRule="auto"/>
        <w:rPr>
          <w:rFonts w:cs="Arial"/>
          <w:color w:val="313131"/>
          <w:szCs w:val="22"/>
          <w:lang w:eastAsia="en-AU"/>
        </w:rPr>
      </w:pPr>
      <w:r w:rsidRPr="00A96BC7">
        <w:rPr>
          <w:rFonts w:cs="Arial"/>
          <w:color w:val="313131"/>
          <w:szCs w:val="22"/>
          <w:lang w:eastAsia="en-AU"/>
        </w:rPr>
        <w:t xml:space="preserve">For more </w:t>
      </w:r>
      <w:r w:rsidR="00A96BC7" w:rsidRPr="00A96BC7">
        <w:rPr>
          <w:rFonts w:cs="Arial"/>
          <w:color w:val="313131"/>
          <w:szCs w:val="22"/>
          <w:lang w:eastAsia="en-AU"/>
        </w:rPr>
        <w:t>information</w:t>
      </w:r>
      <w:r w:rsidR="00A96BC7">
        <w:rPr>
          <w:rFonts w:cs="Arial"/>
          <w:color w:val="313131"/>
          <w:szCs w:val="22"/>
          <w:lang w:eastAsia="en-AU"/>
        </w:rPr>
        <w:t xml:space="preserve">, please contact </w:t>
      </w:r>
      <w:hyperlink r:id="rId18" w:history="1">
        <w:r w:rsidR="00A96BC7" w:rsidRPr="005C74C7">
          <w:rPr>
            <w:rStyle w:val="Hyperlink"/>
            <w:rFonts w:cs="Arial"/>
            <w:szCs w:val="22"/>
            <w:lang w:eastAsia="en-AU"/>
          </w:rPr>
          <w:t>CQR@safetyandquality.gov.au</w:t>
        </w:r>
      </w:hyperlink>
      <w:r w:rsidR="00A96BC7">
        <w:rPr>
          <w:rFonts w:cs="Arial"/>
          <w:color w:val="313131"/>
          <w:szCs w:val="22"/>
          <w:lang w:eastAsia="en-AU"/>
        </w:rPr>
        <w:t xml:space="preserve"> </w:t>
      </w:r>
    </w:p>
    <w:p w14:paraId="5B69188F" w14:textId="2500718C" w:rsidR="0056787E" w:rsidRPr="00F6553C" w:rsidRDefault="0057197C" w:rsidP="00F6553C">
      <w:pPr>
        <w:pStyle w:val="Heading2"/>
      </w:pPr>
      <w:r w:rsidRPr="00F6553C">
        <w:t>Ongoing</w:t>
      </w:r>
      <w:r w:rsidR="00CF1D39" w:rsidRPr="00F6553C">
        <w:t xml:space="preserve"> Strategy activities </w:t>
      </w:r>
    </w:p>
    <w:p w14:paraId="5AA26682" w14:textId="395E43E1" w:rsidR="002B47E1" w:rsidRPr="00E43816" w:rsidRDefault="002B47E1" w:rsidP="00BA6BE7">
      <w:pPr>
        <w:pStyle w:val="Heading3"/>
        <w:spacing w:before="120" w:line="259" w:lineRule="auto"/>
        <w:rPr>
          <w:b/>
          <w:bCs/>
          <w:sz w:val="26"/>
          <w:szCs w:val="26"/>
        </w:rPr>
      </w:pPr>
      <w:r w:rsidRPr="00E43816">
        <w:rPr>
          <w:b/>
          <w:bCs/>
          <w:sz w:val="26"/>
          <w:szCs w:val="26"/>
        </w:rPr>
        <w:t xml:space="preserve">Consumer </w:t>
      </w:r>
      <w:r w:rsidR="00001426">
        <w:rPr>
          <w:b/>
          <w:bCs/>
          <w:sz w:val="26"/>
          <w:szCs w:val="26"/>
        </w:rPr>
        <w:t xml:space="preserve">friendly resources </w:t>
      </w:r>
    </w:p>
    <w:p w14:paraId="242C6A04" w14:textId="77777777" w:rsidR="0070261D" w:rsidRDefault="0070261D" w:rsidP="00BA6BE7">
      <w:pPr>
        <w:spacing w:line="259" w:lineRule="auto"/>
        <w:rPr>
          <w:color w:val="000000" w:themeColor="text1"/>
          <w:szCs w:val="22"/>
        </w:rPr>
      </w:pPr>
      <w:r>
        <w:rPr>
          <w:color w:val="000000" w:themeColor="text1"/>
        </w:rPr>
        <w:t xml:space="preserve">Increasing access and availability to patient friendly reports and data tools forms part of Strategy Pillar 1: Priority 5 and Strategy Pillar 5: Priority 20. The South Australian Health and Medical Research Institute </w:t>
      </w:r>
      <w:r>
        <w:rPr>
          <w:color w:val="000000" w:themeColor="text1"/>
        </w:rPr>
        <w:lastRenderedPageBreak/>
        <w:t xml:space="preserve">(SAHMRI) Registry Centre are translating registry outputs into consumer-friendly resources (due for release in June 2025). The team are holding regular meetings with the Consumer Group who are co-designing the resources – with prototypes developed. The project will also develop a series of guides to assist other registries implement similar processes. For more information, please contact Cindy Turner at </w:t>
      </w:r>
      <w:hyperlink r:id="rId19" w:history="1">
        <w:r>
          <w:rPr>
            <w:rStyle w:val="Hyperlink"/>
            <w:rFonts w:eastAsia="Calibri"/>
            <w:color w:val="0563C1"/>
          </w:rPr>
          <w:t>registrycentre@sahmri.com</w:t>
        </w:r>
      </w:hyperlink>
      <w:r>
        <w:rPr>
          <w:color w:val="000000" w:themeColor="text1"/>
        </w:rPr>
        <w:t>.</w:t>
      </w:r>
    </w:p>
    <w:p w14:paraId="1075AF09" w14:textId="4794619E" w:rsidR="002B47E1" w:rsidRPr="00E43816" w:rsidRDefault="002B47E1" w:rsidP="00BA6BE7">
      <w:pPr>
        <w:pStyle w:val="Heading3"/>
        <w:spacing w:before="120" w:line="259" w:lineRule="auto"/>
        <w:rPr>
          <w:b/>
          <w:bCs/>
          <w:sz w:val="26"/>
          <w:szCs w:val="26"/>
        </w:rPr>
      </w:pPr>
      <w:r w:rsidRPr="00E43816">
        <w:rPr>
          <w:b/>
          <w:bCs/>
          <w:sz w:val="26"/>
          <w:szCs w:val="26"/>
        </w:rPr>
        <w:t xml:space="preserve">Registry based </w:t>
      </w:r>
      <w:proofErr w:type="gramStart"/>
      <w:r w:rsidRPr="00E43816">
        <w:rPr>
          <w:b/>
          <w:bCs/>
          <w:sz w:val="26"/>
          <w:szCs w:val="26"/>
        </w:rPr>
        <w:t>trials</w:t>
      </w:r>
      <w:proofErr w:type="gramEnd"/>
      <w:r w:rsidRPr="00E43816">
        <w:rPr>
          <w:b/>
          <w:bCs/>
          <w:sz w:val="26"/>
          <w:szCs w:val="26"/>
        </w:rPr>
        <w:t xml:space="preserve"> </w:t>
      </w:r>
    </w:p>
    <w:p w14:paraId="114A578D" w14:textId="77777777" w:rsidR="002E6354" w:rsidRPr="00F6553C" w:rsidRDefault="002E6354" w:rsidP="00F6553C">
      <w:r w:rsidRPr="00F6553C">
        <w:t xml:space="preserve">Increasing use of CQR infrastructure to enable clinical trials through registry-based trials forms part of Strategy Pillar 6: Priority 23. Monash </w:t>
      </w:r>
      <w:r w:rsidRPr="00F6553C">
        <w:rPr>
          <w:rFonts w:eastAsiaTheme="minorHAnsi"/>
        </w:rPr>
        <w:t>University is collaborating with a wide range of CQR operators and researchers to develop a national best practice Guide on the use of national CQRs as a platform for clinical trials. A national meeting was held with 100 stakeholders on July 31st to inform the development of the Guide. Interviews have also been held with researchers who</w:t>
      </w:r>
      <w:r w:rsidRPr="00F6553C">
        <w:t xml:space="preserve"> have been involved in running registry-based trials. The Guide will be published in December 2024. For more information, please contact </w:t>
      </w:r>
      <w:proofErr w:type="spellStart"/>
      <w:r w:rsidRPr="00F6553C">
        <w:t>Tsharni</w:t>
      </w:r>
      <w:proofErr w:type="spellEnd"/>
      <w:r w:rsidRPr="00F6553C">
        <w:t xml:space="preserve"> </w:t>
      </w:r>
      <w:proofErr w:type="spellStart"/>
      <w:r w:rsidRPr="00F6553C">
        <w:t>Zazryn</w:t>
      </w:r>
      <w:proofErr w:type="spellEnd"/>
      <w:r w:rsidRPr="00F6553C">
        <w:t xml:space="preserve"> at </w:t>
      </w:r>
      <w:hyperlink r:id="rId20" w:history="1">
        <w:r w:rsidRPr="00F6553C">
          <w:rPr>
            <w:rStyle w:val="Hyperlink"/>
          </w:rPr>
          <w:t>regtrialguide@monash.edu</w:t>
        </w:r>
      </w:hyperlink>
    </w:p>
    <w:p w14:paraId="662F0257" w14:textId="6C0D6CD9" w:rsidR="002B47E1" w:rsidRPr="00BA6BE7" w:rsidRDefault="001519B9" w:rsidP="00BA6BE7">
      <w:pPr>
        <w:pStyle w:val="Heading3"/>
        <w:rPr>
          <w:b/>
          <w:bCs/>
          <w:sz w:val="26"/>
          <w:szCs w:val="26"/>
        </w:rPr>
      </w:pPr>
      <w:r w:rsidRPr="00BA6BE7">
        <w:rPr>
          <w:b/>
          <w:bCs/>
          <w:sz w:val="26"/>
          <w:szCs w:val="26"/>
        </w:rPr>
        <w:t xml:space="preserve">Expanding best practice </w:t>
      </w:r>
      <w:r w:rsidR="00001426" w:rsidRPr="00BA6BE7">
        <w:rPr>
          <w:b/>
          <w:bCs/>
          <w:sz w:val="26"/>
          <w:szCs w:val="26"/>
        </w:rPr>
        <w:t xml:space="preserve">in </w:t>
      </w:r>
      <w:r w:rsidR="00DA6CD7" w:rsidRPr="00BA6BE7">
        <w:rPr>
          <w:b/>
          <w:bCs/>
          <w:sz w:val="26"/>
          <w:szCs w:val="26"/>
        </w:rPr>
        <w:t>registry science</w:t>
      </w:r>
    </w:p>
    <w:p w14:paraId="02550065" w14:textId="77777777" w:rsidR="00202642" w:rsidRDefault="00202642" w:rsidP="00BA6BE7">
      <w:pPr>
        <w:spacing w:line="259" w:lineRule="auto"/>
        <w:rPr>
          <w:color w:val="000000" w:themeColor="text1"/>
          <w:szCs w:val="22"/>
        </w:rPr>
      </w:pPr>
      <w:r>
        <w:rPr>
          <w:color w:val="000000" w:themeColor="text1"/>
        </w:rPr>
        <w:t xml:space="preserve">The SAHMRI Registry Centre is leading four projects due for completion by June 2025:  </w:t>
      </w:r>
    </w:p>
    <w:p w14:paraId="11FCD1AD" w14:textId="77777777" w:rsidR="00202642" w:rsidRPr="00F6553C" w:rsidRDefault="00202642" w:rsidP="00F6553C">
      <w:pPr>
        <w:pStyle w:val="ListBullet2"/>
      </w:pPr>
      <w:r w:rsidRPr="00F6553C">
        <w:t xml:space="preserve">Increasing CQR sector capability in public reporting </w:t>
      </w:r>
    </w:p>
    <w:p w14:paraId="2B04890E" w14:textId="550ED249" w:rsidR="00202642" w:rsidRDefault="00202642" w:rsidP="00F6553C">
      <w:pPr>
        <w:pStyle w:val="Normalindent"/>
      </w:pPr>
      <w:r>
        <w:t>Increased public access to CQR data forms part of Strategy Pillar 5: Priority 20. The SAHMRI Registry Centre has completed the member evaluation of best practice reporting against the proposed ACSQHC Framework</w:t>
      </w:r>
      <w:r w:rsidR="001108CE">
        <w:t xml:space="preserve">, with the aim to </w:t>
      </w:r>
      <w:r>
        <w:t xml:space="preserve">identify gaps and develop recommendations. The SAHMRI Registry Centre team will present the findings and determine priorities with the Centre members. A formal report of the findings and recommendations will </w:t>
      </w:r>
      <w:r w:rsidR="001108CE">
        <w:t xml:space="preserve">then </w:t>
      </w:r>
      <w:r>
        <w:t xml:space="preserve">be provided to the Department for further consideration. </w:t>
      </w:r>
    </w:p>
    <w:p w14:paraId="680AB932" w14:textId="77777777" w:rsidR="00202642" w:rsidRPr="00F6553C" w:rsidRDefault="00202642" w:rsidP="00F6553C">
      <w:pPr>
        <w:pStyle w:val="ListBullet2"/>
      </w:pPr>
      <w:r w:rsidRPr="00F6553C">
        <w:t>Increasing CQR sector capability in data linkage</w:t>
      </w:r>
    </w:p>
    <w:p w14:paraId="7E6FAE91" w14:textId="36BFE501" w:rsidR="00202642" w:rsidRDefault="00202642" w:rsidP="00F6553C">
      <w:pPr>
        <w:pStyle w:val="Normalindent"/>
      </w:pPr>
      <w:r>
        <w:t>Facilitating strategic data linkage projects between CQRs and administrative data forms part of Strategy Pillar 6: Priority 22. The SAHMRI Registry Centre is leveraging the experiences and lessons learnt from their multiple member registries. Approximately 44% (n=7) of SAHMRI Registry Centre members link to external datasets. Registries indicated cost and the lack of infrastructure to support data integration were the main preventive factors when wanting to perform data linkage. Recommended best practices for CQRs</w:t>
      </w:r>
      <w:r w:rsidR="001108CE">
        <w:t xml:space="preserve"> will be developed and </w:t>
      </w:r>
      <w:r>
        <w:t>provided to the Department.</w:t>
      </w:r>
    </w:p>
    <w:p w14:paraId="1D88F719" w14:textId="77777777" w:rsidR="00202642" w:rsidRPr="00F6553C" w:rsidRDefault="00202642" w:rsidP="00F6553C">
      <w:pPr>
        <w:pStyle w:val="ListBullet2"/>
      </w:pPr>
      <w:r w:rsidRPr="00F6553C">
        <w:t xml:space="preserve">Piloting a CQR Advisory Service </w:t>
      </w:r>
    </w:p>
    <w:p w14:paraId="299B9ABE" w14:textId="4C2C7DFC" w:rsidR="00202642" w:rsidRDefault="00202642" w:rsidP="00F6553C">
      <w:pPr>
        <w:pStyle w:val="Normalindent"/>
      </w:pPr>
      <w:r>
        <w:t xml:space="preserve">Increasing communication and collaboration within the CQR sector forms part of Strategy Pillar 3: Priority 15. A part of the broader work on a CQR Communication and Collaboration Hub, the SAHMRI Registry Centre is piloting a CQR Advisory Service. This is </w:t>
      </w:r>
      <w:r w:rsidR="00A04B41">
        <w:t>helping</w:t>
      </w:r>
      <w:r>
        <w:t xml:space="preserve"> Australian registries and researchers to seek support from, and leverage the expertise of, the SAHMRI Registry Centre. To date</w:t>
      </w:r>
      <w:r w:rsidR="00A04B41">
        <w:t>,</w:t>
      </w:r>
      <w:r>
        <w:t xml:space="preserve"> the types of enquiries and advice provided include</w:t>
      </w:r>
      <w:r w:rsidR="00A04B41">
        <w:t xml:space="preserve"> </w:t>
      </w:r>
      <w:r>
        <w:t>considerations and requirements when establishing a new registry</w:t>
      </w:r>
      <w:r w:rsidR="00A04B41">
        <w:t xml:space="preserve">; </w:t>
      </w:r>
      <w:r>
        <w:t>request</w:t>
      </w:r>
      <w:r w:rsidR="00A04B41">
        <w:t>s</w:t>
      </w:r>
      <w:r>
        <w:t xml:space="preserve"> for hosting of existing registries</w:t>
      </w:r>
      <w:r w:rsidR="00A04B41">
        <w:t xml:space="preserve">; </w:t>
      </w:r>
      <w:r>
        <w:t>collaboration and support for local health networks</w:t>
      </w:r>
      <w:r w:rsidR="00A04B41">
        <w:t xml:space="preserve">; </w:t>
      </w:r>
      <w:r>
        <w:t>expansion and infrastructure for existing registries</w:t>
      </w:r>
      <w:r w:rsidR="00A04B41">
        <w:t xml:space="preserve">; and </w:t>
      </w:r>
      <w:r>
        <w:t>data linkage</w:t>
      </w:r>
      <w:r w:rsidR="00A04B41">
        <w:t>.</w:t>
      </w:r>
      <w:r>
        <w:t xml:space="preserve"> </w:t>
      </w:r>
    </w:p>
    <w:p w14:paraId="518C3FFE" w14:textId="77777777" w:rsidR="00202642" w:rsidRPr="00F6553C" w:rsidRDefault="00202642" w:rsidP="00F6553C">
      <w:pPr>
        <w:pStyle w:val="ListBullet2"/>
      </w:pPr>
      <w:r w:rsidRPr="00F6553C">
        <w:t xml:space="preserve">Increasing CQR value and impact case studies and analysis </w:t>
      </w:r>
    </w:p>
    <w:p w14:paraId="0C7FCC5E" w14:textId="61E9FE5E" w:rsidR="00202642" w:rsidRDefault="00202642" w:rsidP="00F6553C">
      <w:pPr>
        <w:pStyle w:val="Normalindent"/>
      </w:pPr>
      <w:r>
        <w:t>Assessing contributions of CQRs to improvements in clinical practice and patient outcomes forms part of Strategy Pillar 2: Priority 9 and Strategy Pillar 4: Priority 18. It will also inform the evaluation of the Strategy and the National CQR Program. The SAHMRI Registry Centre is supporting a series of Impact Workshops designed for registries. Registry participants will learn about the fundamentals of impact, identify indicators of registry success, methods for measuring the impact of their registries</w:t>
      </w:r>
      <w:r w:rsidR="00A04B41">
        <w:t>,</w:t>
      </w:r>
      <w:r>
        <w:t xml:space="preserve"> and ways of demonstrating the value of the registry. </w:t>
      </w:r>
    </w:p>
    <w:p w14:paraId="1DCFE481" w14:textId="77777777" w:rsidR="00202642" w:rsidRDefault="00202642" w:rsidP="00BA6BE7">
      <w:pPr>
        <w:spacing w:line="259" w:lineRule="auto"/>
        <w:rPr>
          <w:color w:val="000000" w:themeColor="text1"/>
        </w:rPr>
      </w:pPr>
      <w:r>
        <w:rPr>
          <w:color w:val="000000" w:themeColor="text1"/>
        </w:rPr>
        <w:t xml:space="preserve">For more information, please contact Cindy Turner at </w:t>
      </w:r>
      <w:hyperlink r:id="rId21" w:history="1">
        <w:r>
          <w:rPr>
            <w:rStyle w:val="Hyperlink"/>
            <w:rFonts w:eastAsia="Calibri"/>
            <w:color w:val="0563C1"/>
          </w:rPr>
          <w:t>registrycentre@sahmri.com</w:t>
        </w:r>
      </w:hyperlink>
      <w:r>
        <w:rPr>
          <w:color w:val="000000" w:themeColor="text1"/>
        </w:rPr>
        <w:t xml:space="preserve">. </w:t>
      </w:r>
    </w:p>
    <w:p w14:paraId="4F65C25F" w14:textId="77777777" w:rsidR="002E6354" w:rsidRDefault="002E6354" w:rsidP="00BA6BE7">
      <w:pPr>
        <w:keepNext/>
        <w:keepLines/>
        <w:spacing w:line="259" w:lineRule="auto"/>
        <w:outlineLvl w:val="2"/>
        <w:rPr>
          <w:rFonts w:asciiTheme="majorHAnsi" w:eastAsiaTheme="majorEastAsia" w:hAnsiTheme="majorHAnsi" w:cstheme="majorBidi"/>
          <w:b/>
          <w:bCs/>
          <w:color w:val="1F3763" w:themeColor="accent1" w:themeShade="7F"/>
          <w:sz w:val="26"/>
          <w:szCs w:val="26"/>
        </w:rPr>
      </w:pPr>
      <w:r>
        <w:rPr>
          <w:rFonts w:asciiTheme="majorHAnsi" w:eastAsiaTheme="majorEastAsia" w:hAnsiTheme="majorHAnsi" w:cstheme="majorBidi"/>
          <w:b/>
          <w:bCs/>
          <w:color w:val="1F3763" w:themeColor="accent1" w:themeShade="7F"/>
          <w:sz w:val="26"/>
          <w:szCs w:val="26"/>
        </w:rPr>
        <w:t xml:space="preserve">Guideline for PROMs reporting from CQRs to healthcare </w:t>
      </w:r>
      <w:proofErr w:type="gramStart"/>
      <w:r>
        <w:rPr>
          <w:rFonts w:asciiTheme="majorHAnsi" w:eastAsiaTheme="majorEastAsia" w:hAnsiTheme="majorHAnsi" w:cstheme="majorBidi"/>
          <w:b/>
          <w:bCs/>
          <w:color w:val="1F3763" w:themeColor="accent1" w:themeShade="7F"/>
          <w:sz w:val="26"/>
          <w:szCs w:val="26"/>
        </w:rPr>
        <w:t>providers</w:t>
      </w:r>
      <w:proofErr w:type="gramEnd"/>
    </w:p>
    <w:p w14:paraId="0DDE8663" w14:textId="56571A7A" w:rsidR="002E6354" w:rsidRDefault="002E6354" w:rsidP="00BA6BE7">
      <w:pPr>
        <w:spacing w:line="259" w:lineRule="auto"/>
        <w:rPr>
          <w:color w:val="000000" w:themeColor="text1"/>
          <w:szCs w:val="22"/>
        </w:rPr>
      </w:pPr>
      <w:r>
        <w:rPr>
          <w:color w:val="000000" w:themeColor="text1"/>
        </w:rPr>
        <w:t xml:space="preserve">Developing resources to help CQRs, clinicians and other providers to better analyse, interpret and utilise patient reported outcomes (PRO) data forms part of Strategy Pillar 1: Priority 4. Reporting of PROs to health services for quality improvement is a relatively new activity for many CQRs and health care </w:t>
      </w:r>
      <w:r>
        <w:rPr>
          <w:color w:val="000000" w:themeColor="text1"/>
        </w:rPr>
        <w:lastRenderedPageBreak/>
        <w:t>providers. Via an approach that included a literature review, interviews and focus groups, Monash University has</w:t>
      </w:r>
      <w:r w:rsidR="00A04B41">
        <w:rPr>
          <w:color w:val="000000" w:themeColor="text1"/>
        </w:rPr>
        <w:t xml:space="preserve"> </w:t>
      </w:r>
      <w:r>
        <w:rPr>
          <w:color w:val="000000" w:themeColor="text1"/>
        </w:rPr>
        <w:t xml:space="preserve">developed a </w:t>
      </w:r>
      <w:r w:rsidR="00A04B41">
        <w:rPr>
          <w:color w:val="000000" w:themeColor="text1"/>
        </w:rPr>
        <w:t>G</w:t>
      </w:r>
      <w:r>
        <w:rPr>
          <w:color w:val="000000" w:themeColor="text1"/>
        </w:rPr>
        <w:t xml:space="preserve">uideline </w:t>
      </w:r>
      <w:r w:rsidR="00A04B41">
        <w:rPr>
          <w:color w:val="000000" w:themeColor="text1"/>
        </w:rPr>
        <w:t>on</w:t>
      </w:r>
      <w:r>
        <w:rPr>
          <w:color w:val="000000" w:themeColor="text1"/>
        </w:rPr>
        <w:t xml:space="preserve"> how CQR </w:t>
      </w:r>
      <w:r w:rsidR="00A04B41">
        <w:rPr>
          <w:color w:val="000000" w:themeColor="text1"/>
        </w:rPr>
        <w:t>PRO</w:t>
      </w:r>
      <w:r>
        <w:rPr>
          <w:color w:val="000000" w:themeColor="text1"/>
        </w:rPr>
        <w:t xml:space="preserve"> programs can be established, implemented, analysed</w:t>
      </w:r>
      <w:r w:rsidR="00BA6BE7">
        <w:rPr>
          <w:color w:val="000000" w:themeColor="text1"/>
        </w:rPr>
        <w:t>,</w:t>
      </w:r>
      <w:r>
        <w:rPr>
          <w:color w:val="000000" w:themeColor="text1"/>
        </w:rPr>
        <w:t xml:space="preserve"> and presented to providers, for maximum clinical care impact.</w:t>
      </w:r>
      <w:r>
        <w:rPr>
          <w:color w:val="000000" w:themeColor="text1"/>
          <w:sz w:val="21"/>
        </w:rPr>
        <w:t xml:space="preserve"> The </w:t>
      </w:r>
      <w:r>
        <w:rPr>
          <w:color w:val="000000" w:themeColor="text1"/>
        </w:rPr>
        <w:t>Guideline will be available in September 2024.</w:t>
      </w:r>
    </w:p>
    <w:p w14:paraId="2CD64F92" w14:textId="77777777" w:rsidR="002E6354" w:rsidRDefault="002E6354" w:rsidP="00BA6BE7">
      <w:pPr>
        <w:keepNext/>
        <w:keepLines/>
        <w:spacing w:line="259" w:lineRule="auto"/>
        <w:outlineLvl w:val="2"/>
        <w:rPr>
          <w:rFonts w:asciiTheme="majorHAnsi" w:eastAsiaTheme="majorEastAsia" w:hAnsiTheme="majorHAnsi" w:cstheme="majorBidi"/>
          <w:b/>
          <w:bCs/>
          <w:color w:val="1F3763" w:themeColor="accent1" w:themeShade="7F"/>
          <w:sz w:val="26"/>
          <w:szCs w:val="26"/>
        </w:rPr>
      </w:pPr>
      <w:r>
        <w:rPr>
          <w:rFonts w:asciiTheme="majorHAnsi" w:eastAsiaTheme="majorEastAsia" w:hAnsiTheme="majorHAnsi" w:cstheme="majorBidi"/>
          <w:b/>
          <w:bCs/>
          <w:color w:val="1F3763" w:themeColor="accent1" w:themeShade="7F"/>
          <w:sz w:val="26"/>
          <w:szCs w:val="26"/>
        </w:rPr>
        <w:t>Best practice clinical reporting for impact</w:t>
      </w:r>
    </w:p>
    <w:p w14:paraId="34B75215" w14:textId="339E7A44" w:rsidR="002E6354" w:rsidRDefault="002E6354" w:rsidP="00BA6BE7">
      <w:pPr>
        <w:spacing w:line="259" w:lineRule="auto"/>
        <w:rPr>
          <w:color w:val="000000" w:themeColor="text1"/>
          <w:szCs w:val="22"/>
        </w:rPr>
      </w:pPr>
      <w:r>
        <w:rPr>
          <w:color w:val="000000" w:themeColor="text1"/>
        </w:rPr>
        <w:t xml:space="preserve">Providing data back to sites and clinicians is a defining feature of a CQR and forms part of Strategy Pillar 2: Priority 9 and Priority 18. However, there has been little research regarding how CQR reports to providers can be informed by existing audit and feedback evidence. Via a scoping review, survey, and interviews with CQRs, Monash University has developed a set of recommendations aligned to current best practice audit and feedback evidence. This includes recognition of many existing CQR processes that are evidence-based, as well as opportunities for improvement for CQRs. The </w:t>
      </w:r>
      <w:r w:rsidR="00A04B41">
        <w:rPr>
          <w:color w:val="000000" w:themeColor="text1"/>
        </w:rPr>
        <w:t>p</w:t>
      </w:r>
      <w:r>
        <w:rPr>
          <w:color w:val="000000" w:themeColor="text1"/>
        </w:rPr>
        <w:t xml:space="preserve">roject </w:t>
      </w:r>
      <w:r w:rsidR="00A04B41">
        <w:rPr>
          <w:color w:val="000000" w:themeColor="text1"/>
        </w:rPr>
        <w:t>r</w:t>
      </w:r>
      <w:r>
        <w:rPr>
          <w:color w:val="000000" w:themeColor="text1"/>
        </w:rPr>
        <w:t xml:space="preserve">eport will be available in September 2024. </w:t>
      </w:r>
    </w:p>
    <w:p w14:paraId="5DB52D28" w14:textId="77777777" w:rsidR="001973DD" w:rsidRDefault="001973DD" w:rsidP="00BA6BE7">
      <w:pPr>
        <w:keepNext/>
        <w:keepLines/>
        <w:spacing w:line="259" w:lineRule="auto"/>
        <w:outlineLvl w:val="2"/>
        <w:rPr>
          <w:rFonts w:asciiTheme="majorHAnsi" w:eastAsiaTheme="majorEastAsia" w:hAnsiTheme="majorHAnsi" w:cstheme="majorBidi"/>
          <w:b/>
          <w:bCs/>
          <w:color w:val="1F3763" w:themeColor="accent1" w:themeShade="7F"/>
          <w:sz w:val="26"/>
          <w:szCs w:val="26"/>
        </w:rPr>
      </w:pPr>
      <w:r>
        <w:rPr>
          <w:rFonts w:asciiTheme="majorHAnsi" w:eastAsiaTheme="majorEastAsia" w:hAnsiTheme="majorHAnsi" w:cstheme="majorBidi"/>
          <w:b/>
          <w:bCs/>
          <w:color w:val="1F3763" w:themeColor="accent1" w:themeShade="7F"/>
          <w:sz w:val="26"/>
          <w:szCs w:val="26"/>
        </w:rPr>
        <w:t xml:space="preserve">Development of Good Clinical Quality Registry Practice Guide </w:t>
      </w:r>
    </w:p>
    <w:p w14:paraId="0A9234E5" w14:textId="47EDE0F7" w:rsidR="001973DD" w:rsidRDefault="001973DD" w:rsidP="00BA6BE7">
      <w:pPr>
        <w:spacing w:line="259" w:lineRule="auto"/>
        <w:rPr>
          <w:color w:val="000000" w:themeColor="text1"/>
          <w:szCs w:val="22"/>
        </w:rPr>
      </w:pPr>
      <w:r>
        <w:rPr>
          <w:color w:val="000000" w:themeColor="text1"/>
        </w:rPr>
        <w:t xml:space="preserve">Supporting efficient and effective processes for CQRs to engage, onboard, and train clinicians and healthcare providers forms part of Strategy Pillar 3: Priority 11. Monash University, with the support of the CQR Communication and Collaboration Hub, has developed a ‘Good Clinical Quality Registry Practice Guide – A guide for hospital Principal Investigators (PIs) and staff who participate in Australian Clinical Quality Registries’. The Guide aims to provide introductory information for hospital PIs and their staff that participate in CQRs, in the same way that Good Clinical Practice (GCP) Training has supported Clinical Trials.  A published Guide is expected to be available from September 2024. </w:t>
      </w:r>
    </w:p>
    <w:p w14:paraId="2603F51B" w14:textId="77777777" w:rsidR="001973DD" w:rsidRDefault="001973DD" w:rsidP="00BA6BE7">
      <w:pPr>
        <w:spacing w:line="259" w:lineRule="auto"/>
        <w:rPr>
          <w:rFonts w:asciiTheme="majorHAnsi" w:eastAsiaTheme="majorEastAsia" w:hAnsiTheme="majorHAnsi" w:cstheme="majorBidi"/>
          <w:b/>
          <w:bCs/>
          <w:color w:val="1F3763" w:themeColor="accent1" w:themeShade="7F"/>
          <w:sz w:val="26"/>
          <w:szCs w:val="26"/>
        </w:rPr>
      </w:pPr>
      <w:r>
        <w:rPr>
          <w:rFonts w:asciiTheme="majorHAnsi" w:eastAsiaTheme="majorEastAsia" w:hAnsiTheme="majorHAnsi" w:cstheme="majorBidi"/>
          <w:b/>
          <w:bCs/>
          <w:color w:val="1F3763" w:themeColor="accent1" w:themeShade="7F"/>
          <w:sz w:val="26"/>
          <w:szCs w:val="26"/>
        </w:rPr>
        <w:t xml:space="preserve">Communication and Collaboration Hub </w:t>
      </w:r>
    </w:p>
    <w:p w14:paraId="00DEE454" w14:textId="77777777" w:rsidR="001973DD" w:rsidRDefault="001973DD" w:rsidP="00BA6BE7">
      <w:pPr>
        <w:spacing w:line="259" w:lineRule="auto"/>
        <w:rPr>
          <w:color w:val="000000" w:themeColor="text1"/>
          <w:szCs w:val="22"/>
        </w:rPr>
      </w:pPr>
      <w:r>
        <w:rPr>
          <w:color w:val="000000" w:themeColor="text1"/>
        </w:rPr>
        <w:t xml:space="preserve">A CQR Communication and Collaboration Hub was established in 2022. Its purpose is to support CQRs to work together and share best practice in line with Strategy Pillar 3: Priority 15. In addition to the best practice projects outlined above, current activities include: </w:t>
      </w:r>
    </w:p>
    <w:p w14:paraId="01EA23FD" w14:textId="61C541CB" w:rsidR="001973DD" w:rsidRPr="00F6553C" w:rsidRDefault="001973DD" w:rsidP="00F6553C">
      <w:pPr>
        <w:pStyle w:val="ListBullet"/>
      </w:pPr>
      <w:r w:rsidRPr="00F6553C">
        <w:t xml:space="preserve">The Australian Clinical Registry Annual Scientific Meeting </w:t>
      </w:r>
    </w:p>
    <w:p w14:paraId="0E73609B" w14:textId="77777777" w:rsidR="001973DD" w:rsidRPr="00F6553C" w:rsidRDefault="001973DD" w:rsidP="00F6553C">
      <w:pPr>
        <w:pStyle w:val="ListBullet"/>
      </w:pPr>
      <w:r w:rsidRPr="00F6553C">
        <w:t xml:space="preserve">The Annual SAHMRI Registry Symposium </w:t>
      </w:r>
    </w:p>
    <w:p w14:paraId="7B4DC20D" w14:textId="77777777" w:rsidR="001973DD" w:rsidRPr="00F6553C" w:rsidRDefault="001973DD" w:rsidP="00F6553C">
      <w:pPr>
        <w:pStyle w:val="ListBullet"/>
      </w:pPr>
      <w:r w:rsidRPr="00F6553C">
        <w:t>Regular CQR Special Interest Group webinars and meetings</w:t>
      </w:r>
    </w:p>
    <w:p w14:paraId="711A76ED" w14:textId="77777777" w:rsidR="001973DD" w:rsidRPr="00F6553C" w:rsidRDefault="001973DD" w:rsidP="00F6553C">
      <w:pPr>
        <w:pStyle w:val="ListBullet"/>
      </w:pPr>
      <w:r w:rsidRPr="00F6553C">
        <w:t>Publishing a quarterly sector newsletter “The Benchmark”</w:t>
      </w:r>
    </w:p>
    <w:p w14:paraId="1F51509F" w14:textId="77777777" w:rsidR="001973DD" w:rsidRDefault="001973DD" w:rsidP="00BA6BE7">
      <w:pPr>
        <w:spacing w:line="259" w:lineRule="auto"/>
        <w:rPr>
          <w:color w:val="000000" w:themeColor="text1"/>
        </w:rPr>
      </w:pPr>
      <w:r>
        <w:rPr>
          <w:color w:val="000000" w:themeColor="text1"/>
        </w:rPr>
        <w:t xml:space="preserve">Monash University also conducted the first Annual CQR Survey in 2023. It is designed to better understand current registry practice and maturity and identify emerging issues in the sector. Findings were first presented at the 2023 ASM and will be published in an academic journal. </w:t>
      </w:r>
    </w:p>
    <w:p w14:paraId="6903C51B" w14:textId="0CF151AA" w:rsidR="00407154" w:rsidRPr="00F6553C" w:rsidRDefault="001973DD" w:rsidP="00F6553C">
      <w:pPr>
        <w:spacing w:line="259" w:lineRule="auto"/>
        <w:rPr>
          <w:color w:val="000000" w:themeColor="text1"/>
        </w:rPr>
      </w:pPr>
      <w:r>
        <w:rPr>
          <w:color w:val="000000" w:themeColor="text1"/>
        </w:rPr>
        <w:t xml:space="preserve">For more information, please contact </w:t>
      </w:r>
      <w:hyperlink r:id="rId22" w:history="1">
        <w:r>
          <w:rPr>
            <w:rStyle w:val="Hyperlink"/>
          </w:rPr>
          <w:t>acta@acta.au</w:t>
        </w:r>
      </w:hyperlink>
      <w:r>
        <w:rPr>
          <w:color w:val="000000" w:themeColor="text1"/>
        </w:rPr>
        <w:t xml:space="preserve">  </w:t>
      </w:r>
    </w:p>
    <w:bookmarkEnd w:id="1"/>
    <w:p w14:paraId="69E343A4" w14:textId="374B5011" w:rsidR="002C341A" w:rsidRPr="00F6553C" w:rsidRDefault="002C341A" w:rsidP="00F6553C">
      <w:pPr>
        <w:pStyle w:val="Heading2"/>
      </w:pPr>
      <w:r w:rsidRPr="00F6553C">
        <w:t>Contact</w:t>
      </w:r>
    </w:p>
    <w:p w14:paraId="4EA6CD68" w14:textId="39D07150" w:rsidR="002C341A" w:rsidRDefault="00407154" w:rsidP="00BA6BE7">
      <w:pPr>
        <w:spacing w:line="259" w:lineRule="auto"/>
        <w:rPr>
          <w:szCs w:val="22"/>
        </w:rPr>
      </w:pPr>
      <w:r>
        <w:rPr>
          <w:szCs w:val="22"/>
        </w:rPr>
        <w:t>P</w:t>
      </w:r>
      <w:r w:rsidR="002C341A" w:rsidRPr="004552FD">
        <w:rPr>
          <w:szCs w:val="22"/>
        </w:rPr>
        <w:t xml:space="preserve">ease email the CQR Policy Inbox at </w:t>
      </w:r>
      <w:hyperlink r:id="rId23" w:history="1">
        <w:r w:rsidR="002C341A" w:rsidRPr="005E4338">
          <w:rPr>
            <w:rStyle w:val="Hyperlink"/>
            <w:color w:val="44546A" w:themeColor="text2"/>
            <w:szCs w:val="22"/>
          </w:rPr>
          <w:t>cqrpolicy@health.gov.au</w:t>
        </w:r>
      </w:hyperlink>
      <w:r w:rsidR="002C341A" w:rsidRPr="005E4338">
        <w:rPr>
          <w:color w:val="44546A" w:themeColor="text2"/>
          <w:szCs w:val="22"/>
        </w:rPr>
        <w:t>.</w:t>
      </w:r>
    </w:p>
    <w:p w14:paraId="4D23F536" w14:textId="77777777" w:rsidR="00F80A18" w:rsidRDefault="00F80A18" w:rsidP="00BA6BE7">
      <w:pPr>
        <w:spacing w:line="259" w:lineRule="auto"/>
      </w:pPr>
    </w:p>
    <w:sectPr w:rsidR="00F80A18" w:rsidSect="00D976DC">
      <w:headerReference w:type="default" r:id="rId24"/>
      <w:pgSz w:w="11906" w:h="16838"/>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559E" w14:textId="77777777" w:rsidR="008076F2" w:rsidRDefault="008076F2">
      <w:r>
        <w:separator/>
      </w:r>
    </w:p>
  </w:endnote>
  <w:endnote w:type="continuationSeparator" w:id="0">
    <w:p w14:paraId="2776448F" w14:textId="77777777" w:rsidR="008076F2" w:rsidRDefault="0080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5635" w14:textId="77777777" w:rsidR="008076F2" w:rsidRDefault="008076F2">
      <w:r>
        <w:separator/>
      </w:r>
    </w:p>
  </w:footnote>
  <w:footnote w:type="continuationSeparator" w:id="0">
    <w:p w14:paraId="7E96850B" w14:textId="77777777" w:rsidR="008076F2" w:rsidRDefault="0080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5E1F" w14:textId="3C6BBB94" w:rsidR="00E41733" w:rsidRDefault="00000000">
    <w:pPr>
      <w:pStyle w:val="Header"/>
      <w:pBdr>
        <w:bottom w:val="single" w:sz="4" w:space="1" w:color="D9D9D9" w:themeColor="background1" w:themeShade="D9"/>
      </w:pBdr>
      <w:jc w:val="right"/>
      <w:rPr>
        <w:b/>
        <w:bCs/>
      </w:rPr>
    </w:pPr>
    <w:sdt>
      <w:sdtPr>
        <w:rPr>
          <w:color w:val="7F7F7F" w:themeColor="background1" w:themeShade="7F"/>
          <w:spacing w:val="60"/>
        </w:rPr>
        <w:id w:val="-1706247010"/>
        <w:docPartObj>
          <w:docPartGallery w:val="Page Numbers (Top of Page)"/>
          <w:docPartUnique/>
        </w:docPartObj>
      </w:sdtPr>
      <w:sdtEndPr>
        <w:rPr>
          <w:b/>
          <w:bCs/>
          <w:noProof/>
          <w:color w:val="auto"/>
          <w:spacing w:val="0"/>
        </w:rPr>
      </w:sdtEndPr>
      <w:sdtContent>
        <w:r w:rsidR="00C6404A">
          <w:rPr>
            <w:color w:val="7F7F7F" w:themeColor="background1" w:themeShade="7F"/>
            <w:spacing w:val="60"/>
          </w:rPr>
          <w:t>Page</w:t>
        </w:r>
        <w:r w:rsidR="00C6404A">
          <w:t xml:space="preserve"> | </w:t>
        </w:r>
        <w:r w:rsidR="00C6404A">
          <w:fldChar w:fldCharType="begin"/>
        </w:r>
        <w:r w:rsidR="00C6404A">
          <w:instrText xml:space="preserve"> PAGE   \* MERGEFORMAT </w:instrText>
        </w:r>
        <w:r w:rsidR="00C6404A">
          <w:fldChar w:fldCharType="separate"/>
        </w:r>
        <w:r w:rsidR="00C6404A">
          <w:rPr>
            <w:b/>
            <w:bCs/>
            <w:noProof/>
          </w:rPr>
          <w:t>2</w:t>
        </w:r>
        <w:r w:rsidR="00C6404A">
          <w:rPr>
            <w:b/>
            <w:bCs/>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8CA1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C40597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AAD506B"/>
    <w:multiLevelType w:val="multilevel"/>
    <w:tmpl w:val="DE6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75769"/>
    <w:multiLevelType w:val="hybridMultilevel"/>
    <w:tmpl w:val="C10E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119E2"/>
    <w:multiLevelType w:val="hybridMultilevel"/>
    <w:tmpl w:val="687CF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23874"/>
    <w:multiLevelType w:val="hybridMultilevel"/>
    <w:tmpl w:val="F4FAC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821A97"/>
    <w:multiLevelType w:val="hybridMultilevel"/>
    <w:tmpl w:val="E1AAE5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D344F8"/>
    <w:multiLevelType w:val="hybridMultilevel"/>
    <w:tmpl w:val="5E42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015C5"/>
    <w:multiLevelType w:val="multilevel"/>
    <w:tmpl w:val="D7E6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52C6E"/>
    <w:multiLevelType w:val="hybridMultilevel"/>
    <w:tmpl w:val="35E28A0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401115"/>
    <w:multiLevelType w:val="hybridMultilevel"/>
    <w:tmpl w:val="78CC9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A0D07"/>
    <w:multiLevelType w:val="hybridMultilevel"/>
    <w:tmpl w:val="FF5E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810406"/>
    <w:multiLevelType w:val="hybridMultilevel"/>
    <w:tmpl w:val="95E282CA"/>
    <w:lvl w:ilvl="0" w:tplc="23A0FC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B201EC"/>
    <w:multiLevelType w:val="hybridMultilevel"/>
    <w:tmpl w:val="F2E02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725C41"/>
    <w:multiLevelType w:val="hybridMultilevel"/>
    <w:tmpl w:val="FC0E5B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4A6D6C"/>
    <w:multiLevelType w:val="hybridMultilevel"/>
    <w:tmpl w:val="FD368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573C2D"/>
    <w:multiLevelType w:val="hybridMultilevel"/>
    <w:tmpl w:val="9D2A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8573DB"/>
    <w:multiLevelType w:val="hybridMultilevel"/>
    <w:tmpl w:val="B732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9442964">
    <w:abstractNumId w:val="14"/>
  </w:num>
  <w:num w:numId="2" w16cid:durableId="733090678">
    <w:abstractNumId w:val="15"/>
  </w:num>
  <w:num w:numId="3" w16cid:durableId="1553610653">
    <w:abstractNumId w:val="16"/>
  </w:num>
  <w:num w:numId="4" w16cid:durableId="1144127611">
    <w:abstractNumId w:val="5"/>
  </w:num>
  <w:num w:numId="5" w16cid:durableId="736827211">
    <w:abstractNumId w:val="3"/>
  </w:num>
  <w:num w:numId="6" w16cid:durableId="131338109">
    <w:abstractNumId w:val="13"/>
  </w:num>
  <w:num w:numId="7" w16cid:durableId="1618020286">
    <w:abstractNumId w:val="10"/>
  </w:num>
  <w:num w:numId="8" w16cid:durableId="1570076792">
    <w:abstractNumId w:val="6"/>
  </w:num>
  <w:num w:numId="9" w16cid:durableId="544489172">
    <w:abstractNumId w:val="11"/>
  </w:num>
  <w:num w:numId="10" w16cid:durableId="1237784765">
    <w:abstractNumId w:val="10"/>
  </w:num>
  <w:num w:numId="11" w16cid:durableId="637145487">
    <w:abstractNumId w:val="8"/>
  </w:num>
  <w:num w:numId="12" w16cid:durableId="1681391935">
    <w:abstractNumId w:val="17"/>
  </w:num>
  <w:num w:numId="13" w16cid:durableId="891620459">
    <w:abstractNumId w:val="9"/>
  </w:num>
  <w:num w:numId="14" w16cid:durableId="862859869">
    <w:abstractNumId w:val="12"/>
  </w:num>
  <w:num w:numId="15" w16cid:durableId="1371689623">
    <w:abstractNumId w:val="7"/>
  </w:num>
  <w:num w:numId="16" w16cid:durableId="752581797">
    <w:abstractNumId w:val="4"/>
  </w:num>
  <w:num w:numId="17" w16cid:durableId="32585270">
    <w:abstractNumId w:val="2"/>
  </w:num>
  <w:num w:numId="18" w16cid:durableId="1106196118">
    <w:abstractNumId w:val="10"/>
  </w:num>
  <w:num w:numId="19" w16cid:durableId="424812147">
    <w:abstractNumId w:val="1"/>
  </w:num>
  <w:num w:numId="20" w16cid:durableId="18431943">
    <w:abstractNumId w:val="0"/>
  </w:num>
  <w:num w:numId="21" w16cid:durableId="1384451762">
    <w:abstractNumId w:val="0"/>
  </w:num>
  <w:num w:numId="22" w16cid:durableId="1631979567">
    <w:abstractNumId w:val="0"/>
  </w:num>
  <w:num w:numId="23" w16cid:durableId="26168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1A"/>
    <w:rsid w:val="00001426"/>
    <w:rsid w:val="000042DE"/>
    <w:rsid w:val="000045D0"/>
    <w:rsid w:val="00006C77"/>
    <w:rsid w:val="00007C86"/>
    <w:rsid w:val="000154B3"/>
    <w:rsid w:val="000501A7"/>
    <w:rsid w:val="000534DC"/>
    <w:rsid w:val="00074DB1"/>
    <w:rsid w:val="00092B04"/>
    <w:rsid w:val="000C2474"/>
    <w:rsid w:val="000D7EF5"/>
    <w:rsid w:val="000F515E"/>
    <w:rsid w:val="001108CE"/>
    <w:rsid w:val="00130248"/>
    <w:rsid w:val="0014217F"/>
    <w:rsid w:val="001519B9"/>
    <w:rsid w:val="00152F95"/>
    <w:rsid w:val="00155712"/>
    <w:rsid w:val="001764D0"/>
    <w:rsid w:val="00183062"/>
    <w:rsid w:val="00186B07"/>
    <w:rsid w:val="001973DD"/>
    <w:rsid w:val="001E6459"/>
    <w:rsid w:val="00202642"/>
    <w:rsid w:val="002027A6"/>
    <w:rsid w:val="002028A1"/>
    <w:rsid w:val="0020377C"/>
    <w:rsid w:val="00254F2F"/>
    <w:rsid w:val="00262525"/>
    <w:rsid w:val="00263563"/>
    <w:rsid w:val="002720DB"/>
    <w:rsid w:val="0028162F"/>
    <w:rsid w:val="00293D28"/>
    <w:rsid w:val="00296E55"/>
    <w:rsid w:val="002A57E2"/>
    <w:rsid w:val="002B47E1"/>
    <w:rsid w:val="002C341A"/>
    <w:rsid w:val="002D5DD7"/>
    <w:rsid w:val="002E6354"/>
    <w:rsid w:val="00303F29"/>
    <w:rsid w:val="0031535B"/>
    <w:rsid w:val="00325D0F"/>
    <w:rsid w:val="00337AA1"/>
    <w:rsid w:val="0034375C"/>
    <w:rsid w:val="003505D8"/>
    <w:rsid w:val="00352735"/>
    <w:rsid w:val="00357650"/>
    <w:rsid w:val="003A1A09"/>
    <w:rsid w:val="003B463B"/>
    <w:rsid w:val="003D34D3"/>
    <w:rsid w:val="003E599E"/>
    <w:rsid w:val="003F3970"/>
    <w:rsid w:val="00407154"/>
    <w:rsid w:val="00425FF4"/>
    <w:rsid w:val="0048732E"/>
    <w:rsid w:val="004D57FC"/>
    <w:rsid w:val="004E6E8D"/>
    <w:rsid w:val="0050103B"/>
    <w:rsid w:val="005108EC"/>
    <w:rsid w:val="00523E40"/>
    <w:rsid w:val="00527867"/>
    <w:rsid w:val="005529E7"/>
    <w:rsid w:val="00566BDF"/>
    <w:rsid w:val="0056787E"/>
    <w:rsid w:val="0057197C"/>
    <w:rsid w:val="00577F32"/>
    <w:rsid w:val="00587A13"/>
    <w:rsid w:val="005A354E"/>
    <w:rsid w:val="005B4B65"/>
    <w:rsid w:val="005C678A"/>
    <w:rsid w:val="005E0015"/>
    <w:rsid w:val="005E2605"/>
    <w:rsid w:val="005E3609"/>
    <w:rsid w:val="005F3194"/>
    <w:rsid w:val="0063115B"/>
    <w:rsid w:val="00646410"/>
    <w:rsid w:val="00663954"/>
    <w:rsid w:val="00665617"/>
    <w:rsid w:val="00674ABB"/>
    <w:rsid w:val="006A4F98"/>
    <w:rsid w:val="006A5F45"/>
    <w:rsid w:val="006B2A6E"/>
    <w:rsid w:val="006B3039"/>
    <w:rsid w:val="006C0CC7"/>
    <w:rsid w:val="006D1FB5"/>
    <w:rsid w:val="006D3E17"/>
    <w:rsid w:val="006D482E"/>
    <w:rsid w:val="006F485A"/>
    <w:rsid w:val="00700297"/>
    <w:rsid w:val="0070261D"/>
    <w:rsid w:val="007065A0"/>
    <w:rsid w:val="00706E19"/>
    <w:rsid w:val="00710E13"/>
    <w:rsid w:val="007504F0"/>
    <w:rsid w:val="00752026"/>
    <w:rsid w:val="00763663"/>
    <w:rsid w:val="007660DC"/>
    <w:rsid w:val="007A5C99"/>
    <w:rsid w:val="007C30DC"/>
    <w:rsid w:val="007D69AB"/>
    <w:rsid w:val="007E3910"/>
    <w:rsid w:val="008076F2"/>
    <w:rsid w:val="00817F0B"/>
    <w:rsid w:val="008228B7"/>
    <w:rsid w:val="00841834"/>
    <w:rsid w:val="00844374"/>
    <w:rsid w:val="00857459"/>
    <w:rsid w:val="008733C0"/>
    <w:rsid w:val="008C78D8"/>
    <w:rsid w:val="00917C36"/>
    <w:rsid w:val="0093009A"/>
    <w:rsid w:val="009361E7"/>
    <w:rsid w:val="0097735F"/>
    <w:rsid w:val="00980961"/>
    <w:rsid w:val="0098496E"/>
    <w:rsid w:val="009876C8"/>
    <w:rsid w:val="00995E21"/>
    <w:rsid w:val="009A310C"/>
    <w:rsid w:val="009B0E0C"/>
    <w:rsid w:val="009C1F63"/>
    <w:rsid w:val="009D1C00"/>
    <w:rsid w:val="009E1D36"/>
    <w:rsid w:val="00A04777"/>
    <w:rsid w:val="00A04B41"/>
    <w:rsid w:val="00A20C9F"/>
    <w:rsid w:val="00A239A8"/>
    <w:rsid w:val="00A353FE"/>
    <w:rsid w:val="00A35BD9"/>
    <w:rsid w:val="00A371CE"/>
    <w:rsid w:val="00A62BE6"/>
    <w:rsid w:val="00A825AE"/>
    <w:rsid w:val="00A87E80"/>
    <w:rsid w:val="00A9389C"/>
    <w:rsid w:val="00A96BC7"/>
    <w:rsid w:val="00A97ADB"/>
    <w:rsid w:val="00AB2439"/>
    <w:rsid w:val="00AB7A09"/>
    <w:rsid w:val="00AC21AB"/>
    <w:rsid w:val="00AC37AD"/>
    <w:rsid w:val="00AE07C2"/>
    <w:rsid w:val="00B10CC5"/>
    <w:rsid w:val="00B409CE"/>
    <w:rsid w:val="00B40EA3"/>
    <w:rsid w:val="00B523E6"/>
    <w:rsid w:val="00B55A01"/>
    <w:rsid w:val="00B7740F"/>
    <w:rsid w:val="00B814CE"/>
    <w:rsid w:val="00B925BF"/>
    <w:rsid w:val="00BA6BE7"/>
    <w:rsid w:val="00BB5132"/>
    <w:rsid w:val="00BC7750"/>
    <w:rsid w:val="00BF5CAA"/>
    <w:rsid w:val="00BF6AEF"/>
    <w:rsid w:val="00C14576"/>
    <w:rsid w:val="00C17E81"/>
    <w:rsid w:val="00C23F9A"/>
    <w:rsid w:val="00C406E6"/>
    <w:rsid w:val="00C6362A"/>
    <w:rsid w:val="00C6404A"/>
    <w:rsid w:val="00C86597"/>
    <w:rsid w:val="00C96C47"/>
    <w:rsid w:val="00CA0117"/>
    <w:rsid w:val="00CA73F4"/>
    <w:rsid w:val="00CB3E24"/>
    <w:rsid w:val="00CD0C3A"/>
    <w:rsid w:val="00CD2845"/>
    <w:rsid w:val="00CD2FD4"/>
    <w:rsid w:val="00CE0E60"/>
    <w:rsid w:val="00CE17D5"/>
    <w:rsid w:val="00CF1D39"/>
    <w:rsid w:val="00CF3C1E"/>
    <w:rsid w:val="00D0662B"/>
    <w:rsid w:val="00D10AEB"/>
    <w:rsid w:val="00D10F2A"/>
    <w:rsid w:val="00D1671A"/>
    <w:rsid w:val="00D2566E"/>
    <w:rsid w:val="00D3027E"/>
    <w:rsid w:val="00D3525B"/>
    <w:rsid w:val="00D707D2"/>
    <w:rsid w:val="00D748BD"/>
    <w:rsid w:val="00D75D43"/>
    <w:rsid w:val="00DA60ED"/>
    <w:rsid w:val="00DA6CD7"/>
    <w:rsid w:val="00DD3D2A"/>
    <w:rsid w:val="00DE5873"/>
    <w:rsid w:val="00E1776B"/>
    <w:rsid w:val="00E41733"/>
    <w:rsid w:val="00E43816"/>
    <w:rsid w:val="00E50386"/>
    <w:rsid w:val="00E54D93"/>
    <w:rsid w:val="00E910A4"/>
    <w:rsid w:val="00E91D3A"/>
    <w:rsid w:val="00EB6663"/>
    <w:rsid w:val="00EC0C23"/>
    <w:rsid w:val="00EE6C52"/>
    <w:rsid w:val="00EF36AC"/>
    <w:rsid w:val="00F06581"/>
    <w:rsid w:val="00F177D9"/>
    <w:rsid w:val="00F21435"/>
    <w:rsid w:val="00F27BA9"/>
    <w:rsid w:val="00F6553C"/>
    <w:rsid w:val="00F80A18"/>
    <w:rsid w:val="00F84261"/>
    <w:rsid w:val="00F85F84"/>
    <w:rsid w:val="00F95915"/>
    <w:rsid w:val="00FA6CF6"/>
    <w:rsid w:val="00FC0721"/>
    <w:rsid w:val="00FC31E4"/>
    <w:rsid w:val="00FD454F"/>
    <w:rsid w:val="00FF5C8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A1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553C"/>
    <w:pPr>
      <w:spacing w:before="120" w:after="120" w:line="240" w:lineRule="auto"/>
    </w:pPr>
    <w:rPr>
      <w:rFonts w:ascii="Arial" w:eastAsia="Times New Roman" w:hAnsi="Arial" w:cs="Times New Roman"/>
      <w:kern w:val="0"/>
      <w:szCs w:val="24"/>
      <w14:ligatures w14:val="none"/>
    </w:rPr>
  </w:style>
  <w:style w:type="paragraph" w:styleId="Heading1">
    <w:name w:val="heading 1"/>
    <w:basedOn w:val="Normal"/>
    <w:next w:val="Normal"/>
    <w:link w:val="Heading1Char"/>
    <w:uiPriority w:val="9"/>
    <w:qFormat/>
    <w:rsid w:val="002B47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Paragraphtext"/>
    <w:link w:val="Heading2Char"/>
    <w:qFormat/>
    <w:rsid w:val="00F6553C"/>
    <w:pPr>
      <w:keepNext/>
      <w:spacing w:before="240" w:after="60" w:line="240" w:lineRule="auto"/>
      <w:outlineLvl w:val="1"/>
    </w:pPr>
    <w:rPr>
      <w:rFonts w:ascii="Arial" w:eastAsia="Times New Roman" w:hAnsi="Arial" w:cs="Arial"/>
      <w:b/>
      <w:bCs/>
      <w:iCs/>
      <w:color w:val="358189"/>
      <w:kern w:val="0"/>
      <w:sz w:val="32"/>
      <w:szCs w:val="28"/>
      <w14:ligatures w14:val="none"/>
    </w:rPr>
  </w:style>
  <w:style w:type="paragraph" w:styleId="Heading3">
    <w:name w:val="heading 3"/>
    <w:basedOn w:val="Normal"/>
    <w:next w:val="Normal"/>
    <w:link w:val="Heading3Char"/>
    <w:uiPriority w:val="9"/>
    <w:unhideWhenUsed/>
    <w:qFormat/>
    <w:rsid w:val="00F27BA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553C"/>
    <w:rPr>
      <w:rFonts w:ascii="Arial" w:eastAsia="Times New Roman" w:hAnsi="Arial" w:cs="Arial"/>
      <w:b/>
      <w:bCs/>
      <w:iCs/>
      <w:color w:val="358189"/>
      <w:kern w:val="0"/>
      <w:sz w:val="32"/>
      <w:szCs w:val="28"/>
      <w14:ligatures w14:val="none"/>
    </w:rPr>
  </w:style>
  <w:style w:type="paragraph" w:customStyle="1" w:styleId="Paragraphtext">
    <w:name w:val="Paragraph text"/>
    <w:basedOn w:val="Normal"/>
    <w:qFormat/>
    <w:rsid w:val="002C341A"/>
    <w:pPr>
      <w:spacing w:after="60"/>
    </w:pPr>
    <w:rPr>
      <w:color w:val="000000" w:themeColor="text1"/>
      <w:sz w:val="21"/>
    </w:rPr>
  </w:style>
  <w:style w:type="paragraph" w:styleId="Title">
    <w:name w:val="Title"/>
    <w:basedOn w:val="Normal"/>
    <w:next w:val="Paragraphtext"/>
    <w:link w:val="TitleChar"/>
    <w:qFormat/>
    <w:rsid w:val="00F6553C"/>
    <w:pPr>
      <w:spacing w:before="480"/>
      <w:ind w:right="2268"/>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F6553C"/>
    <w:rPr>
      <w:rFonts w:ascii="Arial" w:eastAsiaTheme="majorEastAsia" w:hAnsi="Arial" w:cstheme="majorBidi"/>
      <w:color w:val="3F4A75"/>
      <w:kern w:val="28"/>
      <w:sz w:val="48"/>
      <w:szCs w:val="52"/>
      <w14:ligatures w14:val="none"/>
    </w:rPr>
  </w:style>
  <w:style w:type="paragraph" w:styleId="ListBullet2">
    <w:name w:val="List Bullet 2"/>
    <w:basedOn w:val="Normal"/>
    <w:uiPriority w:val="99"/>
    <w:unhideWhenUsed/>
    <w:rsid w:val="00F6553C"/>
    <w:pPr>
      <w:numPr>
        <w:numId w:val="20"/>
      </w:numPr>
      <w:contextualSpacing/>
    </w:pPr>
    <w:rPr>
      <w:i/>
    </w:rPr>
  </w:style>
  <w:style w:type="paragraph" w:styleId="Header">
    <w:name w:val="header"/>
    <w:basedOn w:val="Normal"/>
    <w:link w:val="HeaderChar"/>
    <w:uiPriority w:val="99"/>
    <w:qFormat/>
    <w:rsid w:val="002C341A"/>
    <w:pPr>
      <w:tabs>
        <w:tab w:val="center" w:pos="4513"/>
        <w:tab w:val="right" w:pos="9026"/>
      </w:tabs>
    </w:pPr>
  </w:style>
  <w:style w:type="character" w:customStyle="1" w:styleId="HeaderChar">
    <w:name w:val="Header Char"/>
    <w:basedOn w:val="DefaultParagraphFont"/>
    <w:link w:val="Header"/>
    <w:uiPriority w:val="99"/>
    <w:rsid w:val="002C341A"/>
    <w:rPr>
      <w:rFonts w:ascii="Arial" w:eastAsia="Times New Roman" w:hAnsi="Arial" w:cs="Times New Roman"/>
      <w:kern w:val="0"/>
      <w:szCs w:val="24"/>
      <w14:ligatures w14:val="none"/>
    </w:rPr>
  </w:style>
  <w:style w:type="paragraph" w:styleId="Footer">
    <w:name w:val="footer"/>
    <w:basedOn w:val="Normal"/>
    <w:link w:val="FooterChar"/>
    <w:uiPriority w:val="99"/>
    <w:qFormat/>
    <w:rsid w:val="002C341A"/>
    <w:pPr>
      <w:tabs>
        <w:tab w:val="center" w:pos="4513"/>
        <w:tab w:val="right" w:pos="9026"/>
      </w:tabs>
    </w:pPr>
    <w:rPr>
      <w:sz w:val="20"/>
    </w:rPr>
  </w:style>
  <w:style w:type="character" w:customStyle="1" w:styleId="FooterChar">
    <w:name w:val="Footer Char"/>
    <w:basedOn w:val="DefaultParagraphFont"/>
    <w:link w:val="Footer"/>
    <w:uiPriority w:val="99"/>
    <w:rsid w:val="002C341A"/>
    <w:rPr>
      <w:rFonts w:ascii="Arial" w:eastAsia="Times New Roman" w:hAnsi="Arial" w:cs="Times New Roman"/>
      <w:kern w:val="0"/>
      <w:sz w:val="20"/>
      <w:szCs w:val="24"/>
      <w14:ligatures w14:val="none"/>
    </w:rPr>
  </w:style>
  <w:style w:type="character" w:styleId="Hyperlink">
    <w:name w:val="Hyperlink"/>
    <w:basedOn w:val="DefaultParagraphFont"/>
    <w:uiPriority w:val="99"/>
    <w:qFormat/>
    <w:rsid w:val="002C341A"/>
    <w:rPr>
      <w:color w:val="0563C1" w:themeColor="hyperlink"/>
      <w:u w:val="single"/>
    </w:rPr>
  </w:style>
  <w:style w:type="paragraph" w:customStyle="1" w:styleId="Normalindent">
    <w:name w:val="Normal (indent)"/>
    <w:basedOn w:val="Normal"/>
    <w:link w:val="NormalindentChar"/>
    <w:qFormat/>
    <w:rsid w:val="00F6553C"/>
    <w:pPr>
      <w:spacing w:line="259" w:lineRule="auto"/>
      <w:ind w:left="720"/>
    </w:pPr>
    <w:rPr>
      <w:color w:val="000000" w:themeColor="text1"/>
    </w:rPr>
  </w:style>
  <w:style w:type="character" w:customStyle="1" w:styleId="NormalindentChar">
    <w:name w:val="Normal (indent) Char"/>
    <w:basedOn w:val="DefaultParagraphFont"/>
    <w:link w:val="Normalindent"/>
    <w:rsid w:val="00F6553C"/>
    <w:rPr>
      <w:rFonts w:ascii="Arial" w:eastAsia="Times New Roman" w:hAnsi="Arial" w:cs="Times New Roman"/>
      <w:color w:val="000000" w:themeColor="text1"/>
      <w:kern w:val="0"/>
      <w:szCs w:val="24"/>
      <w14:ligatures w14:val="none"/>
    </w:rPr>
  </w:style>
  <w:style w:type="character" w:styleId="CommentReference">
    <w:name w:val="annotation reference"/>
    <w:basedOn w:val="DefaultParagraphFont"/>
    <w:uiPriority w:val="99"/>
    <w:semiHidden/>
    <w:unhideWhenUsed/>
    <w:rsid w:val="002C341A"/>
    <w:rPr>
      <w:sz w:val="16"/>
      <w:szCs w:val="16"/>
    </w:rPr>
  </w:style>
  <w:style w:type="paragraph" w:styleId="CommentText">
    <w:name w:val="annotation text"/>
    <w:basedOn w:val="Normal"/>
    <w:link w:val="CommentTextChar"/>
    <w:uiPriority w:val="99"/>
    <w:unhideWhenUsed/>
    <w:rsid w:val="002C341A"/>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C341A"/>
    <w:rPr>
      <w:rFonts w:eastAsiaTheme="minorEastAsia"/>
      <w:kern w:val="0"/>
      <w:sz w:val="20"/>
      <w:szCs w:val="20"/>
      <w14:ligatures w14:val="none"/>
    </w:rPr>
  </w:style>
  <w:style w:type="character" w:styleId="UnresolvedMention">
    <w:name w:val="Unresolved Mention"/>
    <w:basedOn w:val="DefaultParagraphFont"/>
    <w:uiPriority w:val="99"/>
    <w:semiHidden/>
    <w:unhideWhenUsed/>
    <w:rsid w:val="002C341A"/>
    <w:rPr>
      <w:color w:val="605E5C"/>
      <w:shd w:val="clear" w:color="auto" w:fill="E1DFDD"/>
    </w:rPr>
  </w:style>
  <w:style w:type="table" w:styleId="TableGrid">
    <w:name w:val="Table Grid"/>
    <w:basedOn w:val="TableNormal"/>
    <w:uiPriority w:val="59"/>
    <w:rsid w:val="005E00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47E1"/>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F27BA9"/>
    <w:rPr>
      <w:rFonts w:asciiTheme="majorHAnsi" w:eastAsiaTheme="majorEastAsia" w:hAnsiTheme="majorHAnsi" w:cstheme="majorBidi"/>
      <w:color w:val="1F3763" w:themeColor="accent1" w:themeShade="7F"/>
      <w:kern w:val="0"/>
      <w:sz w:val="24"/>
      <w:szCs w:val="24"/>
      <w14:ligatures w14:val="none"/>
    </w:rPr>
  </w:style>
  <w:style w:type="paragraph" w:styleId="NoSpacing">
    <w:name w:val="No Spacing"/>
    <w:uiPriority w:val="1"/>
    <w:qFormat/>
    <w:rsid w:val="00F27BA9"/>
    <w:pPr>
      <w:spacing w:after="0" w:line="240" w:lineRule="auto"/>
    </w:pPr>
    <w:rPr>
      <w:rFonts w:ascii="Arial" w:eastAsia="Times New Roman" w:hAnsi="Arial" w:cs="Times New Roman"/>
      <w:kern w:val="0"/>
      <w:szCs w:val="24"/>
      <w14:ligatures w14:val="none"/>
    </w:rPr>
  </w:style>
  <w:style w:type="paragraph" w:styleId="CommentSubject">
    <w:name w:val="annotation subject"/>
    <w:basedOn w:val="CommentText"/>
    <w:next w:val="CommentText"/>
    <w:link w:val="CommentSubjectChar"/>
    <w:uiPriority w:val="99"/>
    <w:semiHidden/>
    <w:unhideWhenUsed/>
    <w:rsid w:val="00D10AEB"/>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D10AEB"/>
    <w:rPr>
      <w:rFonts w:ascii="Arial" w:eastAsia="Times New Roman" w:hAnsi="Arial" w:cs="Times New Roman"/>
      <w:b/>
      <w:bCs/>
      <w:kern w:val="0"/>
      <w:sz w:val="20"/>
      <w:szCs w:val="20"/>
      <w14:ligatures w14:val="none"/>
    </w:rPr>
  </w:style>
  <w:style w:type="paragraph" w:styleId="Revision">
    <w:name w:val="Revision"/>
    <w:hidden/>
    <w:uiPriority w:val="99"/>
    <w:semiHidden/>
    <w:rsid w:val="005B4B65"/>
    <w:pPr>
      <w:spacing w:after="0" w:line="240" w:lineRule="auto"/>
    </w:pPr>
    <w:rPr>
      <w:rFonts w:ascii="Arial" w:eastAsia="Times New Roman" w:hAnsi="Arial" w:cs="Times New Roman"/>
      <w:kern w:val="0"/>
      <w:szCs w:val="24"/>
      <w14:ligatures w14:val="none"/>
    </w:rPr>
  </w:style>
  <w:style w:type="character" w:styleId="FollowedHyperlink">
    <w:name w:val="FollowedHyperlink"/>
    <w:basedOn w:val="DefaultParagraphFont"/>
    <w:uiPriority w:val="99"/>
    <w:semiHidden/>
    <w:unhideWhenUsed/>
    <w:rsid w:val="007A5C99"/>
    <w:rPr>
      <w:color w:val="954F72" w:themeColor="followedHyperlink"/>
      <w:u w:val="single"/>
    </w:rPr>
  </w:style>
  <w:style w:type="paragraph" w:styleId="ListBullet">
    <w:name w:val="List Bullet"/>
    <w:basedOn w:val="Normal"/>
    <w:uiPriority w:val="99"/>
    <w:unhideWhenUsed/>
    <w:rsid w:val="00F6553C"/>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871">
      <w:bodyDiv w:val="1"/>
      <w:marLeft w:val="0"/>
      <w:marRight w:val="0"/>
      <w:marTop w:val="0"/>
      <w:marBottom w:val="0"/>
      <w:divBdr>
        <w:top w:val="none" w:sz="0" w:space="0" w:color="auto"/>
        <w:left w:val="none" w:sz="0" w:space="0" w:color="auto"/>
        <w:bottom w:val="none" w:sz="0" w:space="0" w:color="auto"/>
        <w:right w:val="none" w:sz="0" w:space="0" w:color="auto"/>
      </w:divBdr>
    </w:div>
    <w:div w:id="442766937">
      <w:bodyDiv w:val="1"/>
      <w:marLeft w:val="0"/>
      <w:marRight w:val="0"/>
      <w:marTop w:val="0"/>
      <w:marBottom w:val="0"/>
      <w:divBdr>
        <w:top w:val="none" w:sz="0" w:space="0" w:color="auto"/>
        <w:left w:val="none" w:sz="0" w:space="0" w:color="auto"/>
        <w:bottom w:val="none" w:sz="0" w:space="0" w:color="auto"/>
        <w:right w:val="none" w:sz="0" w:space="0" w:color="auto"/>
      </w:divBdr>
    </w:div>
    <w:div w:id="464785622">
      <w:bodyDiv w:val="1"/>
      <w:marLeft w:val="0"/>
      <w:marRight w:val="0"/>
      <w:marTop w:val="0"/>
      <w:marBottom w:val="0"/>
      <w:divBdr>
        <w:top w:val="none" w:sz="0" w:space="0" w:color="auto"/>
        <w:left w:val="none" w:sz="0" w:space="0" w:color="auto"/>
        <w:bottom w:val="none" w:sz="0" w:space="0" w:color="auto"/>
        <w:right w:val="none" w:sz="0" w:space="0" w:color="auto"/>
      </w:divBdr>
    </w:div>
    <w:div w:id="514727373">
      <w:bodyDiv w:val="1"/>
      <w:marLeft w:val="0"/>
      <w:marRight w:val="0"/>
      <w:marTop w:val="0"/>
      <w:marBottom w:val="0"/>
      <w:divBdr>
        <w:top w:val="none" w:sz="0" w:space="0" w:color="auto"/>
        <w:left w:val="none" w:sz="0" w:space="0" w:color="auto"/>
        <w:bottom w:val="none" w:sz="0" w:space="0" w:color="auto"/>
        <w:right w:val="none" w:sz="0" w:space="0" w:color="auto"/>
      </w:divBdr>
    </w:div>
    <w:div w:id="642854796">
      <w:bodyDiv w:val="1"/>
      <w:marLeft w:val="0"/>
      <w:marRight w:val="0"/>
      <w:marTop w:val="0"/>
      <w:marBottom w:val="0"/>
      <w:divBdr>
        <w:top w:val="none" w:sz="0" w:space="0" w:color="auto"/>
        <w:left w:val="none" w:sz="0" w:space="0" w:color="auto"/>
        <w:bottom w:val="none" w:sz="0" w:space="0" w:color="auto"/>
        <w:right w:val="none" w:sz="0" w:space="0" w:color="auto"/>
      </w:divBdr>
    </w:div>
    <w:div w:id="960068013">
      <w:bodyDiv w:val="1"/>
      <w:marLeft w:val="0"/>
      <w:marRight w:val="0"/>
      <w:marTop w:val="0"/>
      <w:marBottom w:val="0"/>
      <w:divBdr>
        <w:top w:val="none" w:sz="0" w:space="0" w:color="auto"/>
        <w:left w:val="none" w:sz="0" w:space="0" w:color="auto"/>
        <w:bottom w:val="none" w:sz="0" w:space="0" w:color="auto"/>
        <w:right w:val="none" w:sz="0" w:space="0" w:color="auto"/>
      </w:divBdr>
    </w:div>
    <w:div w:id="1209999148">
      <w:bodyDiv w:val="1"/>
      <w:marLeft w:val="0"/>
      <w:marRight w:val="0"/>
      <w:marTop w:val="0"/>
      <w:marBottom w:val="0"/>
      <w:divBdr>
        <w:top w:val="none" w:sz="0" w:space="0" w:color="auto"/>
        <w:left w:val="none" w:sz="0" w:space="0" w:color="auto"/>
        <w:bottom w:val="none" w:sz="0" w:space="0" w:color="auto"/>
        <w:right w:val="none" w:sz="0" w:space="0" w:color="auto"/>
      </w:divBdr>
    </w:div>
    <w:div w:id="1361935862">
      <w:bodyDiv w:val="1"/>
      <w:marLeft w:val="0"/>
      <w:marRight w:val="0"/>
      <w:marTop w:val="0"/>
      <w:marBottom w:val="0"/>
      <w:divBdr>
        <w:top w:val="none" w:sz="0" w:space="0" w:color="auto"/>
        <w:left w:val="none" w:sz="0" w:space="0" w:color="auto"/>
        <w:bottom w:val="none" w:sz="0" w:space="0" w:color="auto"/>
        <w:right w:val="none" w:sz="0" w:space="0" w:color="auto"/>
      </w:divBdr>
    </w:div>
    <w:div w:id="1940525282">
      <w:bodyDiv w:val="1"/>
      <w:marLeft w:val="0"/>
      <w:marRight w:val="0"/>
      <w:marTop w:val="0"/>
      <w:marBottom w:val="0"/>
      <w:divBdr>
        <w:top w:val="none" w:sz="0" w:space="0" w:color="auto"/>
        <w:left w:val="none" w:sz="0" w:space="0" w:color="auto"/>
        <w:bottom w:val="none" w:sz="0" w:space="0" w:color="auto"/>
        <w:right w:val="none" w:sz="0" w:space="0" w:color="auto"/>
      </w:divBdr>
    </w:div>
    <w:div w:id="199564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ealth.gov.au/our-work/national-clinical-quality-registry-program?utm_source=health.gov.au&amp;utm_medium=callout-auto-custom&amp;utm_campaign=digital_transformation" TargetMode="External"/><Relationship Id="rId18" Type="http://schemas.openxmlformats.org/officeDocument/2006/relationships/hyperlink" Target="mailto:CQR@safetyandquality.gov.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egistrycentre@sahmri.com" TargetMode="External"/><Relationship Id="rId7" Type="http://schemas.openxmlformats.org/officeDocument/2006/relationships/image" Target="media/image1.jpeg"/><Relationship Id="rId12" Type="http://schemas.openxmlformats.org/officeDocument/2006/relationships/hyperlink" Target="https://www.grants.gov.au/Go/Show?GoUuid=eefa4fec-01e5-4b7d-a3a6-59c17697613e" TargetMode="External"/><Relationship Id="rId17" Type="http://schemas.openxmlformats.org/officeDocument/2006/relationships/hyperlink" Target="https://www.safetyandquality.gov.au/publications-and-resources/australian-register-clinical-registr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fetyandquality.gov.au/publications-and-resources/resource-library/prioritised-list-clinical-domains-clinical-quality-registry-development-final-report" TargetMode="External"/><Relationship Id="rId20" Type="http://schemas.openxmlformats.org/officeDocument/2006/relationships/hyperlink" Target="mailto:regtrialguide@monash.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nders.gov.au/Atm/Show/46fb6d58-2a21-4ae5-865c-4de8cec9b1ac"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afetyandquality.gov.au/publications-and-resources/resource-library/australian-framework-national-clinical-quality-registries-2024" TargetMode="External"/><Relationship Id="rId23" Type="http://schemas.openxmlformats.org/officeDocument/2006/relationships/hyperlink" Target="mailto:cqrpolicy@health.gov.au" TargetMode="External"/><Relationship Id="rId10" Type="http://schemas.openxmlformats.org/officeDocument/2006/relationships/hyperlink" Target="https://www.health.gov.au/resources/publications/a-national-strategy-for-clinical-quality-registries-and-virtual-registries-2020-2030" TargetMode="External"/><Relationship Id="rId19" Type="http://schemas.openxmlformats.org/officeDocument/2006/relationships/hyperlink" Target="mailto:registrycentre@sahmri.com" TargetMode="External"/><Relationship Id="rId4" Type="http://schemas.openxmlformats.org/officeDocument/2006/relationships/webSettings" Target="webSettings.xml"/><Relationship Id="rId9" Type="http://schemas.openxmlformats.org/officeDocument/2006/relationships/image" Target="cid:image001.png@01D545EF.D584D410" TargetMode="External"/><Relationship Id="rId14" Type="http://schemas.openxmlformats.org/officeDocument/2006/relationships/hyperlink" Target="https://help.grants.gov.au/" TargetMode="External"/><Relationship Id="rId22" Type="http://schemas.openxmlformats.org/officeDocument/2006/relationships/hyperlink" Target="mailto:acta@acta.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7643</Characters>
  <Application>Microsoft Office Word</Application>
  <DocSecurity>0</DocSecurity>
  <Lines>120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Clinical Quality Registry Program Communique: August 2024</dc:title>
  <dc:subject>Medical devices</dc:subject>
  <dc:creator/>
  <cp:keywords>Health data and medical research</cp:keywords>
  <dc:description/>
  <cp:lastModifiedBy/>
  <cp:revision>1</cp:revision>
  <dcterms:created xsi:type="dcterms:W3CDTF">2024-08-28T03:26:00Z</dcterms:created>
  <dcterms:modified xsi:type="dcterms:W3CDTF">2024-08-28T03:28:00Z</dcterms:modified>
</cp:coreProperties>
</file>