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0402" w14:textId="77777777" w:rsidR="00994536" w:rsidRPr="008376E2" w:rsidRDefault="00994536" w:rsidP="00994536">
      <w:pPr>
        <w:pStyle w:val="Title"/>
        <w:sectPr w:rsidR="00994536" w:rsidRPr="008376E2" w:rsidSect="00994536">
          <w:footerReference w:type="default" r:id="rId11"/>
          <w:headerReference w:type="first" r:id="rId12"/>
          <w:footerReference w:type="first" r:id="rId13"/>
          <w:type w:val="continuous"/>
          <w:pgSz w:w="11906" w:h="16838"/>
          <w:pgMar w:top="1701" w:right="1418" w:bottom="1418" w:left="1418" w:header="851" w:footer="709" w:gutter="0"/>
          <w:cols w:space="708"/>
          <w:titlePg/>
          <w:docGrid w:linePitch="360"/>
        </w:sectPr>
      </w:pPr>
      <w:r w:rsidRPr="00AA4BCB">
        <w:t>Guidelines for the treatment of</w:t>
      </w:r>
      <w:r>
        <w:t xml:space="preserve"> </w:t>
      </w:r>
      <w:r w:rsidR="00AB5703">
        <w:t>Fabry disease</w:t>
      </w:r>
      <w:r w:rsidRPr="00AA4BCB">
        <w:t xml:space="preserve"> through the Life Saving Drugs Program</w:t>
      </w:r>
    </w:p>
    <w:p w14:paraId="20088E34" w14:textId="77777777" w:rsidR="00994536" w:rsidRDefault="00994536" w:rsidP="00994536">
      <w:pPr>
        <w:pStyle w:val="Heading1"/>
      </w:pPr>
      <w:r>
        <w:t xml:space="preserve">The </w:t>
      </w:r>
      <w:r w:rsidRPr="00AA4BCB">
        <w:t>Life Saving Drugs Program</w:t>
      </w:r>
    </w:p>
    <w:p w14:paraId="034433B1" w14:textId="59D33791" w:rsidR="00994536" w:rsidRPr="00AA4BCB" w:rsidRDefault="00994536" w:rsidP="00994536">
      <w:pPr>
        <w:pStyle w:val="Heading2"/>
      </w:pPr>
      <w:r w:rsidRPr="00AA4BCB">
        <w:t>About th</w:t>
      </w:r>
      <w:r>
        <w:t>is</w:t>
      </w:r>
      <w:r w:rsidRPr="00AA4BCB">
        <w:t xml:space="preserve"> </w:t>
      </w:r>
      <w:r>
        <w:t>program</w:t>
      </w:r>
    </w:p>
    <w:p w14:paraId="6A7FB5C3" w14:textId="77777777" w:rsidR="00994536" w:rsidRPr="0040432F" w:rsidRDefault="00994536" w:rsidP="0040432F">
      <w:r w:rsidRPr="0040432F">
        <w:t>Through the Life Saving Drugs Program (LSDP), the Australian Government provides subsidised access for eligible patients to expensive life-saving drugs.</w:t>
      </w:r>
    </w:p>
    <w:p w14:paraId="406CD6FA" w14:textId="77777777" w:rsidR="00994536" w:rsidRDefault="00994536" w:rsidP="00994536">
      <w:pPr>
        <w:pStyle w:val="Heading2"/>
      </w:pPr>
      <w:r w:rsidRPr="00A437C2">
        <w:t>Purpose of this document</w:t>
      </w:r>
    </w:p>
    <w:p w14:paraId="2A801D32" w14:textId="77777777" w:rsidR="00994536" w:rsidRPr="0040432F" w:rsidRDefault="00994536" w:rsidP="0040432F">
      <w:r w:rsidRPr="0040432F">
        <w:t>This document provides guidance for treating physicians with relevant specialist registration who wish to apply for their patients to receive access to Australian Government</w:t>
      </w:r>
      <w:r w:rsidR="001E2E7C" w:rsidRPr="0040432F">
        <w:t>–</w:t>
      </w:r>
      <w:r w:rsidRPr="0040432F">
        <w:t xml:space="preserve">subsidised treatment for </w:t>
      </w:r>
      <w:r w:rsidR="00AB5703" w:rsidRPr="0040432F">
        <w:t>Fabry disease</w:t>
      </w:r>
      <w:r w:rsidRPr="0040432F">
        <w:t xml:space="preserve"> through the LSDP.</w:t>
      </w:r>
    </w:p>
    <w:p w14:paraId="0FECE1FB" w14:textId="77777777" w:rsidR="00994536" w:rsidRPr="0040432F" w:rsidRDefault="00994536" w:rsidP="0040432F">
      <w:r w:rsidRPr="0040432F">
        <w:t xml:space="preserve">It describes the criteria for general, </w:t>
      </w:r>
      <w:proofErr w:type="gramStart"/>
      <w:r w:rsidRPr="0040432F">
        <w:t>initial</w:t>
      </w:r>
      <w:proofErr w:type="gramEnd"/>
      <w:r w:rsidRPr="0040432F">
        <w:t xml:space="preserve"> and ongoing eligibility to access subsidised treatment and the administrative requirements associated with the initial application and annual reapplications.</w:t>
      </w:r>
    </w:p>
    <w:p w14:paraId="0DA6135B" w14:textId="77777777" w:rsidR="00994536" w:rsidRDefault="00994536" w:rsidP="00994536">
      <w:pPr>
        <w:pStyle w:val="Heading2"/>
      </w:pPr>
      <w:r w:rsidRPr="00A437C2">
        <w:t xml:space="preserve">Treatment of </w:t>
      </w:r>
      <w:r w:rsidR="00AB5703">
        <w:t>Fabry disease</w:t>
      </w:r>
      <w:r w:rsidRPr="00A437C2">
        <w:t xml:space="preserve"> through the LSDP</w:t>
      </w:r>
    </w:p>
    <w:p w14:paraId="3741543D" w14:textId="77777777" w:rsidR="00AB5703" w:rsidRPr="0040432F" w:rsidRDefault="00AB5703" w:rsidP="0040432F">
      <w:r w:rsidRPr="0040432F">
        <w:t>Australian Government–subsidised drug treatment is available for eligible patients with a confirmed diagnosis of Fabry disease.</w:t>
      </w:r>
    </w:p>
    <w:p w14:paraId="60497B41" w14:textId="77777777" w:rsidR="00994536" w:rsidRDefault="00994536" w:rsidP="00994536">
      <w:pPr>
        <w:pStyle w:val="Heading2"/>
      </w:pPr>
      <w:r>
        <w:t xml:space="preserve">Drugs currently available for the treatment of </w:t>
      </w:r>
      <w:r w:rsidR="00AB5703">
        <w:t>Fabry</w:t>
      </w:r>
      <w:r w:rsidR="00AB5703" w:rsidRPr="0040432F">
        <w:t xml:space="preserve"> </w:t>
      </w:r>
      <w:r w:rsidR="00AB5703">
        <w:t>disease</w:t>
      </w:r>
      <w:r>
        <w:t xml:space="preserve"> through the LSDP </w:t>
      </w:r>
    </w:p>
    <w:p w14:paraId="7E0A574F" w14:textId="0DCC6EDD" w:rsidR="00AB5703" w:rsidRPr="0040432F" w:rsidRDefault="00AB5703" w:rsidP="0040432F">
      <w:r w:rsidRPr="0040432F">
        <w:t xml:space="preserve">There are </w:t>
      </w:r>
      <w:r w:rsidR="00837B63" w:rsidRPr="0040432F">
        <w:t xml:space="preserve">2 </w:t>
      </w:r>
      <w:r w:rsidRPr="0040432F">
        <w:t>drugs currently subsidised through the LSDP for the treatment of Fabry disease.</w:t>
      </w:r>
    </w:p>
    <w:p w14:paraId="6DC464B6" w14:textId="200E2D2A" w:rsidR="00AB5703" w:rsidRPr="0040432F" w:rsidRDefault="00AB5703" w:rsidP="0040432F">
      <w:r w:rsidRPr="0040432F">
        <w:t xml:space="preserve">The generic names for these drugs are </w:t>
      </w:r>
      <w:proofErr w:type="spellStart"/>
      <w:r w:rsidRPr="0040432F">
        <w:t>agalsidase</w:t>
      </w:r>
      <w:proofErr w:type="spellEnd"/>
      <w:r w:rsidRPr="0040432F">
        <w:t xml:space="preserve"> alfa</w:t>
      </w:r>
      <w:r w:rsidR="00837B63" w:rsidRPr="0040432F">
        <w:t xml:space="preserve"> and</w:t>
      </w:r>
      <w:r w:rsidRPr="0040432F">
        <w:t xml:space="preserve"> </w:t>
      </w:r>
      <w:proofErr w:type="spellStart"/>
      <w:r w:rsidRPr="0040432F">
        <w:t>agalsidase</w:t>
      </w:r>
      <w:proofErr w:type="spellEnd"/>
      <w:r w:rsidRPr="0040432F">
        <w:t xml:space="preserve"> beta.</w:t>
      </w:r>
    </w:p>
    <w:p w14:paraId="2258936E" w14:textId="1DED43D3" w:rsidR="00AB5703" w:rsidRPr="0040432F" w:rsidRDefault="00AB5703" w:rsidP="0040432F">
      <w:r w:rsidRPr="0040432F">
        <w:t xml:space="preserve">The trade names for these drugs are </w:t>
      </w:r>
      <w:proofErr w:type="spellStart"/>
      <w:r w:rsidRPr="0040432F">
        <w:t>Replagal</w:t>
      </w:r>
      <w:proofErr w:type="spellEnd"/>
      <w:r w:rsidRPr="0040432F">
        <w:t xml:space="preserve">® </w:t>
      </w:r>
      <w:r w:rsidR="00837B63" w:rsidRPr="0040432F">
        <w:t xml:space="preserve">and </w:t>
      </w:r>
      <w:r w:rsidRPr="0040432F">
        <w:t>Fabrazyme®.</w:t>
      </w:r>
    </w:p>
    <w:p w14:paraId="3B1C996F" w14:textId="3E8F0C6F" w:rsidR="00AB5703" w:rsidRPr="0040432F" w:rsidRDefault="00AB5703" w:rsidP="0040432F">
      <w:r w:rsidRPr="0040432F">
        <w:t xml:space="preserve">The Therapeutic Goods Administration (TGA) registration and Product Information for </w:t>
      </w:r>
      <w:proofErr w:type="spellStart"/>
      <w:r w:rsidRPr="0040432F">
        <w:t>agalsidase</w:t>
      </w:r>
      <w:proofErr w:type="spellEnd"/>
      <w:r w:rsidRPr="0040432F">
        <w:t xml:space="preserve"> alfa (</w:t>
      </w:r>
      <w:proofErr w:type="spellStart"/>
      <w:r w:rsidRPr="0040432F">
        <w:t>Replagal</w:t>
      </w:r>
      <w:proofErr w:type="spellEnd"/>
      <w:r w:rsidRPr="0040432F">
        <w:t>®)</w:t>
      </w:r>
      <w:r w:rsidR="00206A24" w:rsidRPr="0040432F">
        <w:t xml:space="preserve"> and</w:t>
      </w:r>
      <w:r w:rsidRPr="0040432F">
        <w:t xml:space="preserve"> </w:t>
      </w:r>
      <w:proofErr w:type="spellStart"/>
      <w:r w:rsidRPr="0040432F">
        <w:t>agalsidase</w:t>
      </w:r>
      <w:proofErr w:type="spellEnd"/>
      <w:r w:rsidRPr="0040432F">
        <w:t xml:space="preserve"> beta (Fabrazyme®) can be found on the </w:t>
      </w:r>
      <w:hyperlink r:id="rId14" w:history="1">
        <w:r w:rsidRPr="0040432F">
          <w:rPr>
            <w:rStyle w:val="Hyperlink"/>
          </w:rPr>
          <w:t>TGA's website</w:t>
        </w:r>
      </w:hyperlink>
      <w:r w:rsidRPr="0040432F">
        <w:t>.</w:t>
      </w:r>
    </w:p>
    <w:p w14:paraId="2E273C6F" w14:textId="3C297464" w:rsidR="00FF2349" w:rsidRPr="0040432F" w:rsidRDefault="00FF2349" w:rsidP="0040432F">
      <w:r w:rsidRPr="0040432F">
        <w:t>Note: migalastat (</w:t>
      </w:r>
      <w:proofErr w:type="spellStart"/>
      <w:r w:rsidRPr="0040432F">
        <w:t>Galafold</w:t>
      </w:r>
      <w:proofErr w:type="spellEnd"/>
      <w:r w:rsidRPr="0040432F">
        <w:t xml:space="preserve">®) for the treatment of Fabry disease is now available through the </w:t>
      </w:r>
      <w:hyperlink r:id="rId15" w:history="1">
        <w:r w:rsidRPr="0040432F">
          <w:rPr>
            <w:rStyle w:val="Hyperlink"/>
          </w:rPr>
          <w:t>Pharmaceutical Benefits Scheme</w:t>
        </w:r>
      </w:hyperlink>
      <w:r w:rsidRPr="0040432F">
        <w:t xml:space="preserve">. </w:t>
      </w:r>
    </w:p>
    <w:p w14:paraId="5337132F" w14:textId="77777777" w:rsidR="00994536" w:rsidRDefault="00994536" w:rsidP="00994536">
      <w:pPr>
        <w:pStyle w:val="Heading2"/>
      </w:pPr>
      <w:r>
        <w:t>Choice of treatment</w:t>
      </w:r>
    </w:p>
    <w:p w14:paraId="7253D6E5" w14:textId="65AA2EB2" w:rsidR="00AB5703" w:rsidRPr="0040432F" w:rsidRDefault="00AB5703" w:rsidP="0040432F">
      <w:r w:rsidRPr="0040432F">
        <w:t xml:space="preserve">Treating physicians can request the most appropriate drug to treat their patient. </w:t>
      </w:r>
    </w:p>
    <w:p w14:paraId="156805F5" w14:textId="77777777" w:rsidR="00AB5703" w:rsidRPr="0040432F" w:rsidRDefault="00AB5703" w:rsidP="0040432F">
      <w:r w:rsidRPr="0040432F">
        <w:t xml:space="preserve">All patients who are initiated on a drug or transitioned to a different drug through the LSDP are required to remain on the same drug for a period of at least 12 </w:t>
      </w:r>
      <w:proofErr w:type="gramStart"/>
      <w:r w:rsidRPr="0040432F">
        <w:t>months, unless</w:t>
      </w:r>
      <w:proofErr w:type="gramEnd"/>
      <w:r w:rsidRPr="0040432F">
        <w:t xml:space="preserve"> there is objective clinical evidence of ongoing clinical deterioration or significant adverse reactions.</w:t>
      </w:r>
    </w:p>
    <w:p w14:paraId="52B937BB" w14:textId="77777777" w:rsidR="00994536" w:rsidRPr="00124426" w:rsidRDefault="00994536" w:rsidP="00994536">
      <w:pPr>
        <w:pStyle w:val="Heading2"/>
      </w:pPr>
      <w:r w:rsidRPr="00124426">
        <w:lastRenderedPageBreak/>
        <w:t>Dosage</w:t>
      </w:r>
    </w:p>
    <w:p w14:paraId="269BF5D3" w14:textId="77777777" w:rsidR="0094682C" w:rsidRPr="0040432F" w:rsidRDefault="0094682C" w:rsidP="0040432F">
      <w:r w:rsidRPr="0040432F">
        <w:t xml:space="preserve">The maximum dosage of </w:t>
      </w:r>
      <w:proofErr w:type="spellStart"/>
      <w:r w:rsidRPr="0040432F">
        <w:t>agalsidase</w:t>
      </w:r>
      <w:proofErr w:type="spellEnd"/>
      <w:r w:rsidRPr="0040432F">
        <w:t xml:space="preserve"> alfa that is subsidised through the LSDP is 0.2 mg/kg per fortnight.</w:t>
      </w:r>
    </w:p>
    <w:p w14:paraId="483260EA" w14:textId="77777777" w:rsidR="0094682C" w:rsidRPr="0040432F" w:rsidRDefault="0094682C" w:rsidP="0040432F">
      <w:r w:rsidRPr="0040432F">
        <w:t xml:space="preserve">The maximum dosage of </w:t>
      </w:r>
      <w:proofErr w:type="spellStart"/>
      <w:r w:rsidRPr="0040432F">
        <w:t>agalsidase</w:t>
      </w:r>
      <w:proofErr w:type="spellEnd"/>
      <w:r w:rsidRPr="0040432F">
        <w:t xml:space="preserve"> beta that is subsidised through the LSDP is 1 mg/kg per fortnight.</w:t>
      </w:r>
    </w:p>
    <w:p w14:paraId="19F24AAB" w14:textId="77777777" w:rsidR="0094682C" w:rsidRDefault="0094682C" w:rsidP="0094682C">
      <w:pPr>
        <w:pStyle w:val="Heading2"/>
      </w:pPr>
      <w:r>
        <w:t>Home</w:t>
      </w:r>
      <w:r w:rsidRPr="0040432F">
        <w:t xml:space="preserve"> </w:t>
      </w:r>
      <w:r>
        <w:t>infusion</w:t>
      </w:r>
    </w:p>
    <w:p w14:paraId="13ED3D6B" w14:textId="3E87F481" w:rsidR="0094682C" w:rsidRPr="0040432F" w:rsidRDefault="0094682C" w:rsidP="0040432F">
      <w:r w:rsidRPr="0040432F">
        <w:t>If a patient wishes to receive and is assessed to be suitable for treatment through a home infusion service, the patient must have received at least 12 infusions in the hospital setting and have been assessed by the treating physician as medically stable, meaning that any infusion associated reactions are well</w:t>
      </w:r>
      <w:r w:rsidR="004462D0" w:rsidRPr="0040432F">
        <w:t xml:space="preserve"> </w:t>
      </w:r>
      <w:r w:rsidRPr="0040432F">
        <w:t>controlled.</w:t>
      </w:r>
    </w:p>
    <w:p w14:paraId="0F59F2C3" w14:textId="77777777" w:rsidR="00994536" w:rsidRDefault="00994536" w:rsidP="00994536">
      <w:pPr>
        <w:pStyle w:val="Heading1"/>
      </w:pPr>
      <w:r w:rsidRPr="00124426">
        <w:t>General eligibility requirements</w:t>
      </w:r>
    </w:p>
    <w:p w14:paraId="08C2E1DC" w14:textId="77777777" w:rsidR="00994536" w:rsidRPr="00124426" w:rsidRDefault="00994536" w:rsidP="00994536">
      <w:pPr>
        <w:pStyle w:val="Heading2"/>
      </w:pPr>
      <w:r w:rsidRPr="00124426">
        <w:t>LSDP funding conditions</w:t>
      </w:r>
    </w:p>
    <w:p w14:paraId="375F5F2F" w14:textId="45B2612D" w:rsidR="00994536" w:rsidRPr="0040432F" w:rsidRDefault="00994536" w:rsidP="0040432F">
      <w:r w:rsidRPr="0040432F">
        <w:t xml:space="preserve">A patient must continually meet the LSDP funding conditions </w:t>
      </w:r>
      <w:proofErr w:type="gramStart"/>
      <w:r w:rsidRPr="0040432F">
        <w:t>in order to</w:t>
      </w:r>
      <w:proofErr w:type="gramEnd"/>
      <w:r w:rsidRPr="0040432F">
        <w:t xml:space="preserve"> be eligible to receive access to Australian Government–subsidised treatment for </w:t>
      </w:r>
      <w:r w:rsidR="004462D0" w:rsidRPr="0040432F">
        <w:t>Fabry disease</w:t>
      </w:r>
      <w:r w:rsidRPr="0040432F">
        <w:t xml:space="preserve"> through the LSDP.</w:t>
      </w:r>
    </w:p>
    <w:p w14:paraId="60D352A2" w14:textId="77777777" w:rsidR="00994536" w:rsidRPr="0040432F" w:rsidRDefault="00994536" w:rsidP="0040432F">
      <w:r w:rsidRPr="0040432F">
        <w:t xml:space="preserve">The current LSDP funding conditions can be found on the </w:t>
      </w:r>
      <w:hyperlink r:id="rId16" w:history="1">
        <w:r w:rsidRPr="0040432F">
          <w:rPr>
            <w:rStyle w:val="Hyperlink"/>
          </w:rPr>
          <w:t>program’s website</w:t>
        </w:r>
      </w:hyperlink>
      <w:r w:rsidRPr="0040432F">
        <w:t xml:space="preserve">. </w:t>
      </w:r>
    </w:p>
    <w:p w14:paraId="35E56DFE" w14:textId="77777777" w:rsidR="004462D0" w:rsidRPr="0040432F" w:rsidRDefault="004462D0" w:rsidP="0040432F">
      <w:r w:rsidRPr="0040432F">
        <w:t>For Fabry disease, a patient must:</w:t>
      </w:r>
    </w:p>
    <w:p w14:paraId="023133C8" w14:textId="65CCE55E" w:rsidR="004462D0" w:rsidRPr="004462D0" w:rsidRDefault="004462D0" w:rsidP="0040432F">
      <w:pPr>
        <w:pStyle w:val="ListBullet"/>
      </w:pPr>
      <w:r w:rsidRPr="004462D0">
        <w:t>satisfy the initial and ongoing eligibility criteria as detailed in these</w:t>
      </w:r>
      <w:r w:rsidRPr="0040432F">
        <w:t xml:space="preserve"> </w:t>
      </w:r>
      <w:proofErr w:type="gramStart"/>
      <w:r w:rsidRPr="0040432F">
        <w:t>g</w:t>
      </w:r>
      <w:r w:rsidRPr="004462D0">
        <w:t>uidelines</w:t>
      </w:r>
      <w:proofErr w:type="gramEnd"/>
    </w:p>
    <w:p w14:paraId="1C90B12C" w14:textId="72187355" w:rsidR="004462D0" w:rsidRPr="004462D0" w:rsidRDefault="004462D0" w:rsidP="0040432F">
      <w:pPr>
        <w:pStyle w:val="ListBullet"/>
      </w:pPr>
      <w:r w:rsidRPr="004462D0">
        <w:t>participate in the evaluation of effectiveness of the drug by periodic assessment, as directed by these Guidelines, or have an acceptable reason not to</w:t>
      </w:r>
      <w:r w:rsidRPr="0040432F">
        <w:t xml:space="preserve"> </w:t>
      </w:r>
      <w:proofErr w:type="gramStart"/>
      <w:r w:rsidRPr="004462D0">
        <w:t>participate</w:t>
      </w:r>
      <w:proofErr w:type="gramEnd"/>
    </w:p>
    <w:p w14:paraId="349B6C61" w14:textId="0FCF1116" w:rsidR="004462D0" w:rsidRPr="004462D0" w:rsidRDefault="004462D0" w:rsidP="0040432F">
      <w:pPr>
        <w:pStyle w:val="ListBullet"/>
      </w:pPr>
      <w:r w:rsidRPr="004462D0">
        <w:t xml:space="preserve">not be suffering from any other medical condition, including complications or sequelae of Fabry disease, that might compromise the effectiveness of the drug </w:t>
      </w:r>
      <w:proofErr w:type="gramStart"/>
      <w:r w:rsidRPr="004462D0">
        <w:t>treatment</w:t>
      </w:r>
      <w:proofErr w:type="gramEnd"/>
    </w:p>
    <w:p w14:paraId="2F0D7DCA" w14:textId="3701A1B8" w:rsidR="004462D0" w:rsidRPr="004462D0" w:rsidRDefault="004462D0" w:rsidP="0040432F">
      <w:pPr>
        <w:pStyle w:val="ListBullet"/>
      </w:pPr>
      <w:r w:rsidRPr="004462D0">
        <w:t>be an Australian citizen or permanent Australian resident who qualifies for Medicare.</w:t>
      </w:r>
    </w:p>
    <w:p w14:paraId="33016CA7" w14:textId="0CAC80E6" w:rsidR="00994536" w:rsidRDefault="00994536" w:rsidP="004462D0">
      <w:pPr>
        <w:pStyle w:val="Heading2"/>
      </w:pPr>
      <w:r>
        <w:t>Exclusion criteria</w:t>
      </w:r>
    </w:p>
    <w:p w14:paraId="00542948" w14:textId="1BD3E5BA" w:rsidR="004462D0" w:rsidRPr="0040432F" w:rsidRDefault="004462D0" w:rsidP="0040432F">
      <w:r w:rsidRPr="0040432F">
        <w:t xml:space="preserve">The following patients are not eligible for subsidised treatment with </w:t>
      </w:r>
      <w:proofErr w:type="spellStart"/>
      <w:r w:rsidRPr="0040432F">
        <w:t>agalsidase</w:t>
      </w:r>
      <w:proofErr w:type="spellEnd"/>
      <w:r w:rsidRPr="0040432F">
        <w:t xml:space="preserve"> alfa</w:t>
      </w:r>
      <w:r w:rsidR="00FF2349" w:rsidRPr="0040432F">
        <w:t xml:space="preserve"> or</w:t>
      </w:r>
      <w:r w:rsidRPr="0040432F">
        <w:t xml:space="preserve"> </w:t>
      </w:r>
      <w:proofErr w:type="spellStart"/>
      <w:r w:rsidRPr="0040432F">
        <w:t>agalsidase</w:t>
      </w:r>
      <w:proofErr w:type="spellEnd"/>
      <w:r w:rsidRPr="0040432F">
        <w:t xml:space="preserve"> beta for the treatment of Fabry disease through the LSDP:</w:t>
      </w:r>
    </w:p>
    <w:p w14:paraId="6A52957F" w14:textId="213819C1" w:rsidR="004462D0" w:rsidRPr="00312F83" w:rsidRDefault="004462D0" w:rsidP="0040432F">
      <w:pPr>
        <w:pStyle w:val="ListBullet"/>
      </w:pPr>
      <w:r w:rsidRPr="00312F83">
        <w:t>Patients with related Fabry disease conditions which may compromise response to Enzyme Replacement Therapy (ERT).</w:t>
      </w:r>
    </w:p>
    <w:p w14:paraId="53D06B45" w14:textId="03729BBD" w:rsidR="004462D0" w:rsidRPr="00312F83" w:rsidRDefault="004462D0" w:rsidP="0040432F">
      <w:pPr>
        <w:pStyle w:val="ListBullet"/>
      </w:pPr>
      <w:r w:rsidRPr="00312F83">
        <w:t>Patients with a presence of another life-threatening or severe</w:t>
      </w:r>
      <w:r w:rsidRPr="0040432F">
        <w:t xml:space="preserve"> </w:t>
      </w:r>
      <w:r w:rsidRPr="00312F83">
        <w:t>disease</w:t>
      </w:r>
      <w:r w:rsidRPr="0040432F">
        <w:t xml:space="preserve"> </w:t>
      </w:r>
      <w:r w:rsidRPr="00312F83">
        <w:t>where</w:t>
      </w:r>
      <w:r w:rsidRPr="0040432F">
        <w:t xml:space="preserve"> </w:t>
      </w:r>
      <w:r w:rsidRPr="00312F83">
        <w:t>the</w:t>
      </w:r>
      <w:r w:rsidRPr="0040432F">
        <w:t xml:space="preserve"> </w:t>
      </w:r>
      <w:proofErr w:type="gramStart"/>
      <w:r w:rsidRPr="00312F83">
        <w:t>long</w:t>
      </w:r>
      <w:r w:rsidRPr="0040432F">
        <w:t xml:space="preserve"> </w:t>
      </w:r>
      <w:r w:rsidRPr="00312F83">
        <w:t>term</w:t>
      </w:r>
      <w:proofErr w:type="gramEnd"/>
      <w:r w:rsidRPr="0040432F">
        <w:t xml:space="preserve"> </w:t>
      </w:r>
      <w:r w:rsidRPr="00312F83">
        <w:t>prognosis</w:t>
      </w:r>
      <w:r w:rsidRPr="0040432F">
        <w:t xml:space="preserve"> </w:t>
      </w:r>
      <w:r w:rsidRPr="00312F83">
        <w:t>is</w:t>
      </w:r>
      <w:r w:rsidRPr="0040432F">
        <w:t xml:space="preserve"> </w:t>
      </w:r>
      <w:r w:rsidRPr="00312F83">
        <w:t>unlikely</w:t>
      </w:r>
      <w:r w:rsidRPr="0040432F">
        <w:t xml:space="preserve"> </w:t>
      </w:r>
      <w:r w:rsidRPr="00312F83">
        <w:t>to</w:t>
      </w:r>
      <w:r w:rsidRPr="0040432F">
        <w:t xml:space="preserve"> </w:t>
      </w:r>
      <w:r w:rsidRPr="00312F83">
        <w:t>be influenced by ERT.</w:t>
      </w:r>
    </w:p>
    <w:p w14:paraId="671140EF" w14:textId="5ECD41A7" w:rsidR="004462D0" w:rsidRPr="00312F83" w:rsidRDefault="004462D0" w:rsidP="0040432F">
      <w:pPr>
        <w:pStyle w:val="ListBullet"/>
      </w:pPr>
      <w:r w:rsidRPr="00312F83">
        <w:t>The presence of another medical condition that might reasonably be expected to compromise a response to ERT.</w:t>
      </w:r>
    </w:p>
    <w:p w14:paraId="53372418" w14:textId="73F4B57A" w:rsidR="006B6F93" w:rsidRPr="006B6F93" w:rsidRDefault="00FF2349" w:rsidP="00873882">
      <w:r w:rsidRPr="006B6F93">
        <w:t>In most cases, participation in a clinical trial will not affect a patient’s eligibility to access LSDP medicines. However, treating physicians are required to advise the LSDP if their patient is participating in a clinical trial.</w:t>
      </w:r>
    </w:p>
    <w:p w14:paraId="438C5DF1" w14:textId="77777777" w:rsidR="00994536" w:rsidRDefault="00994536" w:rsidP="00994536">
      <w:pPr>
        <w:pStyle w:val="Heading1"/>
      </w:pPr>
      <w:r>
        <w:t>Initial eligibility requirements</w:t>
      </w:r>
    </w:p>
    <w:p w14:paraId="7AFCC734" w14:textId="77777777" w:rsidR="00994536" w:rsidRDefault="00994536" w:rsidP="00994536">
      <w:pPr>
        <w:pStyle w:val="Heading2"/>
      </w:pPr>
      <w:r>
        <w:t>Diagnosis</w:t>
      </w:r>
    </w:p>
    <w:p w14:paraId="2BCEE209" w14:textId="77777777" w:rsidR="004462D0" w:rsidRPr="0040432F" w:rsidRDefault="004462D0" w:rsidP="0040432F">
      <w:r w:rsidRPr="0040432F">
        <w:t>The diagnosis of Fabry disease must be confirmed by demonstration of specific deficiency of alpha-galactosidase enzyme activity in blood or white cells or by the presence of genetic mutations known to result in deficiency of alpha- galactosidase enzyme activity.</w:t>
      </w:r>
    </w:p>
    <w:p w14:paraId="4951B126" w14:textId="47B35F14" w:rsidR="004462D0" w:rsidRPr="0040432F" w:rsidRDefault="004462D0" w:rsidP="0040432F">
      <w:r w:rsidRPr="0040432F">
        <w:lastRenderedPageBreak/>
        <w:t xml:space="preserve">Patients must satisfy at least one of the following criteria to be eligible for treatment with </w:t>
      </w:r>
      <w:proofErr w:type="spellStart"/>
      <w:r w:rsidRPr="0040432F">
        <w:t>agalsidase</w:t>
      </w:r>
      <w:proofErr w:type="spellEnd"/>
      <w:r w:rsidRPr="0040432F">
        <w:t xml:space="preserve"> alfa</w:t>
      </w:r>
      <w:r w:rsidR="00FF2349" w:rsidRPr="0040432F">
        <w:t xml:space="preserve"> or</w:t>
      </w:r>
      <w:r w:rsidRPr="0040432F">
        <w:t xml:space="preserve"> </w:t>
      </w:r>
      <w:proofErr w:type="spellStart"/>
      <w:r w:rsidRPr="0040432F">
        <w:t>agalsidase</w:t>
      </w:r>
      <w:proofErr w:type="spellEnd"/>
      <w:r w:rsidRPr="0040432F">
        <w:t xml:space="preserve"> beta:</w:t>
      </w:r>
    </w:p>
    <w:p w14:paraId="207D6D51" w14:textId="2A8D6761" w:rsidR="004462D0" w:rsidRPr="0040432F" w:rsidRDefault="00137333" w:rsidP="0040432F">
      <w:pPr>
        <w:pStyle w:val="ListNumber2"/>
      </w:pPr>
      <w:r w:rsidRPr="0040432F">
        <w:t>Fabry-related renal disease</w:t>
      </w:r>
    </w:p>
    <w:p w14:paraId="06D771A1" w14:textId="77777777" w:rsidR="004462D0" w:rsidRPr="0040432F" w:rsidRDefault="004462D0" w:rsidP="0040432F">
      <w:pPr>
        <w:pStyle w:val="Normaltextindent"/>
      </w:pPr>
      <w:r w:rsidRPr="0040432F">
        <w:t>Confirmation by renal biopsy is recommended for all patients to:</w:t>
      </w:r>
    </w:p>
    <w:p w14:paraId="122EDF9E" w14:textId="6363BAB9" w:rsidR="004462D0" w:rsidRPr="0040432F" w:rsidRDefault="004462D0" w:rsidP="0040432F">
      <w:pPr>
        <w:pStyle w:val="ListBullet2"/>
      </w:pPr>
      <w:r w:rsidRPr="0040432F">
        <w:t xml:space="preserve">provide prognostic </w:t>
      </w:r>
      <w:proofErr w:type="gramStart"/>
      <w:r w:rsidR="00137333" w:rsidRPr="0040432F">
        <w:t>information</w:t>
      </w:r>
      <w:proofErr w:type="gramEnd"/>
    </w:p>
    <w:p w14:paraId="2B4577BB" w14:textId="61875BAA" w:rsidR="004462D0" w:rsidRPr="0040432F" w:rsidRDefault="004462D0" w:rsidP="0040432F">
      <w:pPr>
        <w:pStyle w:val="ListBullet2"/>
      </w:pPr>
      <w:r w:rsidRPr="0040432F">
        <w:t xml:space="preserve">exclude other causes of </w:t>
      </w:r>
      <w:proofErr w:type="gramStart"/>
      <w:r w:rsidR="00137333" w:rsidRPr="0040432F">
        <w:t>nephropathy</w:t>
      </w:r>
      <w:proofErr w:type="gramEnd"/>
    </w:p>
    <w:p w14:paraId="230F17C7" w14:textId="410EDF66" w:rsidR="004462D0" w:rsidRPr="0040432F" w:rsidRDefault="004462D0" w:rsidP="0040432F">
      <w:pPr>
        <w:pStyle w:val="ListBullet2"/>
      </w:pPr>
      <w:r w:rsidRPr="0040432F">
        <w:t>demonstrate evidence of focal glomerular sclerosis or fibrosis greater than that expected for age, once other causes of</w:t>
      </w:r>
      <w:r w:rsidR="00137333" w:rsidRPr="0040432F">
        <w:t xml:space="preserve"> nephropathy have been </w:t>
      </w:r>
      <w:proofErr w:type="gramStart"/>
      <w:r w:rsidR="00137333" w:rsidRPr="0040432F">
        <w:t>excluded</w:t>
      </w:r>
      <w:proofErr w:type="gramEnd"/>
    </w:p>
    <w:p w14:paraId="6A80D7CC" w14:textId="77777777" w:rsidR="004462D0" w:rsidRPr="0040432F" w:rsidRDefault="004462D0" w:rsidP="0040432F">
      <w:pPr>
        <w:pStyle w:val="ListBullet2"/>
      </w:pPr>
      <w:r w:rsidRPr="0040432F">
        <w:t>document significant histological changes related to Fabry disease.</w:t>
      </w:r>
    </w:p>
    <w:p w14:paraId="17ADB10C" w14:textId="77777777" w:rsidR="004462D0" w:rsidRPr="0040432F" w:rsidRDefault="004462D0" w:rsidP="0040432F">
      <w:pPr>
        <w:pStyle w:val="Normaltextindent"/>
      </w:pPr>
      <w:r w:rsidRPr="0040432F">
        <w:t>Male Fabry patients:</w:t>
      </w:r>
    </w:p>
    <w:p w14:paraId="7D6DE8B4" w14:textId="308519EB" w:rsidR="004462D0" w:rsidRPr="0040432F" w:rsidRDefault="004462D0" w:rsidP="0040432F">
      <w:pPr>
        <w:pStyle w:val="ListBullet2"/>
      </w:pPr>
      <w:r w:rsidRPr="0040432F">
        <w:t>abnormal albumin (&gt;20</w:t>
      </w:r>
      <w:r w:rsidR="00137333" w:rsidRPr="0040432F">
        <w:t> </w:t>
      </w:r>
      <w:r w:rsidRPr="0040432F">
        <w:t>µg/min), as determined by 2 separate samples, at least 24</w:t>
      </w:r>
      <w:r w:rsidR="00137333" w:rsidRPr="0040432F">
        <w:t> </w:t>
      </w:r>
      <w:r w:rsidRPr="0040432F">
        <w:t>hours apart; and/or</w:t>
      </w:r>
    </w:p>
    <w:p w14:paraId="7C854F4D" w14:textId="0A8FB19C" w:rsidR="004462D0" w:rsidRPr="0040432F" w:rsidRDefault="004462D0" w:rsidP="0040432F">
      <w:pPr>
        <w:pStyle w:val="ListBullet2"/>
      </w:pPr>
      <w:r w:rsidRPr="0040432F">
        <w:t>abnormal protein excretion (&gt;150</w:t>
      </w:r>
      <w:r w:rsidR="00137333" w:rsidRPr="0040432F">
        <w:t> </w:t>
      </w:r>
      <w:r w:rsidRPr="0040432F">
        <w:t>mg/24</w:t>
      </w:r>
      <w:r w:rsidR="00137333" w:rsidRPr="0040432F">
        <w:t> </w:t>
      </w:r>
      <w:r w:rsidRPr="0040432F">
        <w:t>hours); and/or</w:t>
      </w:r>
    </w:p>
    <w:p w14:paraId="21403E60" w14:textId="77777777" w:rsidR="004462D0" w:rsidRPr="0040432F" w:rsidRDefault="004462D0" w:rsidP="0040432F">
      <w:pPr>
        <w:pStyle w:val="ListBullet2"/>
      </w:pPr>
      <w:r w:rsidRPr="0040432F">
        <w:t>albumin: creatinine ratio greater than upper limit of normal, in 2 separate samples, at least 24 hours apart; and/or</w:t>
      </w:r>
    </w:p>
    <w:p w14:paraId="38A5B707" w14:textId="77777777" w:rsidR="004462D0" w:rsidRPr="0040432F" w:rsidRDefault="004462D0" w:rsidP="0040432F">
      <w:pPr>
        <w:pStyle w:val="ListBullet2"/>
      </w:pPr>
      <w:r w:rsidRPr="0040432F">
        <w:t>renal disease due to long-term accumulation of glycosphingolipids in the kidneys.</w:t>
      </w:r>
    </w:p>
    <w:p w14:paraId="575C029D" w14:textId="77777777" w:rsidR="004462D0" w:rsidRPr="0040432F" w:rsidRDefault="004462D0" w:rsidP="0040432F">
      <w:pPr>
        <w:pStyle w:val="Normaltextindent"/>
      </w:pPr>
      <w:r w:rsidRPr="0040432F">
        <w:t>Female Fabry patients:</w:t>
      </w:r>
    </w:p>
    <w:p w14:paraId="7FDD218A" w14:textId="278273FC" w:rsidR="004462D0" w:rsidRPr="0040432F" w:rsidRDefault="004462D0" w:rsidP="0040432F">
      <w:pPr>
        <w:pStyle w:val="ListBullet2"/>
      </w:pPr>
      <w:r w:rsidRPr="0040432F">
        <w:t>proteinuria &gt;300</w:t>
      </w:r>
      <w:r w:rsidR="00137333" w:rsidRPr="0040432F">
        <w:t> </w:t>
      </w:r>
      <w:r w:rsidRPr="0040432F">
        <w:t>mg/24</w:t>
      </w:r>
      <w:r w:rsidR="00137333" w:rsidRPr="0040432F">
        <w:t> </w:t>
      </w:r>
      <w:r w:rsidRPr="0040432F">
        <w:t>hours with clinical evidence of progression.</w:t>
      </w:r>
    </w:p>
    <w:p w14:paraId="615CA989" w14:textId="77777777" w:rsidR="004462D0" w:rsidRPr="0040432F" w:rsidRDefault="004462D0" w:rsidP="0040432F">
      <w:pPr>
        <w:pStyle w:val="ListBullet2"/>
      </w:pPr>
      <w:r w:rsidRPr="0040432F">
        <w:t>renal disease due to long-term accumulation of glycosphingolipids in the kidneys.</w:t>
      </w:r>
    </w:p>
    <w:p w14:paraId="5EA883E4" w14:textId="6C0247AA" w:rsidR="004462D0" w:rsidRPr="0040432F" w:rsidRDefault="004462D0" w:rsidP="0040432F">
      <w:pPr>
        <w:pStyle w:val="ListNumber2"/>
      </w:pPr>
      <w:r w:rsidRPr="0040432F">
        <w:t xml:space="preserve">Fabry-related cardiac </w:t>
      </w:r>
      <w:r w:rsidR="00137333" w:rsidRPr="0040432F">
        <w:t>disease</w:t>
      </w:r>
    </w:p>
    <w:p w14:paraId="01D8A94F" w14:textId="77777777" w:rsidR="004462D0" w:rsidRPr="0040432F" w:rsidRDefault="004462D0" w:rsidP="0040432F">
      <w:pPr>
        <w:pStyle w:val="Normaltextindent"/>
      </w:pPr>
      <w:r w:rsidRPr="0040432F">
        <w:t>Confirmation by myocardial biopsy is recommended to exclude other causes of cardiac hypertrophy.</w:t>
      </w:r>
    </w:p>
    <w:p w14:paraId="6FE3E941" w14:textId="77777777" w:rsidR="004462D0" w:rsidRPr="0040432F" w:rsidRDefault="004462D0" w:rsidP="0040432F">
      <w:pPr>
        <w:pStyle w:val="Normaltextindent"/>
      </w:pPr>
      <w:r w:rsidRPr="0040432F">
        <w:t>Left ventricular hypertrophy, as evidenced by cardiac MRI or echocardiogram data, in the absence of hypertension. If hypertension is present, it should be treated optimally for at least 6 months prior to the submission of an application through this criterion.</w:t>
      </w:r>
    </w:p>
    <w:p w14:paraId="15784D3E" w14:textId="7DDDFF0A" w:rsidR="004462D0" w:rsidRPr="0040432F" w:rsidRDefault="004462D0" w:rsidP="0040432F">
      <w:pPr>
        <w:pStyle w:val="Normaltextindent"/>
      </w:pPr>
      <w:r w:rsidRPr="0040432F">
        <w:t>Significant life</w:t>
      </w:r>
      <w:r w:rsidR="00137333" w:rsidRPr="0040432F">
        <w:t>-</w:t>
      </w:r>
      <w:r w:rsidRPr="0040432F">
        <w:t>threatening arrhythmia or conduction defect.</w:t>
      </w:r>
    </w:p>
    <w:p w14:paraId="5578C7C2" w14:textId="65474796" w:rsidR="004462D0" w:rsidRPr="0040432F" w:rsidRDefault="004462D0" w:rsidP="0040432F">
      <w:pPr>
        <w:pStyle w:val="ListNumber2"/>
      </w:pPr>
      <w:r w:rsidRPr="0040432F">
        <w:t xml:space="preserve">Ischaemic vascular </w:t>
      </w:r>
      <w:r w:rsidR="00137333" w:rsidRPr="0040432F">
        <w:t>disease</w:t>
      </w:r>
    </w:p>
    <w:p w14:paraId="159433B9" w14:textId="77777777" w:rsidR="004462D0" w:rsidRPr="0040432F" w:rsidRDefault="004462D0" w:rsidP="0040432F">
      <w:pPr>
        <w:pStyle w:val="Normaltextindent"/>
      </w:pPr>
      <w:r w:rsidRPr="0040432F">
        <w:t>Shown on objective testing with no other cause or risk factors identified.</w:t>
      </w:r>
    </w:p>
    <w:p w14:paraId="6145EDB8" w14:textId="4D84E554" w:rsidR="004462D0" w:rsidRPr="0040432F" w:rsidRDefault="004462D0" w:rsidP="0040432F">
      <w:pPr>
        <w:pStyle w:val="ListNumber2"/>
      </w:pPr>
      <w:r w:rsidRPr="0040432F">
        <w:t xml:space="preserve">Uncontrolled chronic </w:t>
      </w:r>
      <w:r w:rsidR="00137333" w:rsidRPr="0040432F">
        <w:t>pain</w:t>
      </w:r>
    </w:p>
    <w:p w14:paraId="52BD8E86" w14:textId="69CB1509" w:rsidR="004462D0" w:rsidRPr="0040432F" w:rsidRDefault="004462D0" w:rsidP="0040432F">
      <w:pPr>
        <w:pStyle w:val="Normaltextindent"/>
      </w:pPr>
      <w:r w:rsidRPr="0040432F">
        <w:t>Uncontrolled chronic pain despite the use of maximum doses of appropriate analgesia and antiepileptic medications for peripheral neuropathy. Patients meeting this criterion must provide ongoing evidence of effect, through analgesic intake, pain diary, summary letter from treating physician.</w:t>
      </w:r>
    </w:p>
    <w:p w14:paraId="31F51384" w14:textId="6CD6A493" w:rsidR="001E2E7C" w:rsidRPr="0040432F" w:rsidRDefault="001E2E7C" w:rsidP="0040432F">
      <w:pPr>
        <w:pStyle w:val="Normaltextindent"/>
      </w:pPr>
      <w:r w:rsidRPr="0040432F">
        <w:t xml:space="preserve">See the </w:t>
      </w:r>
      <w:hyperlink r:id="rId17" w:history="1">
        <w:r w:rsidRPr="0040432F">
          <w:rPr>
            <w:rStyle w:val="Hyperlink"/>
          </w:rPr>
          <w:t>initial application form</w:t>
        </w:r>
      </w:hyperlink>
      <w:r w:rsidRPr="0040432F">
        <w:t>.</w:t>
      </w:r>
    </w:p>
    <w:p w14:paraId="21FA7FE1" w14:textId="77777777" w:rsidR="00994536" w:rsidRDefault="00994536" w:rsidP="00994536">
      <w:pPr>
        <w:pStyle w:val="Heading1"/>
      </w:pPr>
      <w:r w:rsidRPr="004925A0">
        <w:t>Ongoing eligibility requirements</w:t>
      </w:r>
    </w:p>
    <w:p w14:paraId="220894CF" w14:textId="77777777" w:rsidR="005A2370" w:rsidRPr="0040432F" w:rsidRDefault="005A2370" w:rsidP="0040432F">
      <w:r w:rsidRPr="0040432F">
        <w:t>The treating physician must submit the separate reapplication form to the LSDP by 1 May every year if they wish their patient to continue to receive subsidised treatment through the LSDP.</w:t>
      </w:r>
    </w:p>
    <w:p w14:paraId="41D1ED9D" w14:textId="1072038E" w:rsidR="00137333" w:rsidRPr="0040432F" w:rsidRDefault="00137333" w:rsidP="0040432F">
      <w:r w:rsidRPr="0040432F">
        <w:t xml:space="preserve">The </w:t>
      </w:r>
      <w:hyperlink r:id="rId18" w:history="1">
        <w:r w:rsidRPr="0040432F">
          <w:rPr>
            <w:rStyle w:val="Hyperlink"/>
          </w:rPr>
          <w:t>reapplication form</w:t>
        </w:r>
      </w:hyperlink>
      <w:r w:rsidRPr="0040432F">
        <w:t xml:space="preserve"> must demonstrate clinical improvement in the patient or stabilisation of the patient's condition, and evidence to support ongoing eligibility for the treatment of Fabry disease must be provided.</w:t>
      </w:r>
    </w:p>
    <w:p w14:paraId="5B06D152" w14:textId="77777777" w:rsidR="00137333" w:rsidRPr="0040432F" w:rsidRDefault="00137333" w:rsidP="0040432F">
      <w:r w:rsidRPr="0040432F">
        <w:t>The treating physician must declare that the patient continues to meet the eligibility criteria to receive subsidised treatment through the LSDP in accordance with the guidelines.</w:t>
      </w:r>
    </w:p>
    <w:p w14:paraId="206FE785" w14:textId="77777777" w:rsidR="00137333" w:rsidRPr="0040432F" w:rsidRDefault="00137333" w:rsidP="0040432F">
      <w:r w:rsidRPr="0040432F">
        <w:t>Subsidised treatment may continue unless one or more of the following situations apply:</w:t>
      </w:r>
    </w:p>
    <w:p w14:paraId="4143E084" w14:textId="1BEBAEB1" w:rsidR="00137333" w:rsidRPr="0040432F" w:rsidRDefault="00137333" w:rsidP="0040432F">
      <w:pPr>
        <w:pStyle w:val="ListBullet"/>
      </w:pPr>
      <w:r w:rsidRPr="0040432F">
        <w:lastRenderedPageBreak/>
        <w:t>failure to comply adequa</w:t>
      </w:r>
      <w:r w:rsidR="00ED3F2E" w:rsidRPr="0040432F">
        <w:t xml:space="preserve">tely with treatment or </w:t>
      </w:r>
      <w:proofErr w:type="gramStart"/>
      <w:r w:rsidR="00ED3F2E" w:rsidRPr="0040432F">
        <w:t>measures</w:t>
      </w:r>
      <w:proofErr w:type="gramEnd"/>
    </w:p>
    <w:p w14:paraId="46FE7A6B" w14:textId="1D496735" w:rsidR="00137333" w:rsidRPr="0040432F" w:rsidRDefault="00137333" w:rsidP="0040432F">
      <w:pPr>
        <w:pStyle w:val="ListBullet"/>
      </w:pPr>
      <w:r w:rsidRPr="0040432F">
        <w:t xml:space="preserve">failure to provide data, copies of the test results and the </w:t>
      </w:r>
      <w:hyperlink r:id="rId19" w:history="1">
        <w:r w:rsidRPr="0040432F">
          <w:rPr>
            <w:rStyle w:val="Hyperlink"/>
          </w:rPr>
          <w:t>Excel spreadsheet for Fabry disease</w:t>
        </w:r>
      </w:hyperlink>
      <w:r w:rsidRPr="0040432F">
        <w:t>, evidencing t</w:t>
      </w:r>
      <w:r w:rsidR="00ED3F2E" w:rsidRPr="0040432F">
        <w:t>he effectiveness of the therapy</w:t>
      </w:r>
    </w:p>
    <w:p w14:paraId="63CCA7DF" w14:textId="22C4AB33" w:rsidR="00137333" w:rsidRPr="0040432F" w:rsidRDefault="00137333" w:rsidP="0040432F">
      <w:pPr>
        <w:pStyle w:val="ListBullet"/>
      </w:pPr>
      <w:r w:rsidRPr="0040432F">
        <w:t>therapy fails to relieve the symptoms of disease that originally resulted in the patient being ap</w:t>
      </w:r>
      <w:r w:rsidR="00ED3F2E" w:rsidRPr="0040432F">
        <w:t xml:space="preserve">proved for subsidised </w:t>
      </w:r>
      <w:proofErr w:type="gramStart"/>
      <w:r w:rsidR="00ED3F2E" w:rsidRPr="0040432F">
        <w:t>treatment</w:t>
      </w:r>
      <w:proofErr w:type="gramEnd"/>
    </w:p>
    <w:p w14:paraId="679DB261" w14:textId="4A903EB7" w:rsidR="00137333" w:rsidRPr="0040432F" w:rsidRDefault="00137333" w:rsidP="0040432F">
      <w:pPr>
        <w:pStyle w:val="ListBullet"/>
      </w:pPr>
      <w:r w:rsidRPr="0040432F">
        <w:t xml:space="preserve">the patient has severe infusion-related adverse reactions which are not preventable by appropriate pre-medication and/or adjustment of infusion </w:t>
      </w:r>
      <w:proofErr w:type="gramStart"/>
      <w:r w:rsidRPr="0040432F">
        <w:t>rates</w:t>
      </w:r>
      <w:proofErr w:type="gramEnd"/>
      <w:r w:rsidRPr="0040432F">
        <w:t xml:space="preserve"> </w:t>
      </w:r>
    </w:p>
    <w:p w14:paraId="1CC9A917" w14:textId="4E534088" w:rsidR="00137333" w:rsidRPr="0040432F" w:rsidRDefault="00137333" w:rsidP="0040432F">
      <w:pPr>
        <w:pStyle w:val="ListBullet"/>
      </w:pPr>
      <w:r w:rsidRPr="0040432F">
        <w:t xml:space="preserve">the patient develops another life threatening or severe disease where the </w:t>
      </w:r>
      <w:proofErr w:type="gramStart"/>
      <w:r w:rsidRPr="0040432F">
        <w:t>long term</w:t>
      </w:r>
      <w:proofErr w:type="gramEnd"/>
      <w:r w:rsidRPr="0040432F">
        <w:t xml:space="preserve"> prognosis is unlikely to be influenc</w:t>
      </w:r>
      <w:r w:rsidR="00ED3F2E" w:rsidRPr="0040432F">
        <w:t>ed by LSDP subsidised treatment</w:t>
      </w:r>
    </w:p>
    <w:p w14:paraId="6CADB07E" w14:textId="64E64C43" w:rsidR="00137333" w:rsidRPr="0040432F" w:rsidRDefault="00137333" w:rsidP="0040432F">
      <w:pPr>
        <w:pStyle w:val="ListBullet"/>
      </w:pPr>
      <w:r w:rsidRPr="0040432F">
        <w:t xml:space="preserve">the patient develops another medical condition that might reasonably be expected to compromise a response </w:t>
      </w:r>
      <w:r w:rsidR="00ED3F2E" w:rsidRPr="0040432F">
        <w:t xml:space="preserve">to LSDP subsidised </w:t>
      </w:r>
      <w:proofErr w:type="gramStart"/>
      <w:r w:rsidR="00ED3F2E" w:rsidRPr="0040432F">
        <w:t>treatment</w:t>
      </w:r>
      <w:proofErr w:type="gramEnd"/>
    </w:p>
    <w:p w14:paraId="0C93E293" w14:textId="65BF0DD0" w:rsidR="00137333" w:rsidRPr="0040432F" w:rsidRDefault="00137333" w:rsidP="0040432F">
      <w:pPr>
        <w:pStyle w:val="ListBullet"/>
      </w:pPr>
      <w:r w:rsidRPr="0040432F">
        <w:t>presentation of conditions listed in the exclusion criteria.</w:t>
      </w:r>
    </w:p>
    <w:p w14:paraId="4D8C08CF" w14:textId="77777777" w:rsidR="00137333" w:rsidRPr="0040432F" w:rsidRDefault="00137333" w:rsidP="0040432F">
      <w:r w:rsidRPr="0040432F">
        <w:t xml:space="preserve">Testing is not funded or subsidised through the </w:t>
      </w:r>
      <w:proofErr w:type="gramStart"/>
      <w:r w:rsidRPr="0040432F">
        <w:t>LSDP,</w:t>
      </w:r>
      <w:proofErr w:type="gramEnd"/>
      <w:r w:rsidRPr="0040432F">
        <w:t xml:space="preserve"> however some tests may be subsidised through Medicare or available through the treating public hospital.</w:t>
      </w:r>
    </w:p>
    <w:p w14:paraId="75C8376F" w14:textId="13FAE0CB" w:rsidR="001E2E7C" w:rsidRPr="0040432F" w:rsidRDefault="001E2E7C" w:rsidP="0040432F">
      <w:r w:rsidRPr="0040432F">
        <w:t xml:space="preserve">See the </w:t>
      </w:r>
      <w:hyperlink r:id="rId20" w:history="1">
        <w:r w:rsidRPr="0040432F">
          <w:rPr>
            <w:rStyle w:val="Hyperlink"/>
          </w:rPr>
          <w:t>reapplication form for existing patients</w:t>
        </w:r>
      </w:hyperlink>
      <w:r w:rsidRPr="0040432F">
        <w:t>.</w:t>
      </w:r>
    </w:p>
    <w:p w14:paraId="2C329313" w14:textId="4CCE3EAD" w:rsidR="00994536" w:rsidRPr="0040432F" w:rsidRDefault="00994536" w:rsidP="0040432F">
      <w:r w:rsidRPr="0040432F">
        <w:t xml:space="preserve">Patients who are applying to recommence treatment following a break due to participation in a clinical trial or any other reason should use the </w:t>
      </w:r>
      <w:hyperlink r:id="rId21" w:history="1">
        <w:r w:rsidRPr="0040432F">
          <w:rPr>
            <w:rStyle w:val="Hyperlink"/>
          </w:rPr>
          <w:t>initial application form</w:t>
        </w:r>
      </w:hyperlink>
      <w:r w:rsidRPr="0040432F">
        <w:t>.</w:t>
      </w:r>
    </w:p>
    <w:sectPr w:rsidR="00994536" w:rsidRPr="0040432F" w:rsidSect="00994536">
      <w:headerReference w:type="default" r:id="rId22"/>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CD09" w14:textId="77777777" w:rsidR="00B608C2" w:rsidRDefault="00B608C2" w:rsidP="006B56BB">
      <w:r>
        <w:separator/>
      </w:r>
    </w:p>
    <w:p w14:paraId="35DED64B" w14:textId="77777777" w:rsidR="00B608C2" w:rsidRDefault="00B608C2"/>
  </w:endnote>
  <w:endnote w:type="continuationSeparator" w:id="0">
    <w:p w14:paraId="007EFB0C" w14:textId="77777777" w:rsidR="00B608C2" w:rsidRDefault="00B608C2" w:rsidP="006B56BB">
      <w:r>
        <w:continuationSeparator/>
      </w:r>
    </w:p>
    <w:p w14:paraId="2271AE17" w14:textId="77777777" w:rsidR="00B608C2" w:rsidRDefault="00B608C2"/>
  </w:endnote>
  <w:endnote w:type="continuationNotice" w:id="1">
    <w:p w14:paraId="2014B97F" w14:textId="77777777" w:rsidR="00B608C2" w:rsidRDefault="00B60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54B4" w14:textId="06BF72CF" w:rsidR="00994536" w:rsidRPr="00972E6E" w:rsidRDefault="00994536" w:rsidP="00204111">
    <w:pPr>
      <w:pStyle w:val="Footer"/>
      <w:tabs>
        <w:tab w:val="clear" w:pos="4513"/>
      </w:tabs>
      <w:jc w:val="center"/>
    </w:pPr>
    <w:r>
      <w:t>Department of Health</w:t>
    </w:r>
    <w:r w:rsidR="00FF2349">
      <w:t xml:space="preserve"> and Aged Care</w:t>
    </w:r>
    <w:r>
      <w:t xml:space="preserve"> – </w:t>
    </w:r>
    <w:r w:rsidR="004462D0">
      <w:t xml:space="preserve">September </w:t>
    </w:r>
    <w:r w:rsidR="00FF2349">
      <w:t>2024</w:t>
    </w:r>
    <w:sdt>
      <w:sdtPr>
        <w:id w:val="144170460"/>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rsidR="00ED3F2E">
          <w:rPr>
            <w:noProof/>
          </w:rPr>
          <w:t>4</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B2B8" w14:textId="753729D3" w:rsidR="00994536" w:rsidRPr="00DE3355" w:rsidRDefault="00994536" w:rsidP="003D033A">
    <w:pPr>
      <w:pStyle w:val="Footer"/>
      <w:tabs>
        <w:tab w:val="clear" w:pos="4513"/>
      </w:tabs>
    </w:pPr>
    <w:r>
      <w:t xml:space="preserve">Department of </w:t>
    </w:r>
    <w:proofErr w:type="spellStart"/>
    <w:r>
      <w:t>Health</w:t>
    </w:r>
    <w:r w:rsidR="00FF2349">
      <w:t>and</w:t>
    </w:r>
    <w:proofErr w:type="spellEnd"/>
    <w:r w:rsidR="00FF2349">
      <w:t xml:space="preserve"> Aged Care – September 202</w:t>
    </w:r>
    <w:sdt>
      <w:sdtPr>
        <w:id w:val="-1729214745"/>
        <w:docPartObj>
          <w:docPartGallery w:val="Page Numbers (Bottom of Page)"/>
          <w:docPartUnique/>
        </w:docPartObj>
      </w:sdtPr>
      <w:sdtContent>
        <w:r w:rsidR="00FF2349">
          <w:t>4</w:t>
        </w:r>
        <w:r>
          <w:tab/>
        </w:r>
        <w:r w:rsidRPr="003D033A">
          <w:fldChar w:fldCharType="begin"/>
        </w:r>
        <w:r w:rsidRPr="003D033A">
          <w:instrText xml:space="preserve"> PAGE   \* MERGEFORMAT </w:instrText>
        </w:r>
        <w:r w:rsidRPr="003D033A">
          <w:fldChar w:fldCharType="separate"/>
        </w:r>
        <w:r w:rsidR="00ED3F2E">
          <w:rPr>
            <w:noProof/>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7000" w14:textId="77777777" w:rsidR="00B608C2" w:rsidRDefault="00B608C2" w:rsidP="006B56BB">
      <w:r>
        <w:separator/>
      </w:r>
    </w:p>
    <w:p w14:paraId="39268113" w14:textId="77777777" w:rsidR="00B608C2" w:rsidRDefault="00B608C2"/>
  </w:footnote>
  <w:footnote w:type="continuationSeparator" w:id="0">
    <w:p w14:paraId="4D151C79" w14:textId="77777777" w:rsidR="00B608C2" w:rsidRDefault="00B608C2" w:rsidP="006B56BB">
      <w:r>
        <w:continuationSeparator/>
      </w:r>
    </w:p>
    <w:p w14:paraId="3DF23D13" w14:textId="77777777" w:rsidR="00B608C2" w:rsidRDefault="00B608C2"/>
  </w:footnote>
  <w:footnote w:type="continuationNotice" w:id="1">
    <w:p w14:paraId="43A8E0FE" w14:textId="77777777" w:rsidR="00B608C2" w:rsidRDefault="00B60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E4A3" w14:textId="77777777" w:rsidR="00994536" w:rsidRPr="006369BD" w:rsidRDefault="00994536" w:rsidP="006369BD">
    <w:pPr>
      <w:pStyle w:val="Header"/>
    </w:pPr>
    <w:r>
      <w:rPr>
        <w:noProof/>
        <w:lang w:eastAsia="en-AU"/>
      </w:rPr>
      <w:drawing>
        <wp:inline distT="0" distB="0" distL="0" distR="0" wp14:anchorId="62FD92B0" wp14:editId="34F14E0B">
          <wp:extent cx="5759450" cy="1045210"/>
          <wp:effectExtent l="0" t="0" r="0" b="2540"/>
          <wp:docPr id="1" name="Picture 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with line.jpg"/>
                  <pic:cNvPicPr/>
                </pic:nvPicPr>
                <pic:blipFill>
                  <a:blip r:embed="rId1">
                    <a:extLst>
                      <a:ext uri="{28A0092B-C50C-407E-A947-70E740481C1C}">
                        <a14:useLocalDpi xmlns:a14="http://schemas.microsoft.com/office/drawing/2010/main" val="0"/>
                      </a:ext>
                    </a:extLst>
                  </a:blip>
                  <a:stretch>
                    <a:fillRect/>
                  </a:stretch>
                </pic:blipFill>
                <pic:spPr>
                  <a:xfrm>
                    <a:off x="0" y="0"/>
                    <a:ext cx="5759450" cy="10452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540A" w14:textId="77777777" w:rsidR="008E0C77" w:rsidRPr="00A71F59" w:rsidRDefault="00A71F59" w:rsidP="00A71F59">
    <w:pPr>
      <w:pStyle w:val="Footer"/>
      <w:tabs>
        <w:tab w:val="clear" w:pos="4513"/>
      </w:tabs>
      <w:rPr>
        <w:sz w:val="16"/>
        <w:szCs w:val="20"/>
      </w:rPr>
    </w:pPr>
    <w:r w:rsidRPr="000B3E4A">
      <w:rPr>
        <w:sz w:val="16"/>
      </w:rPr>
      <w:t xml:space="preserve">LSDP guidelines for initial application and annual reapplication for subsidised treatment for </w:t>
    </w:r>
    <w:r w:rsidR="0094682C">
      <w:rPr>
        <w:sz w:val="16"/>
      </w:rPr>
      <w:t>Fabry disease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BC2D00"/>
    <w:multiLevelType w:val="hybridMultilevel"/>
    <w:tmpl w:val="2D14E340"/>
    <w:lvl w:ilvl="0" w:tplc="A2C0266A">
      <w:start w:val="1"/>
      <w:numFmt w:val="lowerLetter"/>
      <w:lvlText w:val="%1)"/>
      <w:lvlJc w:val="left"/>
      <w:pPr>
        <w:ind w:left="335" w:hanging="218"/>
      </w:pPr>
      <w:rPr>
        <w:rFonts w:ascii="Cambria" w:eastAsia="Cambria" w:hAnsi="Cambria" w:cs="Cambria" w:hint="default"/>
        <w:spacing w:val="-1"/>
        <w:w w:val="100"/>
        <w:sz w:val="20"/>
        <w:szCs w:val="20"/>
      </w:rPr>
    </w:lvl>
    <w:lvl w:ilvl="1" w:tplc="1E342BEC">
      <w:numFmt w:val="bullet"/>
      <w:lvlText w:val="•"/>
      <w:lvlJc w:val="left"/>
      <w:pPr>
        <w:ind w:left="852" w:hanging="218"/>
      </w:pPr>
      <w:rPr>
        <w:rFonts w:hint="default"/>
      </w:rPr>
    </w:lvl>
    <w:lvl w:ilvl="2" w:tplc="598A88AC">
      <w:numFmt w:val="bullet"/>
      <w:lvlText w:val="•"/>
      <w:lvlJc w:val="left"/>
      <w:pPr>
        <w:ind w:left="1365" w:hanging="218"/>
      </w:pPr>
      <w:rPr>
        <w:rFonts w:hint="default"/>
      </w:rPr>
    </w:lvl>
    <w:lvl w:ilvl="3" w:tplc="94260204">
      <w:numFmt w:val="bullet"/>
      <w:lvlText w:val="•"/>
      <w:lvlJc w:val="left"/>
      <w:pPr>
        <w:ind w:left="1878" w:hanging="218"/>
      </w:pPr>
      <w:rPr>
        <w:rFonts w:hint="default"/>
      </w:rPr>
    </w:lvl>
    <w:lvl w:ilvl="4" w:tplc="D1C29AB2">
      <w:numFmt w:val="bullet"/>
      <w:lvlText w:val="•"/>
      <w:lvlJc w:val="left"/>
      <w:pPr>
        <w:ind w:left="2391" w:hanging="218"/>
      </w:pPr>
      <w:rPr>
        <w:rFonts w:hint="default"/>
      </w:rPr>
    </w:lvl>
    <w:lvl w:ilvl="5" w:tplc="4CC8E978">
      <w:numFmt w:val="bullet"/>
      <w:lvlText w:val="•"/>
      <w:lvlJc w:val="left"/>
      <w:pPr>
        <w:ind w:left="2904" w:hanging="218"/>
      </w:pPr>
      <w:rPr>
        <w:rFonts w:hint="default"/>
      </w:rPr>
    </w:lvl>
    <w:lvl w:ilvl="6" w:tplc="57B8ACA6">
      <w:numFmt w:val="bullet"/>
      <w:lvlText w:val="•"/>
      <w:lvlJc w:val="left"/>
      <w:pPr>
        <w:ind w:left="3417" w:hanging="218"/>
      </w:pPr>
      <w:rPr>
        <w:rFonts w:hint="default"/>
      </w:rPr>
    </w:lvl>
    <w:lvl w:ilvl="7" w:tplc="FEF24AC6">
      <w:numFmt w:val="bullet"/>
      <w:lvlText w:val="•"/>
      <w:lvlJc w:val="left"/>
      <w:pPr>
        <w:ind w:left="3930" w:hanging="218"/>
      </w:pPr>
      <w:rPr>
        <w:rFonts w:hint="default"/>
      </w:rPr>
    </w:lvl>
    <w:lvl w:ilvl="8" w:tplc="F31647CE">
      <w:numFmt w:val="bullet"/>
      <w:lvlText w:val="•"/>
      <w:lvlJc w:val="left"/>
      <w:pPr>
        <w:ind w:left="4442" w:hanging="218"/>
      </w:pPr>
      <w:rPr>
        <w:rFont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E91A1D"/>
    <w:multiLevelType w:val="hybridMultilevel"/>
    <w:tmpl w:val="878C7EC8"/>
    <w:lvl w:ilvl="0" w:tplc="8696BFA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236FE0"/>
    <w:multiLevelType w:val="hybridMultilevel"/>
    <w:tmpl w:val="48B83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17877"/>
    <w:multiLevelType w:val="multilevel"/>
    <w:tmpl w:val="3CE4710A"/>
    <w:lvl w:ilvl="0">
      <w:start w:val="3"/>
      <w:numFmt w:val="decimal"/>
      <w:lvlText w:val="%1."/>
      <w:lvlJc w:val="left"/>
      <w:pPr>
        <w:ind w:left="837" w:hanging="720"/>
        <w:jc w:val="right"/>
      </w:pPr>
      <w:rPr>
        <w:rFonts w:ascii="Cambria" w:eastAsia="Cambria" w:hAnsi="Cambria" w:cs="Cambria" w:hint="default"/>
        <w:b/>
        <w:bCs/>
        <w:spacing w:val="-1"/>
        <w:w w:val="100"/>
        <w:sz w:val="24"/>
        <w:szCs w:val="24"/>
      </w:rPr>
    </w:lvl>
    <w:lvl w:ilvl="1">
      <w:start w:val="1"/>
      <w:numFmt w:val="decimal"/>
      <w:lvlText w:val="%1.%2"/>
      <w:lvlJc w:val="left"/>
      <w:pPr>
        <w:ind w:left="720" w:hanging="720"/>
      </w:pPr>
      <w:rPr>
        <w:rFonts w:ascii="Cambria" w:eastAsia="Cambria" w:hAnsi="Cambria" w:cs="Cambria" w:hint="default"/>
        <w:b/>
        <w:bCs/>
        <w:spacing w:val="-1"/>
        <w:w w:val="100"/>
        <w:sz w:val="20"/>
        <w:szCs w:val="20"/>
      </w:rPr>
    </w:lvl>
    <w:lvl w:ilvl="2">
      <w:numFmt w:val="bullet"/>
      <w:lvlText w:val="•"/>
      <w:lvlJc w:val="left"/>
      <w:pPr>
        <w:ind w:left="1765" w:hanging="720"/>
      </w:pPr>
      <w:rPr>
        <w:rFonts w:hint="default"/>
      </w:rPr>
    </w:lvl>
    <w:lvl w:ilvl="3">
      <w:numFmt w:val="bullet"/>
      <w:lvlText w:val="•"/>
      <w:lvlJc w:val="left"/>
      <w:pPr>
        <w:ind w:left="2228" w:hanging="720"/>
      </w:pPr>
      <w:rPr>
        <w:rFonts w:hint="default"/>
      </w:rPr>
    </w:lvl>
    <w:lvl w:ilvl="4">
      <w:numFmt w:val="bullet"/>
      <w:lvlText w:val="•"/>
      <w:lvlJc w:val="left"/>
      <w:pPr>
        <w:ind w:left="2691" w:hanging="720"/>
      </w:pPr>
      <w:rPr>
        <w:rFonts w:hint="default"/>
      </w:rPr>
    </w:lvl>
    <w:lvl w:ilvl="5">
      <w:numFmt w:val="bullet"/>
      <w:lvlText w:val="•"/>
      <w:lvlJc w:val="left"/>
      <w:pPr>
        <w:ind w:left="3154" w:hanging="720"/>
      </w:pPr>
      <w:rPr>
        <w:rFonts w:hint="default"/>
      </w:rPr>
    </w:lvl>
    <w:lvl w:ilvl="6">
      <w:numFmt w:val="bullet"/>
      <w:lvlText w:val="•"/>
      <w:lvlJc w:val="left"/>
      <w:pPr>
        <w:ind w:left="3617" w:hanging="720"/>
      </w:pPr>
      <w:rPr>
        <w:rFonts w:hint="default"/>
      </w:rPr>
    </w:lvl>
    <w:lvl w:ilvl="7">
      <w:numFmt w:val="bullet"/>
      <w:lvlText w:val="•"/>
      <w:lvlJc w:val="left"/>
      <w:pPr>
        <w:ind w:left="4080" w:hanging="720"/>
      </w:pPr>
      <w:rPr>
        <w:rFonts w:hint="default"/>
      </w:rPr>
    </w:lvl>
    <w:lvl w:ilvl="8">
      <w:numFmt w:val="bullet"/>
      <w:lvlText w:val="•"/>
      <w:lvlJc w:val="left"/>
      <w:pPr>
        <w:ind w:left="4542" w:hanging="720"/>
      </w:pPr>
      <w:rPr>
        <w:rFonts w:hint="default"/>
      </w:rPr>
    </w:lvl>
  </w:abstractNum>
  <w:abstractNum w:abstractNumId="15" w15:restartNumberingAfterBreak="0">
    <w:nsid w:val="1A155AEA"/>
    <w:multiLevelType w:val="multilevel"/>
    <w:tmpl w:val="204EAF26"/>
    <w:lvl w:ilvl="0">
      <w:start w:val="1"/>
      <w:numFmt w:val="decimal"/>
      <w:lvlText w:val="%1."/>
      <w:lvlJc w:val="left"/>
      <w:pPr>
        <w:ind w:left="1008" w:hanging="720"/>
      </w:pPr>
      <w:rPr>
        <w:rFonts w:ascii="Cambria" w:eastAsia="Cambria" w:hAnsi="Cambria" w:cs="Cambria" w:hint="default"/>
        <w:b/>
        <w:bCs/>
        <w:spacing w:val="-7"/>
        <w:w w:val="100"/>
        <w:sz w:val="24"/>
        <w:szCs w:val="24"/>
      </w:rPr>
    </w:lvl>
    <w:lvl w:ilvl="1">
      <w:start w:val="1"/>
      <w:numFmt w:val="decimal"/>
      <w:lvlText w:val="%1.%2"/>
      <w:lvlJc w:val="left"/>
      <w:pPr>
        <w:ind w:left="1008" w:hanging="720"/>
      </w:pPr>
      <w:rPr>
        <w:rFonts w:ascii="Cambria" w:eastAsia="Cambria" w:hAnsi="Cambria" w:cs="Cambria" w:hint="default"/>
        <w:b/>
        <w:bCs/>
        <w:spacing w:val="-4"/>
        <w:w w:val="100"/>
        <w:sz w:val="20"/>
        <w:szCs w:val="20"/>
      </w:rPr>
    </w:lvl>
    <w:lvl w:ilvl="2">
      <w:numFmt w:val="bullet"/>
      <w:lvlText w:val="•"/>
      <w:lvlJc w:val="left"/>
      <w:pPr>
        <w:ind w:left="778" w:hanging="720"/>
      </w:pPr>
      <w:rPr>
        <w:rFonts w:hint="default"/>
      </w:rPr>
    </w:lvl>
    <w:lvl w:ilvl="3">
      <w:numFmt w:val="bullet"/>
      <w:lvlText w:val="•"/>
      <w:lvlJc w:val="left"/>
      <w:pPr>
        <w:ind w:left="668" w:hanging="720"/>
      </w:pPr>
      <w:rPr>
        <w:rFonts w:hint="default"/>
      </w:rPr>
    </w:lvl>
    <w:lvl w:ilvl="4">
      <w:numFmt w:val="bullet"/>
      <w:lvlText w:val="•"/>
      <w:lvlJc w:val="left"/>
      <w:pPr>
        <w:ind w:left="557" w:hanging="720"/>
      </w:pPr>
      <w:rPr>
        <w:rFonts w:hint="default"/>
      </w:rPr>
    </w:lvl>
    <w:lvl w:ilvl="5">
      <w:numFmt w:val="bullet"/>
      <w:lvlText w:val="•"/>
      <w:lvlJc w:val="left"/>
      <w:pPr>
        <w:ind w:left="446" w:hanging="720"/>
      </w:pPr>
      <w:rPr>
        <w:rFonts w:hint="default"/>
      </w:rPr>
    </w:lvl>
    <w:lvl w:ilvl="6">
      <w:numFmt w:val="bullet"/>
      <w:lvlText w:val="•"/>
      <w:lvlJc w:val="left"/>
      <w:pPr>
        <w:ind w:left="336" w:hanging="720"/>
      </w:pPr>
      <w:rPr>
        <w:rFonts w:hint="default"/>
      </w:rPr>
    </w:lvl>
    <w:lvl w:ilvl="7">
      <w:numFmt w:val="bullet"/>
      <w:lvlText w:val="•"/>
      <w:lvlJc w:val="left"/>
      <w:pPr>
        <w:ind w:left="225" w:hanging="720"/>
      </w:pPr>
      <w:rPr>
        <w:rFonts w:hint="default"/>
      </w:rPr>
    </w:lvl>
    <w:lvl w:ilvl="8">
      <w:numFmt w:val="bullet"/>
      <w:lvlText w:val="•"/>
      <w:lvlJc w:val="left"/>
      <w:pPr>
        <w:ind w:left="114" w:hanging="720"/>
      </w:pPr>
      <w:rPr>
        <w:rFont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9414E1"/>
    <w:multiLevelType w:val="hybridMultilevel"/>
    <w:tmpl w:val="6EB6C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D5360E"/>
    <w:multiLevelType w:val="hybridMultilevel"/>
    <w:tmpl w:val="F5F0A4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56F4211"/>
    <w:multiLevelType w:val="hybridMultilevel"/>
    <w:tmpl w:val="B49418A8"/>
    <w:lvl w:ilvl="0" w:tplc="5ADE85DA">
      <w:start w:val="1"/>
      <w:numFmt w:val="lowerLetter"/>
      <w:lvlText w:val="%1)"/>
      <w:lvlJc w:val="left"/>
      <w:pPr>
        <w:ind w:left="117" w:hanging="262"/>
      </w:pPr>
      <w:rPr>
        <w:rFonts w:ascii="Cambria" w:eastAsia="Cambria" w:hAnsi="Cambria" w:cs="Cambria" w:hint="default"/>
        <w:spacing w:val="-1"/>
        <w:w w:val="100"/>
        <w:sz w:val="20"/>
        <w:szCs w:val="20"/>
      </w:rPr>
    </w:lvl>
    <w:lvl w:ilvl="1" w:tplc="83E4488A">
      <w:numFmt w:val="bullet"/>
      <w:lvlText w:val="•"/>
      <w:lvlJc w:val="left"/>
      <w:pPr>
        <w:ind w:left="654" w:hanging="262"/>
      </w:pPr>
      <w:rPr>
        <w:rFonts w:hint="default"/>
      </w:rPr>
    </w:lvl>
    <w:lvl w:ilvl="2" w:tplc="295655AE">
      <w:numFmt w:val="bullet"/>
      <w:lvlText w:val="•"/>
      <w:lvlJc w:val="left"/>
      <w:pPr>
        <w:ind w:left="1189" w:hanging="262"/>
      </w:pPr>
      <w:rPr>
        <w:rFonts w:hint="default"/>
      </w:rPr>
    </w:lvl>
    <w:lvl w:ilvl="3" w:tplc="7278DBFA">
      <w:numFmt w:val="bullet"/>
      <w:lvlText w:val="•"/>
      <w:lvlJc w:val="left"/>
      <w:pPr>
        <w:ind w:left="1724" w:hanging="262"/>
      </w:pPr>
      <w:rPr>
        <w:rFonts w:hint="default"/>
      </w:rPr>
    </w:lvl>
    <w:lvl w:ilvl="4" w:tplc="9BBC2204">
      <w:numFmt w:val="bullet"/>
      <w:lvlText w:val="•"/>
      <w:lvlJc w:val="left"/>
      <w:pPr>
        <w:ind w:left="2259" w:hanging="262"/>
      </w:pPr>
      <w:rPr>
        <w:rFonts w:hint="default"/>
      </w:rPr>
    </w:lvl>
    <w:lvl w:ilvl="5" w:tplc="5778E81E">
      <w:numFmt w:val="bullet"/>
      <w:lvlText w:val="•"/>
      <w:lvlJc w:val="left"/>
      <w:pPr>
        <w:ind w:left="2794" w:hanging="262"/>
      </w:pPr>
      <w:rPr>
        <w:rFonts w:hint="default"/>
      </w:rPr>
    </w:lvl>
    <w:lvl w:ilvl="6" w:tplc="459CCD0A">
      <w:numFmt w:val="bullet"/>
      <w:lvlText w:val="•"/>
      <w:lvlJc w:val="left"/>
      <w:pPr>
        <w:ind w:left="3329" w:hanging="262"/>
      </w:pPr>
      <w:rPr>
        <w:rFonts w:hint="default"/>
      </w:rPr>
    </w:lvl>
    <w:lvl w:ilvl="7" w:tplc="B4E8B286">
      <w:numFmt w:val="bullet"/>
      <w:lvlText w:val="•"/>
      <w:lvlJc w:val="left"/>
      <w:pPr>
        <w:ind w:left="3864" w:hanging="262"/>
      </w:pPr>
      <w:rPr>
        <w:rFonts w:hint="default"/>
      </w:rPr>
    </w:lvl>
    <w:lvl w:ilvl="8" w:tplc="6FA2269E">
      <w:numFmt w:val="bullet"/>
      <w:lvlText w:val="•"/>
      <w:lvlJc w:val="left"/>
      <w:pPr>
        <w:ind w:left="4398" w:hanging="262"/>
      </w:pPr>
      <w:rPr>
        <w:rFonts w:hint="default"/>
      </w:rPr>
    </w:lvl>
  </w:abstractNum>
  <w:abstractNum w:abstractNumId="20" w15:restartNumberingAfterBreak="0">
    <w:nsid w:val="29F01F05"/>
    <w:multiLevelType w:val="hybridMultilevel"/>
    <w:tmpl w:val="F0046F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FF3E9B"/>
    <w:multiLevelType w:val="hybridMultilevel"/>
    <w:tmpl w:val="0400F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B72723"/>
    <w:multiLevelType w:val="hybridMultilevel"/>
    <w:tmpl w:val="C51073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34CD50FD"/>
    <w:multiLevelType w:val="hybridMultilevel"/>
    <w:tmpl w:val="41EED2A6"/>
    <w:lvl w:ilvl="0" w:tplc="ABDED546">
      <w:start w:val="1"/>
      <w:numFmt w:val="lowerLetter"/>
      <w:pStyle w:val="ListNumber2"/>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8DD2476"/>
    <w:multiLevelType w:val="hybridMultilevel"/>
    <w:tmpl w:val="199E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57601F"/>
    <w:multiLevelType w:val="hybridMultilevel"/>
    <w:tmpl w:val="81B8F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46130ED8"/>
    <w:multiLevelType w:val="hybridMultilevel"/>
    <w:tmpl w:val="56E01F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8C5726"/>
    <w:multiLevelType w:val="hybridMultilevel"/>
    <w:tmpl w:val="39F4A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CB61CF"/>
    <w:multiLevelType w:val="hybridMultilevel"/>
    <w:tmpl w:val="F6408D70"/>
    <w:lvl w:ilvl="0" w:tplc="A0D211D6">
      <w:start w:val="1"/>
      <w:numFmt w:val="decimal"/>
      <w:lvlText w:val="%1."/>
      <w:lvlJc w:val="left"/>
      <w:pPr>
        <w:ind w:left="286" w:hanging="196"/>
        <w:jc w:val="right"/>
      </w:pPr>
      <w:rPr>
        <w:rFonts w:ascii="Cambria" w:eastAsia="Cambria" w:hAnsi="Cambria" w:cs="Cambria" w:hint="default"/>
        <w:spacing w:val="-1"/>
        <w:w w:val="100"/>
        <w:sz w:val="20"/>
        <w:szCs w:val="20"/>
      </w:rPr>
    </w:lvl>
    <w:lvl w:ilvl="1" w:tplc="B3543878">
      <w:numFmt w:val="bullet"/>
      <w:lvlText w:val="•"/>
      <w:lvlJc w:val="left"/>
      <w:pPr>
        <w:ind w:left="827" w:hanging="196"/>
      </w:pPr>
      <w:rPr>
        <w:rFonts w:hint="default"/>
      </w:rPr>
    </w:lvl>
    <w:lvl w:ilvl="2" w:tplc="B67657E8">
      <w:numFmt w:val="bullet"/>
      <w:lvlText w:val="•"/>
      <w:lvlJc w:val="left"/>
      <w:pPr>
        <w:ind w:left="1375" w:hanging="196"/>
      </w:pPr>
      <w:rPr>
        <w:rFonts w:hint="default"/>
      </w:rPr>
    </w:lvl>
    <w:lvl w:ilvl="3" w:tplc="F530E054">
      <w:numFmt w:val="bullet"/>
      <w:lvlText w:val="•"/>
      <w:lvlJc w:val="left"/>
      <w:pPr>
        <w:ind w:left="1923" w:hanging="196"/>
      </w:pPr>
      <w:rPr>
        <w:rFonts w:hint="default"/>
      </w:rPr>
    </w:lvl>
    <w:lvl w:ilvl="4" w:tplc="8F6451E6">
      <w:numFmt w:val="bullet"/>
      <w:lvlText w:val="•"/>
      <w:lvlJc w:val="left"/>
      <w:pPr>
        <w:ind w:left="2471" w:hanging="196"/>
      </w:pPr>
      <w:rPr>
        <w:rFonts w:hint="default"/>
      </w:rPr>
    </w:lvl>
    <w:lvl w:ilvl="5" w:tplc="5C2A4F14">
      <w:numFmt w:val="bullet"/>
      <w:lvlText w:val="•"/>
      <w:lvlJc w:val="left"/>
      <w:pPr>
        <w:ind w:left="3019" w:hanging="196"/>
      </w:pPr>
      <w:rPr>
        <w:rFonts w:hint="default"/>
      </w:rPr>
    </w:lvl>
    <w:lvl w:ilvl="6" w:tplc="3A5E72DE">
      <w:numFmt w:val="bullet"/>
      <w:lvlText w:val="•"/>
      <w:lvlJc w:val="left"/>
      <w:pPr>
        <w:ind w:left="3567" w:hanging="196"/>
      </w:pPr>
      <w:rPr>
        <w:rFonts w:hint="default"/>
      </w:rPr>
    </w:lvl>
    <w:lvl w:ilvl="7" w:tplc="2FB6DDD6">
      <w:numFmt w:val="bullet"/>
      <w:lvlText w:val="•"/>
      <w:lvlJc w:val="left"/>
      <w:pPr>
        <w:ind w:left="4114" w:hanging="196"/>
      </w:pPr>
      <w:rPr>
        <w:rFonts w:hint="default"/>
      </w:rPr>
    </w:lvl>
    <w:lvl w:ilvl="8" w:tplc="074EBEB2">
      <w:numFmt w:val="bullet"/>
      <w:lvlText w:val="•"/>
      <w:lvlJc w:val="left"/>
      <w:pPr>
        <w:ind w:left="4662" w:hanging="196"/>
      </w:pPr>
      <w:rPr>
        <w:rFonts w:hint="default"/>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BF445FC"/>
    <w:multiLevelType w:val="hybridMultilevel"/>
    <w:tmpl w:val="2666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720398"/>
    <w:multiLevelType w:val="hybridMultilevel"/>
    <w:tmpl w:val="40125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36593F"/>
    <w:multiLevelType w:val="hybridMultilevel"/>
    <w:tmpl w:val="FE2A4510"/>
    <w:lvl w:ilvl="0" w:tplc="E8B034A8">
      <w:numFmt w:val="bullet"/>
      <w:lvlText w:val="·"/>
      <w:lvlJc w:val="left"/>
      <w:pPr>
        <w:ind w:left="205" w:hanging="101"/>
      </w:pPr>
      <w:rPr>
        <w:rFonts w:ascii="Cambria" w:eastAsia="Cambria" w:hAnsi="Cambria" w:cs="Cambria" w:hint="default"/>
        <w:w w:val="100"/>
        <w:sz w:val="20"/>
        <w:szCs w:val="20"/>
      </w:rPr>
    </w:lvl>
    <w:lvl w:ilvl="1" w:tplc="99888E4C">
      <w:numFmt w:val="bullet"/>
      <w:lvlText w:val="•"/>
      <w:lvlJc w:val="left"/>
      <w:pPr>
        <w:ind w:left="726" w:hanging="101"/>
      </w:pPr>
      <w:rPr>
        <w:rFonts w:hint="default"/>
      </w:rPr>
    </w:lvl>
    <w:lvl w:ilvl="2" w:tplc="702E17DA">
      <w:numFmt w:val="bullet"/>
      <w:lvlText w:val="•"/>
      <w:lvlJc w:val="left"/>
      <w:pPr>
        <w:ind w:left="1253" w:hanging="101"/>
      </w:pPr>
      <w:rPr>
        <w:rFonts w:hint="default"/>
      </w:rPr>
    </w:lvl>
    <w:lvl w:ilvl="3" w:tplc="4CE69C16">
      <w:numFmt w:val="bullet"/>
      <w:lvlText w:val="•"/>
      <w:lvlJc w:val="left"/>
      <w:pPr>
        <w:ind w:left="1780" w:hanging="101"/>
      </w:pPr>
      <w:rPr>
        <w:rFonts w:hint="default"/>
      </w:rPr>
    </w:lvl>
    <w:lvl w:ilvl="4" w:tplc="7C3A19CE">
      <w:numFmt w:val="bullet"/>
      <w:lvlText w:val="•"/>
      <w:lvlJc w:val="left"/>
      <w:pPr>
        <w:ind w:left="2307" w:hanging="101"/>
      </w:pPr>
      <w:rPr>
        <w:rFonts w:hint="default"/>
      </w:rPr>
    </w:lvl>
    <w:lvl w:ilvl="5" w:tplc="686EA31E">
      <w:numFmt w:val="bullet"/>
      <w:lvlText w:val="•"/>
      <w:lvlJc w:val="left"/>
      <w:pPr>
        <w:ind w:left="2834" w:hanging="101"/>
      </w:pPr>
      <w:rPr>
        <w:rFonts w:hint="default"/>
      </w:rPr>
    </w:lvl>
    <w:lvl w:ilvl="6" w:tplc="35160EEA">
      <w:numFmt w:val="bullet"/>
      <w:lvlText w:val="•"/>
      <w:lvlJc w:val="left"/>
      <w:pPr>
        <w:ind w:left="3361" w:hanging="101"/>
      </w:pPr>
      <w:rPr>
        <w:rFonts w:hint="default"/>
      </w:rPr>
    </w:lvl>
    <w:lvl w:ilvl="7" w:tplc="813EA1EE">
      <w:numFmt w:val="bullet"/>
      <w:lvlText w:val="•"/>
      <w:lvlJc w:val="left"/>
      <w:pPr>
        <w:ind w:left="3888" w:hanging="101"/>
      </w:pPr>
      <w:rPr>
        <w:rFonts w:hint="default"/>
      </w:rPr>
    </w:lvl>
    <w:lvl w:ilvl="8" w:tplc="C4F6BD34">
      <w:numFmt w:val="bullet"/>
      <w:lvlText w:val="•"/>
      <w:lvlJc w:val="left"/>
      <w:pPr>
        <w:ind w:left="4414" w:hanging="101"/>
      </w:pPr>
      <w:rPr>
        <w:rFonts w:hint="default"/>
      </w:rPr>
    </w:lvl>
  </w:abstractNum>
  <w:abstractNum w:abstractNumId="36" w15:restartNumberingAfterBreak="0">
    <w:nsid w:val="7E391716"/>
    <w:multiLevelType w:val="hybridMultilevel"/>
    <w:tmpl w:val="AD7E6E32"/>
    <w:lvl w:ilvl="0" w:tplc="7284C262">
      <w:start w:val="1"/>
      <w:numFmt w:val="bullet"/>
      <w:pStyle w:val="ListBullet2"/>
      <w:lvlText w:val=""/>
      <w:lvlJc w:val="left"/>
      <w:pPr>
        <w:ind w:left="64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25125921">
    <w:abstractNumId w:val="7"/>
  </w:num>
  <w:num w:numId="2" w16cid:durableId="639461806">
    <w:abstractNumId w:val="28"/>
  </w:num>
  <w:num w:numId="3" w16cid:durableId="555358168">
    <w:abstractNumId w:val="33"/>
  </w:num>
  <w:num w:numId="4" w16cid:durableId="1888252467">
    <w:abstractNumId w:val="9"/>
  </w:num>
  <w:num w:numId="5" w16cid:durableId="717435247">
    <w:abstractNumId w:val="9"/>
    <w:lvlOverride w:ilvl="0">
      <w:startOverride w:val="1"/>
    </w:lvlOverride>
  </w:num>
  <w:num w:numId="6" w16cid:durableId="857045833">
    <w:abstractNumId w:val="11"/>
  </w:num>
  <w:num w:numId="7" w16cid:durableId="546335657">
    <w:abstractNumId w:val="26"/>
  </w:num>
  <w:num w:numId="8" w16cid:durableId="672882551">
    <w:abstractNumId w:val="31"/>
  </w:num>
  <w:num w:numId="9" w16cid:durableId="1129544440">
    <w:abstractNumId w:val="5"/>
  </w:num>
  <w:num w:numId="10" w16cid:durableId="1056009182">
    <w:abstractNumId w:val="4"/>
  </w:num>
  <w:num w:numId="11" w16cid:durableId="1572349848">
    <w:abstractNumId w:val="3"/>
  </w:num>
  <w:num w:numId="12" w16cid:durableId="2072270763">
    <w:abstractNumId w:val="2"/>
  </w:num>
  <w:num w:numId="13" w16cid:durableId="1123961200">
    <w:abstractNumId w:val="6"/>
  </w:num>
  <w:num w:numId="14" w16cid:durableId="1296594446">
    <w:abstractNumId w:val="1"/>
  </w:num>
  <w:num w:numId="15" w16cid:durableId="1822653451">
    <w:abstractNumId w:val="0"/>
  </w:num>
  <w:num w:numId="16" w16cid:durableId="159657944">
    <w:abstractNumId w:val="36"/>
  </w:num>
  <w:num w:numId="17" w16cid:durableId="1878615954">
    <w:abstractNumId w:val="13"/>
  </w:num>
  <w:num w:numId="18" w16cid:durableId="1474832323">
    <w:abstractNumId w:val="16"/>
  </w:num>
  <w:num w:numId="19" w16cid:durableId="900678019">
    <w:abstractNumId w:val="23"/>
  </w:num>
  <w:num w:numId="20" w16cid:durableId="791751182">
    <w:abstractNumId w:val="32"/>
  </w:num>
  <w:num w:numId="21" w16cid:durableId="1479805555">
    <w:abstractNumId w:val="17"/>
  </w:num>
  <w:num w:numId="22" w16cid:durableId="1971326342">
    <w:abstractNumId w:val="24"/>
  </w:num>
  <w:num w:numId="23" w16cid:durableId="1278753621">
    <w:abstractNumId w:val="25"/>
  </w:num>
  <w:num w:numId="24" w16cid:durableId="2081900326">
    <w:abstractNumId w:val="22"/>
  </w:num>
  <w:num w:numId="25" w16cid:durableId="718020502">
    <w:abstractNumId w:val="15"/>
  </w:num>
  <w:num w:numId="26" w16cid:durableId="1846936763">
    <w:abstractNumId w:val="30"/>
  </w:num>
  <w:num w:numId="27" w16cid:durableId="1377042962">
    <w:abstractNumId w:val="12"/>
  </w:num>
  <w:num w:numId="28" w16cid:durableId="989408487">
    <w:abstractNumId w:val="19"/>
  </w:num>
  <w:num w:numId="29" w16cid:durableId="2122996532">
    <w:abstractNumId w:val="34"/>
  </w:num>
  <w:num w:numId="30" w16cid:durableId="845678629">
    <w:abstractNumId w:val="35"/>
  </w:num>
  <w:num w:numId="31" w16cid:durableId="545529565">
    <w:abstractNumId w:val="8"/>
  </w:num>
  <w:num w:numId="32" w16cid:durableId="208420147">
    <w:abstractNumId w:val="14"/>
  </w:num>
  <w:num w:numId="33" w16cid:durableId="575241347">
    <w:abstractNumId w:val="20"/>
  </w:num>
  <w:num w:numId="34" w16cid:durableId="1143815186">
    <w:abstractNumId w:val="21"/>
  </w:num>
  <w:num w:numId="35" w16cid:durableId="789979790">
    <w:abstractNumId w:val="27"/>
  </w:num>
  <w:num w:numId="36" w16cid:durableId="243615027">
    <w:abstractNumId w:val="18"/>
  </w:num>
  <w:num w:numId="37" w16cid:durableId="707532704">
    <w:abstractNumId w:val="29"/>
  </w:num>
  <w:num w:numId="38" w16cid:durableId="1631476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03"/>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37333"/>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2E7C"/>
    <w:rsid w:val="002026CD"/>
    <w:rsid w:val="002033FC"/>
    <w:rsid w:val="00204111"/>
    <w:rsid w:val="002044BB"/>
    <w:rsid w:val="00205541"/>
    <w:rsid w:val="00206A24"/>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01E3"/>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2F83"/>
    <w:rsid w:val="0032269D"/>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3E11"/>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32F"/>
    <w:rsid w:val="00404F8B"/>
    <w:rsid w:val="00405256"/>
    <w:rsid w:val="00410031"/>
    <w:rsid w:val="00415C81"/>
    <w:rsid w:val="00432378"/>
    <w:rsid w:val="00440D65"/>
    <w:rsid w:val="004435E6"/>
    <w:rsid w:val="004462D0"/>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2370"/>
    <w:rsid w:val="005A48EB"/>
    <w:rsid w:val="005A6CFB"/>
    <w:rsid w:val="005C5AEB"/>
    <w:rsid w:val="005D75EA"/>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97142"/>
    <w:rsid w:val="006B2286"/>
    <w:rsid w:val="006B56BB"/>
    <w:rsid w:val="006B6F93"/>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52298"/>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37B63"/>
    <w:rsid w:val="00843049"/>
    <w:rsid w:val="0085209B"/>
    <w:rsid w:val="00856B66"/>
    <w:rsid w:val="008601AC"/>
    <w:rsid w:val="00861A5F"/>
    <w:rsid w:val="0086254B"/>
    <w:rsid w:val="008644AD"/>
    <w:rsid w:val="00865735"/>
    <w:rsid w:val="00865DDB"/>
    <w:rsid w:val="00867538"/>
    <w:rsid w:val="00873882"/>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5C36"/>
    <w:rsid w:val="009074E1"/>
    <w:rsid w:val="009112F7"/>
    <w:rsid w:val="009122AF"/>
    <w:rsid w:val="00912D54"/>
    <w:rsid w:val="0091389F"/>
    <w:rsid w:val="009208F7"/>
    <w:rsid w:val="00921649"/>
    <w:rsid w:val="00922517"/>
    <w:rsid w:val="00922722"/>
    <w:rsid w:val="009261E6"/>
    <w:rsid w:val="009268E1"/>
    <w:rsid w:val="009344DE"/>
    <w:rsid w:val="00945E7F"/>
    <w:rsid w:val="0094682C"/>
    <w:rsid w:val="009557C1"/>
    <w:rsid w:val="00960D6E"/>
    <w:rsid w:val="00974B59"/>
    <w:rsid w:val="0098340B"/>
    <w:rsid w:val="00986830"/>
    <w:rsid w:val="009924C3"/>
    <w:rsid w:val="00993102"/>
    <w:rsid w:val="00994536"/>
    <w:rsid w:val="009B1570"/>
    <w:rsid w:val="009C6F10"/>
    <w:rsid w:val="009D148F"/>
    <w:rsid w:val="009D3D70"/>
    <w:rsid w:val="009E6F7E"/>
    <w:rsid w:val="009E7A57"/>
    <w:rsid w:val="009F4803"/>
    <w:rsid w:val="009F4F2A"/>
    <w:rsid w:val="009F4F6A"/>
    <w:rsid w:val="00A13EB5"/>
    <w:rsid w:val="00A16E36"/>
    <w:rsid w:val="00A24961"/>
    <w:rsid w:val="00A24B10"/>
    <w:rsid w:val="00A277EF"/>
    <w:rsid w:val="00A30E9B"/>
    <w:rsid w:val="00A4512D"/>
    <w:rsid w:val="00A50244"/>
    <w:rsid w:val="00A627D7"/>
    <w:rsid w:val="00A656C7"/>
    <w:rsid w:val="00A705AF"/>
    <w:rsid w:val="00A71F59"/>
    <w:rsid w:val="00A72454"/>
    <w:rsid w:val="00A77696"/>
    <w:rsid w:val="00A80557"/>
    <w:rsid w:val="00A81D33"/>
    <w:rsid w:val="00A8341C"/>
    <w:rsid w:val="00A930AE"/>
    <w:rsid w:val="00A9567F"/>
    <w:rsid w:val="00AA1A95"/>
    <w:rsid w:val="00AA260F"/>
    <w:rsid w:val="00AB1EE7"/>
    <w:rsid w:val="00AB4B37"/>
    <w:rsid w:val="00AB5703"/>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08C2"/>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1909"/>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67C2C"/>
    <w:rsid w:val="00C82EEB"/>
    <w:rsid w:val="00C971DC"/>
    <w:rsid w:val="00CA16B7"/>
    <w:rsid w:val="00CA62AE"/>
    <w:rsid w:val="00CB5B1A"/>
    <w:rsid w:val="00CC220B"/>
    <w:rsid w:val="00CC5C43"/>
    <w:rsid w:val="00CD02AE"/>
    <w:rsid w:val="00CD2A4F"/>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B5474"/>
    <w:rsid w:val="00EC213A"/>
    <w:rsid w:val="00EC7744"/>
    <w:rsid w:val="00ED0DAD"/>
    <w:rsid w:val="00ED0F46"/>
    <w:rsid w:val="00ED2373"/>
    <w:rsid w:val="00ED3F2E"/>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2FF6"/>
    <w:rsid w:val="00FB6F92"/>
    <w:rsid w:val="00FC026E"/>
    <w:rsid w:val="00FC5124"/>
    <w:rsid w:val="00FD4731"/>
    <w:rsid w:val="00FD6768"/>
    <w:rsid w:val="00FF0AB0"/>
    <w:rsid w:val="00FF2349"/>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F2405"/>
  <w15:docId w15:val="{0B214518-727A-4545-8EF3-9936D459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0432F"/>
    <w:pPr>
      <w:spacing w:before="120" w:after="120"/>
    </w:pPr>
    <w:rPr>
      <w:rFonts w:ascii="Arial" w:hAnsi="Arial"/>
      <w:sz w:val="21"/>
      <w:szCs w:val="24"/>
      <w:lang w:eastAsia="en-US"/>
    </w:rPr>
  </w:style>
  <w:style w:type="paragraph" w:styleId="Heading1">
    <w:name w:val="heading 1"/>
    <w:basedOn w:val="Normal"/>
    <w:next w:val="Normal"/>
    <w:qFormat/>
    <w:rsid w:val="0040432F"/>
    <w:pPr>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link w:val="ParagraphtextChar"/>
    <w:qFormat/>
    <w:rsid w:val="001571C7"/>
    <w:pPr>
      <w:spacing w:after="60"/>
    </w:pPr>
    <w:rPr>
      <w:color w:val="000000" w:themeColor="text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Bullet"/>
    <w:rsid w:val="0040432F"/>
    <w:pPr>
      <w:numPr>
        <w:numId w:val="16"/>
      </w:numPr>
      <w:ind w:left="1491" w:hanging="357"/>
    </w:pPr>
  </w:style>
  <w:style w:type="paragraph" w:styleId="ListNumber2">
    <w:name w:val="List Number 2"/>
    <w:basedOn w:val="ListBullet"/>
    <w:qFormat/>
    <w:rsid w:val="0040432F"/>
    <w:pPr>
      <w:numPr>
        <w:numId w:val="19"/>
      </w:numPr>
    </w:pPr>
    <w:rPr>
      <w:b/>
    </w:rPr>
  </w:style>
  <w:style w:type="paragraph" w:styleId="ListBullet">
    <w:name w:val="List Bullet"/>
    <w:basedOn w:val="Normal"/>
    <w:qFormat/>
    <w:rsid w:val="0048593C"/>
    <w:pPr>
      <w:numPr>
        <w:numId w:val="17"/>
      </w:numPr>
      <w:spacing w:before="60" w:after="60"/>
    </w:pPr>
    <w:rPr>
      <w:color w:val="000000" w:themeColor="text1"/>
    </w:rPr>
  </w:style>
  <w:style w:type="paragraph" w:styleId="ListParagraph">
    <w:name w:val="List Paragraph"/>
    <w:basedOn w:val="Normal"/>
    <w:uiPriority w:val="1"/>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Normaltextindent">
    <w:name w:val="Normal text (indent)"/>
    <w:basedOn w:val="Normal"/>
    <w:link w:val="NormaltextindentChar"/>
    <w:qFormat/>
    <w:rsid w:val="0040432F"/>
    <w:pPr>
      <w:ind w:left="624"/>
    </w:pPr>
  </w:style>
  <w:style w:type="character" w:customStyle="1" w:styleId="NormaltextindentChar">
    <w:name w:val="Normal text (indent) Char"/>
    <w:basedOn w:val="DefaultParagraphFont"/>
    <w:link w:val="Normaltextindent"/>
    <w:rsid w:val="0040432F"/>
    <w:rPr>
      <w:rFonts w:ascii="Arial" w:hAnsi="Arial"/>
      <w:sz w:val="21"/>
      <w:szCs w:val="24"/>
      <w:lang w:eastAsia="en-US"/>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semiHidden/>
    <w:unhideWhenUsed/>
    <w:rsid w:val="00994536"/>
    <w:rPr>
      <w:sz w:val="16"/>
      <w:szCs w:val="16"/>
    </w:rPr>
  </w:style>
  <w:style w:type="paragraph" w:styleId="CommentText">
    <w:name w:val="annotation text"/>
    <w:basedOn w:val="Normal"/>
    <w:link w:val="CommentTextChar"/>
    <w:unhideWhenUsed/>
    <w:rsid w:val="00994536"/>
    <w:rPr>
      <w:sz w:val="20"/>
      <w:szCs w:val="20"/>
    </w:rPr>
  </w:style>
  <w:style w:type="character" w:customStyle="1" w:styleId="CommentTextChar">
    <w:name w:val="Comment Text Char"/>
    <w:basedOn w:val="DefaultParagraphFont"/>
    <w:link w:val="CommentText"/>
    <w:rsid w:val="00994536"/>
    <w:rPr>
      <w:rFonts w:ascii="Arial" w:hAnsi="Arial"/>
      <w:lang w:eastAsia="en-US"/>
    </w:rPr>
  </w:style>
  <w:style w:type="paragraph" w:styleId="BalloonText">
    <w:name w:val="Balloon Text"/>
    <w:basedOn w:val="Normal"/>
    <w:link w:val="BalloonTextChar"/>
    <w:semiHidden/>
    <w:unhideWhenUsed/>
    <w:rsid w:val="00994536"/>
    <w:rPr>
      <w:rFonts w:ascii="Segoe UI" w:hAnsi="Segoe UI" w:cs="Segoe UI"/>
      <w:sz w:val="18"/>
      <w:szCs w:val="18"/>
    </w:rPr>
  </w:style>
  <w:style w:type="character" w:customStyle="1" w:styleId="BalloonTextChar">
    <w:name w:val="Balloon Text Char"/>
    <w:basedOn w:val="DefaultParagraphFont"/>
    <w:link w:val="BalloonText"/>
    <w:semiHidden/>
    <w:rsid w:val="00994536"/>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994536"/>
    <w:rPr>
      <w:b/>
      <w:bCs/>
    </w:rPr>
  </w:style>
  <w:style w:type="character" w:customStyle="1" w:styleId="CommentSubjectChar">
    <w:name w:val="Comment Subject Char"/>
    <w:basedOn w:val="CommentTextChar"/>
    <w:link w:val="CommentSubject"/>
    <w:semiHidden/>
    <w:rsid w:val="00994536"/>
    <w:rPr>
      <w:rFonts w:ascii="Arial" w:hAnsi="Arial"/>
      <w:b/>
      <w:bCs/>
      <w:lang w:eastAsia="en-US"/>
    </w:rPr>
  </w:style>
  <w:style w:type="paragraph" w:styleId="Revision">
    <w:name w:val="Revision"/>
    <w:hidden/>
    <w:uiPriority w:val="99"/>
    <w:semiHidden/>
    <w:rsid w:val="00837B63"/>
    <w:rPr>
      <w:rFonts w:ascii="Arial" w:hAnsi="Arial"/>
      <w:sz w:val="22"/>
      <w:szCs w:val="24"/>
      <w:lang w:eastAsia="en-US"/>
    </w:rPr>
  </w:style>
  <w:style w:type="character" w:styleId="UnresolvedMention">
    <w:name w:val="Unresolved Mention"/>
    <w:basedOn w:val="DefaultParagraphFont"/>
    <w:uiPriority w:val="99"/>
    <w:semiHidden/>
    <w:unhideWhenUsed/>
    <w:rsid w:val="00FF2349"/>
    <w:rPr>
      <w:color w:val="605E5C"/>
      <w:shd w:val="clear" w:color="auto" w:fill="E1DFDD"/>
    </w:rPr>
  </w:style>
  <w:style w:type="paragraph" w:customStyle="1" w:styleId="Superscript">
    <w:name w:val="Superscript"/>
    <w:basedOn w:val="Paragraphtext"/>
    <w:link w:val="SuperscriptChar"/>
    <w:qFormat/>
    <w:rsid w:val="0040432F"/>
    <w:rPr>
      <w:vertAlign w:val="superscript"/>
    </w:rPr>
  </w:style>
  <w:style w:type="character" w:customStyle="1" w:styleId="ParagraphtextChar">
    <w:name w:val="Paragraph text Char"/>
    <w:basedOn w:val="DefaultParagraphFont"/>
    <w:link w:val="Paragraphtext"/>
    <w:rsid w:val="0040432F"/>
    <w:rPr>
      <w:rFonts w:ascii="Arial" w:hAnsi="Arial"/>
      <w:color w:val="000000" w:themeColor="text1"/>
      <w:sz w:val="21"/>
      <w:szCs w:val="24"/>
      <w:lang w:eastAsia="en-US"/>
    </w:rPr>
  </w:style>
  <w:style w:type="character" w:customStyle="1" w:styleId="SuperscriptChar">
    <w:name w:val="Superscript Char"/>
    <w:basedOn w:val="ParagraphtextChar"/>
    <w:link w:val="Superscript"/>
    <w:rsid w:val="0040432F"/>
    <w:rPr>
      <w:rFonts w:ascii="Arial" w:hAnsi="Arial"/>
      <w:color w:val="000000" w:themeColor="text1"/>
      <w:sz w:val="21"/>
      <w:szCs w:val="24"/>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83067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health.gov.au/resources/publications/lsdp-fabry-reapplication" TargetMode="External"/><Relationship Id="rId3" Type="http://schemas.openxmlformats.org/officeDocument/2006/relationships/customXml" Target="../customXml/item3.xml"/><Relationship Id="rId21" Type="http://schemas.openxmlformats.org/officeDocument/2006/relationships/hyperlink" Target="https://health.gov.au/resources/publications/lsdp-fabry-initial-applic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health.gov.au/resources/publications/lsdp-fabry-initial-application" TargetMode="External"/><Relationship Id="rId2" Type="http://schemas.openxmlformats.org/officeDocument/2006/relationships/customXml" Target="../customXml/item2.xml"/><Relationship Id="rId16" Type="http://schemas.openxmlformats.org/officeDocument/2006/relationships/hyperlink" Target="https://health.gov.au/initiatives-and-programs/life-saving-drugs-program" TargetMode="External"/><Relationship Id="rId20" Type="http://schemas.openxmlformats.org/officeDocument/2006/relationships/hyperlink" Target="https://health.gov.au/resources/publications/lsdp-fabry-reappl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bs.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ealth.gov.au/resources/publications/lsdp-fabry-patient-test-results-spreadshe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ga.gov.a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2" ma:contentTypeDescription="Create a new document." ma:contentTypeScope="" ma:versionID="1d4ff37efb3388d6274b5fad02dc121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4C22D8-6EBC-4AE2-B29D-DA099E99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C74D9-388E-49F2-9381-40E88FABAF74}">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Life Saving Drugs Program – Fabry disease – Guidelines</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Fabry disease – Guidelines</dc:title>
  <dc:creator>Australian Government Department of Health and Aged Care</dc:creator>
  <cp:lastModifiedBy>MASCHKE, Elvia</cp:lastModifiedBy>
  <cp:revision>2</cp:revision>
  <dcterms:created xsi:type="dcterms:W3CDTF">2024-08-26T06:37:00Z</dcterms:created>
  <dcterms:modified xsi:type="dcterms:W3CDTF">2024-08-26T06:37:00Z</dcterms:modified>
</cp:coreProperties>
</file>