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10773180"/>
        <w:docPartObj>
          <w:docPartGallery w:val="Cover Pages"/>
          <w:docPartUnique/>
        </w:docPartObj>
      </w:sdtPr>
      <w:sdtContent>
        <w:p w14:paraId="250F181C" w14:textId="77777777" w:rsidR="006F19F8" w:rsidRPr="00FB2B78" w:rsidRDefault="006F19F8">
          <w:r w:rsidRPr="00FB2B78">
            <w:rPr>
              <w:noProof/>
              <w:lang w:eastAsia="en-AU"/>
            </w:rPr>
            <mc:AlternateContent>
              <mc:Choice Requires="wpg">
                <w:drawing>
                  <wp:anchor distT="0" distB="0" distL="114300" distR="114300" simplePos="0" relativeHeight="251663360" behindDoc="1" locked="0" layoutInCell="1" allowOverlap="1" wp14:anchorId="18D2CFBA" wp14:editId="638CA69F">
                    <wp:simplePos x="0" y="0"/>
                    <wp:positionH relativeFrom="margin">
                      <wp:posOffset>-475737</wp:posOffset>
                    </wp:positionH>
                    <wp:positionV relativeFrom="page">
                      <wp:posOffset>142240</wp:posOffset>
                    </wp:positionV>
                    <wp:extent cx="7333736" cy="7499889"/>
                    <wp:effectExtent l="0" t="0" r="635" b="0"/>
                    <wp:wrapNone/>
                    <wp:docPr id="125" name="Group 125" descr="This is the background of the title page. It si coloured green." title="Title page"/>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333736" cy="7499889"/>
                              <a:chOff x="0" y="-540757"/>
                              <a:chExt cx="5947117" cy="6018777"/>
                            </a:xfrm>
                          </wpg:grpSpPr>
                          <wps:wsp>
                            <wps:cNvPr id="126" name="Freeform 10"/>
                            <wps:cNvSpPr>
                              <a:spLocks/>
                            </wps:cNvSpPr>
                            <wps:spPr bwMode="auto">
                              <a:xfrm>
                                <a:off x="0" y="-540757"/>
                                <a:ext cx="5947117" cy="6018777"/>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B050"/>
                              </a:solidFill>
                              <a:ln>
                                <a:noFill/>
                              </a:ln>
                            </wps:spPr>
                            <wps:style>
                              <a:lnRef idx="0">
                                <a:scrgbClr r="0" g="0" b="0"/>
                              </a:lnRef>
                              <a:fillRef idx="1003">
                                <a:schemeClr val="dk2"/>
                              </a:fillRef>
                              <a:effectRef idx="0">
                                <a:scrgbClr r="0" g="0" b="0"/>
                              </a:effectRef>
                              <a:fontRef idx="major"/>
                            </wps:style>
                            <wps:txbx>
                              <w:txbxContent>
                                <w:p w14:paraId="6B8BBE59" w14:textId="12F3DA02" w:rsidR="006F19F8" w:rsidRDefault="006F19F8">
                                  <w:pP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8D2CFBA" id="Group 125" o:spid="_x0000_s1026" alt="Title: Title page - Description: This is the background of the title page. It si coloured green." style="position:absolute;margin-left:-37.45pt;margin-top:11.2pt;width:577.45pt;height:590.55pt;z-index:-251653120;mso-position-horizontal-relative:margin;mso-position-vertical-relative:page;mso-width-relative:margin" coordorigin=",-5407" coordsize="59471,6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">
                    <o:lock v:ext="edit" aspectratio="t"/>
                    <v:shape id="Freeform 10" o:spid="_x0000_s1027" style="position:absolute;top:-5407;width:59471;height:60187;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" adj="-11796480,,5400" path="m,c,644,,644,,644v23,6,62,14,113,21c250,685,476,700,720,644v,-27,,-27,,-27c720,,720,,720,,,,,,,e" fillcolor="#00b050" stroked="f">
                      <v:stroke joinstyle="miter"/>
                      <v:formulas/>
                      <v:path arrowok="t" o:connecttype="custom" o:connectlocs="0,0;0,5537275;933367,5717838;5947117,5537275;5947117,5305122;5947117,0;0,0" o:connectangles="0,0,0,0,0,0,0" textboxrect="0,0,720,700"/>
                      <v:textbox inset="1in,86.4pt,86.4pt,86.4pt">
                        <w:txbxContent>
                          <w:p w14:paraId="6B8BBE59" w14:textId="12F3DA02" w:rsidR="006F19F8" w:rsidRDefault="006F19F8">
                            <w:pPr>
                              <w:rPr>
                                <w:color w:val="FFFFFF" w:themeColor="background1"/>
                                <w:sz w:val="72"/>
                                <w:szCs w:val="72"/>
                              </w:rPr>
                            </w:pP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37249C22" w14:textId="77777777" w:rsidR="00984126" w:rsidRPr="00FB2B78" w:rsidRDefault="006F19F8" w:rsidP="00984126">
          <w:pPr>
            <w:tabs>
              <w:tab w:val="left" w:pos="1677"/>
            </w:tabs>
            <w:spacing w:before="0" w:line="240" w:lineRule="auto"/>
            <w:rPr>
              <w:lang w:val="en-US" w:eastAsia="en-AU"/>
            </w:rPr>
          </w:pPr>
          <w:r w:rsidRPr="00FB2B78">
            <w:rPr>
              <w:noProof/>
              <w:lang w:eastAsia="en-AU"/>
            </w:rPr>
            <mc:AlternateContent>
              <mc:Choice Requires="wps">
                <w:drawing>
                  <wp:anchor distT="0" distB="0" distL="114300" distR="114300" simplePos="0" relativeHeight="251666432" behindDoc="0" locked="0" layoutInCell="1" allowOverlap="1" wp14:anchorId="37C0368D" wp14:editId="1B5B6465">
                    <wp:simplePos x="0" y="0"/>
                    <wp:positionH relativeFrom="margin">
                      <wp:posOffset>490855</wp:posOffset>
                    </wp:positionH>
                    <wp:positionV relativeFrom="margin">
                      <wp:posOffset>1491615</wp:posOffset>
                    </wp:positionV>
                    <wp:extent cx="5607050" cy="409575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607050" cy="4095750"/>
                            </a:xfrm>
                            <a:prstGeom prst="rect">
                              <a:avLst/>
                            </a:prstGeom>
                            <a:noFill/>
                            <a:ln w="6350">
                              <a:noFill/>
                            </a:ln>
                          </wps:spPr>
                          <wps:txbx>
                            <w:txbxContent>
                              <w:p w14:paraId="6CC8377E" w14:textId="24F3EEB2" w:rsidR="006F19F8" w:rsidRDefault="00000000" w:rsidP="006F19F8">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8F1F02" w:rsidRPr="00984126">
                                      <w:rPr>
                                        <w:color w:val="FFFFFF" w:themeColor="background1"/>
                                        <w:sz w:val="72"/>
                                        <w:szCs w:val="72"/>
                                      </w:rPr>
                                      <w:t xml:space="preserve">Healthy Food Partnership </w:t>
                                    </w:r>
                                    <w:r w:rsidR="008F1F02" w:rsidRPr="00AE48D0">
                                      <w:rPr>
                                        <w:color w:val="FFFFFF" w:themeColor="background1"/>
                                        <w:sz w:val="72"/>
                                        <w:szCs w:val="72"/>
                                      </w:rPr>
                                      <w:t xml:space="preserve">Industry </w:t>
                                    </w:r>
                                    <w:r w:rsidR="00AD4F73">
                                      <w:rPr>
                                        <w:color w:val="FFFFFF" w:themeColor="background1"/>
                                        <w:sz w:val="72"/>
                                        <w:szCs w:val="72"/>
                                      </w:rPr>
                                      <w:t>Guide to Voluntary Serving Size Reduction</w:t>
                                    </w:r>
                                    <w:r w:rsidR="008F1F02" w:rsidRPr="00984126">
                                      <w:rPr>
                                        <w:color w:val="FFFFFF" w:themeColor="background1"/>
                                        <w:sz w:val="72"/>
                                        <w:szCs w:val="72"/>
                                      </w:rPr>
                                      <w:t>: Implementation</w:t>
                                    </w:r>
                                    <w:r w:rsidR="00750639">
                                      <w:rPr>
                                        <w:color w:val="FFFFFF" w:themeColor="background1"/>
                                        <w:sz w:val="72"/>
                                        <w:szCs w:val="72"/>
                                      </w:rPr>
                                      <w:t xml:space="preserve"> and Monitoring</w:t>
                                    </w:r>
                                    <w:r w:rsidR="008F1F02" w:rsidRPr="00984126">
                                      <w:rPr>
                                        <w:color w:val="FFFFFF" w:themeColor="background1"/>
                                        <w:sz w:val="72"/>
                                        <w:szCs w:val="72"/>
                                      </w:rPr>
                                      <w:t xml:space="preserve"> Plan</w:t>
                                    </w:r>
                                  </w:sdtContent>
                                </w:sdt>
                              </w:p>
                              <w:p w14:paraId="7AD07CB4" w14:textId="1C2E1A90" w:rsidR="006F19F8" w:rsidRPr="008508BD" w:rsidRDefault="0043655E">
                                <w:pPr>
                                  <w:rPr>
                                    <w:color w:val="FFFFFF" w:themeColor="background1"/>
                                  </w:rPr>
                                </w:pPr>
                                <w:r>
                                  <w:rPr>
                                    <w:color w:val="FFFFFF" w:themeColor="background1"/>
                                  </w:rPr>
                                  <w:t xml:space="preserve">October </w:t>
                                </w:r>
                                <w:r w:rsidR="001D2828">
                                  <w:rPr>
                                    <w:color w:val="FFFFFF" w:themeColor="background1"/>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0368D" id="_x0000_t202" coordsize="21600,21600" o:spt="202" path="m,l,21600r21600,l21600,xe">
                    <v:stroke joinstyle="miter"/>
                    <v:path gradientshapeok="t" o:connecttype="rect"/>
                  </v:shapetype>
                  <v:shape id="Text Box 7" o:spid="_x0000_s1029" type="#_x0000_t202" style="position:absolute;margin-left:38.65pt;margin-top:117.45pt;width:441.5pt;height:3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" filled="f" stroked="f" strokeweight=".5pt">
                    <v:textbox>
                      <w:txbxContent>
                        <w:p w14:paraId="6CC8377E" w14:textId="24F3EEB2" w:rsidR="006F19F8" w:rsidRDefault="00000000" w:rsidP="006F19F8">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8F1F02" w:rsidRPr="00984126">
                                <w:rPr>
                                  <w:color w:val="FFFFFF" w:themeColor="background1"/>
                                  <w:sz w:val="72"/>
                                  <w:szCs w:val="72"/>
                                </w:rPr>
                                <w:t xml:space="preserve">Healthy Food Partnership </w:t>
                              </w:r>
                              <w:r w:rsidR="008F1F02" w:rsidRPr="00AE48D0">
                                <w:rPr>
                                  <w:color w:val="FFFFFF" w:themeColor="background1"/>
                                  <w:sz w:val="72"/>
                                  <w:szCs w:val="72"/>
                                </w:rPr>
                                <w:t xml:space="preserve">Industry </w:t>
                              </w:r>
                              <w:r w:rsidR="00AD4F73">
                                <w:rPr>
                                  <w:color w:val="FFFFFF" w:themeColor="background1"/>
                                  <w:sz w:val="72"/>
                                  <w:szCs w:val="72"/>
                                </w:rPr>
                                <w:t>Guide to Voluntary Serving Size Reduction</w:t>
                              </w:r>
                              <w:r w:rsidR="008F1F02" w:rsidRPr="00984126">
                                <w:rPr>
                                  <w:color w:val="FFFFFF" w:themeColor="background1"/>
                                  <w:sz w:val="72"/>
                                  <w:szCs w:val="72"/>
                                </w:rPr>
                                <w:t>: Implementation</w:t>
                              </w:r>
                              <w:r w:rsidR="00750639">
                                <w:rPr>
                                  <w:color w:val="FFFFFF" w:themeColor="background1"/>
                                  <w:sz w:val="72"/>
                                  <w:szCs w:val="72"/>
                                </w:rPr>
                                <w:t xml:space="preserve"> and Monitoring</w:t>
                              </w:r>
                              <w:r w:rsidR="008F1F02" w:rsidRPr="00984126">
                                <w:rPr>
                                  <w:color w:val="FFFFFF" w:themeColor="background1"/>
                                  <w:sz w:val="72"/>
                                  <w:szCs w:val="72"/>
                                </w:rPr>
                                <w:t xml:space="preserve"> Plan</w:t>
                              </w:r>
                            </w:sdtContent>
                          </w:sdt>
                        </w:p>
                        <w:p w14:paraId="7AD07CB4" w14:textId="1C2E1A90" w:rsidR="006F19F8" w:rsidRPr="008508BD" w:rsidRDefault="0043655E">
                          <w:pPr>
                            <w:rPr>
                              <w:color w:val="FFFFFF" w:themeColor="background1"/>
                            </w:rPr>
                          </w:pPr>
                          <w:r>
                            <w:rPr>
                              <w:color w:val="FFFFFF" w:themeColor="background1"/>
                            </w:rPr>
                            <w:t xml:space="preserve">October </w:t>
                          </w:r>
                          <w:r w:rsidR="001D2828">
                            <w:rPr>
                              <w:color w:val="FFFFFF" w:themeColor="background1"/>
                            </w:rPr>
                            <w:t>2023</w:t>
                          </w:r>
                        </w:p>
                      </w:txbxContent>
                    </v:textbox>
                    <w10:wrap type="square" anchorx="margin" anchory="margin"/>
                  </v:shape>
                </w:pict>
              </mc:Fallback>
            </mc:AlternateContent>
          </w:r>
          <w:r w:rsidRPr="00FB2B78">
            <w:br w:type="page"/>
          </w:r>
        </w:p>
      </w:sdtContent>
    </w:sdt>
    <w:tbl>
      <w:tblPr>
        <w:tblStyle w:val="TableGrid"/>
        <w:tblW w:w="0" w:type="auto"/>
        <w:tblLook w:val="04A0" w:firstRow="1" w:lastRow="0" w:firstColumn="1" w:lastColumn="0" w:noHBand="0" w:noVBand="1"/>
      </w:tblPr>
      <w:tblGrid>
        <w:gridCol w:w="1240"/>
        <w:gridCol w:w="1874"/>
        <w:gridCol w:w="4598"/>
        <w:gridCol w:w="2080"/>
      </w:tblGrid>
      <w:tr w:rsidR="008F1F02" w:rsidRPr="00FB2B78" w14:paraId="701D74E3" w14:textId="77777777" w:rsidTr="00A15643">
        <w:tc>
          <w:tcPr>
            <w:tcW w:w="1240" w:type="dxa"/>
          </w:tcPr>
          <w:p w14:paraId="21339847" w14:textId="77777777" w:rsidR="008F1F02" w:rsidRPr="00FB2B78" w:rsidRDefault="008F1F02" w:rsidP="00A15643">
            <w:pPr>
              <w:autoSpaceDE w:val="0"/>
              <w:autoSpaceDN w:val="0"/>
              <w:adjustRightInd w:val="0"/>
              <w:spacing w:before="120"/>
              <w:contextualSpacing/>
              <w:rPr>
                <w:b/>
              </w:rPr>
            </w:pPr>
            <w:r w:rsidRPr="00FB2B78">
              <w:rPr>
                <w:b/>
              </w:rPr>
              <w:lastRenderedPageBreak/>
              <w:t>Version</w:t>
            </w:r>
          </w:p>
        </w:tc>
        <w:tc>
          <w:tcPr>
            <w:tcW w:w="1874" w:type="dxa"/>
          </w:tcPr>
          <w:p w14:paraId="53659111" w14:textId="77777777" w:rsidR="008F1F02" w:rsidRPr="00FB2B78" w:rsidRDefault="008F1F02" w:rsidP="00A15643">
            <w:pPr>
              <w:autoSpaceDE w:val="0"/>
              <w:autoSpaceDN w:val="0"/>
              <w:adjustRightInd w:val="0"/>
              <w:spacing w:before="120"/>
              <w:contextualSpacing/>
              <w:rPr>
                <w:b/>
              </w:rPr>
            </w:pPr>
            <w:r w:rsidRPr="00FB2B78">
              <w:rPr>
                <w:b/>
              </w:rPr>
              <w:t>Location</w:t>
            </w:r>
          </w:p>
        </w:tc>
        <w:tc>
          <w:tcPr>
            <w:tcW w:w="4598" w:type="dxa"/>
          </w:tcPr>
          <w:p w14:paraId="7A7B18A2" w14:textId="77777777" w:rsidR="008F1F02" w:rsidRPr="00FB2B78" w:rsidRDefault="008F1F02" w:rsidP="00A15643">
            <w:pPr>
              <w:autoSpaceDE w:val="0"/>
              <w:autoSpaceDN w:val="0"/>
              <w:adjustRightInd w:val="0"/>
              <w:spacing w:before="120"/>
              <w:contextualSpacing/>
              <w:rPr>
                <w:b/>
              </w:rPr>
            </w:pPr>
            <w:r w:rsidRPr="00FB2B78">
              <w:rPr>
                <w:b/>
              </w:rPr>
              <w:t>Change</w:t>
            </w:r>
          </w:p>
        </w:tc>
        <w:tc>
          <w:tcPr>
            <w:tcW w:w="2080" w:type="dxa"/>
          </w:tcPr>
          <w:p w14:paraId="5F6CE86D" w14:textId="77777777" w:rsidR="008F1F02" w:rsidRPr="00FB2B78" w:rsidRDefault="008F1F02" w:rsidP="00A15643">
            <w:pPr>
              <w:autoSpaceDE w:val="0"/>
              <w:autoSpaceDN w:val="0"/>
              <w:adjustRightInd w:val="0"/>
              <w:spacing w:before="120"/>
              <w:contextualSpacing/>
              <w:rPr>
                <w:b/>
              </w:rPr>
            </w:pPr>
            <w:r w:rsidRPr="00FB2B78">
              <w:rPr>
                <w:b/>
              </w:rPr>
              <w:t>Date</w:t>
            </w:r>
          </w:p>
        </w:tc>
      </w:tr>
      <w:tr w:rsidR="008F1F02" w:rsidRPr="00FB2B78" w14:paraId="4CE4E4DF" w14:textId="77777777" w:rsidTr="00A15643">
        <w:tc>
          <w:tcPr>
            <w:tcW w:w="1240" w:type="dxa"/>
          </w:tcPr>
          <w:p w14:paraId="351A19C2" w14:textId="77777777" w:rsidR="008F1F02" w:rsidRPr="00FB2B78" w:rsidRDefault="008F1F02" w:rsidP="00A15643">
            <w:pPr>
              <w:autoSpaceDE w:val="0"/>
              <w:autoSpaceDN w:val="0"/>
              <w:adjustRightInd w:val="0"/>
              <w:spacing w:before="120"/>
              <w:contextualSpacing/>
              <w:rPr>
                <w:rFonts w:asciiTheme="minorHAnsi" w:hAnsiTheme="minorHAnsi" w:cstheme="minorHAnsi"/>
              </w:rPr>
            </w:pPr>
            <w:r w:rsidRPr="00FB2B78">
              <w:rPr>
                <w:rFonts w:asciiTheme="minorHAnsi" w:hAnsiTheme="minorHAnsi" w:cstheme="minorHAnsi"/>
              </w:rPr>
              <w:t>1</w:t>
            </w:r>
          </w:p>
        </w:tc>
        <w:tc>
          <w:tcPr>
            <w:tcW w:w="1874" w:type="dxa"/>
          </w:tcPr>
          <w:p w14:paraId="455AF387" w14:textId="70D0937F" w:rsidR="008F1F02" w:rsidRPr="00FB2B78" w:rsidRDefault="001D2828" w:rsidP="00A15643">
            <w:pPr>
              <w:autoSpaceDE w:val="0"/>
              <w:autoSpaceDN w:val="0"/>
              <w:adjustRightInd w:val="0"/>
              <w:spacing w:before="120"/>
              <w:contextualSpacing/>
              <w:rPr>
                <w:rFonts w:asciiTheme="minorHAnsi" w:hAnsiTheme="minorHAnsi" w:cstheme="minorHAnsi"/>
              </w:rPr>
            </w:pPr>
            <w:r w:rsidRPr="00FB2B78">
              <w:rPr>
                <w:rFonts w:asciiTheme="minorHAnsi" w:hAnsiTheme="minorHAnsi" w:cstheme="minorHAnsi"/>
              </w:rPr>
              <w:t>D22-635406</w:t>
            </w:r>
          </w:p>
        </w:tc>
        <w:tc>
          <w:tcPr>
            <w:tcW w:w="4598" w:type="dxa"/>
          </w:tcPr>
          <w:p w14:paraId="4D3D69E5" w14:textId="06679F6C" w:rsidR="008F1F02" w:rsidRPr="00FB2B78" w:rsidRDefault="0043655E" w:rsidP="00A15643">
            <w:pPr>
              <w:autoSpaceDE w:val="0"/>
              <w:autoSpaceDN w:val="0"/>
              <w:adjustRightInd w:val="0"/>
              <w:spacing w:before="120"/>
              <w:contextualSpacing/>
              <w:rPr>
                <w:rFonts w:asciiTheme="minorHAnsi" w:hAnsiTheme="minorHAnsi" w:cstheme="minorHAnsi"/>
              </w:rPr>
            </w:pPr>
            <w:r w:rsidRPr="00FB2B78">
              <w:rPr>
                <w:rFonts w:asciiTheme="minorHAnsi" w:hAnsiTheme="minorHAnsi" w:cstheme="minorHAnsi"/>
              </w:rPr>
              <w:t>Updated following feedback from IMERG</w:t>
            </w:r>
          </w:p>
        </w:tc>
        <w:tc>
          <w:tcPr>
            <w:tcW w:w="2080" w:type="dxa"/>
          </w:tcPr>
          <w:p w14:paraId="48144697" w14:textId="6B0C6460" w:rsidR="008F1F02" w:rsidRPr="00FB2B78" w:rsidRDefault="001D2828" w:rsidP="00A15643">
            <w:pPr>
              <w:autoSpaceDE w:val="0"/>
              <w:autoSpaceDN w:val="0"/>
              <w:adjustRightInd w:val="0"/>
              <w:spacing w:before="120"/>
              <w:contextualSpacing/>
              <w:rPr>
                <w:rFonts w:asciiTheme="minorHAnsi" w:hAnsiTheme="minorHAnsi" w:cstheme="minorHAnsi"/>
              </w:rPr>
            </w:pPr>
            <w:r w:rsidRPr="00FB2B78">
              <w:rPr>
                <w:rFonts w:asciiTheme="minorHAnsi" w:hAnsiTheme="minorHAnsi" w:cstheme="minorHAnsi"/>
              </w:rPr>
              <w:t>Ma</w:t>
            </w:r>
            <w:r w:rsidR="00395A9D" w:rsidRPr="00FB2B78">
              <w:rPr>
                <w:rFonts w:asciiTheme="minorHAnsi" w:hAnsiTheme="minorHAnsi" w:cstheme="minorHAnsi"/>
              </w:rPr>
              <w:t>y</w:t>
            </w:r>
            <w:r w:rsidRPr="00FB2B78">
              <w:rPr>
                <w:rFonts w:asciiTheme="minorHAnsi" w:hAnsiTheme="minorHAnsi" w:cstheme="minorHAnsi"/>
              </w:rPr>
              <w:t xml:space="preserve"> 2023</w:t>
            </w:r>
          </w:p>
        </w:tc>
      </w:tr>
      <w:tr w:rsidR="0043655E" w:rsidRPr="00FB2B78" w14:paraId="6C347EF7" w14:textId="77777777" w:rsidTr="00A15643">
        <w:tc>
          <w:tcPr>
            <w:tcW w:w="1240" w:type="dxa"/>
          </w:tcPr>
          <w:p w14:paraId="290C40A6" w14:textId="34F7BE2C" w:rsidR="0043655E" w:rsidRPr="00FB2B78" w:rsidRDefault="0043655E" w:rsidP="00A15643">
            <w:pPr>
              <w:autoSpaceDE w:val="0"/>
              <w:autoSpaceDN w:val="0"/>
              <w:adjustRightInd w:val="0"/>
              <w:spacing w:before="120"/>
              <w:contextualSpacing/>
              <w:rPr>
                <w:rFonts w:asciiTheme="minorHAnsi" w:hAnsiTheme="minorHAnsi" w:cstheme="minorHAnsi"/>
              </w:rPr>
            </w:pPr>
            <w:r w:rsidRPr="00FB2B78">
              <w:rPr>
                <w:rFonts w:asciiTheme="minorHAnsi" w:hAnsiTheme="minorHAnsi" w:cstheme="minorHAnsi"/>
              </w:rPr>
              <w:t>2</w:t>
            </w:r>
          </w:p>
        </w:tc>
        <w:tc>
          <w:tcPr>
            <w:tcW w:w="1874" w:type="dxa"/>
          </w:tcPr>
          <w:p w14:paraId="5618E5B0" w14:textId="64EE315F" w:rsidR="0043655E" w:rsidRPr="00FB2B78" w:rsidRDefault="0043655E" w:rsidP="00A15643">
            <w:pPr>
              <w:autoSpaceDE w:val="0"/>
              <w:autoSpaceDN w:val="0"/>
              <w:adjustRightInd w:val="0"/>
              <w:spacing w:before="120"/>
              <w:contextualSpacing/>
              <w:rPr>
                <w:rFonts w:asciiTheme="minorHAnsi" w:hAnsiTheme="minorHAnsi" w:cstheme="minorHAnsi"/>
              </w:rPr>
            </w:pPr>
            <w:r w:rsidRPr="00FB2B78">
              <w:rPr>
                <w:rFonts w:asciiTheme="minorHAnsi" w:hAnsiTheme="minorHAnsi" w:cstheme="minorHAnsi"/>
              </w:rPr>
              <w:t>D22-635406</w:t>
            </w:r>
          </w:p>
        </w:tc>
        <w:tc>
          <w:tcPr>
            <w:tcW w:w="4598" w:type="dxa"/>
          </w:tcPr>
          <w:p w14:paraId="1430726C" w14:textId="61A97B52" w:rsidR="0043655E" w:rsidRPr="00FB2B78" w:rsidRDefault="0043655E" w:rsidP="00A15643">
            <w:pPr>
              <w:autoSpaceDE w:val="0"/>
              <w:autoSpaceDN w:val="0"/>
              <w:adjustRightInd w:val="0"/>
              <w:spacing w:before="120"/>
              <w:contextualSpacing/>
              <w:rPr>
                <w:rFonts w:asciiTheme="minorHAnsi" w:hAnsiTheme="minorHAnsi" w:cstheme="minorHAnsi"/>
              </w:rPr>
            </w:pPr>
            <w:r w:rsidRPr="00FB2B78">
              <w:rPr>
                <w:rFonts w:asciiTheme="minorHAnsi" w:hAnsiTheme="minorHAnsi" w:cstheme="minorHAnsi"/>
              </w:rPr>
              <w:t>Including option for companies to commit</w:t>
            </w:r>
          </w:p>
        </w:tc>
        <w:tc>
          <w:tcPr>
            <w:tcW w:w="2080" w:type="dxa"/>
          </w:tcPr>
          <w:p w14:paraId="21A258C7" w14:textId="5801ECE3" w:rsidR="0043655E" w:rsidRPr="00FB2B78" w:rsidRDefault="0043655E" w:rsidP="00A15643">
            <w:pPr>
              <w:autoSpaceDE w:val="0"/>
              <w:autoSpaceDN w:val="0"/>
              <w:adjustRightInd w:val="0"/>
              <w:spacing w:before="120"/>
              <w:contextualSpacing/>
              <w:rPr>
                <w:rFonts w:asciiTheme="minorHAnsi" w:hAnsiTheme="minorHAnsi" w:cstheme="minorHAnsi"/>
              </w:rPr>
            </w:pPr>
            <w:r w:rsidRPr="00FB2B78">
              <w:rPr>
                <w:rFonts w:asciiTheme="minorHAnsi" w:hAnsiTheme="minorHAnsi" w:cstheme="minorHAnsi"/>
              </w:rPr>
              <w:t>October 2023</w:t>
            </w:r>
          </w:p>
        </w:tc>
      </w:tr>
    </w:tbl>
    <w:p w14:paraId="24BA4B7D" w14:textId="153BEDF5" w:rsidR="006F19F8" w:rsidRPr="00FB2B78" w:rsidRDefault="006F19F8" w:rsidP="00984126">
      <w:pPr>
        <w:tabs>
          <w:tab w:val="left" w:pos="1677"/>
        </w:tabs>
        <w:spacing w:before="0" w:line="240" w:lineRule="auto"/>
        <w:rPr>
          <w:lang w:val="en-US" w:eastAsia="en-AU"/>
        </w:rPr>
      </w:pPr>
    </w:p>
    <w:p w14:paraId="72F9F30E" w14:textId="2A3EE0C2" w:rsidR="006F19F8" w:rsidRPr="00FB2B78" w:rsidRDefault="006F19F8" w:rsidP="00FD49C2">
      <w:pPr>
        <w:rPr>
          <w:lang w:val="en-US" w:eastAsia="en-AU"/>
        </w:rPr>
      </w:pPr>
    </w:p>
    <w:p w14:paraId="255B36EC" w14:textId="34AF92D0" w:rsidR="00277E3D" w:rsidRPr="00FB2B78" w:rsidRDefault="006F19F8">
      <w:pPr>
        <w:spacing w:before="0" w:line="240" w:lineRule="auto"/>
        <w:rPr>
          <w:lang w:val="en-US" w:eastAsia="en-AU"/>
        </w:rPr>
      </w:pPr>
      <w:r w:rsidRPr="00FB2B78">
        <w:rPr>
          <w:lang w:val="en-US" w:eastAsia="en-AU"/>
        </w:rPr>
        <w:br w:type="page"/>
      </w:r>
    </w:p>
    <w:sdt>
      <w:sdtPr>
        <w:rPr>
          <w:szCs w:val="24"/>
          <w:lang w:val="en-AU"/>
        </w:rPr>
        <w:id w:val="335116948"/>
        <w:docPartObj>
          <w:docPartGallery w:val="Table of Contents"/>
          <w:docPartUnique/>
        </w:docPartObj>
      </w:sdtPr>
      <w:sdtEndPr>
        <w:rPr>
          <w:b/>
          <w:bCs/>
          <w:noProof/>
        </w:rPr>
      </w:sdtEndPr>
      <w:sdtContent>
        <w:p w14:paraId="3756BFB2" w14:textId="2435A722" w:rsidR="00277E3D" w:rsidRPr="00FB2B78" w:rsidRDefault="00277E3D" w:rsidP="008C452B">
          <w:pPr>
            <w:pStyle w:val="BulletPoint1"/>
            <w:rPr>
              <w:rStyle w:val="IntenseEmphasis"/>
              <w:i w:val="0"/>
              <w:iCs w:val="0"/>
              <w:sz w:val="36"/>
              <w:szCs w:val="36"/>
            </w:rPr>
          </w:pPr>
          <w:r w:rsidRPr="00FB2B78">
            <w:rPr>
              <w:rStyle w:val="IntenseEmphasis"/>
              <w:i w:val="0"/>
              <w:iCs w:val="0"/>
              <w:sz w:val="36"/>
              <w:szCs w:val="36"/>
            </w:rPr>
            <w:t>T</w:t>
          </w:r>
          <w:r w:rsidR="008C452B" w:rsidRPr="00FB2B78">
            <w:rPr>
              <w:rStyle w:val="IntenseEmphasis"/>
              <w:i w:val="0"/>
              <w:iCs w:val="0"/>
              <w:sz w:val="36"/>
              <w:szCs w:val="36"/>
            </w:rPr>
            <w:t>a</w:t>
          </w:r>
          <w:r w:rsidRPr="00FB2B78">
            <w:rPr>
              <w:rStyle w:val="IntenseEmphasis"/>
              <w:i w:val="0"/>
              <w:iCs w:val="0"/>
              <w:sz w:val="36"/>
              <w:szCs w:val="36"/>
            </w:rPr>
            <w:t>ble of Contents</w:t>
          </w:r>
        </w:p>
        <w:p w14:paraId="5DC5AE8D" w14:textId="7A2FD76E" w:rsidR="00C30B65" w:rsidRPr="00FB2B78" w:rsidRDefault="00277E3D">
          <w:pPr>
            <w:pStyle w:val="TOC1"/>
            <w:tabs>
              <w:tab w:val="right" w:leader="dot" w:pos="10076"/>
            </w:tabs>
            <w:rPr>
              <w:rFonts w:asciiTheme="minorHAnsi" w:eastAsiaTheme="minorEastAsia" w:hAnsiTheme="minorHAnsi" w:cstheme="minorHAnsi"/>
              <w:noProof/>
              <w:sz w:val="22"/>
              <w:szCs w:val="22"/>
              <w:lang w:eastAsia="en-AU"/>
            </w:rPr>
          </w:pPr>
          <w:r w:rsidRPr="00FB2B78">
            <w:rPr>
              <w:rFonts w:asciiTheme="minorHAnsi" w:hAnsiTheme="minorHAnsi" w:cstheme="minorHAnsi"/>
              <w:sz w:val="22"/>
              <w:szCs w:val="22"/>
            </w:rPr>
            <w:fldChar w:fldCharType="begin"/>
          </w:r>
          <w:r w:rsidRPr="00FB2B78">
            <w:rPr>
              <w:rFonts w:asciiTheme="minorHAnsi" w:hAnsiTheme="minorHAnsi" w:cstheme="minorHAnsi"/>
              <w:sz w:val="22"/>
              <w:szCs w:val="22"/>
            </w:rPr>
            <w:instrText xml:space="preserve"> TOC \o "1-3" \h \z \u </w:instrText>
          </w:r>
          <w:r w:rsidRPr="00FB2B78">
            <w:rPr>
              <w:rFonts w:asciiTheme="minorHAnsi" w:hAnsiTheme="minorHAnsi" w:cstheme="minorHAnsi"/>
              <w:sz w:val="22"/>
              <w:szCs w:val="22"/>
            </w:rPr>
            <w:fldChar w:fldCharType="separate"/>
          </w:r>
          <w:hyperlink w:anchor="_Toc130547250" w:history="1">
            <w:r w:rsidR="00C30B65" w:rsidRPr="00FB2B78">
              <w:rPr>
                <w:rStyle w:val="Hyperlink"/>
                <w:rFonts w:asciiTheme="minorHAnsi" w:hAnsiTheme="minorHAnsi" w:cstheme="minorHAnsi"/>
                <w:noProof/>
              </w:rPr>
              <w:t>The Healthy Food Partnership Industry Guide to Voluntary Serving Size Reduction (the Guide)</w:t>
            </w:r>
            <w:r w:rsidR="00C30B65" w:rsidRPr="00FB2B78">
              <w:rPr>
                <w:rFonts w:asciiTheme="minorHAnsi" w:hAnsiTheme="minorHAnsi" w:cstheme="minorHAnsi"/>
                <w:noProof/>
                <w:webHidden/>
              </w:rPr>
              <w:tab/>
            </w:r>
            <w:r w:rsidR="00C30B65" w:rsidRPr="00FB2B78">
              <w:rPr>
                <w:rFonts w:asciiTheme="minorHAnsi" w:hAnsiTheme="minorHAnsi" w:cstheme="minorHAnsi"/>
                <w:noProof/>
                <w:webHidden/>
              </w:rPr>
              <w:fldChar w:fldCharType="begin"/>
            </w:r>
            <w:r w:rsidR="00C30B65" w:rsidRPr="00FB2B78">
              <w:rPr>
                <w:rFonts w:asciiTheme="minorHAnsi" w:hAnsiTheme="minorHAnsi" w:cstheme="minorHAnsi"/>
                <w:noProof/>
                <w:webHidden/>
              </w:rPr>
              <w:instrText xml:space="preserve"> PAGEREF _Toc130547250 \h </w:instrText>
            </w:r>
            <w:r w:rsidR="00C30B65" w:rsidRPr="00FB2B78">
              <w:rPr>
                <w:rFonts w:asciiTheme="minorHAnsi" w:hAnsiTheme="minorHAnsi" w:cstheme="minorHAnsi"/>
                <w:noProof/>
                <w:webHidden/>
              </w:rPr>
            </w:r>
            <w:r w:rsidR="00C30B65" w:rsidRPr="00FB2B78">
              <w:rPr>
                <w:rFonts w:asciiTheme="minorHAnsi" w:hAnsiTheme="minorHAnsi" w:cstheme="minorHAnsi"/>
                <w:noProof/>
                <w:webHidden/>
              </w:rPr>
              <w:fldChar w:fldCharType="separate"/>
            </w:r>
            <w:r w:rsidR="00C30B65" w:rsidRPr="00FB2B78">
              <w:rPr>
                <w:rFonts w:asciiTheme="minorHAnsi" w:hAnsiTheme="minorHAnsi" w:cstheme="minorHAnsi"/>
                <w:noProof/>
                <w:webHidden/>
              </w:rPr>
              <w:t>3</w:t>
            </w:r>
            <w:r w:rsidR="00C30B65" w:rsidRPr="00FB2B78">
              <w:rPr>
                <w:rFonts w:asciiTheme="minorHAnsi" w:hAnsiTheme="minorHAnsi" w:cstheme="minorHAnsi"/>
                <w:noProof/>
                <w:webHidden/>
              </w:rPr>
              <w:fldChar w:fldCharType="end"/>
            </w:r>
          </w:hyperlink>
        </w:p>
        <w:p w14:paraId="03C64931" w14:textId="2F9AF8D6" w:rsidR="00C30B65" w:rsidRPr="00FB2B78" w:rsidRDefault="00000000">
          <w:pPr>
            <w:pStyle w:val="TOC1"/>
            <w:tabs>
              <w:tab w:val="right" w:leader="dot" w:pos="10076"/>
            </w:tabs>
            <w:rPr>
              <w:rFonts w:asciiTheme="minorHAnsi" w:eastAsiaTheme="minorEastAsia" w:hAnsiTheme="minorHAnsi" w:cstheme="minorHAnsi"/>
              <w:noProof/>
              <w:sz w:val="22"/>
              <w:szCs w:val="22"/>
              <w:lang w:eastAsia="en-AU"/>
            </w:rPr>
          </w:pPr>
          <w:hyperlink w:anchor="_Toc130547251" w:history="1">
            <w:r w:rsidR="00C30B65" w:rsidRPr="00FB2B78">
              <w:rPr>
                <w:rStyle w:val="Hyperlink"/>
                <w:rFonts w:asciiTheme="minorHAnsi" w:hAnsiTheme="minorHAnsi" w:cstheme="minorHAnsi"/>
                <w:noProof/>
              </w:rPr>
              <w:t>How the Implementation and Monitoring Plan should be used</w:t>
            </w:r>
            <w:r w:rsidR="00C30B65" w:rsidRPr="00FB2B78">
              <w:rPr>
                <w:rFonts w:asciiTheme="minorHAnsi" w:hAnsiTheme="minorHAnsi" w:cstheme="minorHAnsi"/>
                <w:noProof/>
                <w:webHidden/>
              </w:rPr>
              <w:tab/>
            </w:r>
            <w:r w:rsidR="00C30B65" w:rsidRPr="00FB2B78">
              <w:rPr>
                <w:rFonts w:asciiTheme="minorHAnsi" w:hAnsiTheme="minorHAnsi" w:cstheme="minorHAnsi"/>
                <w:noProof/>
                <w:webHidden/>
              </w:rPr>
              <w:fldChar w:fldCharType="begin"/>
            </w:r>
            <w:r w:rsidR="00C30B65" w:rsidRPr="00FB2B78">
              <w:rPr>
                <w:rFonts w:asciiTheme="minorHAnsi" w:hAnsiTheme="minorHAnsi" w:cstheme="minorHAnsi"/>
                <w:noProof/>
                <w:webHidden/>
              </w:rPr>
              <w:instrText xml:space="preserve"> PAGEREF _Toc130547251 \h </w:instrText>
            </w:r>
            <w:r w:rsidR="00C30B65" w:rsidRPr="00FB2B78">
              <w:rPr>
                <w:rFonts w:asciiTheme="minorHAnsi" w:hAnsiTheme="minorHAnsi" w:cstheme="minorHAnsi"/>
                <w:noProof/>
                <w:webHidden/>
              </w:rPr>
            </w:r>
            <w:r w:rsidR="00C30B65" w:rsidRPr="00FB2B78">
              <w:rPr>
                <w:rFonts w:asciiTheme="minorHAnsi" w:hAnsiTheme="minorHAnsi" w:cstheme="minorHAnsi"/>
                <w:noProof/>
                <w:webHidden/>
              </w:rPr>
              <w:fldChar w:fldCharType="separate"/>
            </w:r>
            <w:r w:rsidR="00C30B65" w:rsidRPr="00FB2B78">
              <w:rPr>
                <w:rFonts w:asciiTheme="minorHAnsi" w:hAnsiTheme="minorHAnsi" w:cstheme="minorHAnsi"/>
                <w:noProof/>
                <w:webHidden/>
              </w:rPr>
              <w:t>3</w:t>
            </w:r>
            <w:r w:rsidR="00C30B65" w:rsidRPr="00FB2B78">
              <w:rPr>
                <w:rFonts w:asciiTheme="minorHAnsi" w:hAnsiTheme="minorHAnsi" w:cstheme="minorHAnsi"/>
                <w:noProof/>
                <w:webHidden/>
              </w:rPr>
              <w:fldChar w:fldCharType="end"/>
            </w:r>
          </w:hyperlink>
        </w:p>
        <w:p w14:paraId="68F29AD7" w14:textId="4CB886F2" w:rsidR="00C30B65" w:rsidRPr="00FB2B78" w:rsidRDefault="00000000">
          <w:pPr>
            <w:pStyle w:val="TOC2"/>
            <w:tabs>
              <w:tab w:val="right" w:leader="dot" w:pos="10076"/>
            </w:tabs>
            <w:rPr>
              <w:rFonts w:asciiTheme="minorHAnsi" w:eastAsiaTheme="minorEastAsia" w:hAnsiTheme="minorHAnsi" w:cstheme="minorHAnsi"/>
              <w:noProof/>
              <w:sz w:val="22"/>
              <w:szCs w:val="22"/>
              <w:lang w:eastAsia="en-AU"/>
            </w:rPr>
          </w:pPr>
          <w:hyperlink w:anchor="_Toc130547252" w:history="1">
            <w:r w:rsidR="00C30B65" w:rsidRPr="00FB2B78">
              <w:rPr>
                <w:rStyle w:val="Hyperlink"/>
                <w:rFonts w:asciiTheme="minorHAnsi" w:hAnsiTheme="minorHAnsi" w:cstheme="minorHAnsi"/>
                <w:noProof/>
                <w:lang w:val="en-US" w:eastAsia="en-AU"/>
              </w:rPr>
              <w:t>Implementation guiding principles</w:t>
            </w:r>
            <w:r w:rsidR="00C30B65" w:rsidRPr="00FB2B78">
              <w:rPr>
                <w:rFonts w:asciiTheme="minorHAnsi" w:hAnsiTheme="minorHAnsi" w:cstheme="minorHAnsi"/>
                <w:noProof/>
                <w:webHidden/>
              </w:rPr>
              <w:tab/>
            </w:r>
            <w:r w:rsidR="00C30B65" w:rsidRPr="00FB2B78">
              <w:rPr>
                <w:rFonts w:asciiTheme="minorHAnsi" w:hAnsiTheme="minorHAnsi" w:cstheme="minorHAnsi"/>
                <w:noProof/>
                <w:webHidden/>
              </w:rPr>
              <w:fldChar w:fldCharType="begin"/>
            </w:r>
            <w:r w:rsidR="00C30B65" w:rsidRPr="00FB2B78">
              <w:rPr>
                <w:rFonts w:asciiTheme="minorHAnsi" w:hAnsiTheme="minorHAnsi" w:cstheme="minorHAnsi"/>
                <w:noProof/>
                <w:webHidden/>
              </w:rPr>
              <w:instrText xml:space="preserve"> PAGEREF _Toc130547252 \h </w:instrText>
            </w:r>
            <w:r w:rsidR="00C30B65" w:rsidRPr="00FB2B78">
              <w:rPr>
                <w:rFonts w:asciiTheme="minorHAnsi" w:hAnsiTheme="minorHAnsi" w:cstheme="minorHAnsi"/>
                <w:noProof/>
                <w:webHidden/>
              </w:rPr>
            </w:r>
            <w:r w:rsidR="00C30B65" w:rsidRPr="00FB2B78">
              <w:rPr>
                <w:rFonts w:asciiTheme="minorHAnsi" w:hAnsiTheme="minorHAnsi" w:cstheme="minorHAnsi"/>
                <w:noProof/>
                <w:webHidden/>
              </w:rPr>
              <w:fldChar w:fldCharType="separate"/>
            </w:r>
            <w:r w:rsidR="00C30B65" w:rsidRPr="00FB2B78">
              <w:rPr>
                <w:rFonts w:asciiTheme="minorHAnsi" w:hAnsiTheme="minorHAnsi" w:cstheme="minorHAnsi"/>
                <w:noProof/>
                <w:webHidden/>
              </w:rPr>
              <w:t>3</w:t>
            </w:r>
            <w:r w:rsidR="00C30B65" w:rsidRPr="00FB2B78">
              <w:rPr>
                <w:rFonts w:asciiTheme="minorHAnsi" w:hAnsiTheme="minorHAnsi" w:cstheme="minorHAnsi"/>
                <w:noProof/>
                <w:webHidden/>
              </w:rPr>
              <w:fldChar w:fldCharType="end"/>
            </w:r>
          </w:hyperlink>
        </w:p>
        <w:p w14:paraId="3E2B133B" w14:textId="337F9050" w:rsidR="00C30B65" w:rsidRPr="00FB2B78" w:rsidRDefault="00000000">
          <w:pPr>
            <w:pStyle w:val="TOC1"/>
            <w:tabs>
              <w:tab w:val="right" w:leader="dot" w:pos="10076"/>
            </w:tabs>
            <w:rPr>
              <w:rFonts w:asciiTheme="minorHAnsi" w:eastAsiaTheme="minorEastAsia" w:hAnsiTheme="minorHAnsi" w:cstheme="minorHAnsi"/>
              <w:noProof/>
              <w:sz w:val="22"/>
              <w:szCs w:val="22"/>
              <w:lang w:eastAsia="en-AU"/>
            </w:rPr>
          </w:pPr>
          <w:hyperlink w:anchor="_Toc130547253" w:history="1">
            <w:r w:rsidR="00C30B65" w:rsidRPr="00FB2B78">
              <w:rPr>
                <w:rStyle w:val="Hyperlink"/>
                <w:rFonts w:asciiTheme="minorHAnsi" w:hAnsiTheme="minorHAnsi" w:cstheme="minorHAnsi"/>
                <w:noProof/>
              </w:rPr>
              <w:t>Implementation Timeline</w:t>
            </w:r>
            <w:r w:rsidR="00C30B65" w:rsidRPr="00FB2B78">
              <w:rPr>
                <w:rFonts w:asciiTheme="minorHAnsi" w:hAnsiTheme="minorHAnsi" w:cstheme="minorHAnsi"/>
                <w:noProof/>
                <w:webHidden/>
              </w:rPr>
              <w:tab/>
            </w:r>
            <w:r w:rsidR="00C30B65" w:rsidRPr="00FB2B78">
              <w:rPr>
                <w:rFonts w:asciiTheme="minorHAnsi" w:hAnsiTheme="minorHAnsi" w:cstheme="minorHAnsi"/>
                <w:noProof/>
                <w:webHidden/>
              </w:rPr>
              <w:fldChar w:fldCharType="begin"/>
            </w:r>
            <w:r w:rsidR="00C30B65" w:rsidRPr="00FB2B78">
              <w:rPr>
                <w:rFonts w:asciiTheme="minorHAnsi" w:hAnsiTheme="minorHAnsi" w:cstheme="minorHAnsi"/>
                <w:noProof/>
                <w:webHidden/>
              </w:rPr>
              <w:instrText xml:space="preserve"> PAGEREF _Toc130547253 \h </w:instrText>
            </w:r>
            <w:r w:rsidR="00C30B65" w:rsidRPr="00FB2B78">
              <w:rPr>
                <w:rFonts w:asciiTheme="minorHAnsi" w:hAnsiTheme="minorHAnsi" w:cstheme="minorHAnsi"/>
                <w:noProof/>
                <w:webHidden/>
              </w:rPr>
            </w:r>
            <w:r w:rsidR="00C30B65" w:rsidRPr="00FB2B78">
              <w:rPr>
                <w:rFonts w:asciiTheme="minorHAnsi" w:hAnsiTheme="minorHAnsi" w:cstheme="minorHAnsi"/>
                <w:noProof/>
                <w:webHidden/>
              </w:rPr>
              <w:fldChar w:fldCharType="separate"/>
            </w:r>
            <w:r w:rsidR="00C30B65" w:rsidRPr="00FB2B78">
              <w:rPr>
                <w:rFonts w:asciiTheme="minorHAnsi" w:hAnsiTheme="minorHAnsi" w:cstheme="minorHAnsi"/>
                <w:noProof/>
                <w:webHidden/>
              </w:rPr>
              <w:t>4</w:t>
            </w:r>
            <w:r w:rsidR="00C30B65" w:rsidRPr="00FB2B78">
              <w:rPr>
                <w:rFonts w:asciiTheme="minorHAnsi" w:hAnsiTheme="minorHAnsi" w:cstheme="minorHAnsi"/>
                <w:noProof/>
                <w:webHidden/>
              </w:rPr>
              <w:fldChar w:fldCharType="end"/>
            </w:r>
          </w:hyperlink>
        </w:p>
        <w:p w14:paraId="158D9235" w14:textId="357F7AF3" w:rsidR="00C30B65" w:rsidRPr="00FB2B78" w:rsidRDefault="00000000">
          <w:pPr>
            <w:pStyle w:val="TOC1"/>
            <w:tabs>
              <w:tab w:val="right" w:leader="dot" w:pos="10076"/>
            </w:tabs>
            <w:rPr>
              <w:rFonts w:asciiTheme="minorHAnsi" w:eastAsiaTheme="minorEastAsia" w:hAnsiTheme="minorHAnsi" w:cstheme="minorHAnsi"/>
              <w:noProof/>
              <w:sz w:val="22"/>
              <w:szCs w:val="22"/>
              <w:lang w:eastAsia="en-AU"/>
            </w:rPr>
          </w:pPr>
          <w:hyperlink w:anchor="_Toc130547254" w:history="1">
            <w:r w:rsidR="00C30B65" w:rsidRPr="00FB2B78">
              <w:rPr>
                <w:rStyle w:val="Hyperlink"/>
                <w:rFonts w:asciiTheme="minorHAnsi" w:hAnsiTheme="minorHAnsi" w:cstheme="minorHAnsi"/>
                <w:noProof/>
              </w:rPr>
              <w:t>Data collection and analysis</w:t>
            </w:r>
            <w:r w:rsidR="00C30B65" w:rsidRPr="00FB2B78">
              <w:rPr>
                <w:rFonts w:asciiTheme="minorHAnsi" w:hAnsiTheme="minorHAnsi" w:cstheme="minorHAnsi"/>
                <w:noProof/>
                <w:webHidden/>
              </w:rPr>
              <w:tab/>
            </w:r>
            <w:r w:rsidR="00C30B65" w:rsidRPr="00FB2B78">
              <w:rPr>
                <w:rFonts w:asciiTheme="minorHAnsi" w:hAnsiTheme="minorHAnsi" w:cstheme="minorHAnsi"/>
                <w:noProof/>
                <w:webHidden/>
              </w:rPr>
              <w:fldChar w:fldCharType="begin"/>
            </w:r>
            <w:r w:rsidR="00C30B65" w:rsidRPr="00FB2B78">
              <w:rPr>
                <w:rFonts w:asciiTheme="minorHAnsi" w:hAnsiTheme="minorHAnsi" w:cstheme="minorHAnsi"/>
                <w:noProof/>
                <w:webHidden/>
              </w:rPr>
              <w:instrText xml:space="preserve"> PAGEREF _Toc130547254 \h </w:instrText>
            </w:r>
            <w:r w:rsidR="00C30B65" w:rsidRPr="00FB2B78">
              <w:rPr>
                <w:rFonts w:asciiTheme="minorHAnsi" w:hAnsiTheme="minorHAnsi" w:cstheme="minorHAnsi"/>
                <w:noProof/>
                <w:webHidden/>
              </w:rPr>
            </w:r>
            <w:r w:rsidR="00C30B65" w:rsidRPr="00FB2B78">
              <w:rPr>
                <w:rFonts w:asciiTheme="minorHAnsi" w:hAnsiTheme="minorHAnsi" w:cstheme="minorHAnsi"/>
                <w:noProof/>
                <w:webHidden/>
              </w:rPr>
              <w:fldChar w:fldCharType="separate"/>
            </w:r>
            <w:r w:rsidR="00C30B65" w:rsidRPr="00FB2B78">
              <w:rPr>
                <w:rFonts w:asciiTheme="minorHAnsi" w:hAnsiTheme="minorHAnsi" w:cstheme="minorHAnsi"/>
                <w:noProof/>
                <w:webHidden/>
              </w:rPr>
              <w:t>4</w:t>
            </w:r>
            <w:r w:rsidR="00C30B65" w:rsidRPr="00FB2B78">
              <w:rPr>
                <w:rFonts w:asciiTheme="minorHAnsi" w:hAnsiTheme="minorHAnsi" w:cstheme="minorHAnsi"/>
                <w:noProof/>
                <w:webHidden/>
              </w:rPr>
              <w:fldChar w:fldCharType="end"/>
            </w:r>
          </w:hyperlink>
        </w:p>
        <w:p w14:paraId="732EB193" w14:textId="31A3339B" w:rsidR="00C30B65" w:rsidRPr="00FB2B78" w:rsidRDefault="00000000">
          <w:pPr>
            <w:pStyle w:val="TOC1"/>
            <w:tabs>
              <w:tab w:val="right" w:leader="dot" w:pos="10076"/>
            </w:tabs>
            <w:rPr>
              <w:rFonts w:asciiTheme="minorHAnsi" w:eastAsiaTheme="minorEastAsia" w:hAnsiTheme="minorHAnsi" w:cstheme="minorHAnsi"/>
              <w:noProof/>
              <w:sz w:val="22"/>
              <w:szCs w:val="22"/>
              <w:lang w:eastAsia="en-AU"/>
            </w:rPr>
          </w:pPr>
          <w:hyperlink w:anchor="_Toc130547255" w:history="1">
            <w:r w:rsidR="00C30B65" w:rsidRPr="00FB2B78">
              <w:rPr>
                <w:rStyle w:val="Hyperlink"/>
                <w:rFonts w:asciiTheme="minorHAnsi" w:hAnsiTheme="minorHAnsi" w:cstheme="minorHAnsi"/>
                <w:noProof/>
              </w:rPr>
              <w:t>Stakeholder engagement</w:t>
            </w:r>
            <w:r w:rsidR="00C30B65" w:rsidRPr="00FB2B78">
              <w:rPr>
                <w:rFonts w:asciiTheme="minorHAnsi" w:hAnsiTheme="minorHAnsi" w:cstheme="minorHAnsi"/>
                <w:noProof/>
                <w:webHidden/>
              </w:rPr>
              <w:tab/>
            </w:r>
            <w:r w:rsidR="00C30B65" w:rsidRPr="00FB2B78">
              <w:rPr>
                <w:rFonts w:asciiTheme="minorHAnsi" w:hAnsiTheme="minorHAnsi" w:cstheme="minorHAnsi"/>
                <w:noProof/>
                <w:webHidden/>
              </w:rPr>
              <w:fldChar w:fldCharType="begin"/>
            </w:r>
            <w:r w:rsidR="00C30B65" w:rsidRPr="00FB2B78">
              <w:rPr>
                <w:rFonts w:asciiTheme="minorHAnsi" w:hAnsiTheme="minorHAnsi" w:cstheme="minorHAnsi"/>
                <w:noProof/>
                <w:webHidden/>
              </w:rPr>
              <w:instrText xml:space="preserve"> PAGEREF _Toc130547255 \h </w:instrText>
            </w:r>
            <w:r w:rsidR="00C30B65" w:rsidRPr="00FB2B78">
              <w:rPr>
                <w:rFonts w:asciiTheme="minorHAnsi" w:hAnsiTheme="minorHAnsi" w:cstheme="minorHAnsi"/>
                <w:noProof/>
                <w:webHidden/>
              </w:rPr>
            </w:r>
            <w:r w:rsidR="00C30B65" w:rsidRPr="00FB2B78">
              <w:rPr>
                <w:rFonts w:asciiTheme="minorHAnsi" w:hAnsiTheme="minorHAnsi" w:cstheme="minorHAnsi"/>
                <w:noProof/>
                <w:webHidden/>
              </w:rPr>
              <w:fldChar w:fldCharType="separate"/>
            </w:r>
            <w:r w:rsidR="00C30B65" w:rsidRPr="00FB2B78">
              <w:rPr>
                <w:rFonts w:asciiTheme="minorHAnsi" w:hAnsiTheme="minorHAnsi" w:cstheme="minorHAnsi"/>
                <w:noProof/>
                <w:webHidden/>
              </w:rPr>
              <w:t>5</w:t>
            </w:r>
            <w:r w:rsidR="00C30B65" w:rsidRPr="00FB2B78">
              <w:rPr>
                <w:rFonts w:asciiTheme="minorHAnsi" w:hAnsiTheme="minorHAnsi" w:cstheme="minorHAnsi"/>
                <w:noProof/>
                <w:webHidden/>
              </w:rPr>
              <w:fldChar w:fldCharType="end"/>
            </w:r>
          </w:hyperlink>
        </w:p>
        <w:p w14:paraId="615F48B0" w14:textId="040CDBCA" w:rsidR="00C30B65" w:rsidRPr="00FB2B78" w:rsidRDefault="00000000">
          <w:pPr>
            <w:pStyle w:val="TOC2"/>
            <w:tabs>
              <w:tab w:val="right" w:leader="dot" w:pos="10076"/>
            </w:tabs>
            <w:rPr>
              <w:rFonts w:asciiTheme="minorHAnsi" w:eastAsiaTheme="minorEastAsia" w:hAnsiTheme="minorHAnsi" w:cstheme="minorHAnsi"/>
              <w:noProof/>
              <w:sz w:val="22"/>
              <w:szCs w:val="22"/>
              <w:lang w:eastAsia="en-AU"/>
            </w:rPr>
          </w:pPr>
          <w:hyperlink w:anchor="_Toc130547256" w:history="1">
            <w:r w:rsidR="00C30B65" w:rsidRPr="00FB2B78">
              <w:rPr>
                <w:rStyle w:val="Hyperlink"/>
                <w:rFonts w:asciiTheme="minorHAnsi" w:hAnsiTheme="minorHAnsi" w:cstheme="minorHAnsi"/>
                <w:noProof/>
                <w:lang w:val="en-US" w:eastAsia="en-AU"/>
              </w:rPr>
              <w:t>Stakeholder engagement plan for implementation</w:t>
            </w:r>
            <w:r w:rsidR="00C30B65" w:rsidRPr="00FB2B78">
              <w:rPr>
                <w:rFonts w:asciiTheme="minorHAnsi" w:hAnsiTheme="minorHAnsi" w:cstheme="minorHAnsi"/>
                <w:noProof/>
                <w:webHidden/>
              </w:rPr>
              <w:tab/>
            </w:r>
            <w:r w:rsidR="00C30B65" w:rsidRPr="00FB2B78">
              <w:rPr>
                <w:rFonts w:asciiTheme="minorHAnsi" w:hAnsiTheme="minorHAnsi" w:cstheme="minorHAnsi"/>
                <w:noProof/>
                <w:webHidden/>
              </w:rPr>
              <w:fldChar w:fldCharType="begin"/>
            </w:r>
            <w:r w:rsidR="00C30B65" w:rsidRPr="00FB2B78">
              <w:rPr>
                <w:rFonts w:asciiTheme="minorHAnsi" w:hAnsiTheme="minorHAnsi" w:cstheme="minorHAnsi"/>
                <w:noProof/>
                <w:webHidden/>
              </w:rPr>
              <w:instrText xml:space="preserve"> PAGEREF _Toc130547256 \h </w:instrText>
            </w:r>
            <w:r w:rsidR="00C30B65" w:rsidRPr="00FB2B78">
              <w:rPr>
                <w:rFonts w:asciiTheme="minorHAnsi" w:hAnsiTheme="minorHAnsi" w:cstheme="minorHAnsi"/>
                <w:noProof/>
                <w:webHidden/>
              </w:rPr>
            </w:r>
            <w:r w:rsidR="00C30B65" w:rsidRPr="00FB2B78">
              <w:rPr>
                <w:rFonts w:asciiTheme="minorHAnsi" w:hAnsiTheme="minorHAnsi" w:cstheme="minorHAnsi"/>
                <w:noProof/>
                <w:webHidden/>
              </w:rPr>
              <w:fldChar w:fldCharType="separate"/>
            </w:r>
            <w:r w:rsidR="00C30B65" w:rsidRPr="00FB2B78">
              <w:rPr>
                <w:rFonts w:asciiTheme="minorHAnsi" w:hAnsiTheme="minorHAnsi" w:cstheme="minorHAnsi"/>
                <w:noProof/>
                <w:webHidden/>
              </w:rPr>
              <w:t>5</w:t>
            </w:r>
            <w:r w:rsidR="00C30B65" w:rsidRPr="00FB2B78">
              <w:rPr>
                <w:rFonts w:asciiTheme="minorHAnsi" w:hAnsiTheme="minorHAnsi" w:cstheme="minorHAnsi"/>
                <w:noProof/>
                <w:webHidden/>
              </w:rPr>
              <w:fldChar w:fldCharType="end"/>
            </w:r>
          </w:hyperlink>
        </w:p>
        <w:p w14:paraId="1F74848C" w14:textId="171C2C74" w:rsidR="00C30B65" w:rsidRPr="00FB2B78" w:rsidRDefault="00000000">
          <w:pPr>
            <w:pStyle w:val="TOC2"/>
            <w:tabs>
              <w:tab w:val="right" w:leader="dot" w:pos="10076"/>
            </w:tabs>
            <w:rPr>
              <w:rFonts w:asciiTheme="minorHAnsi" w:eastAsiaTheme="minorEastAsia" w:hAnsiTheme="minorHAnsi" w:cstheme="minorHAnsi"/>
              <w:noProof/>
              <w:sz w:val="22"/>
              <w:szCs w:val="22"/>
              <w:lang w:eastAsia="en-AU"/>
            </w:rPr>
          </w:pPr>
          <w:hyperlink w:anchor="_Toc130547257" w:history="1">
            <w:r w:rsidR="00C30B65" w:rsidRPr="00FB2B78">
              <w:rPr>
                <w:rStyle w:val="Hyperlink"/>
                <w:rFonts w:asciiTheme="minorHAnsi" w:hAnsiTheme="minorHAnsi" w:cstheme="minorHAnsi"/>
                <w:noProof/>
                <w:lang w:val="en-US" w:eastAsia="en-AU"/>
              </w:rPr>
              <w:t>Stakeholder communication</w:t>
            </w:r>
            <w:r w:rsidR="00C30B65" w:rsidRPr="00FB2B78">
              <w:rPr>
                <w:rFonts w:asciiTheme="minorHAnsi" w:hAnsiTheme="minorHAnsi" w:cstheme="minorHAnsi"/>
                <w:noProof/>
                <w:webHidden/>
              </w:rPr>
              <w:tab/>
            </w:r>
            <w:r w:rsidR="00C30B65" w:rsidRPr="00FB2B78">
              <w:rPr>
                <w:rFonts w:asciiTheme="minorHAnsi" w:hAnsiTheme="minorHAnsi" w:cstheme="minorHAnsi"/>
                <w:noProof/>
                <w:webHidden/>
              </w:rPr>
              <w:fldChar w:fldCharType="begin"/>
            </w:r>
            <w:r w:rsidR="00C30B65" w:rsidRPr="00FB2B78">
              <w:rPr>
                <w:rFonts w:asciiTheme="minorHAnsi" w:hAnsiTheme="minorHAnsi" w:cstheme="minorHAnsi"/>
                <w:noProof/>
                <w:webHidden/>
              </w:rPr>
              <w:instrText xml:space="preserve"> PAGEREF _Toc130547257 \h </w:instrText>
            </w:r>
            <w:r w:rsidR="00C30B65" w:rsidRPr="00FB2B78">
              <w:rPr>
                <w:rFonts w:asciiTheme="minorHAnsi" w:hAnsiTheme="minorHAnsi" w:cstheme="minorHAnsi"/>
                <w:noProof/>
                <w:webHidden/>
              </w:rPr>
            </w:r>
            <w:r w:rsidR="00C30B65" w:rsidRPr="00FB2B78">
              <w:rPr>
                <w:rFonts w:asciiTheme="minorHAnsi" w:hAnsiTheme="minorHAnsi" w:cstheme="minorHAnsi"/>
                <w:noProof/>
                <w:webHidden/>
              </w:rPr>
              <w:fldChar w:fldCharType="separate"/>
            </w:r>
            <w:r w:rsidR="00C30B65" w:rsidRPr="00FB2B78">
              <w:rPr>
                <w:rFonts w:asciiTheme="minorHAnsi" w:hAnsiTheme="minorHAnsi" w:cstheme="minorHAnsi"/>
                <w:noProof/>
                <w:webHidden/>
              </w:rPr>
              <w:t>5</w:t>
            </w:r>
            <w:r w:rsidR="00C30B65" w:rsidRPr="00FB2B78">
              <w:rPr>
                <w:rFonts w:asciiTheme="minorHAnsi" w:hAnsiTheme="minorHAnsi" w:cstheme="minorHAnsi"/>
                <w:noProof/>
                <w:webHidden/>
              </w:rPr>
              <w:fldChar w:fldCharType="end"/>
            </w:r>
          </w:hyperlink>
        </w:p>
        <w:p w14:paraId="540DA4F5" w14:textId="72560E95" w:rsidR="00C30B65" w:rsidRPr="00FB2B78" w:rsidRDefault="00000000">
          <w:pPr>
            <w:pStyle w:val="TOC1"/>
            <w:tabs>
              <w:tab w:val="right" w:leader="dot" w:pos="10076"/>
            </w:tabs>
            <w:rPr>
              <w:rFonts w:asciiTheme="minorHAnsi" w:eastAsiaTheme="minorEastAsia" w:hAnsiTheme="minorHAnsi" w:cstheme="minorHAnsi"/>
              <w:noProof/>
              <w:sz w:val="22"/>
              <w:szCs w:val="22"/>
              <w:lang w:eastAsia="en-AU"/>
            </w:rPr>
          </w:pPr>
          <w:hyperlink w:anchor="_Toc130547258" w:history="1">
            <w:r w:rsidR="00C30B65" w:rsidRPr="00FB2B78">
              <w:rPr>
                <w:rStyle w:val="Hyperlink"/>
                <w:rFonts w:asciiTheme="minorHAnsi" w:hAnsiTheme="minorHAnsi" w:cstheme="minorHAnsi"/>
                <w:noProof/>
              </w:rPr>
              <w:t>Risk Management</w:t>
            </w:r>
            <w:r w:rsidR="00C30B65" w:rsidRPr="00FB2B78">
              <w:rPr>
                <w:rFonts w:asciiTheme="minorHAnsi" w:hAnsiTheme="minorHAnsi" w:cstheme="minorHAnsi"/>
                <w:noProof/>
                <w:webHidden/>
              </w:rPr>
              <w:tab/>
            </w:r>
            <w:r w:rsidR="00C30B65" w:rsidRPr="00FB2B78">
              <w:rPr>
                <w:rFonts w:asciiTheme="minorHAnsi" w:hAnsiTheme="minorHAnsi" w:cstheme="minorHAnsi"/>
                <w:noProof/>
                <w:webHidden/>
              </w:rPr>
              <w:fldChar w:fldCharType="begin"/>
            </w:r>
            <w:r w:rsidR="00C30B65" w:rsidRPr="00FB2B78">
              <w:rPr>
                <w:rFonts w:asciiTheme="minorHAnsi" w:hAnsiTheme="minorHAnsi" w:cstheme="minorHAnsi"/>
                <w:noProof/>
                <w:webHidden/>
              </w:rPr>
              <w:instrText xml:space="preserve"> PAGEREF _Toc130547258 \h </w:instrText>
            </w:r>
            <w:r w:rsidR="00C30B65" w:rsidRPr="00FB2B78">
              <w:rPr>
                <w:rFonts w:asciiTheme="minorHAnsi" w:hAnsiTheme="minorHAnsi" w:cstheme="minorHAnsi"/>
                <w:noProof/>
                <w:webHidden/>
              </w:rPr>
            </w:r>
            <w:r w:rsidR="00C30B65" w:rsidRPr="00FB2B78">
              <w:rPr>
                <w:rFonts w:asciiTheme="minorHAnsi" w:hAnsiTheme="minorHAnsi" w:cstheme="minorHAnsi"/>
                <w:noProof/>
                <w:webHidden/>
              </w:rPr>
              <w:fldChar w:fldCharType="separate"/>
            </w:r>
            <w:r w:rsidR="00C30B65" w:rsidRPr="00FB2B78">
              <w:rPr>
                <w:rFonts w:asciiTheme="minorHAnsi" w:hAnsiTheme="minorHAnsi" w:cstheme="minorHAnsi"/>
                <w:noProof/>
                <w:webHidden/>
              </w:rPr>
              <w:t>5</w:t>
            </w:r>
            <w:r w:rsidR="00C30B65" w:rsidRPr="00FB2B78">
              <w:rPr>
                <w:rFonts w:asciiTheme="minorHAnsi" w:hAnsiTheme="minorHAnsi" w:cstheme="minorHAnsi"/>
                <w:noProof/>
                <w:webHidden/>
              </w:rPr>
              <w:fldChar w:fldCharType="end"/>
            </w:r>
          </w:hyperlink>
        </w:p>
        <w:p w14:paraId="2A7E2A64" w14:textId="3FDA1672" w:rsidR="00C30B65" w:rsidRPr="00FB2B78" w:rsidRDefault="00000000">
          <w:pPr>
            <w:pStyle w:val="TOC2"/>
            <w:tabs>
              <w:tab w:val="right" w:leader="dot" w:pos="10076"/>
            </w:tabs>
            <w:rPr>
              <w:rFonts w:asciiTheme="minorHAnsi" w:eastAsiaTheme="minorEastAsia" w:hAnsiTheme="minorHAnsi" w:cstheme="minorHAnsi"/>
              <w:noProof/>
              <w:sz w:val="22"/>
              <w:szCs w:val="22"/>
              <w:lang w:eastAsia="en-AU"/>
            </w:rPr>
          </w:pPr>
          <w:hyperlink w:anchor="_Toc130547259" w:history="1">
            <w:r w:rsidR="00C30B65" w:rsidRPr="00FB2B78">
              <w:rPr>
                <w:rStyle w:val="Hyperlink"/>
                <w:rFonts w:asciiTheme="minorHAnsi" w:hAnsiTheme="minorHAnsi" w:cstheme="minorHAnsi"/>
                <w:noProof/>
                <w:lang w:val="en-US" w:eastAsia="en-AU"/>
              </w:rPr>
              <w:t>Reputational risks</w:t>
            </w:r>
            <w:r w:rsidR="00C30B65" w:rsidRPr="00FB2B78">
              <w:rPr>
                <w:rFonts w:asciiTheme="minorHAnsi" w:hAnsiTheme="minorHAnsi" w:cstheme="minorHAnsi"/>
                <w:noProof/>
                <w:webHidden/>
              </w:rPr>
              <w:tab/>
            </w:r>
            <w:r w:rsidR="00C30B65" w:rsidRPr="00FB2B78">
              <w:rPr>
                <w:rFonts w:asciiTheme="minorHAnsi" w:hAnsiTheme="minorHAnsi" w:cstheme="minorHAnsi"/>
                <w:noProof/>
                <w:webHidden/>
              </w:rPr>
              <w:fldChar w:fldCharType="begin"/>
            </w:r>
            <w:r w:rsidR="00C30B65" w:rsidRPr="00FB2B78">
              <w:rPr>
                <w:rFonts w:asciiTheme="minorHAnsi" w:hAnsiTheme="minorHAnsi" w:cstheme="minorHAnsi"/>
                <w:noProof/>
                <w:webHidden/>
              </w:rPr>
              <w:instrText xml:space="preserve"> PAGEREF _Toc130547259 \h </w:instrText>
            </w:r>
            <w:r w:rsidR="00C30B65" w:rsidRPr="00FB2B78">
              <w:rPr>
                <w:rFonts w:asciiTheme="minorHAnsi" w:hAnsiTheme="minorHAnsi" w:cstheme="minorHAnsi"/>
                <w:noProof/>
                <w:webHidden/>
              </w:rPr>
            </w:r>
            <w:r w:rsidR="00C30B65" w:rsidRPr="00FB2B78">
              <w:rPr>
                <w:rFonts w:asciiTheme="minorHAnsi" w:hAnsiTheme="minorHAnsi" w:cstheme="minorHAnsi"/>
                <w:noProof/>
                <w:webHidden/>
              </w:rPr>
              <w:fldChar w:fldCharType="separate"/>
            </w:r>
            <w:r w:rsidR="00C30B65" w:rsidRPr="00FB2B78">
              <w:rPr>
                <w:rFonts w:asciiTheme="minorHAnsi" w:hAnsiTheme="minorHAnsi" w:cstheme="minorHAnsi"/>
                <w:noProof/>
                <w:webHidden/>
              </w:rPr>
              <w:t>5</w:t>
            </w:r>
            <w:r w:rsidR="00C30B65" w:rsidRPr="00FB2B78">
              <w:rPr>
                <w:rFonts w:asciiTheme="minorHAnsi" w:hAnsiTheme="minorHAnsi" w:cstheme="minorHAnsi"/>
                <w:noProof/>
                <w:webHidden/>
              </w:rPr>
              <w:fldChar w:fldCharType="end"/>
            </w:r>
          </w:hyperlink>
        </w:p>
        <w:p w14:paraId="452CFA92" w14:textId="2A0B69D8" w:rsidR="00C30B65" w:rsidRPr="00FB2B78" w:rsidRDefault="00000000">
          <w:pPr>
            <w:pStyle w:val="TOC2"/>
            <w:tabs>
              <w:tab w:val="right" w:leader="dot" w:pos="10076"/>
            </w:tabs>
            <w:rPr>
              <w:rFonts w:asciiTheme="minorHAnsi" w:eastAsiaTheme="minorEastAsia" w:hAnsiTheme="minorHAnsi" w:cstheme="minorHAnsi"/>
              <w:noProof/>
              <w:sz w:val="22"/>
              <w:szCs w:val="22"/>
              <w:lang w:eastAsia="en-AU"/>
            </w:rPr>
          </w:pPr>
          <w:hyperlink w:anchor="_Toc130547260" w:history="1">
            <w:r w:rsidR="00C30B65" w:rsidRPr="00FB2B78">
              <w:rPr>
                <w:rStyle w:val="Hyperlink"/>
                <w:rFonts w:asciiTheme="minorHAnsi" w:hAnsiTheme="minorHAnsi" w:cstheme="minorHAnsi"/>
                <w:noProof/>
                <w:lang w:val="en-US" w:eastAsia="en-AU"/>
              </w:rPr>
              <w:t>Implementation risks</w:t>
            </w:r>
            <w:r w:rsidR="00C30B65" w:rsidRPr="00FB2B78">
              <w:rPr>
                <w:rFonts w:asciiTheme="minorHAnsi" w:hAnsiTheme="minorHAnsi" w:cstheme="minorHAnsi"/>
                <w:noProof/>
                <w:webHidden/>
              </w:rPr>
              <w:tab/>
            </w:r>
            <w:r w:rsidR="00C30B65" w:rsidRPr="00FB2B78">
              <w:rPr>
                <w:rFonts w:asciiTheme="minorHAnsi" w:hAnsiTheme="minorHAnsi" w:cstheme="minorHAnsi"/>
                <w:noProof/>
                <w:webHidden/>
              </w:rPr>
              <w:fldChar w:fldCharType="begin"/>
            </w:r>
            <w:r w:rsidR="00C30B65" w:rsidRPr="00FB2B78">
              <w:rPr>
                <w:rFonts w:asciiTheme="minorHAnsi" w:hAnsiTheme="minorHAnsi" w:cstheme="minorHAnsi"/>
                <w:noProof/>
                <w:webHidden/>
              </w:rPr>
              <w:instrText xml:space="preserve"> PAGEREF _Toc130547260 \h </w:instrText>
            </w:r>
            <w:r w:rsidR="00C30B65" w:rsidRPr="00FB2B78">
              <w:rPr>
                <w:rFonts w:asciiTheme="minorHAnsi" w:hAnsiTheme="minorHAnsi" w:cstheme="minorHAnsi"/>
                <w:noProof/>
                <w:webHidden/>
              </w:rPr>
            </w:r>
            <w:r w:rsidR="00C30B65" w:rsidRPr="00FB2B78">
              <w:rPr>
                <w:rFonts w:asciiTheme="minorHAnsi" w:hAnsiTheme="minorHAnsi" w:cstheme="minorHAnsi"/>
                <w:noProof/>
                <w:webHidden/>
              </w:rPr>
              <w:fldChar w:fldCharType="separate"/>
            </w:r>
            <w:r w:rsidR="00C30B65" w:rsidRPr="00FB2B78">
              <w:rPr>
                <w:rFonts w:asciiTheme="minorHAnsi" w:hAnsiTheme="minorHAnsi" w:cstheme="minorHAnsi"/>
                <w:noProof/>
                <w:webHidden/>
              </w:rPr>
              <w:t>6</w:t>
            </w:r>
            <w:r w:rsidR="00C30B65" w:rsidRPr="00FB2B78">
              <w:rPr>
                <w:rFonts w:asciiTheme="minorHAnsi" w:hAnsiTheme="minorHAnsi" w:cstheme="minorHAnsi"/>
                <w:noProof/>
                <w:webHidden/>
              </w:rPr>
              <w:fldChar w:fldCharType="end"/>
            </w:r>
          </w:hyperlink>
        </w:p>
        <w:p w14:paraId="1604DFD7" w14:textId="69958E60" w:rsidR="00277E3D" w:rsidRPr="00FB2B78" w:rsidRDefault="00277E3D">
          <w:r w:rsidRPr="00FB2B78">
            <w:rPr>
              <w:rFonts w:asciiTheme="minorHAnsi" w:hAnsiTheme="minorHAnsi" w:cstheme="minorHAnsi"/>
              <w:b/>
              <w:bCs/>
              <w:noProof/>
              <w:sz w:val="22"/>
              <w:szCs w:val="22"/>
            </w:rPr>
            <w:fldChar w:fldCharType="end"/>
          </w:r>
        </w:p>
      </w:sdtContent>
    </w:sdt>
    <w:p w14:paraId="49413A08" w14:textId="2F83A520" w:rsidR="00277E3D" w:rsidRPr="00FB2B78" w:rsidRDefault="00277E3D">
      <w:pPr>
        <w:spacing w:before="0" w:line="240" w:lineRule="auto"/>
        <w:rPr>
          <w:lang w:val="en-US" w:eastAsia="en-AU"/>
        </w:rPr>
      </w:pPr>
    </w:p>
    <w:p w14:paraId="686291F7" w14:textId="34E81D40" w:rsidR="00277E3D" w:rsidRPr="00FB2B78" w:rsidRDefault="00277E3D">
      <w:pPr>
        <w:spacing w:before="0" w:line="240" w:lineRule="auto"/>
        <w:rPr>
          <w:lang w:val="en-US" w:eastAsia="en-AU"/>
        </w:rPr>
      </w:pPr>
      <w:r w:rsidRPr="00FB2B78">
        <w:rPr>
          <w:lang w:val="en-US" w:eastAsia="en-AU"/>
        </w:rPr>
        <w:br w:type="page"/>
      </w:r>
    </w:p>
    <w:p w14:paraId="345EAF9B" w14:textId="071F87B6" w:rsidR="006F19F8" w:rsidRPr="00FB2B78" w:rsidRDefault="00277E3D" w:rsidP="00277E3D">
      <w:pPr>
        <w:pStyle w:val="Heading1"/>
        <w:rPr>
          <w:color w:val="009640"/>
          <w:sz w:val="28"/>
          <w:szCs w:val="28"/>
        </w:rPr>
      </w:pPr>
      <w:bookmarkStart w:id="0" w:name="_Toc31270536"/>
      <w:bookmarkStart w:id="1" w:name="_Toc130547250"/>
      <w:r w:rsidRPr="00FB2B78">
        <w:rPr>
          <w:sz w:val="36"/>
        </w:rPr>
        <w:lastRenderedPageBreak/>
        <w:t>The Healthy Food Partnersh</w:t>
      </w:r>
      <w:bookmarkEnd w:id="0"/>
      <w:r w:rsidR="008F1F02" w:rsidRPr="00FB2B78">
        <w:rPr>
          <w:sz w:val="36"/>
        </w:rPr>
        <w:t xml:space="preserve">ip Industry </w:t>
      </w:r>
      <w:r w:rsidR="00AD4F73" w:rsidRPr="00FB2B78">
        <w:rPr>
          <w:sz w:val="36"/>
        </w:rPr>
        <w:t>Guide to Voluntary Serving Size Reduction</w:t>
      </w:r>
      <w:r w:rsidR="00B46185" w:rsidRPr="00FB2B78">
        <w:rPr>
          <w:sz w:val="36"/>
        </w:rPr>
        <w:t xml:space="preserve"> (the Guide</w:t>
      </w:r>
      <w:r w:rsidR="00D05B10" w:rsidRPr="00FB2B78">
        <w:rPr>
          <w:sz w:val="36"/>
        </w:rPr>
        <w:t>)</w:t>
      </w:r>
      <w:bookmarkEnd w:id="1"/>
    </w:p>
    <w:p w14:paraId="59B1F086" w14:textId="57224C78" w:rsidR="00B46185" w:rsidRPr="00FB2B78" w:rsidRDefault="001B68D4" w:rsidP="001B68D4">
      <w:pPr>
        <w:spacing w:after="120"/>
        <w:rPr>
          <w:rFonts w:asciiTheme="minorHAnsi" w:hAnsiTheme="minorHAnsi" w:cstheme="minorHAnsi"/>
          <w:sz w:val="22"/>
          <w:szCs w:val="22"/>
        </w:rPr>
      </w:pPr>
      <w:r w:rsidRPr="00FB2B78">
        <w:rPr>
          <w:rFonts w:asciiTheme="minorHAnsi" w:hAnsiTheme="minorHAnsi" w:cstheme="minorHAnsi"/>
          <w:sz w:val="22"/>
          <w:szCs w:val="22"/>
        </w:rPr>
        <w:t xml:space="preserve">The </w:t>
      </w:r>
      <w:r w:rsidR="000A2DA5" w:rsidRPr="00FB2B78">
        <w:rPr>
          <w:rFonts w:asciiTheme="minorHAnsi" w:hAnsiTheme="minorHAnsi" w:cstheme="minorHAnsi"/>
          <w:sz w:val="22"/>
          <w:szCs w:val="22"/>
        </w:rPr>
        <w:t>Guide</w:t>
      </w:r>
      <w:r w:rsidRPr="00FB2B78">
        <w:rPr>
          <w:rFonts w:asciiTheme="minorHAnsi" w:hAnsiTheme="minorHAnsi" w:cstheme="minorHAnsi"/>
          <w:sz w:val="22"/>
          <w:szCs w:val="22"/>
        </w:rPr>
        <w:t xml:space="preserve"> is voluntary and provides an </w:t>
      </w:r>
      <w:r w:rsidR="009C29DF" w:rsidRPr="00FB2B78">
        <w:rPr>
          <w:rFonts w:asciiTheme="minorHAnsi" w:hAnsiTheme="minorHAnsi" w:cstheme="minorHAnsi"/>
          <w:sz w:val="22"/>
          <w:szCs w:val="22"/>
        </w:rPr>
        <w:t>evidence-based</w:t>
      </w:r>
      <w:r w:rsidRPr="00FB2B78">
        <w:rPr>
          <w:rFonts w:asciiTheme="minorHAnsi" w:hAnsiTheme="minorHAnsi" w:cstheme="minorHAnsi"/>
          <w:sz w:val="22"/>
          <w:szCs w:val="22"/>
        </w:rPr>
        <w:t xml:space="preserve"> approach to inform and support food companies (including both retail and out of home sectors) to determin</w:t>
      </w:r>
      <w:r w:rsidR="00B46185" w:rsidRPr="00FB2B78">
        <w:rPr>
          <w:rFonts w:asciiTheme="minorHAnsi" w:hAnsiTheme="minorHAnsi" w:cstheme="minorHAnsi"/>
          <w:sz w:val="22"/>
          <w:szCs w:val="22"/>
        </w:rPr>
        <w:t>e</w:t>
      </w:r>
      <w:r w:rsidRPr="00FB2B78">
        <w:rPr>
          <w:rFonts w:asciiTheme="minorHAnsi" w:hAnsiTheme="minorHAnsi" w:cstheme="minorHAnsi"/>
          <w:sz w:val="22"/>
          <w:szCs w:val="22"/>
        </w:rPr>
        <w:t xml:space="preserve"> </w:t>
      </w:r>
      <w:r w:rsidR="00B46185" w:rsidRPr="00FB2B78">
        <w:rPr>
          <w:rFonts w:asciiTheme="minorHAnsi" w:hAnsiTheme="minorHAnsi" w:cstheme="minorHAnsi"/>
          <w:sz w:val="22"/>
          <w:szCs w:val="22"/>
        </w:rPr>
        <w:t xml:space="preserve">appropriate </w:t>
      </w:r>
      <w:r w:rsidRPr="00FB2B78">
        <w:rPr>
          <w:rFonts w:asciiTheme="minorHAnsi" w:hAnsiTheme="minorHAnsi" w:cstheme="minorHAnsi"/>
          <w:sz w:val="22"/>
          <w:szCs w:val="22"/>
        </w:rPr>
        <w:t>serving size</w:t>
      </w:r>
      <w:r w:rsidR="00B56B63" w:rsidRPr="00FB2B78">
        <w:rPr>
          <w:rFonts w:asciiTheme="minorHAnsi" w:hAnsiTheme="minorHAnsi" w:cstheme="minorHAnsi"/>
          <w:sz w:val="22"/>
          <w:szCs w:val="22"/>
        </w:rPr>
        <w:t>s</w:t>
      </w:r>
      <w:r w:rsidRPr="00FB2B78">
        <w:rPr>
          <w:rFonts w:asciiTheme="minorHAnsi" w:hAnsiTheme="minorHAnsi" w:cstheme="minorHAnsi"/>
          <w:sz w:val="22"/>
          <w:szCs w:val="22"/>
        </w:rPr>
        <w:t xml:space="preserve"> for food and beverages</w:t>
      </w:r>
      <w:r w:rsidR="00B46185" w:rsidRPr="00FB2B78">
        <w:rPr>
          <w:rFonts w:asciiTheme="minorHAnsi" w:hAnsiTheme="minorHAnsi" w:cstheme="minorHAnsi"/>
          <w:sz w:val="22"/>
          <w:szCs w:val="22"/>
        </w:rPr>
        <w:t xml:space="preserve"> to support consumers</w:t>
      </w:r>
      <w:r w:rsidR="00B56B63" w:rsidRPr="00FB2B78">
        <w:rPr>
          <w:rFonts w:asciiTheme="minorHAnsi" w:hAnsiTheme="minorHAnsi" w:cstheme="minorHAnsi"/>
          <w:sz w:val="22"/>
          <w:szCs w:val="22"/>
        </w:rPr>
        <w:t xml:space="preserve"> to</w:t>
      </w:r>
      <w:r w:rsidR="00B46185" w:rsidRPr="00FB2B78">
        <w:rPr>
          <w:rFonts w:asciiTheme="minorHAnsi" w:hAnsiTheme="minorHAnsi" w:cstheme="minorHAnsi"/>
          <w:sz w:val="22"/>
          <w:szCs w:val="22"/>
        </w:rPr>
        <w:t xml:space="preserve"> manage </w:t>
      </w:r>
      <w:r w:rsidR="00B56B63" w:rsidRPr="00FB2B78">
        <w:rPr>
          <w:rFonts w:asciiTheme="minorHAnsi" w:hAnsiTheme="minorHAnsi" w:cstheme="minorHAnsi"/>
          <w:sz w:val="22"/>
          <w:szCs w:val="22"/>
        </w:rPr>
        <w:t xml:space="preserve">their </w:t>
      </w:r>
      <w:r w:rsidR="00B46185" w:rsidRPr="00FB2B78">
        <w:rPr>
          <w:rFonts w:asciiTheme="minorHAnsi" w:hAnsiTheme="minorHAnsi" w:cstheme="minorHAnsi"/>
          <w:sz w:val="22"/>
          <w:szCs w:val="22"/>
        </w:rPr>
        <w:t>energy intakes</w:t>
      </w:r>
      <w:r w:rsidRPr="00FB2B78">
        <w:rPr>
          <w:rFonts w:asciiTheme="minorHAnsi" w:hAnsiTheme="minorHAnsi" w:cstheme="minorHAnsi"/>
          <w:sz w:val="22"/>
          <w:szCs w:val="22"/>
        </w:rPr>
        <w:t xml:space="preserve">. </w:t>
      </w:r>
    </w:p>
    <w:p w14:paraId="4B7E73B8" w14:textId="77777777" w:rsidR="00B46185" w:rsidRPr="00FB2B78" w:rsidRDefault="00B46185" w:rsidP="001B68D4">
      <w:pPr>
        <w:spacing w:after="120"/>
        <w:rPr>
          <w:rFonts w:asciiTheme="minorHAnsi" w:hAnsiTheme="minorHAnsi" w:cstheme="minorHAnsi"/>
          <w:sz w:val="22"/>
          <w:szCs w:val="22"/>
        </w:rPr>
      </w:pPr>
      <w:r w:rsidRPr="00FB2B78">
        <w:rPr>
          <w:rFonts w:asciiTheme="minorHAnsi" w:hAnsiTheme="minorHAnsi" w:cstheme="minorHAnsi"/>
          <w:sz w:val="22"/>
          <w:szCs w:val="22"/>
        </w:rPr>
        <w:t xml:space="preserve">The Guide provides serving size recommendations for 9 priority food categories. All food categories in the Guide are discretionary foods and were selected due to being key contributors to population discretionary food intake, in addition to intake of sodium, saturated fat and sugars. </w:t>
      </w:r>
    </w:p>
    <w:p w14:paraId="03B13162" w14:textId="6EF27ECF" w:rsidR="000C4A80" w:rsidRPr="00FB2B78" w:rsidRDefault="00B46185" w:rsidP="001B68D4">
      <w:pPr>
        <w:spacing w:after="120"/>
        <w:rPr>
          <w:rFonts w:asciiTheme="minorHAnsi" w:hAnsiTheme="minorHAnsi" w:cstheme="minorHAnsi"/>
          <w:sz w:val="22"/>
          <w:szCs w:val="22"/>
        </w:rPr>
      </w:pPr>
      <w:r w:rsidRPr="00FB2B78">
        <w:rPr>
          <w:rFonts w:asciiTheme="minorHAnsi" w:hAnsiTheme="minorHAnsi" w:cstheme="minorHAnsi"/>
          <w:sz w:val="22"/>
          <w:szCs w:val="22"/>
        </w:rPr>
        <w:t xml:space="preserve">The Guide is provided as a tool for </w:t>
      </w:r>
      <w:r w:rsidR="0070386E" w:rsidRPr="00FB2B78">
        <w:rPr>
          <w:rFonts w:asciiTheme="minorHAnsi" w:hAnsiTheme="minorHAnsi" w:cstheme="minorHAnsi"/>
          <w:sz w:val="22"/>
          <w:szCs w:val="22"/>
        </w:rPr>
        <w:t xml:space="preserve">out-of-home food providers, </w:t>
      </w:r>
      <w:r w:rsidRPr="00FB2B78">
        <w:rPr>
          <w:rFonts w:asciiTheme="minorHAnsi" w:hAnsiTheme="minorHAnsi" w:cstheme="minorHAnsi"/>
          <w:sz w:val="22"/>
          <w:szCs w:val="22"/>
        </w:rPr>
        <w:t xml:space="preserve">food manufacturers and retailers. There is no formal sign-up mechanism for </w:t>
      </w:r>
      <w:r w:rsidR="00D05B10" w:rsidRPr="00FB2B78">
        <w:rPr>
          <w:rFonts w:asciiTheme="minorHAnsi" w:hAnsiTheme="minorHAnsi" w:cstheme="minorHAnsi"/>
          <w:sz w:val="22"/>
          <w:szCs w:val="22"/>
        </w:rPr>
        <w:t xml:space="preserve">food </w:t>
      </w:r>
      <w:r w:rsidRPr="00FB2B78">
        <w:rPr>
          <w:rFonts w:asciiTheme="minorHAnsi" w:hAnsiTheme="minorHAnsi" w:cstheme="minorHAnsi"/>
          <w:sz w:val="22"/>
          <w:szCs w:val="22"/>
        </w:rPr>
        <w:t>companies</w:t>
      </w:r>
      <w:r w:rsidR="00D05B10" w:rsidRPr="00FB2B78">
        <w:rPr>
          <w:rFonts w:asciiTheme="minorHAnsi" w:hAnsiTheme="minorHAnsi" w:cstheme="minorHAnsi"/>
          <w:sz w:val="22"/>
          <w:szCs w:val="22"/>
        </w:rPr>
        <w:t xml:space="preserve"> or retailers</w:t>
      </w:r>
      <w:r w:rsidRPr="00FB2B78">
        <w:rPr>
          <w:rFonts w:asciiTheme="minorHAnsi" w:hAnsiTheme="minorHAnsi" w:cstheme="minorHAnsi"/>
          <w:sz w:val="22"/>
          <w:szCs w:val="22"/>
        </w:rPr>
        <w:t xml:space="preserve"> to commit to implementing the Guide and </w:t>
      </w:r>
      <w:r w:rsidR="00B56B63" w:rsidRPr="00FB2B78">
        <w:rPr>
          <w:rFonts w:asciiTheme="minorHAnsi" w:hAnsiTheme="minorHAnsi" w:cstheme="minorHAnsi"/>
          <w:sz w:val="22"/>
          <w:szCs w:val="22"/>
        </w:rPr>
        <w:t xml:space="preserve">there are </w:t>
      </w:r>
      <w:r w:rsidRPr="00FB2B78">
        <w:rPr>
          <w:rFonts w:asciiTheme="minorHAnsi" w:hAnsiTheme="minorHAnsi" w:cstheme="minorHAnsi"/>
          <w:sz w:val="22"/>
          <w:szCs w:val="22"/>
        </w:rPr>
        <w:t xml:space="preserve">no formal reporting requirements for companies to report their use of the Guide to the Healthy Food Partnership Secretariat. </w:t>
      </w:r>
    </w:p>
    <w:p w14:paraId="3FC02BF5" w14:textId="4D4572E1" w:rsidR="000C4A80" w:rsidRPr="00FB2B78" w:rsidRDefault="000C4A80" w:rsidP="000C4A80">
      <w:pPr>
        <w:pStyle w:val="paragraph"/>
        <w:spacing w:before="0" w:beforeAutospacing="0" w:after="0" w:afterAutospacing="0"/>
        <w:textAlignment w:val="baseline"/>
        <w:rPr>
          <w:rStyle w:val="eop"/>
          <w:rFonts w:asciiTheme="minorHAnsi" w:hAnsiTheme="minorHAnsi" w:cstheme="minorHAnsi"/>
          <w:sz w:val="22"/>
          <w:szCs w:val="22"/>
        </w:rPr>
      </w:pPr>
      <w:r w:rsidRPr="00FB2B78">
        <w:rPr>
          <w:rStyle w:val="normaltextrun"/>
          <w:rFonts w:asciiTheme="minorHAnsi" w:eastAsia="MS Gothic" w:hAnsiTheme="minorHAnsi" w:cstheme="minorHAnsi"/>
          <w:sz w:val="22"/>
          <w:szCs w:val="22"/>
        </w:rPr>
        <w:t xml:space="preserve">The </w:t>
      </w:r>
      <w:r w:rsidR="00B56B63" w:rsidRPr="00FB2B78">
        <w:rPr>
          <w:rStyle w:val="normaltextrun"/>
          <w:rFonts w:asciiTheme="minorHAnsi" w:eastAsia="MS Gothic" w:hAnsiTheme="minorHAnsi" w:cstheme="minorHAnsi"/>
          <w:sz w:val="22"/>
          <w:szCs w:val="22"/>
        </w:rPr>
        <w:t>Guide</w:t>
      </w:r>
      <w:r w:rsidRPr="00FB2B78">
        <w:rPr>
          <w:rStyle w:val="normaltextrun"/>
          <w:rFonts w:asciiTheme="minorHAnsi" w:eastAsia="MS Gothic" w:hAnsiTheme="minorHAnsi" w:cstheme="minorHAnsi"/>
          <w:sz w:val="22"/>
          <w:szCs w:val="22"/>
        </w:rPr>
        <w:t xml:space="preserve"> is supported by the Healthy Food Partnership Reformulation Program (PRP), and other initiatives, including the Australian Guide to Healthy Eating (AGHE), the Health Star Rating system and nutrition labelling, which </w:t>
      </w:r>
      <w:r w:rsidR="006843B9" w:rsidRPr="00FB2B78">
        <w:rPr>
          <w:rFonts w:asciiTheme="minorHAnsi" w:hAnsiTheme="minorHAnsi" w:cstheme="minorHAnsi"/>
          <w:sz w:val="22"/>
          <w:szCs w:val="22"/>
        </w:rPr>
        <w:t>are tools to help consumers to make healthy choices</w:t>
      </w:r>
      <w:r w:rsidRPr="00FB2B78">
        <w:rPr>
          <w:rStyle w:val="normaltextrun"/>
          <w:rFonts w:asciiTheme="minorHAnsi" w:eastAsia="MS Gothic" w:hAnsiTheme="minorHAnsi" w:cstheme="minorHAnsi"/>
          <w:sz w:val="22"/>
          <w:szCs w:val="22"/>
        </w:rPr>
        <w:t xml:space="preserve"> when purchasing and consuming food. </w:t>
      </w:r>
      <w:r w:rsidRPr="00FB2B78">
        <w:rPr>
          <w:rStyle w:val="eop"/>
          <w:rFonts w:asciiTheme="minorHAnsi" w:hAnsiTheme="minorHAnsi" w:cstheme="minorHAnsi"/>
          <w:sz w:val="22"/>
          <w:szCs w:val="22"/>
        </w:rPr>
        <w:t> </w:t>
      </w:r>
    </w:p>
    <w:p w14:paraId="159490D7" w14:textId="77777777" w:rsidR="000C4A80" w:rsidRPr="00FB2B78" w:rsidRDefault="000C4A80" w:rsidP="0062792B">
      <w:pPr>
        <w:pStyle w:val="Heading1"/>
        <w:spacing w:before="0" w:after="0"/>
        <w:rPr>
          <w:sz w:val="36"/>
        </w:rPr>
      </w:pPr>
      <w:bookmarkStart w:id="2" w:name="_Toc31270537"/>
    </w:p>
    <w:p w14:paraId="301DA816" w14:textId="59045097" w:rsidR="00240F40" w:rsidRPr="00FB2B78" w:rsidRDefault="00240F40" w:rsidP="0062792B">
      <w:pPr>
        <w:pStyle w:val="Heading1"/>
        <w:spacing w:before="0" w:after="0"/>
        <w:rPr>
          <w:sz w:val="36"/>
        </w:rPr>
      </w:pPr>
      <w:bookmarkStart w:id="3" w:name="_Toc130547251"/>
      <w:r w:rsidRPr="00FB2B78">
        <w:rPr>
          <w:sz w:val="36"/>
        </w:rPr>
        <w:t xml:space="preserve">How the Implementation </w:t>
      </w:r>
      <w:r w:rsidR="00D05B10" w:rsidRPr="00FB2B78">
        <w:rPr>
          <w:sz w:val="36"/>
        </w:rPr>
        <w:t xml:space="preserve">and Monitoring </w:t>
      </w:r>
      <w:r w:rsidRPr="00FB2B78">
        <w:rPr>
          <w:sz w:val="36"/>
        </w:rPr>
        <w:t>Plan should be used</w:t>
      </w:r>
      <w:bookmarkEnd w:id="2"/>
      <w:bookmarkEnd w:id="3"/>
      <w:r w:rsidRPr="00FB2B78">
        <w:rPr>
          <w:sz w:val="36"/>
        </w:rPr>
        <w:t xml:space="preserve"> </w:t>
      </w:r>
    </w:p>
    <w:p w14:paraId="5DF586EA" w14:textId="720C28BB" w:rsidR="00240F40" w:rsidRPr="00FB2B78" w:rsidRDefault="00240F40" w:rsidP="0062792B">
      <w:pPr>
        <w:spacing w:after="120"/>
        <w:rPr>
          <w:rFonts w:asciiTheme="minorHAnsi" w:hAnsiTheme="minorHAnsi" w:cstheme="minorHAnsi"/>
          <w:sz w:val="22"/>
          <w:szCs w:val="22"/>
        </w:rPr>
      </w:pPr>
      <w:r w:rsidRPr="00FB2B78">
        <w:rPr>
          <w:rFonts w:asciiTheme="minorHAnsi" w:hAnsiTheme="minorHAnsi" w:cstheme="minorHAnsi"/>
          <w:sz w:val="22"/>
          <w:szCs w:val="22"/>
        </w:rPr>
        <w:t>This implementation plan detail</w:t>
      </w:r>
      <w:r w:rsidR="00A01C6C" w:rsidRPr="00FB2B78">
        <w:rPr>
          <w:rFonts w:asciiTheme="minorHAnsi" w:hAnsiTheme="minorHAnsi" w:cstheme="minorHAnsi"/>
          <w:sz w:val="22"/>
          <w:szCs w:val="22"/>
        </w:rPr>
        <w:t>s</w:t>
      </w:r>
      <w:r w:rsidRPr="00FB2B78">
        <w:rPr>
          <w:rFonts w:asciiTheme="minorHAnsi" w:hAnsiTheme="minorHAnsi" w:cstheme="minorHAnsi"/>
          <w:sz w:val="22"/>
          <w:szCs w:val="22"/>
        </w:rPr>
        <w:t xml:space="preserve"> the actions the Department of Health</w:t>
      </w:r>
      <w:r w:rsidR="00903FBB" w:rsidRPr="00FB2B78">
        <w:rPr>
          <w:rFonts w:asciiTheme="minorHAnsi" w:hAnsiTheme="minorHAnsi" w:cstheme="minorHAnsi"/>
          <w:sz w:val="22"/>
          <w:szCs w:val="22"/>
        </w:rPr>
        <w:t xml:space="preserve"> </w:t>
      </w:r>
      <w:r w:rsidR="00750639" w:rsidRPr="00FB2B78">
        <w:rPr>
          <w:rFonts w:asciiTheme="minorHAnsi" w:hAnsiTheme="minorHAnsi" w:cstheme="minorHAnsi"/>
          <w:sz w:val="22"/>
          <w:szCs w:val="22"/>
        </w:rPr>
        <w:t xml:space="preserve">and Aged Care </w:t>
      </w:r>
      <w:r w:rsidR="00903FBB" w:rsidRPr="00FB2B78">
        <w:rPr>
          <w:rFonts w:asciiTheme="minorHAnsi" w:hAnsiTheme="minorHAnsi" w:cstheme="minorHAnsi"/>
          <w:sz w:val="22"/>
          <w:szCs w:val="22"/>
        </w:rPr>
        <w:t>(the Department)</w:t>
      </w:r>
      <w:r w:rsidRPr="00FB2B78">
        <w:rPr>
          <w:rFonts w:asciiTheme="minorHAnsi" w:hAnsiTheme="minorHAnsi" w:cstheme="minorHAnsi"/>
          <w:sz w:val="22"/>
          <w:szCs w:val="22"/>
        </w:rPr>
        <w:t xml:space="preserve"> </w:t>
      </w:r>
      <w:r w:rsidR="00627F8B" w:rsidRPr="00FB2B78">
        <w:rPr>
          <w:rFonts w:asciiTheme="minorHAnsi" w:hAnsiTheme="minorHAnsi" w:cstheme="minorHAnsi"/>
          <w:sz w:val="22"/>
          <w:szCs w:val="22"/>
        </w:rPr>
        <w:t>will</w:t>
      </w:r>
      <w:r w:rsidRPr="00FB2B78">
        <w:rPr>
          <w:rFonts w:asciiTheme="minorHAnsi" w:hAnsiTheme="minorHAnsi" w:cstheme="minorHAnsi"/>
          <w:sz w:val="22"/>
          <w:szCs w:val="22"/>
        </w:rPr>
        <w:t xml:space="preserve"> take to successfully implement</w:t>
      </w:r>
      <w:r w:rsidR="00D05B10" w:rsidRPr="00FB2B78">
        <w:rPr>
          <w:rFonts w:asciiTheme="minorHAnsi" w:hAnsiTheme="minorHAnsi" w:cstheme="minorHAnsi"/>
          <w:sz w:val="22"/>
          <w:szCs w:val="22"/>
        </w:rPr>
        <w:t xml:space="preserve">, </w:t>
      </w:r>
      <w:proofErr w:type="gramStart"/>
      <w:r w:rsidR="00D05B10" w:rsidRPr="00FB2B78">
        <w:rPr>
          <w:rFonts w:asciiTheme="minorHAnsi" w:hAnsiTheme="minorHAnsi" w:cstheme="minorHAnsi"/>
          <w:sz w:val="22"/>
          <w:szCs w:val="22"/>
        </w:rPr>
        <w:t>monitor</w:t>
      </w:r>
      <w:proofErr w:type="gramEnd"/>
      <w:r w:rsidR="00D05B10" w:rsidRPr="00FB2B78">
        <w:rPr>
          <w:rFonts w:asciiTheme="minorHAnsi" w:hAnsiTheme="minorHAnsi" w:cstheme="minorHAnsi"/>
          <w:sz w:val="22"/>
          <w:szCs w:val="22"/>
        </w:rPr>
        <w:t xml:space="preserve"> and evaluate </w:t>
      </w:r>
      <w:r w:rsidRPr="00FB2B78">
        <w:rPr>
          <w:rFonts w:asciiTheme="minorHAnsi" w:hAnsiTheme="minorHAnsi" w:cstheme="minorHAnsi"/>
          <w:sz w:val="22"/>
          <w:szCs w:val="22"/>
        </w:rPr>
        <w:t>the</w:t>
      </w:r>
      <w:r w:rsidR="00CA275A" w:rsidRPr="00FB2B78">
        <w:rPr>
          <w:rFonts w:asciiTheme="minorHAnsi" w:hAnsiTheme="minorHAnsi" w:cstheme="minorHAnsi"/>
          <w:sz w:val="22"/>
          <w:szCs w:val="22"/>
        </w:rPr>
        <w:t xml:space="preserve"> Guide</w:t>
      </w:r>
      <w:r w:rsidRPr="00FB2B78">
        <w:rPr>
          <w:rFonts w:asciiTheme="minorHAnsi" w:hAnsiTheme="minorHAnsi" w:cstheme="minorHAnsi"/>
          <w:sz w:val="22"/>
          <w:szCs w:val="22"/>
        </w:rPr>
        <w:t xml:space="preserve">. </w:t>
      </w:r>
      <w:r w:rsidR="00EE5626" w:rsidRPr="00FB2B78">
        <w:rPr>
          <w:rFonts w:asciiTheme="minorHAnsi" w:hAnsiTheme="minorHAnsi" w:cstheme="minorHAnsi"/>
          <w:sz w:val="22"/>
          <w:szCs w:val="22"/>
        </w:rPr>
        <w:t>This includes stakeholder engagement</w:t>
      </w:r>
      <w:r w:rsidR="00304A36" w:rsidRPr="00FB2B78">
        <w:rPr>
          <w:rFonts w:asciiTheme="minorHAnsi" w:hAnsiTheme="minorHAnsi" w:cstheme="minorHAnsi"/>
          <w:sz w:val="22"/>
          <w:szCs w:val="22"/>
        </w:rPr>
        <w:t xml:space="preserve">, dissemination of the </w:t>
      </w:r>
      <w:r w:rsidR="00DF12ED" w:rsidRPr="00FB2B78">
        <w:rPr>
          <w:rFonts w:asciiTheme="minorHAnsi" w:hAnsiTheme="minorHAnsi" w:cstheme="minorHAnsi"/>
          <w:sz w:val="22"/>
          <w:szCs w:val="22"/>
        </w:rPr>
        <w:t>Guide</w:t>
      </w:r>
      <w:r w:rsidR="00304A36" w:rsidRPr="00FB2B78">
        <w:rPr>
          <w:rFonts w:asciiTheme="minorHAnsi" w:hAnsiTheme="minorHAnsi" w:cstheme="minorHAnsi"/>
          <w:sz w:val="22"/>
          <w:szCs w:val="22"/>
        </w:rPr>
        <w:t xml:space="preserve"> </w:t>
      </w:r>
      <w:r w:rsidR="00A01C6C" w:rsidRPr="00FB2B78">
        <w:rPr>
          <w:rFonts w:asciiTheme="minorHAnsi" w:hAnsiTheme="minorHAnsi" w:cstheme="minorHAnsi"/>
          <w:sz w:val="22"/>
          <w:szCs w:val="22"/>
        </w:rPr>
        <w:t>(</w:t>
      </w:r>
      <w:r w:rsidR="00304A36" w:rsidRPr="00FB2B78">
        <w:rPr>
          <w:rFonts w:asciiTheme="minorHAnsi" w:hAnsiTheme="minorHAnsi" w:cstheme="minorHAnsi"/>
          <w:sz w:val="22"/>
          <w:szCs w:val="22"/>
        </w:rPr>
        <w:t xml:space="preserve">including the promotion and creating awareness of the </w:t>
      </w:r>
      <w:r w:rsidR="00A3575E" w:rsidRPr="00FB2B78">
        <w:rPr>
          <w:rFonts w:asciiTheme="minorHAnsi" w:hAnsiTheme="minorHAnsi" w:cstheme="minorHAnsi"/>
          <w:sz w:val="22"/>
          <w:szCs w:val="22"/>
        </w:rPr>
        <w:t>Guide</w:t>
      </w:r>
      <w:r w:rsidR="00304A36" w:rsidRPr="00FB2B78">
        <w:rPr>
          <w:rFonts w:asciiTheme="minorHAnsi" w:hAnsiTheme="minorHAnsi" w:cstheme="minorHAnsi"/>
          <w:sz w:val="22"/>
          <w:szCs w:val="22"/>
        </w:rPr>
        <w:t xml:space="preserve"> to key stakeholders and food </w:t>
      </w:r>
      <w:r w:rsidR="00A01C6C" w:rsidRPr="00FB2B78">
        <w:rPr>
          <w:rFonts w:asciiTheme="minorHAnsi" w:hAnsiTheme="minorHAnsi" w:cstheme="minorHAnsi"/>
          <w:sz w:val="22"/>
          <w:szCs w:val="22"/>
        </w:rPr>
        <w:t>companies) and</w:t>
      </w:r>
      <w:r w:rsidR="00304A36" w:rsidRPr="00FB2B78">
        <w:rPr>
          <w:rFonts w:asciiTheme="minorHAnsi" w:hAnsiTheme="minorHAnsi" w:cstheme="minorHAnsi"/>
          <w:sz w:val="22"/>
          <w:szCs w:val="22"/>
        </w:rPr>
        <w:t xml:space="preserve"> monitoring and evaluation of the uptake of the recommendations outlined in the G</w:t>
      </w:r>
      <w:r w:rsidR="00A3575E" w:rsidRPr="00FB2B78">
        <w:rPr>
          <w:rFonts w:asciiTheme="minorHAnsi" w:hAnsiTheme="minorHAnsi" w:cstheme="minorHAnsi"/>
          <w:sz w:val="22"/>
          <w:szCs w:val="22"/>
        </w:rPr>
        <w:t>uide</w:t>
      </w:r>
      <w:r w:rsidR="00304A36" w:rsidRPr="00FB2B78">
        <w:rPr>
          <w:rFonts w:asciiTheme="minorHAnsi" w:hAnsiTheme="minorHAnsi" w:cstheme="minorHAnsi"/>
          <w:sz w:val="22"/>
          <w:szCs w:val="22"/>
        </w:rPr>
        <w:t xml:space="preserve">. </w:t>
      </w:r>
    </w:p>
    <w:p w14:paraId="764B62D7" w14:textId="1D7B87E1" w:rsidR="00CB061E" w:rsidRPr="00FB2B78" w:rsidRDefault="00903FBB" w:rsidP="00521419">
      <w:pPr>
        <w:spacing w:after="240"/>
        <w:rPr>
          <w:rFonts w:asciiTheme="minorHAnsi" w:hAnsiTheme="minorHAnsi" w:cstheme="minorHAnsi"/>
          <w:sz w:val="22"/>
          <w:szCs w:val="22"/>
        </w:rPr>
      </w:pPr>
      <w:r w:rsidRPr="00FB2B78">
        <w:rPr>
          <w:rFonts w:asciiTheme="minorHAnsi" w:hAnsiTheme="minorHAnsi" w:cstheme="minorHAnsi"/>
          <w:sz w:val="22"/>
          <w:szCs w:val="22"/>
        </w:rPr>
        <w:t xml:space="preserve">Responsibility for the </w:t>
      </w:r>
      <w:r w:rsidR="00240F40" w:rsidRPr="00FB2B78">
        <w:rPr>
          <w:rFonts w:asciiTheme="minorHAnsi" w:hAnsiTheme="minorHAnsi" w:cstheme="minorHAnsi"/>
          <w:sz w:val="22"/>
          <w:szCs w:val="22"/>
        </w:rPr>
        <w:t xml:space="preserve">implementation of the </w:t>
      </w:r>
      <w:r w:rsidR="00CA275A" w:rsidRPr="00FB2B78">
        <w:rPr>
          <w:rFonts w:asciiTheme="minorHAnsi" w:hAnsiTheme="minorHAnsi" w:cstheme="minorHAnsi"/>
          <w:sz w:val="22"/>
          <w:szCs w:val="22"/>
        </w:rPr>
        <w:t>G</w:t>
      </w:r>
      <w:r w:rsidR="001E59D6" w:rsidRPr="00FB2B78">
        <w:rPr>
          <w:rFonts w:asciiTheme="minorHAnsi" w:hAnsiTheme="minorHAnsi" w:cstheme="minorHAnsi"/>
          <w:sz w:val="22"/>
          <w:szCs w:val="22"/>
        </w:rPr>
        <w:t>uide</w:t>
      </w:r>
      <w:r w:rsidR="00CA275A" w:rsidRPr="00FB2B78">
        <w:rPr>
          <w:rFonts w:asciiTheme="minorHAnsi" w:hAnsiTheme="minorHAnsi" w:cstheme="minorHAnsi"/>
          <w:sz w:val="22"/>
          <w:szCs w:val="22"/>
        </w:rPr>
        <w:t xml:space="preserve"> </w:t>
      </w:r>
      <w:r w:rsidR="00240F40" w:rsidRPr="00FB2B78">
        <w:rPr>
          <w:rFonts w:asciiTheme="minorHAnsi" w:hAnsiTheme="minorHAnsi" w:cstheme="minorHAnsi"/>
          <w:sz w:val="22"/>
          <w:szCs w:val="22"/>
        </w:rPr>
        <w:t xml:space="preserve">rests with the </w:t>
      </w:r>
      <w:r w:rsidRPr="00FB2B78">
        <w:rPr>
          <w:rFonts w:asciiTheme="minorHAnsi" w:hAnsiTheme="minorHAnsi" w:cstheme="minorHAnsi"/>
          <w:sz w:val="22"/>
          <w:szCs w:val="22"/>
        </w:rPr>
        <w:t>Department</w:t>
      </w:r>
      <w:r w:rsidR="00B853FF" w:rsidRPr="00FB2B78">
        <w:rPr>
          <w:rFonts w:asciiTheme="minorHAnsi" w:hAnsiTheme="minorHAnsi" w:cstheme="minorHAnsi"/>
          <w:sz w:val="22"/>
          <w:szCs w:val="22"/>
        </w:rPr>
        <w:t>.</w:t>
      </w:r>
    </w:p>
    <w:p w14:paraId="55E9D5C6" w14:textId="68284412" w:rsidR="00950151" w:rsidRPr="00FB2B78" w:rsidRDefault="00950151" w:rsidP="00CA7341">
      <w:pPr>
        <w:pStyle w:val="Heading2"/>
        <w:keepNext/>
        <w:spacing w:before="0"/>
        <w:rPr>
          <w:b/>
          <w:sz w:val="24"/>
          <w:lang w:val="en-US" w:eastAsia="en-AU"/>
        </w:rPr>
      </w:pPr>
      <w:bookmarkStart w:id="4" w:name="_Toc31270538"/>
      <w:bookmarkStart w:id="5" w:name="_Toc130547252"/>
      <w:r w:rsidRPr="00FB2B78">
        <w:rPr>
          <w:b/>
          <w:sz w:val="24"/>
          <w:lang w:val="en-US" w:eastAsia="en-AU"/>
        </w:rPr>
        <w:t xml:space="preserve">Implementation guiding </w:t>
      </w:r>
      <w:proofErr w:type="gramStart"/>
      <w:r w:rsidRPr="00FB2B78">
        <w:rPr>
          <w:b/>
          <w:sz w:val="24"/>
          <w:lang w:val="en-US" w:eastAsia="en-AU"/>
        </w:rPr>
        <w:t>principles</w:t>
      </w:r>
      <w:bookmarkEnd w:id="4"/>
      <w:bookmarkEnd w:id="5"/>
      <w:proofErr w:type="gramEnd"/>
    </w:p>
    <w:p w14:paraId="4F0E3746" w14:textId="6EE1A432" w:rsidR="001E59D6" w:rsidRPr="00FB2B78" w:rsidRDefault="00240F40" w:rsidP="00F9378F">
      <w:pPr>
        <w:rPr>
          <w:rFonts w:asciiTheme="minorHAnsi" w:hAnsiTheme="minorHAnsi" w:cstheme="minorHAnsi"/>
          <w:sz w:val="22"/>
          <w:lang w:val="en-US" w:eastAsia="en-AU"/>
        </w:rPr>
      </w:pPr>
      <w:r w:rsidRPr="00FB2B78">
        <w:rPr>
          <w:rFonts w:asciiTheme="minorHAnsi" w:hAnsiTheme="minorHAnsi" w:cstheme="minorHAnsi"/>
          <w:color w:val="FF0000"/>
          <w:sz w:val="22"/>
          <w:lang w:val="en-US" w:eastAsia="en-AU"/>
        </w:rPr>
        <w:t xml:space="preserve"> </w:t>
      </w:r>
      <w:r w:rsidR="00521419" w:rsidRPr="00FB2B78">
        <w:rPr>
          <w:rFonts w:asciiTheme="minorHAnsi" w:hAnsiTheme="minorHAnsi" w:cstheme="minorHAnsi"/>
          <w:sz w:val="22"/>
          <w:lang w:val="en-US" w:eastAsia="en-AU"/>
        </w:rPr>
        <w:t>The following principles were considered when developing th</w:t>
      </w:r>
      <w:r w:rsidR="00A01C6C" w:rsidRPr="00FB2B78">
        <w:rPr>
          <w:rFonts w:asciiTheme="minorHAnsi" w:hAnsiTheme="minorHAnsi" w:cstheme="minorHAnsi"/>
          <w:sz w:val="22"/>
          <w:lang w:val="en-US" w:eastAsia="en-AU"/>
        </w:rPr>
        <w:t>is</w:t>
      </w:r>
      <w:r w:rsidR="00521419" w:rsidRPr="00FB2B78">
        <w:rPr>
          <w:rFonts w:asciiTheme="minorHAnsi" w:hAnsiTheme="minorHAnsi" w:cstheme="minorHAnsi"/>
          <w:sz w:val="22"/>
          <w:lang w:val="en-US" w:eastAsia="en-AU"/>
        </w:rPr>
        <w:t xml:space="preserve"> Implementation Plan:</w:t>
      </w:r>
      <w:r w:rsidR="001E59D6" w:rsidRPr="00FB2B78">
        <w:rPr>
          <w:rFonts w:asciiTheme="minorHAnsi" w:hAnsiTheme="minorHAnsi" w:cstheme="minorHAnsi"/>
          <w:sz w:val="22"/>
          <w:lang w:val="en-US" w:eastAsia="en-AU"/>
        </w:rPr>
        <w:br/>
      </w:r>
    </w:p>
    <w:p w14:paraId="4D98470E" w14:textId="7D58B46A" w:rsidR="00950151" w:rsidRPr="00FB2B78" w:rsidRDefault="00950151" w:rsidP="00950151">
      <w:pPr>
        <w:numPr>
          <w:ilvl w:val="0"/>
          <w:numId w:val="17"/>
        </w:numPr>
        <w:autoSpaceDE w:val="0"/>
        <w:autoSpaceDN w:val="0"/>
        <w:adjustRightInd w:val="0"/>
        <w:spacing w:before="0" w:after="120" w:line="240" w:lineRule="auto"/>
        <w:rPr>
          <w:rFonts w:asciiTheme="minorHAnsi" w:hAnsiTheme="minorHAnsi" w:cstheme="minorHAnsi"/>
          <w:sz w:val="22"/>
        </w:rPr>
      </w:pPr>
      <w:r w:rsidRPr="00FB2B78">
        <w:rPr>
          <w:rFonts w:asciiTheme="minorHAnsi" w:hAnsiTheme="minorHAnsi" w:cstheme="minorHAnsi"/>
          <w:sz w:val="22"/>
        </w:rPr>
        <w:t xml:space="preserve">Implementation must be practical, widespread, </w:t>
      </w:r>
      <w:r w:rsidR="00273D17" w:rsidRPr="00FB2B78">
        <w:rPr>
          <w:rFonts w:asciiTheme="minorHAnsi" w:hAnsiTheme="minorHAnsi" w:cstheme="minorHAnsi"/>
          <w:sz w:val="22"/>
        </w:rPr>
        <w:t xml:space="preserve">and </w:t>
      </w:r>
      <w:r w:rsidRPr="00FB2B78">
        <w:rPr>
          <w:rFonts w:asciiTheme="minorHAnsi" w:hAnsiTheme="minorHAnsi" w:cstheme="minorHAnsi"/>
          <w:sz w:val="22"/>
        </w:rPr>
        <w:t>properly resourced</w:t>
      </w:r>
      <w:r w:rsidR="00273D17" w:rsidRPr="00FB2B78">
        <w:rPr>
          <w:rFonts w:asciiTheme="minorHAnsi" w:hAnsiTheme="minorHAnsi" w:cstheme="minorHAnsi"/>
          <w:sz w:val="22"/>
        </w:rPr>
        <w:t>.</w:t>
      </w:r>
      <w:r w:rsidRPr="00FB2B78">
        <w:rPr>
          <w:rFonts w:asciiTheme="minorHAnsi" w:hAnsiTheme="minorHAnsi" w:cstheme="minorHAnsi"/>
          <w:sz w:val="22"/>
        </w:rPr>
        <w:t xml:space="preserve"> </w:t>
      </w:r>
    </w:p>
    <w:p w14:paraId="65EAC351" w14:textId="7B800FFD" w:rsidR="00950151" w:rsidRPr="00FB2B78" w:rsidRDefault="00273D17" w:rsidP="00950151">
      <w:pPr>
        <w:numPr>
          <w:ilvl w:val="0"/>
          <w:numId w:val="17"/>
        </w:numPr>
        <w:autoSpaceDE w:val="0"/>
        <w:autoSpaceDN w:val="0"/>
        <w:adjustRightInd w:val="0"/>
        <w:spacing w:before="0" w:after="120" w:line="240" w:lineRule="auto"/>
        <w:rPr>
          <w:rFonts w:asciiTheme="minorHAnsi" w:hAnsiTheme="minorHAnsi" w:cstheme="minorHAnsi"/>
          <w:sz w:val="22"/>
        </w:rPr>
      </w:pPr>
      <w:r w:rsidRPr="00FB2B78">
        <w:rPr>
          <w:rFonts w:asciiTheme="minorHAnsi" w:hAnsiTheme="minorHAnsi" w:cstheme="minorHAnsi"/>
          <w:sz w:val="22"/>
        </w:rPr>
        <w:t>The</w:t>
      </w:r>
      <w:r w:rsidR="0096756B" w:rsidRPr="00FB2B78">
        <w:rPr>
          <w:rFonts w:asciiTheme="minorHAnsi" w:hAnsiTheme="minorHAnsi" w:cstheme="minorHAnsi"/>
          <w:sz w:val="22"/>
        </w:rPr>
        <w:t xml:space="preserve"> </w:t>
      </w:r>
      <w:r w:rsidR="00750639" w:rsidRPr="00FB2B78">
        <w:rPr>
          <w:rFonts w:asciiTheme="minorHAnsi" w:hAnsiTheme="minorHAnsi" w:cstheme="minorHAnsi"/>
          <w:sz w:val="22"/>
        </w:rPr>
        <w:t>Healthy Food Partnership Secretariat</w:t>
      </w:r>
      <w:r w:rsidR="00950151" w:rsidRPr="00FB2B78">
        <w:rPr>
          <w:rFonts w:asciiTheme="minorHAnsi" w:hAnsiTheme="minorHAnsi" w:cstheme="minorHAnsi"/>
          <w:sz w:val="22"/>
        </w:rPr>
        <w:t xml:space="preserve"> must </w:t>
      </w:r>
      <w:r w:rsidRPr="00FB2B78">
        <w:rPr>
          <w:rFonts w:asciiTheme="minorHAnsi" w:hAnsiTheme="minorHAnsi" w:cstheme="minorHAnsi"/>
          <w:sz w:val="22"/>
        </w:rPr>
        <w:t xml:space="preserve">include stakeholders in an </w:t>
      </w:r>
      <w:r w:rsidR="00950151" w:rsidRPr="00FB2B78">
        <w:rPr>
          <w:rFonts w:asciiTheme="minorHAnsi" w:hAnsiTheme="minorHAnsi" w:cstheme="minorHAnsi"/>
          <w:sz w:val="22"/>
        </w:rPr>
        <w:t>ongoing process of engagement.</w:t>
      </w:r>
    </w:p>
    <w:p w14:paraId="7A53F574" w14:textId="57F57793" w:rsidR="00950151" w:rsidRPr="00FB2B78" w:rsidRDefault="00950151" w:rsidP="00950151">
      <w:pPr>
        <w:numPr>
          <w:ilvl w:val="0"/>
          <w:numId w:val="17"/>
        </w:numPr>
        <w:autoSpaceDE w:val="0"/>
        <w:autoSpaceDN w:val="0"/>
        <w:adjustRightInd w:val="0"/>
        <w:spacing w:before="0" w:after="120" w:line="240" w:lineRule="auto"/>
        <w:rPr>
          <w:rFonts w:asciiTheme="minorHAnsi" w:hAnsiTheme="minorHAnsi" w:cstheme="minorHAnsi"/>
          <w:sz w:val="22"/>
        </w:rPr>
      </w:pPr>
      <w:r w:rsidRPr="00FB2B78">
        <w:rPr>
          <w:rFonts w:asciiTheme="minorHAnsi" w:hAnsiTheme="minorHAnsi" w:cstheme="minorHAnsi"/>
          <w:sz w:val="22"/>
        </w:rPr>
        <w:t>The</w:t>
      </w:r>
      <w:r w:rsidR="00273D17" w:rsidRPr="00FB2B78">
        <w:rPr>
          <w:rFonts w:asciiTheme="minorHAnsi" w:hAnsiTheme="minorHAnsi" w:cstheme="minorHAnsi"/>
          <w:sz w:val="22"/>
        </w:rPr>
        <w:t xml:space="preserve"> </w:t>
      </w:r>
      <w:r w:rsidR="00750639" w:rsidRPr="00FB2B78">
        <w:rPr>
          <w:rFonts w:asciiTheme="minorHAnsi" w:hAnsiTheme="minorHAnsi" w:cstheme="minorHAnsi"/>
          <w:sz w:val="22"/>
        </w:rPr>
        <w:t>Guide</w:t>
      </w:r>
      <w:r w:rsidR="00273D17" w:rsidRPr="00FB2B78">
        <w:rPr>
          <w:rFonts w:asciiTheme="minorHAnsi" w:hAnsiTheme="minorHAnsi" w:cstheme="minorHAnsi"/>
          <w:sz w:val="22"/>
        </w:rPr>
        <w:t xml:space="preserve"> </w:t>
      </w:r>
      <w:r w:rsidRPr="00FB2B78">
        <w:rPr>
          <w:rFonts w:asciiTheme="minorHAnsi" w:hAnsiTheme="minorHAnsi" w:cstheme="minorHAnsi"/>
          <w:sz w:val="22"/>
        </w:rPr>
        <w:t>should be fully and effectively mo</w:t>
      </w:r>
      <w:r w:rsidR="0096756B" w:rsidRPr="00FB2B78">
        <w:rPr>
          <w:rFonts w:asciiTheme="minorHAnsi" w:hAnsiTheme="minorHAnsi" w:cstheme="minorHAnsi"/>
          <w:sz w:val="22"/>
        </w:rPr>
        <w:t xml:space="preserve">nitored and evaluated both at </w:t>
      </w:r>
      <w:r w:rsidRPr="00FB2B78">
        <w:rPr>
          <w:rFonts w:asciiTheme="minorHAnsi" w:hAnsiTheme="minorHAnsi" w:cstheme="minorHAnsi"/>
          <w:sz w:val="22"/>
        </w:rPr>
        <w:t>fixed time</w:t>
      </w:r>
      <w:r w:rsidR="0096756B" w:rsidRPr="00FB2B78">
        <w:rPr>
          <w:rFonts w:asciiTheme="minorHAnsi" w:hAnsiTheme="minorHAnsi" w:cstheme="minorHAnsi"/>
          <w:sz w:val="22"/>
        </w:rPr>
        <w:t xml:space="preserve"> points</w:t>
      </w:r>
      <w:r w:rsidRPr="00FB2B78">
        <w:rPr>
          <w:rFonts w:asciiTheme="minorHAnsi" w:hAnsiTheme="minorHAnsi" w:cstheme="minorHAnsi"/>
          <w:sz w:val="22"/>
        </w:rPr>
        <w:t xml:space="preserve"> and on an ongoing bas</w:t>
      </w:r>
      <w:r w:rsidR="009D7894" w:rsidRPr="00FB2B78">
        <w:rPr>
          <w:rFonts w:asciiTheme="minorHAnsi" w:hAnsiTheme="minorHAnsi" w:cstheme="minorHAnsi"/>
          <w:sz w:val="22"/>
        </w:rPr>
        <w:t>is</w:t>
      </w:r>
      <w:r w:rsidRPr="00FB2B78">
        <w:rPr>
          <w:rFonts w:asciiTheme="minorHAnsi" w:hAnsiTheme="minorHAnsi" w:cstheme="minorHAnsi"/>
          <w:sz w:val="22"/>
        </w:rPr>
        <w:t>.</w:t>
      </w:r>
    </w:p>
    <w:p w14:paraId="5F583294" w14:textId="7F8555BA" w:rsidR="00950151" w:rsidRPr="00FB2B78" w:rsidRDefault="00950151" w:rsidP="0096756B">
      <w:pPr>
        <w:numPr>
          <w:ilvl w:val="0"/>
          <w:numId w:val="17"/>
        </w:numPr>
        <w:autoSpaceDE w:val="0"/>
        <w:autoSpaceDN w:val="0"/>
        <w:adjustRightInd w:val="0"/>
        <w:spacing w:before="0" w:after="120" w:line="240" w:lineRule="auto"/>
        <w:rPr>
          <w:rFonts w:asciiTheme="minorHAnsi" w:hAnsiTheme="minorHAnsi" w:cstheme="minorHAnsi"/>
          <w:sz w:val="22"/>
        </w:rPr>
      </w:pPr>
      <w:r w:rsidRPr="00FB2B78">
        <w:rPr>
          <w:rFonts w:asciiTheme="minorHAnsi" w:hAnsiTheme="minorHAnsi" w:cstheme="minorHAnsi"/>
          <w:sz w:val="22"/>
        </w:rPr>
        <w:t>Implementation should include</w:t>
      </w:r>
      <w:r w:rsidR="00273D17" w:rsidRPr="00FB2B78">
        <w:rPr>
          <w:rFonts w:asciiTheme="minorHAnsi" w:hAnsiTheme="minorHAnsi" w:cstheme="minorHAnsi"/>
          <w:sz w:val="22"/>
        </w:rPr>
        <w:t xml:space="preserve"> risk management strategies.  </w:t>
      </w:r>
    </w:p>
    <w:p w14:paraId="3936C7AB" w14:textId="03BEEC04" w:rsidR="000C4A80" w:rsidRPr="00FB2B78" w:rsidRDefault="000C4A80" w:rsidP="000C4A80">
      <w:pPr>
        <w:autoSpaceDE w:val="0"/>
        <w:autoSpaceDN w:val="0"/>
        <w:adjustRightInd w:val="0"/>
        <w:spacing w:before="0" w:after="120" w:line="240" w:lineRule="auto"/>
        <w:rPr>
          <w:rFonts w:asciiTheme="minorHAnsi" w:hAnsiTheme="minorHAnsi" w:cstheme="minorHAnsi"/>
          <w:sz w:val="22"/>
        </w:rPr>
      </w:pPr>
    </w:p>
    <w:p w14:paraId="4E71107F" w14:textId="77777777" w:rsidR="000C4A80" w:rsidRPr="00FB2B78" w:rsidRDefault="000C4A80" w:rsidP="000C4A80">
      <w:pPr>
        <w:autoSpaceDE w:val="0"/>
        <w:autoSpaceDN w:val="0"/>
        <w:adjustRightInd w:val="0"/>
        <w:spacing w:before="0" w:after="120" w:line="240" w:lineRule="auto"/>
        <w:rPr>
          <w:rFonts w:asciiTheme="minorHAnsi" w:hAnsiTheme="minorHAnsi" w:cstheme="minorHAnsi"/>
          <w:sz w:val="22"/>
        </w:rPr>
      </w:pPr>
    </w:p>
    <w:p w14:paraId="738D0528" w14:textId="3094BA29" w:rsidR="00EE3DE3" w:rsidRPr="00FB2B78" w:rsidRDefault="00EE3DE3" w:rsidP="009C29DF">
      <w:pPr>
        <w:pStyle w:val="Heading1"/>
        <w:spacing w:before="600"/>
        <w:rPr>
          <w:sz w:val="36"/>
        </w:rPr>
      </w:pPr>
      <w:bookmarkStart w:id="6" w:name="_Toc31270539"/>
      <w:bookmarkStart w:id="7" w:name="_Toc130547253"/>
      <w:r w:rsidRPr="00FB2B78">
        <w:rPr>
          <w:sz w:val="36"/>
        </w:rPr>
        <w:lastRenderedPageBreak/>
        <w:t>Implementation Timeline</w:t>
      </w:r>
      <w:bookmarkEnd w:id="6"/>
      <w:bookmarkEnd w:id="7"/>
    </w:p>
    <w:tbl>
      <w:tblPr>
        <w:tblStyle w:val="TableGrid"/>
        <w:tblW w:w="10201" w:type="dxa"/>
        <w:tblLook w:val="04A0" w:firstRow="1" w:lastRow="0" w:firstColumn="1" w:lastColumn="0" w:noHBand="0" w:noVBand="1"/>
        <w:tblCaption w:val="Implementation Timeline for Wave 1"/>
        <w:tblDescription w:val="This table has two columns. The first lists the Milestone and the second lists the expected date of completion."/>
      </w:tblPr>
      <w:tblGrid>
        <w:gridCol w:w="7508"/>
        <w:gridCol w:w="2693"/>
      </w:tblGrid>
      <w:tr w:rsidR="008F1F02" w:rsidRPr="00FB2B78" w14:paraId="5EC0695C" w14:textId="77777777" w:rsidTr="00B56B63">
        <w:trPr>
          <w:trHeight w:val="397"/>
          <w:tblHeader/>
        </w:trPr>
        <w:tc>
          <w:tcPr>
            <w:tcW w:w="7508" w:type="dxa"/>
            <w:vAlign w:val="center"/>
          </w:tcPr>
          <w:p w14:paraId="607EE684" w14:textId="6E5A3650" w:rsidR="00EE3DE3" w:rsidRPr="00FB2B78" w:rsidRDefault="00EE3DE3" w:rsidP="00EE3DE3">
            <w:pPr>
              <w:spacing w:before="0"/>
              <w:jc w:val="center"/>
              <w:rPr>
                <w:rFonts w:asciiTheme="minorHAnsi" w:hAnsiTheme="minorHAnsi" w:cstheme="minorHAnsi"/>
                <w:b/>
                <w:color w:val="FF0000"/>
                <w:sz w:val="22"/>
                <w:szCs w:val="24"/>
                <w:lang w:val="en-US" w:eastAsia="en-AU"/>
              </w:rPr>
            </w:pPr>
            <w:r w:rsidRPr="00FB2B78">
              <w:rPr>
                <w:rFonts w:asciiTheme="minorHAnsi" w:hAnsiTheme="minorHAnsi" w:cstheme="minorHAnsi"/>
                <w:b/>
                <w:sz w:val="22"/>
                <w:szCs w:val="24"/>
                <w:lang w:val="en-US" w:eastAsia="en-AU"/>
              </w:rPr>
              <w:t>Milestone</w:t>
            </w:r>
          </w:p>
        </w:tc>
        <w:tc>
          <w:tcPr>
            <w:tcW w:w="2693" w:type="dxa"/>
            <w:vAlign w:val="center"/>
          </w:tcPr>
          <w:p w14:paraId="7F5E466B" w14:textId="2F56C9B3" w:rsidR="00EE3DE3" w:rsidRPr="00FB2B78" w:rsidRDefault="00EE3DE3" w:rsidP="00EE3DE3">
            <w:pPr>
              <w:spacing w:before="0"/>
              <w:jc w:val="center"/>
              <w:rPr>
                <w:rFonts w:asciiTheme="minorHAnsi" w:hAnsiTheme="minorHAnsi" w:cstheme="minorHAnsi"/>
                <w:b/>
                <w:color w:val="FF0000"/>
                <w:sz w:val="22"/>
                <w:szCs w:val="24"/>
                <w:lang w:val="en-US" w:eastAsia="en-AU"/>
              </w:rPr>
            </w:pPr>
            <w:r w:rsidRPr="00FB2B78">
              <w:rPr>
                <w:rFonts w:asciiTheme="minorHAnsi" w:hAnsiTheme="minorHAnsi" w:cstheme="minorHAnsi"/>
                <w:b/>
                <w:sz w:val="22"/>
                <w:szCs w:val="24"/>
                <w:lang w:val="en-US" w:eastAsia="en-AU"/>
              </w:rPr>
              <w:t>Date</w:t>
            </w:r>
          </w:p>
        </w:tc>
      </w:tr>
      <w:tr w:rsidR="008F1F02" w:rsidRPr="00FB2B78" w14:paraId="21F0A517" w14:textId="77777777" w:rsidTr="00B56B63">
        <w:trPr>
          <w:trHeight w:val="397"/>
        </w:trPr>
        <w:tc>
          <w:tcPr>
            <w:tcW w:w="7508" w:type="dxa"/>
          </w:tcPr>
          <w:p w14:paraId="33CCEAA7" w14:textId="4E037F93" w:rsidR="00EE3DE3" w:rsidRPr="00FB2B78" w:rsidRDefault="001D2828" w:rsidP="00EE3DE3">
            <w:pPr>
              <w:spacing w:before="0"/>
              <w:rPr>
                <w:rFonts w:asciiTheme="minorHAnsi" w:hAnsiTheme="minorHAnsi" w:cstheme="minorHAnsi"/>
                <w:sz w:val="22"/>
                <w:szCs w:val="24"/>
                <w:lang w:val="en-US" w:eastAsia="en-AU"/>
              </w:rPr>
            </w:pPr>
            <w:r w:rsidRPr="00FB2B78">
              <w:rPr>
                <w:rFonts w:asciiTheme="minorHAnsi" w:hAnsiTheme="minorHAnsi" w:cstheme="minorHAnsi"/>
                <w:sz w:val="22"/>
                <w:szCs w:val="24"/>
                <w:lang w:eastAsia="en-AU"/>
              </w:rPr>
              <w:t>Endorsement of the Guide</w:t>
            </w:r>
          </w:p>
        </w:tc>
        <w:tc>
          <w:tcPr>
            <w:tcW w:w="2693" w:type="dxa"/>
          </w:tcPr>
          <w:p w14:paraId="5752E38E" w14:textId="4513F8C3" w:rsidR="00EE3DE3" w:rsidRPr="00FB2B78" w:rsidRDefault="001D2828" w:rsidP="00EE3DE3">
            <w:pPr>
              <w:spacing w:before="0"/>
              <w:rPr>
                <w:rFonts w:asciiTheme="minorHAnsi" w:hAnsiTheme="minorHAnsi" w:cstheme="minorHAnsi"/>
                <w:sz w:val="22"/>
                <w:szCs w:val="24"/>
                <w:lang w:val="en-US" w:eastAsia="en-AU"/>
              </w:rPr>
            </w:pPr>
            <w:r w:rsidRPr="00FB2B78">
              <w:rPr>
                <w:rFonts w:asciiTheme="minorHAnsi" w:hAnsiTheme="minorHAnsi" w:cstheme="minorHAnsi"/>
                <w:sz w:val="22"/>
                <w:szCs w:val="24"/>
                <w:lang w:val="en-US" w:eastAsia="en-AU"/>
              </w:rPr>
              <w:t>December 2022</w:t>
            </w:r>
          </w:p>
        </w:tc>
      </w:tr>
      <w:tr w:rsidR="008F1F02" w:rsidRPr="00FB2B78" w14:paraId="457E5511" w14:textId="77777777" w:rsidTr="00B56B63">
        <w:trPr>
          <w:trHeight w:val="397"/>
        </w:trPr>
        <w:tc>
          <w:tcPr>
            <w:tcW w:w="7508" w:type="dxa"/>
          </w:tcPr>
          <w:p w14:paraId="7F62C80B" w14:textId="6883E8BC" w:rsidR="00EE3DE3" w:rsidRPr="00FB2B78" w:rsidRDefault="00F9321A" w:rsidP="00EE3DE3">
            <w:pPr>
              <w:spacing w:before="0"/>
              <w:rPr>
                <w:rFonts w:asciiTheme="minorHAnsi" w:hAnsiTheme="minorHAnsi" w:cstheme="minorHAnsi"/>
                <w:sz w:val="22"/>
                <w:szCs w:val="24"/>
                <w:lang w:val="en-US" w:eastAsia="en-AU"/>
              </w:rPr>
            </w:pPr>
            <w:r w:rsidRPr="00FB2B78">
              <w:rPr>
                <w:rFonts w:asciiTheme="minorHAnsi" w:hAnsiTheme="minorHAnsi" w:cstheme="minorHAnsi"/>
                <w:sz w:val="22"/>
                <w:szCs w:val="24"/>
                <w:lang w:val="en-US" w:eastAsia="en-AU"/>
              </w:rPr>
              <w:t>Promotion of the Guide –</w:t>
            </w:r>
            <w:proofErr w:type="spellStart"/>
            <w:r w:rsidRPr="00FB2B78">
              <w:rPr>
                <w:rFonts w:asciiTheme="minorHAnsi" w:hAnsiTheme="minorHAnsi" w:cstheme="minorHAnsi"/>
                <w:sz w:val="22"/>
                <w:szCs w:val="24"/>
                <w:lang w:val="en-US" w:eastAsia="en-AU"/>
              </w:rPr>
              <w:t>DoH</w:t>
            </w:r>
            <w:proofErr w:type="spellEnd"/>
            <w:r w:rsidRPr="00FB2B78">
              <w:rPr>
                <w:rFonts w:asciiTheme="minorHAnsi" w:hAnsiTheme="minorHAnsi" w:cstheme="minorHAnsi"/>
                <w:sz w:val="22"/>
                <w:szCs w:val="24"/>
                <w:lang w:val="en-US" w:eastAsia="en-AU"/>
              </w:rPr>
              <w:t xml:space="preserve"> email/website, </w:t>
            </w:r>
            <w:r w:rsidR="00F0671B" w:rsidRPr="00FB2B78">
              <w:rPr>
                <w:rFonts w:asciiTheme="minorHAnsi" w:hAnsiTheme="minorHAnsi" w:cstheme="minorHAnsi"/>
                <w:sz w:val="22"/>
                <w:lang w:val="en-US" w:eastAsia="en-AU"/>
              </w:rPr>
              <w:t>industry conferences, networks, stakeholder forums</w:t>
            </w:r>
          </w:p>
        </w:tc>
        <w:tc>
          <w:tcPr>
            <w:tcW w:w="2693" w:type="dxa"/>
          </w:tcPr>
          <w:p w14:paraId="0BA1491B" w14:textId="53CD4835" w:rsidR="00EE3DE3" w:rsidRPr="00FB2B78" w:rsidRDefault="00F0671B" w:rsidP="00EE3DE3">
            <w:pPr>
              <w:spacing w:before="0"/>
              <w:rPr>
                <w:rFonts w:asciiTheme="minorHAnsi" w:hAnsiTheme="minorHAnsi" w:cstheme="minorHAnsi"/>
                <w:color w:val="FF0000"/>
                <w:sz w:val="22"/>
                <w:szCs w:val="24"/>
                <w:lang w:val="en-US" w:eastAsia="en-AU"/>
              </w:rPr>
            </w:pPr>
            <w:r w:rsidRPr="00FB2B78">
              <w:rPr>
                <w:rFonts w:asciiTheme="minorHAnsi" w:hAnsiTheme="minorHAnsi" w:cstheme="minorHAnsi"/>
                <w:sz w:val="22"/>
                <w:szCs w:val="24"/>
                <w:lang w:val="en-US" w:eastAsia="en-AU"/>
              </w:rPr>
              <w:t>Ongoing</w:t>
            </w:r>
          </w:p>
        </w:tc>
      </w:tr>
      <w:tr w:rsidR="00677A2E" w:rsidRPr="00FB2B78" w14:paraId="3466E9BC" w14:textId="77777777" w:rsidTr="00B56B63">
        <w:trPr>
          <w:trHeight w:val="397"/>
        </w:trPr>
        <w:tc>
          <w:tcPr>
            <w:tcW w:w="7508" w:type="dxa"/>
          </w:tcPr>
          <w:p w14:paraId="57BC8FF8" w14:textId="6140865D" w:rsidR="00677A2E" w:rsidRPr="00FB2B78" w:rsidRDefault="00677A2E" w:rsidP="00EE3DE3">
            <w:pPr>
              <w:spacing w:before="0"/>
              <w:rPr>
                <w:rFonts w:asciiTheme="minorHAnsi" w:hAnsiTheme="minorHAnsi" w:cstheme="minorHAnsi"/>
                <w:sz w:val="22"/>
                <w:lang w:val="en-US" w:eastAsia="en-AU"/>
              </w:rPr>
            </w:pPr>
            <w:r w:rsidRPr="00FB2B78">
              <w:rPr>
                <w:rFonts w:asciiTheme="minorHAnsi" w:hAnsiTheme="minorHAnsi" w:cstheme="minorHAnsi"/>
                <w:sz w:val="22"/>
                <w:lang w:val="en-US" w:eastAsia="en-AU"/>
              </w:rPr>
              <w:t>Development of a Communication Strategy for the Guide</w:t>
            </w:r>
          </w:p>
        </w:tc>
        <w:tc>
          <w:tcPr>
            <w:tcW w:w="2693" w:type="dxa"/>
          </w:tcPr>
          <w:p w14:paraId="77EC041E" w14:textId="6ED7C6AE" w:rsidR="00677A2E" w:rsidRPr="00FB2B78" w:rsidRDefault="00CD1657" w:rsidP="00EE3DE3">
            <w:pPr>
              <w:spacing w:before="0"/>
              <w:rPr>
                <w:rFonts w:asciiTheme="minorHAnsi" w:hAnsiTheme="minorHAnsi" w:cstheme="minorHAnsi"/>
                <w:sz w:val="22"/>
                <w:lang w:val="en-US" w:eastAsia="en-AU"/>
              </w:rPr>
            </w:pPr>
            <w:r w:rsidRPr="00FB2B78">
              <w:rPr>
                <w:rFonts w:asciiTheme="minorHAnsi" w:hAnsiTheme="minorHAnsi" w:cstheme="minorHAnsi"/>
                <w:sz w:val="22"/>
                <w:lang w:val="en-US" w:eastAsia="en-AU"/>
              </w:rPr>
              <w:t>June</w:t>
            </w:r>
            <w:r w:rsidR="00677A2E" w:rsidRPr="00FB2B78">
              <w:rPr>
                <w:rFonts w:asciiTheme="minorHAnsi" w:hAnsiTheme="minorHAnsi" w:cstheme="minorHAnsi"/>
                <w:sz w:val="22"/>
                <w:lang w:val="en-US" w:eastAsia="en-AU"/>
              </w:rPr>
              <w:t xml:space="preserve"> 2023</w:t>
            </w:r>
          </w:p>
        </w:tc>
      </w:tr>
      <w:tr w:rsidR="00A26420" w:rsidRPr="00FB2B78" w14:paraId="5FAB4507" w14:textId="77777777" w:rsidTr="00B56B63">
        <w:trPr>
          <w:trHeight w:val="397"/>
        </w:trPr>
        <w:tc>
          <w:tcPr>
            <w:tcW w:w="7508" w:type="dxa"/>
          </w:tcPr>
          <w:p w14:paraId="2DFC6364" w14:textId="2C7BE75D" w:rsidR="00A26420" w:rsidRPr="00FB2B78" w:rsidRDefault="00A26420" w:rsidP="00D05B10">
            <w:pPr>
              <w:spacing w:before="0"/>
              <w:rPr>
                <w:rFonts w:asciiTheme="minorHAnsi" w:hAnsiTheme="minorHAnsi" w:cstheme="minorHAnsi"/>
                <w:sz w:val="22"/>
                <w:lang w:val="en-US" w:eastAsia="en-AU"/>
              </w:rPr>
            </w:pPr>
            <w:r w:rsidRPr="00FB2B78">
              <w:rPr>
                <w:rFonts w:asciiTheme="minorHAnsi" w:hAnsiTheme="minorHAnsi" w:cstheme="minorHAnsi"/>
                <w:sz w:val="22"/>
                <w:lang w:val="en-US" w:eastAsia="en-AU"/>
              </w:rPr>
              <w:t>Baseline Desktop Serving Size Audit</w:t>
            </w:r>
          </w:p>
        </w:tc>
        <w:tc>
          <w:tcPr>
            <w:tcW w:w="2693" w:type="dxa"/>
          </w:tcPr>
          <w:p w14:paraId="467DB591" w14:textId="04AF1991" w:rsidR="00A26420" w:rsidRPr="00FB2B78" w:rsidRDefault="00F0671B" w:rsidP="00D05B10">
            <w:pPr>
              <w:spacing w:before="0"/>
              <w:rPr>
                <w:rFonts w:asciiTheme="minorHAnsi" w:hAnsiTheme="minorHAnsi" w:cstheme="minorHAnsi"/>
                <w:sz w:val="22"/>
                <w:lang w:val="en-US" w:eastAsia="en-AU"/>
              </w:rPr>
            </w:pPr>
            <w:r w:rsidRPr="00FB2B78">
              <w:rPr>
                <w:rFonts w:asciiTheme="minorHAnsi" w:hAnsiTheme="minorHAnsi" w:cstheme="minorHAnsi"/>
                <w:sz w:val="22"/>
                <w:lang w:val="en-US" w:eastAsia="en-AU"/>
              </w:rPr>
              <w:t>November</w:t>
            </w:r>
            <w:r w:rsidR="00A26420" w:rsidRPr="00FB2B78">
              <w:rPr>
                <w:rFonts w:asciiTheme="minorHAnsi" w:hAnsiTheme="minorHAnsi" w:cstheme="minorHAnsi"/>
                <w:sz w:val="22"/>
                <w:lang w:val="en-US" w:eastAsia="en-AU"/>
              </w:rPr>
              <w:t xml:space="preserve"> 2023</w:t>
            </w:r>
          </w:p>
        </w:tc>
      </w:tr>
      <w:tr w:rsidR="00D05B10" w:rsidRPr="00FB2B78" w14:paraId="3255F387" w14:textId="77777777" w:rsidTr="00B56B63">
        <w:trPr>
          <w:trHeight w:val="397"/>
        </w:trPr>
        <w:tc>
          <w:tcPr>
            <w:tcW w:w="7508" w:type="dxa"/>
          </w:tcPr>
          <w:p w14:paraId="587AFB67" w14:textId="14BF36E7" w:rsidR="00D05B10" w:rsidRPr="00FB2B78" w:rsidRDefault="00D05B10" w:rsidP="00D05B10">
            <w:pPr>
              <w:spacing w:before="0"/>
              <w:rPr>
                <w:rFonts w:asciiTheme="minorHAnsi" w:hAnsiTheme="minorHAnsi" w:cstheme="minorHAnsi"/>
                <w:sz w:val="22"/>
                <w:lang w:val="en-US" w:eastAsia="en-AU"/>
              </w:rPr>
            </w:pPr>
            <w:r w:rsidRPr="00FB2B78">
              <w:rPr>
                <w:rFonts w:asciiTheme="minorHAnsi" w:hAnsiTheme="minorHAnsi" w:cstheme="minorHAnsi"/>
                <w:sz w:val="22"/>
                <w:lang w:val="en-US" w:eastAsia="en-AU"/>
              </w:rPr>
              <w:t>Industry Awareness Survey – 6</w:t>
            </w:r>
            <w:r w:rsidR="00F967F8" w:rsidRPr="00FB2B78">
              <w:rPr>
                <w:rFonts w:asciiTheme="minorHAnsi" w:hAnsiTheme="minorHAnsi" w:cstheme="minorHAnsi"/>
                <w:sz w:val="22"/>
                <w:lang w:val="en-US" w:eastAsia="en-AU"/>
              </w:rPr>
              <w:t>, 18</w:t>
            </w:r>
            <w:r w:rsidR="00F0671B" w:rsidRPr="00FB2B78">
              <w:rPr>
                <w:rFonts w:asciiTheme="minorHAnsi" w:hAnsiTheme="minorHAnsi" w:cstheme="minorHAnsi"/>
                <w:sz w:val="22"/>
                <w:lang w:val="en-US" w:eastAsia="en-AU"/>
              </w:rPr>
              <w:t xml:space="preserve"> and 24</w:t>
            </w:r>
            <w:r w:rsidR="00F967F8" w:rsidRPr="00FB2B78">
              <w:rPr>
                <w:rFonts w:asciiTheme="minorHAnsi" w:hAnsiTheme="minorHAnsi" w:cstheme="minorHAnsi"/>
                <w:sz w:val="22"/>
                <w:lang w:val="en-US" w:eastAsia="en-AU"/>
              </w:rPr>
              <w:t xml:space="preserve"> </w:t>
            </w:r>
            <w:r w:rsidRPr="00FB2B78">
              <w:rPr>
                <w:rFonts w:asciiTheme="minorHAnsi" w:hAnsiTheme="minorHAnsi" w:cstheme="minorHAnsi"/>
                <w:sz w:val="22"/>
                <w:lang w:val="en-US" w:eastAsia="en-AU"/>
              </w:rPr>
              <w:t>months from release of the Guide</w:t>
            </w:r>
          </w:p>
        </w:tc>
        <w:tc>
          <w:tcPr>
            <w:tcW w:w="2693" w:type="dxa"/>
          </w:tcPr>
          <w:p w14:paraId="010B8766" w14:textId="72757286" w:rsidR="00D05B10" w:rsidRPr="00FB2B78" w:rsidRDefault="00F0671B" w:rsidP="00D05B10">
            <w:pPr>
              <w:spacing w:before="0"/>
              <w:rPr>
                <w:rFonts w:asciiTheme="minorHAnsi" w:hAnsiTheme="minorHAnsi" w:cstheme="minorHAnsi"/>
                <w:sz w:val="22"/>
                <w:lang w:val="en-US" w:eastAsia="en-AU"/>
              </w:rPr>
            </w:pPr>
            <w:r w:rsidRPr="00FB2B78">
              <w:rPr>
                <w:rFonts w:asciiTheme="minorHAnsi" w:hAnsiTheme="minorHAnsi" w:cstheme="minorHAnsi"/>
                <w:sz w:val="22"/>
                <w:lang w:val="en-US" w:eastAsia="en-AU"/>
              </w:rPr>
              <w:t>April</w:t>
            </w:r>
            <w:r w:rsidR="00D05B10" w:rsidRPr="00FB2B78">
              <w:rPr>
                <w:rFonts w:asciiTheme="minorHAnsi" w:hAnsiTheme="minorHAnsi" w:cstheme="minorHAnsi"/>
                <w:sz w:val="22"/>
                <w:lang w:val="en-US" w:eastAsia="en-AU"/>
              </w:rPr>
              <w:t xml:space="preserve"> 202</w:t>
            </w:r>
            <w:r w:rsidRPr="00FB2B78">
              <w:rPr>
                <w:rFonts w:asciiTheme="minorHAnsi" w:hAnsiTheme="minorHAnsi" w:cstheme="minorHAnsi"/>
                <w:sz w:val="22"/>
                <w:lang w:val="en-US" w:eastAsia="en-AU"/>
              </w:rPr>
              <w:t>4</w:t>
            </w:r>
            <w:r w:rsidR="00F967F8" w:rsidRPr="00FB2B78">
              <w:rPr>
                <w:rFonts w:asciiTheme="minorHAnsi" w:hAnsiTheme="minorHAnsi" w:cstheme="minorHAnsi"/>
                <w:sz w:val="22"/>
                <w:lang w:val="en-US" w:eastAsia="en-AU"/>
              </w:rPr>
              <w:t xml:space="preserve">, </w:t>
            </w:r>
            <w:r w:rsidRPr="00FB2B78">
              <w:rPr>
                <w:rFonts w:asciiTheme="minorHAnsi" w:hAnsiTheme="minorHAnsi" w:cstheme="minorHAnsi"/>
                <w:sz w:val="22"/>
                <w:lang w:val="en-US" w:eastAsia="en-AU"/>
              </w:rPr>
              <w:t>April</w:t>
            </w:r>
            <w:r w:rsidR="00F967F8" w:rsidRPr="00FB2B78">
              <w:rPr>
                <w:rFonts w:asciiTheme="minorHAnsi" w:hAnsiTheme="minorHAnsi" w:cstheme="minorHAnsi"/>
                <w:sz w:val="22"/>
                <w:lang w:val="en-US" w:eastAsia="en-AU"/>
              </w:rPr>
              <w:t xml:space="preserve"> 202</w:t>
            </w:r>
            <w:r w:rsidRPr="00FB2B78">
              <w:rPr>
                <w:rFonts w:asciiTheme="minorHAnsi" w:hAnsiTheme="minorHAnsi" w:cstheme="minorHAnsi"/>
                <w:sz w:val="22"/>
                <w:lang w:val="en-US" w:eastAsia="en-AU"/>
              </w:rPr>
              <w:t>5, October 2025</w:t>
            </w:r>
          </w:p>
        </w:tc>
      </w:tr>
      <w:tr w:rsidR="00D05B10" w:rsidRPr="00FB2B78" w14:paraId="6DEEC671" w14:textId="77777777" w:rsidTr="00B56B63">
        <w:trPr>
          <w:trHeight w:val="397"/>
        </w:trPr>
        <w:tc>
          <w:tcPr>
            <w:tcW w:w="7508" w:type="dxa"/>
          </w:tcPr>
          <w:p w14:paraId="1A92593A" w14:textId="53A27CDD" w:rsidR="00D05B10" w:rsidRPr="00FB2B78" w:rsidRDefault="00D05B10" w:rsidP="00D05B10">
            <w:pPr>
              <w:spacing w:before="0"/>
              <w:rPr>
                <w:rFonts w:asciiTheme="minorHAnsi" w:hAnsiTheme="minorHAnsi" w:cstheme="minorHAnsi"/>
                <w:sz w:val="22"/>
                <w:szCs w:val="24"/>
                <w:lang w:val="en-US" w:eastAsia="en-AU"/>
              </w:rPr>
            </w:pPr>
            <w:r w:rsidRPr="00FB2B78">
              <w:rPr>
                <w:rFonts w:asciiTheme="minorHAnsi" w:hAnsiTheme="minorHAnsi" w:cstheme="minorHAnsi"/>
                <w:sz w:val="22"/>
                <w:szCs w:val="24"/>
                <w:lang w:val="en-US" w:eastAsia="en-AU"/>
              </w:rPr>
              <w:t xml:space="preserve">Desktop Serving Size Audit </w:t>
            </w:r>
            <w:r w:rsidRPr="00FB2B78">
              <w:rPr>
                <w:rFonts w:asciiTheme="minorHAnsi" w:hAnsiTheme="minorHAnsi" w:cstheme="minorHAnsi"/>
                <w:sz w:val="22"/>
                <w:lang w:val="en-US" w:eastAsia="en-AU"/>
              </w:rPr>
              <w:t xml:space="preserve">– 6 </w:t>
            </w:r>
            <w:r w:rsidR="00F967F8" w:rsidRPr="00FB2B78">
              <w:rPr>
                <w:rFonts w:asciiTheme="minorHAnsi" w:hAnsiTheme="minorHAnsi" w:cstheme="minorHAnsi"/>
                <w:sz w:val="22"/>
                <w:lang w:val="en-US" w:eastAsia="en-AU"/>
              </w:rPr>
              <w:t xml:space="preserve">and 18 </w:t>
            </w:r>
            <w:r w:rsidRPr="00FB2B78">
              <w:rPr>
                <w:rFonts w:asciiTheme="minorHAnsi" w:hAnsiTheme="minorHAnsi" w:cstheme="minorHAnsi"/>
                <w:sz w:val="22"/>
                <w:lang w:val="en-US" w:eastAsia="en-AU"/>
              </w:rPr>
              <w:t>months from release of the Guide</w:t>
            </w:r>
          </w:p>
        </w:tc>
        <w:tc>
          <w:tcPr>
            <w:tcW w:w="2693" w:type="dxa"/>
          </w:tcPr>
          <w:p w14:paraId="7B75B6B2" w14:textId="0DD42FAB" w:rsidR="00D05B10" w:rsidRPr="00FB2B78" w:rsidRDefault="00F0671B" w:rsidP="00D05B10">
            <w:pPr>
              <w:spacing w:before="0"/>
              <w:rPr>
                <w:rFonts w:asciiTheme="minorHAnsi" w:hAnsiTheme="minorHAnsi" w:cstheme="minorHAnsi"/>
                <w:sz w:val="22"/>
                <w:szCs w:val="24"/>
                <w:lang w:val="en-US" w:eastAsia="en-AU"/>
              </w:rPr>
            </w:pPr>
            <w:r w:rsidRPr="00FB2B78">
              <w:rPr>
                <w:rFonts w:asciiTheme="minorHAnsi" w:hAnsiTheme="minorHAnsi" w:cstheme="minorHAnsi"/>
                <w:sz w:val="22"/>
                <w:lang w:val="en-US" w:eastAsia="en-AU"/>
              </w:rPr>
              <w:t>April 2024, April 2025</w:t>
            </w:r>
          </w:p>
        </w:tc>
      </w:tr>
      <w:tr w:rsidR="00D05B10" w:rsidRPr="00FB2B78" w14:paraId="05BF1974" w14:textId="77777777" w:rsidTr="00B56B63">
        <w:trPr>
          <w:trHeight w:val="397"/>
        </w:trPr>
        <w:tc>
          <w:tcPr>
            <w:tcW w:w="7508" w:type="dxa"/>
          </w:tcPr>
          <w:p w14:paraId="19444EFF" w14:textId="5ABCC841" w:rsidR="00D05B10" w:rsidRPr="00FB2B78" w:rsidRDefault="00D05B10" w:rsidP="00D05B10">
            <w:pPr>
              <w:spacing w:before="0"/>
              <w:rPr>
                <w:rFonts w:asciiTheme="minorHAnsi" w:hAnsiTheme="minorHAnsi" w:cstheme="minorHAnsi"/>
                <w:sz w:val="22"/>
                <w:szCs w:val="24"/>
                <w:lang w:val="en-US" w:eastAsia="en-AU"/>
              </w:rPr>
            </w:pPr>
            <w:r w:rsidRPr="00FB2B78">
              <w:rPr>
                <w:rFonts w:asciiTheme="minorHAnsi" w:hAnsiTheme="minorHAnsi" w:cstheme="minorHAnsi"/>
                <w:sz w:val="22"/>
                <w:szCs w:val="24"/>
                <w:lang w:val="en-US" w:eastAsia="en-AU"/>
              </w:rPr>
              <w:t xml:space="preserve">Serving Size Audit </w:t>
            </w:r>
            <w:r w:rsidRPr="00FB2B78">
              <w:rPr>
                <w:rFonts w:asciiTheme="minorHAnsi" w:hAnsiTheme="minorHAnsi" w:cstheme="minorHAnsi"/>
                <w:sz w:val="22"/>
                <w:lang w:val="en-US" w:eastAsia="en-AU"/>
              </w:rPr>
              <w:t>–</w:t>
            </w:r>
            <w:r w:rsidR="00F967F8" w:rsidRPr="00FB2B78">
              <w:rPr>
                <w:rFonts w:asciiTheme="minorHAnsi" w:hAnsiTheme="minorHAnsi" w:cstheme="minorHAnsi"/>
                <w:sz w:val="22"/>
                <w:lang w:val="en-US" w:eastAsia="en-AU"/>
              </w:rPr>
              <w:t xml:space="preserve">24 </w:t>
            </w:r>
            <w:r w:rsidRPr="00FB2B78">
              <w:rPr>
                <w:rFonts w:asciiTheme="minorHAnsi" w:hAnsiTheme="minorHAnsi" w:cstheme="minorHAnsi"/>
                <w:sz w:val="22"/>
                <w:lang w:val="en-US" w:eastAsia="en-AU"/>
              </w:rPr>
              <w:t>months from release of the Guide</w:t>
            </w:r>
          </w:p>
        </w:tc>
        <w:tc>
          <w:tcPr>
            <w:tcW w:w="2693" w:type="dxa"/>
          </w:tcPr>
          <w:p w14:paraId="6C975C5C" w14:textId="654D2FBC" w:rsidR="00D05B10" w:rsidRPr="00FB2B78" w:rsidRDefault="00F0671B" w:rsidP="00D05B10">
            <w:pPr>
              <w:spacing w:before="0"/>
              <w:rPr>
                <w:rFonts w:asciiTheme="minorHAnsi" w:hAnsiTheme="minorHAnsi" w:cstheme="minorHAnsi"/>
                <w:sz w:val="22"/>
                <w:szCs w:val="24"/>
                <w:lang w:val="en-US" w:eastAsia="en-AU"/>
              </w:rPr>
            </w:pPr>
            <w:r w:rsidRPr="00FB2B78">
              <w:rPr>
                <w:rFonts w:asciiTheme="minorHAnsi" w:hAnsiTheme="minorHAnsi" w:cstheme="minorHAnsi"/>
                <w:sz w:val="22"/>
                <w:szCs w:val="24"/>
                <w:lang w:val="en-US" w:eastAsia="en-AU"/>
              </w:rPr>
              <w:t>October 2025</w:t>
            </w:r>
          </w:p>
        </w:tc>
      </w:tr>
      <w:tr w:rsidR="008122A5" w:rsidRPr="00FB2B78" w14:paraId="15F7EB4B" w14:textId="77777777" w:rsidTr="00B56B63">
        <w:trPr>
          <w:trHeight w:val="397"/>
        </w:trPr>
        <w:tc>
          <w:tcPr>
            <w:tcW w:w="7508" w:type="dxa"/>
          </w:tcPr>
          <w:p w14:paraId="7D5AF9AC" w14:textId="440F8845" w:rsidR="008122A5" w:rsidRPr="00FB2B78" w:rsidRDefault="008122A5" w:rsidP="00D05B10">
            <w:pPr>
              <w:spacing w:before="0"/>
              <w:rPr>
                <w:rFonts w:asciiTheme="minorHAnsi" w:hAnsiTheme="minorHAnsi" w:cstheme="minorHAnsi"/>
                <w:sz w:val="22"/>
                <w:lang w:val="en-US" w:eastAsia="en-AU"/>
              </w:rPr>
            </w:pPr>
            <w:r w:rsidRPr="00FB2B78">
              <w:rPr>
                <w:rFonts w:asciiTheme="minorHAnsi" w:hAnsiTheme="minorHAnsi" w:cstheme="minorHAnsi"/>
                <w:sz w:val="22"/>
                <w:lang w:val="en-US" w:eastAsia="en-AU"/>
              </w:rPr>
              <w:t>Reports due from participating companies</w:t>
            </w:r>
          </w:p>
        </w:tc>
        <w:tc>
          <w:tcPr>
            <w:tcW w:w="2693" w:type="dxa"/>
          </w:tcPr>
          <w:p w14:paraId="2629358B" w14:textId="67D67ED8" w:rsidR="008122A5" w:rsidRPr="00FB2B78" w:rsidRDefault="000848ED" w:rsidP="00D05B10">
            <w:pPr>
              <w:spacing w:before="0"/>
              <w:rPr>
                <w:rFonts w:asciiTheme="minorHAnsi" w:hAnsiTheme="minorHAnsi" w:cstheme="minorHAnsi"/>
                <w:sz w:val="22"/>
                <w:lang w:val="en-US" w:eastAsia="en-AU"/>
              </w:rPr>
            </w:pPr>
            <w:r w:rsidRPr="00FB2B78">
              <w:rPr>
                <w:rFonts w:asciiTheme="minorHAnsi" w:hAnsiTheme="minorHAnsi" w:cstheme="minorHAnsi"/>
                <w:sz w:val="22"/>
                <w:lang w:val="en-US" w:eastAsia="en-AU"/>
              </w:rPr>
              <w:t>2-yearly</w:t>
            </w:r>
            <w:r w:rsidR="008122A5" w:rsidRPr="00FB2B78">
              <w:rPr>
                <w:rFonts w:asciiTheme="minorHAnsi" w:hAnsiTheme="minorHAnsi" w:cstheme="minorHAnsi"/>
                <w:sz w:val="22"/>
                <w:lang w:val="en-US" w:eastAsia="en-AU"/>
              </w:rPr>
              <w:t>, commencing October 202</w:t>
            </w:r>
            <w:r w:rsidRPr="00FB2B78">
              <w:rPr>
                <w:rFonts w:asciiTheme="minorHAnsi" w:hAnsiTheme="minorHAnsi" w:cstheme="minorHAnsi"/>
                <w:sz w:val="22"/>
                <w:lang w:val="en-US" w:eastAsia="en-AU"/>
              </w:rPr>
              <w:t>5</w:t>
            </w:r>
          </w:p>
        </w:tc>
      </w:tr>
      <w:tr w:rsidR="00D05B10" w:rsidRPr="00FB2B78" w14:paraId="75766989" w14:textId="77777777" w:rsidTr="00B56B63">
        <w:trPr>
          <w:trHeight w:val="397"/>
        </w:trPr>
        <w:tc>
          <w:tcPr>
            <w:tcW w:w="7508" w:type="dxa"/>
          </w:tcPr>
          <w:p w14:paraId="4DB19004" w14:textId="3AC71CDA" w:rsidR="00D05B10" w:rsidRPr="00FB2B78" w:rsidRDefault="00D05B10" w:rsidP="00D05B10">
            <w:pPr>
              <w:spacing w:before="0"/>
              <w:rPr>
                <w:rFonts w:asciiTheme="minorHAnsi" w:hAnsiTheme="minorHAnsi" w:cstheme="minorHAnsi"/>
                <w:sz w:val="22"/>
                <w:lang w:val="en-US" w:eastAsia="en-AU"/>
              </w:rPr>
            </w:pPr>
            <w:r w:rsidRPr="00FB2B78">
              <w:rPr>
                <w:rFonts w:asciiTheme="minorHAnsi" w:hAnsiTheme="minorHAnsi" w:cstheme="minorHAnsi"/>
                <w:sz w:val="22"/>
                <w:lang w:val="en-US" w:eastAsia="en-AU"/>
              </w:rPr>
              <w:t>Progress report prepared for Implementation, Monitoring and Evaluation Group</w:t>
            </w:r>
          </w:p>
        </w:tc>
        <w:tc>
          <w:tcPr>
            <w:tcW w:w="2693" w:type="dxa"/>
          </w:tcPr>
          <w:p w14:paraId="2FEEC132" w14:textId="100B7E84" w:rsidR="00D05B10" w:rsidRPr="00FB2B78" w:rsidRDefault="007C7A1E" w:rsidP="00D05B10">
            <w:pPr>
              <w:spacing w:before="0"/>
              <w:rPr>
                <w:rFonts w:asciiTheme="minorHAnsi" w:hAnsiTheme="minorHAnsi" w:cstheme="minorHAnsi"/>
                <w:sz w:val="22"/>
                <w:lang w:val="en-US" w:eastAsia="en-AU"/>
              </w:rPr>
            </w:pPr>
            <w:r w:rsidRPr="00FB2B78">
              <w:rPr>
                <w:rFonts w:asciiTheme="minorHAnsi" w:hAnsiTheme="minorHAnsi" w:cstheme="minorHAnsi"/>
                <w:sz w:val="22"/>
                <w:lang w:val="en-US" w:eastAsia="en-AU"/>
              </w:rPr>
              <w:t xml:space="preserve">November </w:t>
            </w:r>
            <w:r w:rsidR="00F967F8" w:rsidRPr="00FB2B78">
              <w:rPr>
                <w:rFonts w:asciiTheme="minorHAnsi" w:hAnsiTheme="minorHAnsi" w:cstheme="minorHAnsi"/>
                <w:sz w:val="22"/>
                <w:lang w:val="en-US" w:eastAsia="en-AU"/>
              </w:rPr>
              <w:t>2025</w:t>
            </w:r>
          </w:p>
        </w:tc>
      </w:tr>
      <w:tr w:rsidR="00F967F8" w:rsidRPr="00FB2B78" w14:paraId="50BA9705" w14:textId="77777777" w:rsidTr="00B56B63">
        <w:trPr>
          <w:trHeight w:val="397"/>
        </w:trPr>
        <w:tc>
          <w:tcPr>
            <w:tcW w:w="7508" w:type="dxa"/>
          </w:tcPr>
          <w:p w14:paraId="37F29392" w14:textId="09D5405E" w:rsidR="00F967F8" w:rsidRPr="00FB2B78" w:rsidRDefault="00F967F8" w:rsidP="00D05B10">
            <w:pPr>
              <w:spacing w:before="0"/>
              <w:rPr>
                <w:rFonts w:asciiTheme="minorHAnsi" w:hAnsiTheme="minorHAnsi" w:cstheme="minorHAnsi"/>
                <w:sz w:val="22"/>
                <w:lang w:val="en-US" w:eastAsia="en-AU"/>
              </w:rPr>
            </w:pPr>
            <w:r w:rsidRPr="00FB2B78">
              <w:rPr>
                <w:rFonts w:asciiTheme="minorHAnsi" w:hAnsiTheme="minorHAnsi" w:cstheme="minorHAnsi"/>
                <w:sz w:val="22"/>
                <w:lang w:val="en-US" w:eastAsia="en-AU"/>
              </w:rPr>
              <w:t>R</w:t>
            </w:r>
            <w:r w:rsidR="007C7A1E" w:rsidRPr="00FB2B78">
              <w:rPr>
                <w:rFonts w:asciiTheme="minorHAnsi" w:hAnsiTheme="minorHAnsi" w:cstheme="minorHAnsi"/>
                <w:sz w:val="22"/>
                <w:lang w:val="en-US" w:eastAsia="en-AU"/>
              </w:rPr>
              <w:t>eview and r</w:t>
            </w:r>
            <w:r w:rsidRPr="00FB2B78">
              <w:rPr>
                <w:rFonts w:asciiTheme="minorHAnsi" w:hAnsiTheme="minorHAnsi" w:cstheme="minorHAnsi"/>
                <w:sz w:val="22"/>
                <w:lang w:val="en-US" w:eastAsia="en-AU"/>
              </w:rPr>
              <w:t>evise Implementation and Monitoring Plan</w:t>
            </w:r>
          </w:p>
        </w:tc>
        <w:tc>
          <w:tcPr>
            <w:tcW w:w="2693" w:type="dxa"/>
          </w:tcPr>
          <w:p w14:paraId="70142ACB" w14:textId="24015403" w:rsidR="00F967F8" w:rsidRPr="00FB2B78" w:rsidRDefault="007C7A1E" w:rsidP="00D05B10">
            <w:pPr>
              <w:spacing w:before="0"/>
              <w:rPr>
                <w:rFonts w:asciiTheme="minorHAnsi" w:hAnsiTheme="minorHAnsi" w:cstheme="minorHAnsi"/>
                <w:sz w:val="22"/>
                <w:lang w:val="en-US" w:eastAsia="en-AU"/>
              </w:rPr>
            </w:pPr>
            <w:r w:rsidRPr="00FB2B78">
              <w:rPr>
                <w:rFonts w:asciiTheme="minorHAnsi" w:hAnsiTheme="minorHAnsi" w:cstheme="minorHAnsi"/>
                <w:sz w:val="22"/>
                <w:lang w:val="en-US" w:eastAsia="en-AU"/>
              </w:rPr>
              <w:t>November 2025</w:t>
            </w:r>
          </w:p>
        </w:tc>
      </w:tr>
    </w:tbl>
    <w:p w14:paraId="738D29CC" w14:textId="2DE8DBB3" w:rsidR="00A63C70" w:rsidRPr="00FB2B78" w:rsidRDefault="00A63C70" w:rsidP="00A01C6C">
      <w:pPr>
        <w:pStyle w:val="Heading1"/>
        <w:keepNext w:val="0"/>
        <w:keepLines w:val="0"/>
        <w:spacing w:before="480" w:after="240"/>
        <w:rPr>
          <w:sz w:val="36"/>
        </w:rPr>
      </w:pPr>
      <w:bookmarkStart w:id="8" w:name="_Toc130547254"/>
      <w:bookmarkStart w:id="9" w:name="_Toc31270542"/>
      <w:r w:rsidRPr="00FB2B78">
        <w:rPr>
          <w:sz w:val="36"/>
        </w:rPr>
        <w:t xml:space="preserve">Data </w:t>
      </w:r>
      <w:r w:rsidR="006D3E70" w:rsidRPr="00FB2B78">
        <w:rPr>
          <w:sz w:val="36"/>
        </w:rPr>
        <w:t>C</w:t>
      </w:r>
      <w:r w:rsidRPr="00FB2B78">
        <w:rPr>
          <w:sz w:val="36"/>
        </w:rPr>
        <w:t xml:space="preserve">ollection and </w:t>
      </w:r>
      <w:r w:rsidR="006D3E70" w:rsidRPr="00FB2B78">
        <w:rPr>
          <w:sz w:val="36"/>
        </w:rPr>
        <w:t>A</w:t>
      </w:r>
      <w:r w:rsidRPr="00FB2B78">
        <w:rPr>
          <w:sz w:val="36"/>
        </w:rPr>
        <w:t>nalysis</w:t>
      </w:r>
      <w:bookmarkEnd w:id="8"/>
    </w:p>
    <w:p w14:paraId="3E0ACADA" w14:textId="39C72596" w:rsidR="00E6141B" w:rsidRPr="00FB2B78" w:rsidRDefault="00E6141B" w:rsidP="00E6141B">
      <w:pPr>
        <w:rPr>
          <w:rFonts w:asciiTheme="minorHAnsi" w:hAnsiTheme="minorHAnsi" w:cstheme="minorHAnsi"/>
          <w:sz w:val="22"/>
          <w:szCs w:val="22"/>
          <w:lang w:val="en-US" w:eastAsia="en-AU"/>
        </w:rPr>
      </w:pPr>
      <w:r w:rsidRPr="00FB2B78">
        <w:rPr>
          <w:rFonts w:asciiTheme="minorHAnsi" w:hAnsiTheme="minorHAnsi" w:cstheme="minorHAnsi"/>
          <w:sz w:val="22"/>
          <w:szCs w:val="22"/>
          <w:lang w:val="en-US" w:eastAsia="en-AU"/>
        </w:rPr>
        <w:t xml:space="preserve">Data to monitor industry awareness and use of the Guide will be collected through industry awareness surveys and serving size audits respectively. </w:t>
      </w:r>
    </w:p>
    <w:p w14:paraId="27F9CDF4" w14:textId="6A0EB498" w:rsidR="00BE3D4E" w:rsidRPr="00FB2B78" w:rsidRDefault="00BE3D4E" w:rsidP="00E6141B">
      <w:pPr>
        <w:rPr>
          <w:rFonts w:asciiTheme="minorHAnsi" w:hAnsiTheme="minorHAnsi" w:cstheme="minorHAnsi"/>
          <w:sz w:val="22"/>
          <w:szCs w:val="22"/>
          <w:lang w:val="en-US" w:eastAsia="en-AU"/>
        </w:rPr>
      </w:pPr>
      <w:r w:rsidRPr="00FB2B78">
        <w:rPr>
          <w:rFonts w:asciiTheme="minorHAnsi" w:hAnsiTheme="minorHAnsi" w:cstheme="minorHAnsi"/>
          <w:sz w:val="22"/>
          <w:szCs w:val="22"/>
          <w:u w:val="single"/>
          <w:lang w:val="en-US" w:eastAsia="en-AU"/>
        </w:rPr>
        <w:t xml:space="preserve">Interest in the Guide - </w:t>
      </w:r>
      <w:r w:rsidRPr="00FB2B78">
        <w:rPr>
          <w:rFonts w:asciiTheme="minorHAnsi" w:hAnsiTheme="minorHAnsi" w:cstheme="minorHAnsi"/>
          <w:sz w:val="22"/>
          <w:szCs w:val="22"/>
          <w:lang w:val="en-US" w:eastAsia="en-AU"/>
        </w:rPr>
        <w:t xml:space="preserve">The Department of Health </w:t>
      </w:r>
      <w:r w:rsidR="00BD111F" w:rsidRPr="00FB2B78">
        <w:rPr>
          <w:rFonts w:asciiTheme="minorHAnsi" w:hAnsiTheme="minorHAnsi" w:cstheme="minorHAnsi"/>
          <w:sz w:val="22"/>
          <w:szCs w:val="22"/>
          <w:lang w:val="en-US" w:eastAsia="en-AU"/>
        </w:rPr>
        <w:t xml:space="preserve">and Aged Care </w:t>
      </w:r>
      <w:r w:rsidRPr="00FB2B78">
        <w:rPr>
          <w:rFonts w:asciiTheme="minorHAnsi" w:hAnsiTheme="minorHAnsi" w:cstheme="minorHAnsi"/>
          <w:sz w:val="22"/>
          <w:szCs w:val="22"/>
          <w:lang w:val="en-US" w:eastAsia="en-AU"/>
        </w:rPr>
        <w:t xml:space="preserve">will collect data on the number of </w:t>
      </w:r>
      <w:proofErr w:type="gramStart"/>
      <w:r w:rsidRPr="00FB2B78">
        <w:rPr>
          <w:rFonts w:asciiTheme="minorHAnsi" w:hAnsiTheme="minorHAnsi" w:cstheme="minorHAnsi"/>
          <w:sz w:val="22"/>
          <w:szCs w:val="22"/>
          <w:lang w:val="en-US" w:eastAsia="en-AU"/>
        </w:rPr>
        <w:t>page</w:t>
      </w:r>
      <w:proofErr w:type="gramEnd"/>
      <w:r w:rsidRPr="00FB2B78">
        <w:rPr>
          <w:rFonts w:asciiTheme="minorHAnsi" w:hAnsiTheme="minorHAnsi" w:cstheme="minorHAnsi"/>
          <w:sz w:val="22"/>
          <w:szCs w:val="22"/>
          <w:lang w:val="en-US" w:eastAsia="en-AU"/>
        </w:rPr>
        <w:t xml:space="preserve"> visits the website for the Guide receives and the number of downloads.</w:t>
      </w:r>
      <w:r w:rsidRPr="00FB2B78">
        <w:rPr>
          <w:rFonts w:asciiTheme="minorHAnsi" w:hAnsiTheme="minorHAnsi" w:cstheme="minorHAnsi"/>
          <w:sz w:val="22"/>
          <w:szCs w:val="22"/>
          <w:u w:val="single"/>
          <w:lang w:val="en-US" w:eastAsia="en-AU"/>
        </w:rPr>
        <w:t xml:space="preserve"> </w:t>
      </w:r>
    </w:p>
    <w:p w14:paraId="47F16A57" w14:textId="4B98A3C2" w:rsidR="00E6141B" w:rsidRPr="00FB2B78" w:rsidRDefault="00E6141B" w:rsidP="00E6141B">
      <w:pPr>
        <w:rPr>
          <w:rFonts w:asciiTheme="minorHAnsi" w:hAnsiTheme="minorHAnsi" w:cstheme="minorHAnsi"/>
          <w:sz w:val="22"/>
          <w:szCs w:val="22"/>
          <w:lang w:val="en-US" w:eastAsia="en-AU"/>
        </w:rPr>
      </w:pPr>
      <w:r w:rsidRPr="00FB2B78">
        <w:rPr>
          <w:rFonts w:asciiTheme="minorHAnsi" w:hAnsiTheme="minorHAnsi" w:cstheme="minorHAnsi"/>
          <w:sz w:val="22"/>
          <w:szCs w:val="22"/>
          <w:u w:val="single"/>
          <w:lang w:val="en-US" w:eastAsia="en-AU"/>
        </w:rPr>
        <w:t>Industry awareness surveys</w:t>
      </w:r>
      <w:r w:rsidR="00A26420" w:rsidRPr="00FB2B78">
        <w:rPr>
          <w:rFonts w:asciiTheme="minorHAnsi" w:hAnsiTheme="minorHAnsi" w:cstheme="minorHAnsi"/>
          <w:sz w:val="22"/>
          <w:szCs w:val="22"/>
          <w:u w:val="single"/>
          <w:lang w:val="en-US" w:eastAsia="en-AU"/>
        </w:rPr>
        <w:t>-</w:t>
      </w:r>
      <w:r w:rsidRPr="00FB2B78">
        <w:rPr>
          <w:rFonts w:asciiTheme="minorHAnsi" w:hAnsiTheme="minorHAnsi" w:cstheme="minorHAnsi"/>
          <w:sz w:val="22"/>
          <w:szCs w:val="22"/>
          <w:lang w:val="en-US" w:eastAsia="en-AU"/>
        </w:rPr>
        <w:t xml:space="preserve"> </w:t>
      </w:r>
      <w:r w:rsidR="00AD108A" w:rsidRPr="00FB2B78">
        <w:rPr>
          <w:rFonts w:asciiTheme="minorHAnsi" w:hAnsiTheme="minorHAnsi" w:cstheme="minorHAnsi"/>
          <w:sz w:val="22"/>
          <w:szCs w:val="22"/>
          <w:lang w:val="en-US" w:eastAsia="en-AU"/>
        </w:rPr>
        <w:t>T</w:t>
      </w:r>
      <w:r w:rsidRPr="00FB2B78">
        <w:rPr>
          <w:rFonts w:asciiTheme="minorHAnsi" w:hAnsiTheme="minorHAnsi" w:cstheme="minorHAnsi"/>
          <w:sz w:val="22"/>
          <w:szCs w:val="22"/>
          <w:lang w:val="en-US" w:eastAsia="en-AU"/>
        </w:rPr>
        <w:t xml:space="preserve">he Department of Health </w:t>
      </w:r>
      <w:r w:rsidR="00AD108A" w:rsidRPr="00FB2B78">
        <w:rPr>
          <w:rFonts w:asciiTheme="minorHAnsi" w:hAnsiTheme="minorHAnsi" w:cstheme="minorHAnsi"/>
          <w:sz w:val="22"/>
          <w:szCs w:val="22"/>
          <w:lang w:val="en-US" w:eastAsia="en-AU"/>
        </w:rPr>
        <w:t xml:space="preserve">will survey food industry to measure awareness and use of the Guide at key points. The surveys will be implemented through the Department’s </w:t>
      </w:r>
      <w:r w:rsidRPr="00FB2B78">
        <w:rPr>
          <w:rFonts w:asciiTheme="minorHAnsi" w:hAnsiTheme="minorHAnsi" w:cstheme="minorHAnsi"/>
          <w:sz w:val="22"/>
          <w:szCs w:val="22"/>
          <w:lang w:val="en-US" w:eastAsia="en-AU"/>
        </w:rPr>
        <w:t>Consultation Hub for a</w:t>
      </w:r>
      <w:r w:rsidR="006D3E70" w:rsidRPr="00FB2B78">
        <w:rPr>
          <w:rFonts w:asciiTheme="minorHAnsi" w:hAnsiTheme="minorHAnsi" w:cstheme="minorHAnsi"/>
          <w:sz w:val="22"/>
          <w:szCs w:val="22"/>
          <w:lang w:val="en-US" w:eastAsia="en-AU"/>
        </w:rPr>
        <w:t xml:space="preserve"> </w:t>
      </w:r>
      <w:proofErr w:type="gramStart"/>
      <w:r w:rsidRPr="00FB2B78">
        <w:rPr>
          <w:rFonts w:asciiTheme="minorHAnsi" w:hAnsiTheme="minorHAnsi" w:cstheme="minorHAnsi"/>
          <w:sz w:val="22"/>
          <w:szCs w:val="22"/>
          <w:lang w:val="en-US" w:eastAsia="en-AU"/>
        </w:rPr>
        <w:t>6</w:t>
      </w:r>
      <w:r w:rsidR="006D3E70" w:rsidRPr="00FB2B78">
        <w:rPr>
          <w:rFonts w:asciiTheme="minorHAnsi" w:hAnsiTheme="minorHAnsi" w:cstheme="minorHAnsi"/>
          <w:sz w:val="22"/>
          <w:szCs w:val="22"/>
          <w:lang w:val="en-US" w:eastAsia="en-AU"/>
        </w:rPr>
        <w:t> </w:t>
      </w:r>
      <w:r w:rsidRPr="00FB2B78">
        <w:rPr>
          <w:rFonts w:asciiTheme="minorHAnsi" w:hAnsiTheme="minorHAnsi" w:cstheme="minorHAnsi"/>
          <w:sz w:val="22"/>
          <w:szCs w:val="22"/>
          <w:lang w:val="en-US" w:eastAsia="en-AU"/>
        </w:rPr>
        <w:t>week</w:t>
      </w:r>
      <w:proofErr w:type="gramEnd"/>
      <w:r w:rsidRPr="00FB2B78">
        <w:rPr>
          <w:rFonts w:asciiTheme="minorHAnsi" w:hAnsiTheme="minorHAnsi" w:cstheme="minorHAnsi"/>
          <w:sz w:val="22"/>
          <w:szCs w:val="22"/>
          <w:lang w:val="en-US" w:eastAsia="en-AU"/>
        </w:rPr>
        <w:t xml:space="preserve"> period. The survey</w:t>
      </w:r>
      <w:r w:rsidR="00AD108A" w:rsidRPr="00FB2B78">
        <w:rPr>
          <w:rFonts w:asciiTheme="minorHAnsi" w:hAnsiTheme="minorHAnsi" w:cstheme="minorHAnsi"/>
          <w:sz w:val="22"/>
          <w:szCs w:val="22"/>
          <w:lang w:val="en-US" w:eastAsia="en-AU"/>
        </w:rPr>
        <w:t>s</w:t>
      </w:r>
      <w:r w:rsidRPr="00FB2B78">
        <w:rPr>
          <w:rFonts w:asciiTheme="minorHAnsi" w:hAnsiTheme="minorHAnsi" w:cstheme="minorHAnsi"/>
          <w:sz w:val="22"/>
          <w:szCs w:val="22"/>
          <w:lang w:val="en-US" w:eastAsia="en-AU"/>
        </w:rPr>
        <w:t xml:space="preserve"> will be promoted to industry through the </w:t>
      </w:r>
      <w:r w:rsidR="00AD108A" w:rsidRPr="00FB2B78">
        <w:rPr>
          <w:rFonts w:asciiTheme="minorHAnsi" w:hAnsiTheme="minorHAnsi" w:cstheme="minorHAnsi"/>
          <w:sz w:val="22"/>
          <w:szCs w:val="22"/>
          <w:lang w:val="en-US" w:eastAsia="en-AU"/>
        </w:rPr>
        <w:t xml:space="preserve">Partnership </w:t>
      </w:r>
      <w:r w:rsidRPr="00FB2B78">
        <w:rPr>
          <w:rFonts w:asciiTheme="minorHAnsi" w:hAnsiTheme="minorHAnsi" w:cstheme="minorHAnsi"/>
          <w:sz w:val="22"/>
          <w:szCs w:val="22"/>
          <w:lang w:val="en-US" w:eastAsia="en-AU"/>
        </w:rPr>
        <w:t xml:space="preserve">Secretariat’s mailing lists and via platforms such as LinkedIn. The Department will also work with industry peak bodies to promote the survey to their members. </w:t>
      </w:r>
    </w:p>
    <w:p w14:paraId="1E86B77C" w14:textId="486F45C0" w:rsidR="00AD108A" w:rsidRPr="00FB2B78" w:rsidRDefault="00E6141B" w:rsidP="00E6141B">
      <w:pPr>
        <w:rPr>
          <w:rFonts w:asciiTheme="minorHAnsi" w:hAnsiTheme="minorHAnsi" w:cstheme="minorHAnsi"/>
          <w:sz w:val="22"/>
          <w:szCs w:val="22"/>
          <w:lang w:val="en-US" w:eastAsia="en-AU"/>
        </w:rPr>
      </w:pPr>
      <w:r w:rsidRPr="00FB2B78">
        <w:rPr>
          <w:rFonts w:asciiTheme="minorHAnsi" w:hAnsiTheme="minorHAnsi" w:cstheme="minorHAnsi"/>
          <w:sz w:val="22"/>
          <w:szCs w:val="22"/>
          <w:u w:val="single"/>
          <w:lang w:val="en-US" w:eastAsia="en-AU"/>
        </w:rPr>
        <w:t xml:space="preserve">Desktop serving size audit- </w:t>
      </w:r>
      <w:r w:rsidR="00A26420" w:rsidRPr="00FB2B78">
        <w:rPr>
          <w:rFonts w:asciiTheme="minorHAnsi" w:hAnsiTheme="minorHAnsi" w:cstheme="minorHAnsi"/>
          <w:sz w:val="22"/>
          <w:szCs w:val="22"/>
          <w:lang w:val="en-US" w:eastAsia="en-AU"/>
        </w:rPr>
        <w:t xml:space="preserve">The Department will undertake desktop serving size audits of the food categories featured in the Guide to monitor changes in serving sizes of available food products. </w:t>
      </w:r>
      <w:r w:rsidR="00AD108A" w:rsidRPr="00FB2B78">
        <w:rPr>
          <w:rFonts w:asciiTheme="minorHAnsi" w:hAnsiTheme="minorHAnsi" w:cstheme="minorHAnsi"/>
          <w:sz w:val="22"/>
          <w:szCs w:val="22"/>
          <w:lang w:val="en-US" w:eastAsia="en-AU"/>
        </w:rPr>
        <w:t xml:space="preserve">Audits will be undertaken through viewing company and retailer’s websites to obtain data on serving sizes of relevant food categories. </w:t>
      </w:r>
      <w:r w:rsidR="00A26420" w:rsidRPr="00FB2B78">
        <w:rPr>
          <w:rFonts w:asciiTheme="minorHAnsi" w:hAnsiTheme="minorHAnsi" w:cstheme="minorHAnsi"/>
          <w:sz w:val="22"/>
          <w:szCs w:val="22"/>
          <w:lang w:val="en-US" w:eastAsia="en-AU"/>
        </w:rPr>
        <w:t xml:space="preserve">A selection of small, </w:t>
      </w:r>
      <w:proofErr w:type="gramStart"/>
      <w:r w:rsidR="00A26420" w:rsidRPr="00FB2B78">
        <w:rPr>
          <w:rFonts w:asciiTheme="minorHAnsi" w:hAnsiTheme="minorHAnsi" w:cstheme="minorHAnsi"/>
          <w:sz w:val="22"/>
          <w:szCs w:val="22"/>
          <w:lang w:val="en-US" w:eastAsia="en-AU"/>
        </w:rPr>
        <w:t>medium</w:t>
      </w:r>
      <w:proofErr w:type="gramEnd"/>
      <w:r w:rsidR="00A26420" w:rsidRPr="00FB2B78">
        <w:rPr>
          <w:rFonts w:asciiTheme="minorHAnsi" w:hAnsiTheme="minorHAnsi" w:cstheme="minorHAnsi"/>
          <w:sz w:val="22"/>
          <w:szCs w:val="22"/>
          <w:lang w:val="en-US" w:eastAsia="en-AU"/>
        </w:rPr>
        <w:t xml:space="preserve"> and large businesses will be included in the audit. </w:t>
      </w:r>
      <w:r w:rsidR="00AD108A" w:rsidRPr="00FB2B78">
        <w:rPr>
          <w:rFonts w:asciiTheme="minorHAnsi" w:hAnsiTheme="minorHAnsi" w:cstheme="minorHAnsi"/>
          <w:sz w:val="22"/>
          <w:szCs w:val="22"/>
          <w:lang w:val="en-US" w:eastAsia="en-AU"/>
        </w:rPr>
        <w:t xml:space="preserve">The Branded Food Database being developed by Food Standards </w:t>
      </w:r>
      <w:r w:rsidR="003B09B4" w:rsidRPr="00FB2B78">
        <w:rPr>
          <w:rFonts w:asciiTheme="minorHAnsi" w:hAnsiTheme="minorHAnsi" w:cstheme="minorHAnsi"/>
          <w:sz w:val="22"/>
          <w:szCs w:val="22"/>
          <w:lang w:val="en-US" w:eastAsia="en-AU"/>
        </w:rPr>
        <w:t xml:space="preserve">Australia New Zealand is another tool which can be used in the audit to measure serving sizes available in the relevant </w:t>
      </w:r>
      <w:r w:rsidR="00BD111F" w:rsidRPr="00FB2B78">
        <w:rPr>
          <w:rFonts w:asciiTheme="minorHAnsi" w:hAnsiTheme="minorHAnsi" w:cstheme="minorHAnsi"/>
          <w:sz w:val="22"/>
          <w:szCs w:val="22"/>
          <w:lang w:val="en-US" w:eastAsia="en-AU"/>
        </w:rPr>
        <w:t xml:space="preserve">retail </w:t>
      </w:r>
      <w:r w:rsidR="003B09B4" w:rsidRPr="00FB2B78">
        <w:rPr>
          <w:rFonts w:asciiTheme="minorHAnsi" w:hAnsiTheme="minorHAnsi" w:cstheme="minorHAnsi"/>
          <w:sz w:val="22"/>
          <w:szCs w:val="22"/>
          <w:lang w:val="en-US" w:eastAsia="en-AU"/>
        </w:rPr>
        <w:t xml:space="preserve">food categories. </w:t>
      </w:r>
    </w:p>
    <w:p w14:paraId="511DDF39" w14:textId="43509B9A" w:rsidR="00E6141B" w:rsidRPr="00FB2B78" w:rsidRDefault="00A26420" w:rsidP="00E6141B">
      <w:pPr>
        <w:rPr>
          <w:rFonts w:asciiTheme="minorHAnsi" w:hAnsiTheme="minorHAnsi" w:cstheme="minorHAnsi"/>
          <w:b/>
          <w:bCs/>
          <w:sz w:val="22"/>
          <w:szCs w:val="22"/>
          <w:lang w:val="en-US" w:eastAsia="en-AU"/>
        </w:rPr>
      </w:pPr>
      <w:r w:rsidRPr="00FB2B78">
        <w:rPr>
          <w:rFonts w:asciiTheme="minorHAnsi" w:hAnsiTheme="minorHAnsi" w:cstheme="minorHAnsi"/>
          <w:sz w:val="22"/>
          <w:szCs w:val="22"/>
          <w:lang w:val="en-US" w:eastAsia="en-AU"/>
        </w:rPr>
        <w:t>Learnings from the baseline audit will be incorporated into future surveys</w:t>
      </w:r>
      <w:r w:rsidR="00010120" w:rsidRPr="00FB2B78">
        <w:rPr>
          <w:rFonts w:asciiTheme="minorHAnsi" w:hAnsiTheme="minorHAnsi" w:cstheme="minorHAnsi"/>
          <w:sz w:val="22"/>
          <w:szCs w:val="22"/>
          <w:lang w:val="en-US" w:eastAsia="en-AU"/>
        </w:rPr>
        <w:t>. This may include targeting the food categories</w:t>
      </w:r>
      <w:r w:rsidR="0039623E" w:rsidRPr="00FB2B78">
        <w:rPr>
          <w:rFonts w:asciiTheme="minorHAnsi" w:hAnsiTheme="minorHAnsi" w:cstheme="minorHAnsi"/>
          <w:sz w:val="22"/>
          <w:szCs w:val="22"/>
          <w:lang w:val="en-US" w:eastAsia="en-AU"/>
        </w:rPr>
        <w:t xml:space="preserve"> or business sectors </w:t>
      </w:r>
      <w:r w:rsidR="00010120" w:rsidRPr="00FB2B78">
        <w:rPr>
          <w:rFonts w:asciiTheme="minorHAnsi" w:hAnsiTheme="minorHAnsi" w:cstheme="minorHAnsi"/>
          <w:sz w:val="22"/>
          <w:szCs w:val="22"/>
          <w:lang w:val="en-US" w:eastAsia="en-AU"/>
        </w:rPr>
        <w:t>that haven’t implemented the recommendations in future surveys</w:t>
      </w:r>
      <w:r w:rsidRPr="00FB2B78">
        <w:rPr>
          <w:rFonts w:asciiTheme="minorHAnsi" w:hAnsiTheme="minorHAnsi" w:cstheme="minorHAnsi"/>
          <w:sz w:val="22"/>
          <w:szCs w:val="22"/>
          <w:lang w:val="en-US" w:eastAsia="en-AU"/>
        </w:rPr>
        <w:t xml:space="preserve">. </w:t>
      </w:r>
      <w:r w:rsidR="00AD108A" w:rsidRPr="00FB2B78">
        <w:rPr>
          <w:rFonts w:asciiTheme="minorHAnsi" w:hAnsiTheme="minorHAnsi" w:cstheme="minorHAnsi"/>
          <w:sz w:val="22"/>
          <w:szCs w:val="22"/>
          <w:lang w:val="en-US" w:eastAsia="en-AU"/>
        </w:rPr>
        <w:t>The audit results</w:t>
      </w:r>
      <w:r w:rsidRPr="00FB2B78">
        <w:rPr>
          <w:rFonts w:asciiTheme="minorHAnsi" w:hAnsiTheme="minorHAnsi" w:cstheme="minorHAnsi"/>
          <w:sz w:val="22"/>
          <w:szCs w:val="22"/>
          <w:lang w:val="en-US" w:eastAsia="en-AU"/>
        </w:rPr>
        <w:t xml:space="preserve"> will also help to inform which sectors of the market could be targeted in </w:t>
      </w:r>
      <w:r w:rsidR="00AD108A" w:rsidRPr="00FB2B78">
        <w:rPr>
          <w:rFonts w:asciiTheme="minorHAnsi" w:hAnsiTheme="minorHAnsi" w:cstheme="minorHAnsi"/>
          <w:sz w:val="22"/>
          <w:szCs w:val="22"/>
          <w:lang w:val="en-US" w:eastAsia="en-AU"/>
        </w:rPr>
        <w:t xml:space="preserve">promoting the Guide (e.g. particular business types or </w:t>
      </w:r>
      <w:proofErr w:type="gramStart"/>
      <w:r w:rsidR="00AD108A" w:rsidRPr="00FB2B78">
        <w:rPr>
          <w:rFonts w:asciiTheme="minorHAnsi" w:hAnsiTheme="minorHAnsi" w:cstheme="minorHAnsi"/>
          <w:sz w:val="22"/>
          <w:szCs w:val="22"/>
          <w:lang w:val="en-US" w:eastAsia="en-AU"/>
        </w:rPr>
        <w:t>particular product</w:t>
      </w:r>
      <w:proofErr w:type="gramEnd"/>
      <w:r w:rsidR="00AD108A" w:rsidRPr="00FB2B78">
        <w:rPr>
          <w:rFonts w:asciiTheme="minorHAnsi" w:hAnsiTheme="minorHAnsi" w:cstheme="minorHAnsi"/>
          <w:sz w:val="22"/>
          <w:szCs w:val="22"/>
          <w:lang w:val="en-US" w:eastAsia="en-AU"/>
        </w:rPr>
        <w:t xml:space="preserve"> categories). </w:t>
      </w:r>
    </w:p>
    <w:p w14:paraId="1C2ABE9F" w14:textId="5C530CF8" w:rsidR="00E6141B" w:rsidRPr="00FB2B78" w:rsidRDefault="00E6141B" w:rsidP="00E6141B">
      <w:pPr>
        <w:rPr>
          <w:rFonts w:asciiTheme="minorHAnsi" w:hAnsiTheme="minorHAnsi" w:cstheme="minorHAnsi"/>
          <w:sz w:val="22"/>
          <w:szCs w:val="22"/>
          <w:lang w:val="en-US" w:eastAsia="en-AU"/>
        </w:rPr>
      </w:pPr>
      <w:r w:rsidRPr="00FB2B78">
        <w:rPr>
          <w:rFonts w:asciiTheme="minorHAnsi" w:hAnsiTheme="minorHAnsi" w:cstheme="minorHAnsi"/>
          <w:sz w:val="22"/>
          <w:szCs w:val="22"/>
          <w:u w:val="single"/>
          <w:lang w:val="en-US" w:eastAsia="en-AU"/>
        </w:rPr>
        <w:t>Serving size audit-</w:t>
      </w:r>
      <w:r w:rsidR="00AD108A" w:rsidRPr="00FB2B78">
        <w:rPr>
          <w:rFonts w:asciiTheme="minorHAnsi" w:hAnsiTheme="minorHAnsi" w:cstheme="minorHAnsi"/>
          <w:sz w:val="22"/>
          <w:szCs w:val="22"/>
          <w:lang w:val="en-US" w:eastAsia="en-AU"/>
        </w:rPr>
        <w:t xml:space="preserve"> The Department will commission an audit of available serving sizes at approximately 24 months following the release of the Guide to measure uptake of the Guide by food manufacturers and retailers. </w:t>
      </w:r>
      <w:r w:rsidR="00AD108A" w:rsidRPr="00FB2B78">
        <w:rPr>
          <w:rFonts w:asciiTheme="minorHAnsi" w:hAnsiTheme="minorHAnsi" w:cstheme="minorHAnsi"/>
          <w:sz w:val="22"/>
          <w:szCs w:val="22"/>
          <w:lang w:val="en-US" w:eastAsia="en-AU"/>
        </w:rPr>
        <w:lastRenderedPageBreak/>
        <w:t xml:space="preserve">The audit </w:t>
      </w:r>
      <w:r w:rsidR="000C4A80" w:rsidRPr="00FB2B78">
        <w:rPr>
          <w:rFonts w:asciiTheme="minorHAnsi" w:hAnsiTheme="minorHAnsi" w:cstheme="minorHAnsi"/>
          <w:sz w:val="22"/>
          <w:szCs w:val="22"/>
          <w:lang w:val="en-US" w:eastAsia="en-AU"/>
        </w:rPr>
        <w:t>will collect serving size data on each of the food categories included in the Guide and measure use of other strategies to promote appropriate serving sizes such as on-pack messaging. A variety of food businesses will be included in the audit to determine whether there is variation in the adoption of the Guide and identify approaches to improve uptake. Consideration can be given about whether to include a control study, such as measuring serving sizes in comparable products in New Zealand</w:t>
      </w:r>
      <w:r w:rsidR="00BD111F" w:rsidRPr="00FB2B78">
        <w:rPr>
          <w:rFonts w:asciiTheme="minorHAnsi" w:hAnsiTheme="minorHAnsi" w:cstheme="minorHAnsi"/>
          <w:sz w:val="22"/>
          <w:szCs w:val="22"/>
          <w:lang w:val="en-US" w:eastAsia="en-AU"/>
        </w:rPr>
        <w:t>,</w:t>
      </w:r>
      <w:r w:rsidR="000C4A80" w:rsidRPr="00FB2B78">
        <w:rPr>
          <w:rFonts w:asciiTheme="minorHAnsi" w:hAnsiTheme="minorHAnsi" w:cstheme="minorHAnsi"/>
          <w:sz w:val="22"/>
          <w:szCs w:val="22"/>
          <w:lang w:val="en-US" w:eastAsia="en-AU"/>
        </w:rPr>
        <w:t xml:space="preserve"> to determine whether the Guide has impacted serving sizes in Australia. </w:t>
      </w:r>
    </w:p>
    <w:p w14:paraId="5BAC067F" w14:textId="77777777" w:rsidR="00EE7D1F" w:rsidRPr="00FB2B78" w:rsidRDefault="000C4A80" w:rsidP="00E6141B">
      <w:pPr>
        <w:rPr>
          <w:rFonts w:asciiTheme="minorHAnsi" w:hAnsiTheme="minorHAnsi" w:cstheme="minorHAnsi"/>
          <w:sz w:val="22"/>
          <w:szCs w:val="22"/>
        </w:rPr>
      </w:pPr>
      <w:r w:rsidRPr="00FB2B78">
        <w:rPr>
          <w:rFonts w:asciiTheme="minorHAnsi" w:hAnsiTheme="minorHAnsi" w:cstheme="minorHAnsi"/>
          <w:sz w:val="22"/>
          <w:szCs w:val="22"/>
          <w:lang w:val="en-US" w:eastAsia="en-AU"/>
        </w:rPr>
        <w:t>The information and data provided through the surveys and audits will be reported to the Implementation, Monitoring and Evaluation Group and Executive Committee.</w:t>
      </w:r>
      <w:r w:rsidR="00A32E8E" w:rsidRPr="00FB2B78">
        <w:rPr>
          <w:rFonts w:asciiTheme="minorHAnsi" w:hAnsiTheme="minorHAnsi" w:cstheme="minorHAnsi"/>
          <w:sz w:val="22"/>
          <w:szCs w:val="22"/>
          <w:lang w:val="en-US" w:eastAsia="en-AU"/>
        </w:rPr>
        <w:t xml:space="preserve"> </w:t>
      </w:r>
      <w:r w:rsidRPr="00FB2B78">
        <w:rPr>
          <w:rFonts w:asciiTheme="minorHAnsi" w:hAnsiTheme="minorHAnsi" w:cstheme="minorHAnsi"/>
          <w:sz w:val="22"/>
          <w:szCs w:val="22"/>
          <w:lang w:val="en-US" w:eastAsia="en-AU"/>
        </w:rPr>
        <w:t xml:space="preserve">This information can also help to refine the promotion of the Guide and target </w:t>
      </w:r>
      <w:proofErr w:type="gramStart"/>
      <w:r w:rsidRPr="00FB2B78">
        <w:rPr>
          <w:rFonts w:asciiTheme="minorHAnsi" w:hAnsiTheme="minorHAnsi" w:cstheme="minorHAnsi"/>
          <w:sz w:val="22"/>
          <w:szCs w:val="22"/>
          <w:lang w:val="en-US" w:eastAsia="en-AU"/>
        </w:rPr>
        <w:t>particular market</w:t>
      </w:r>
      <w:proofErr w:type="gramEnd"/>
      <w:r w:rsidRPr="00FB2B78">
        <w:rPr>
          <w:rFonts w:asciiTheme="minorHAnsi" w:hAnsiTheme="minorHAnsi" w:cstheme="minorHAnsi"/>
          <w:sz w:val="22"/>
          <w:szCs w:val="22"/>
          <w:lang w:val="en-US" w:eastAsia="en-AU"/>
        </w:rPr>
        <w:t xml:space="preserve"> sectors or products if there is evidence of uneven adoption of the Guide across the industry. </w:t>
      </w:r>
      <w:r w:rsidR="00A32E8E" w:rsidRPr="00FB2B78">
        <w:rPr>
          <w:rFonts w:asciiTheme="minorHAnsi" w:hAnsiTheme="minorHAnsi" w:cstheme="minorHAnsi"/>
          <w:sz w:val="22"/>
          <w:szCs w:val="22"/>
        </w:rPr>
        <w:t xml:space="preserve">Consideration will be given to results of the industry awareness survey, </w:t>
      </w:r>
      <w:proofErr w:type="gramStart"/>
      <w:r w:rsidR="00A32E8E" w:rsidRPr="00FB2B78">
        <w:rPr>
          <w:rFonts w:asciiTheme="minorHAnsi" w:hAnsiTheme="minorHAnsi" w:cstheme="minorHAnsi"/>
          <w:sz w:val="22"/>
          <w:szCs w:val="22"/>
        </w:rPr>
        <w:t>audits</w:t>
      </w:r>
      <w:proofErr w:type="gramEnd"/>
      <w:r w:rsidR="00A32E8E" w:rsidRPr="00FB2B78">
        <w:rPr>
          <w:rFonts w:asciiTheme="minorHAnsi" w:hAnsiTheme="minorHAnsi" w:cstheme="minorHAnsi"/>
          <w:sz w:val="22"/>
          <w:szCs w:val="22"/>
        </w:rPr>
        <w:t xml:space="preserve"> and other sources of intel available to the Secretariat when evaluating the implementation of the Guide. </w:t>
      </w:r>
    </w:p>
    <w:p w14:paraId="71821E0F" w14:textId="4E4CBE47" w:rsidR="00EE7D1F" w:rsidRPr="00FB2B78" w:rsidRDefault="00EE7D1F" w:rsidP="00EE7D1F">
      <w:pPr>
        <w:pStyle w:val="Heading1"/>
        <w:keepNext w:val="0"/>
        <w:keepLines w:val="0"/>
        <w:spacing w:before="480" w:after="240"/>
        <w:rPr>
          <w:sz w:val="36"/>
        </w:rPr>
      </w:pPr>
      <w:r w:rsidRPr="00FB2B78">
        <w:rPr>
          <w:sz w:val="36"/>
        </w:rPr>
        <w:t>Participation requirements</w:t>
      </w:r>
    </w:p>
    <w:p w14:paraId="6B6CA57E" w14:textId="5BAFB284" w:rsidR="00A27975" w:rsidRPr="00FB2B78" w:rsidRDefault="00A27975" w:rsidP="00A27975">
      <w:pPr>
        <w:pStyle w:val="Heading2"/>
        <w:spacing w:before="240" w:after="120"/>
        <w:rPr>
          <w:b/>
          <w:sz w:val="24"/>
          <w:lang w:val="en-US" w:eastAsia="en-AU"/>
        </w:rPr>
      </w:pPr>
      <w:r w:rsidRPr="00FB2B78">
        <w:rPr>
          <w:b/>
          <w:sz w:val="24"/>
          <w:lang w:val="en-US" w:eastAsia="en-AU"/>
        </w:rPr>
        <w:t>Commitment</w:t>
      </w:r>
    </w:p>
    <w:p w14:paraId="27C8232E" w14:textId="2BE9B612" w:rsidR="00EE7D1F" w:rsidRPr="00FB2B78" w:rsidRDefault="00EE7D1F" w:rsidP="00EE7D1F">
      <w:pPr>
        <w:rPr>
          <w:rFonts w:asciiTheme="minorHAnsi" w:hAnsiTheme="minorHAnsi" w:cstheme="minorHAnsi"/>
          <w:sz w:val="22"/>
          <w:lang w:val="en-US" w:eastAsia="en-AU"/>
        </w:rPr>
      </w:pPr>
      <w:r w:rsidRPr="00FB2B78">
        <w:rPr>
          <w:rFonts w:asciiTheme="minorHAnsi" w:hAnsiTheme="minorHAnsi" w:cstheme="minorHAnsi"/>
          <w:sz w:val="22"/>
          <w:lang w:val="en-US" w:eastAsia="en-AU"/>
        </w:rPr>
        <w:t>All companies, regardless of size or number of products are encouraged to commit to the recommendations in the Guide. Participation is voluntary and companies can join at any time - there is no cut off for signing up. By committing to the recommendations in the Guide, companies are showing their intent to work towards reducing the serving sizes for existing products as far as practicable. Companies are also encouraged to use the recommendation</w:t>
      </w:r>
      <w:r w:rsidR="00737B40" w:rsidRPr="00FB2B78">
        <w:rPr>
          <w:rFonts w:asciiTheme="minorHAnsi" w:hAnsiTheme="minorHAnsi" w:cstheme="minorHAnsi"/>
          <w:sz w:val="22"/>
          <w:lang w:val="en-US" w:eastAsia="en-AU"/>
        </w:rPr>
        <w:t>s</w:t>
      </w:r>
      <w:r w:rsidRPr="00FB2B78">
        <w:rPr>
          <w:rFonts w:asciiTheme="minorHAnsi" w:hAnsiTheme="minorHAnsi" w:cstheme="minorHAnsi"/>
          <w:sz w:val="22"/>
          <w:lang w:val="en-US" w:eastAsia="en-AU"/>
        </w:rPr>
        <w:t xml:space="preserve"> in the Guide to inform new product development.</w:t>
      </w:r>
    </w:p>
    <w:p w14:paraId="43FA6DC2" w14:textId="77777777" w:rsidR="00EE7D1F" w:rsidRPr="00FB2B78" w:rsidRDefault="00EE7D1F" w:rsidP="00EE7D1F">
      <w:pPr>
        <w:spacing w:line="240" w:lineRule="auto"/>
        <w:rPr>
          <w:rFonts w:cs="Arial"/>
          <w:szCs w:val="22"/>
          <w:lang w:val="en-US" w:eastAsia="en-AU"/>
        </w:rPr>
      </w:pPr>
      <w:r w:rsidRPr="00FB2B78">
        <w:rPr>
          <w:rFonts w:asciiTheme="minorHAnsi" w:hAnsiTheme="minorHAnsi" w:cstheme="minorHAnsi"/>
          <w:sz w:val="22"/>
          <w:lang w:val="en-US" w:eastAsia="en-AU"/>
        </w:rPr>
        <w:t>As this is a voluntary program, there are no penalties for not achieving the recommendations in the Guide and no reporting of individual companies’ achievements. Participating companies can be acknowledged on the Partnership website, however public acknowledgement is completely voluntary and is not a requirement of the program.</w:t>
      </w:r>
    </w:p>
    <w:p w14:paraId="03A12652" w14:textId="3BF66006" w:rsidR="00EE7D1F" w:rsidRPr="00FB2B78" w:rsidRDefault="00EE7D1F" w:rsidP="00EE7D1F">
      <w:pPr>
        <w:pStyle w:val="Heading2"/>
        <w:spacing w:before="240" w:after="120"/>
        <w:rPr>
          <w:b/>
          <w:sz w:val="24"/>
          <w:lang w:val="en-US" w:eastAsia="en-AU"/>
        </w:rPr>
      </w:pPr>
      <w:bookmarkStart w:id="10" w:name="_Toc130547255"/>
      <w:r w:rsidRPr="00FB2B78">
        <w:rPr>
          <w:b/>
          <w:sz w:val="24"/>
          <w:lang w:val="en-US" w:eastAsia="en-AU"/>
        </w:rPr>
        <w:t>Reporting requirements</w:t>
      </w:r>
    </w:p>
    <w:p w14:paraId="75CE9779" w14:textId="4D7C6EA5" w:rsidR="00EE7D1F" w:rsidRPr="00FB2B78" w:rsidRDefault="00EE7D1F" w:rsidP="00EE7D1F">
      <w:pPr>
        <w:spacing w:line="240"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 xml:space="preserve">As part of the voluntary commitment, companies will be asked to report on their progress toward voluntary serving size reductions. Once the Partnership secretariat receives commitment to the program, the </w:t>
      </w:r>
      <w:r w:rsidR="008F3794" w:rsidRPr="00FB2B78">
        <w:rPr>
          <w:rFonts w:asciiTheme="minorHAnsi" w:hAnsiTheme="minorHAnsi" w:cstheme="minorHAnsi"/>
          <w:sz w:val="22"/>
          <w:lang w:val="en-US" w:eastAsia="en-AU"/>
        </w:rPr>
        <w:t>company will be provided with the reporting and monitoring template. R</w:t>
      </w:r>
      <w:r w:rsidRPr="00FB2B78">
        <w:rPr>
          <w:rFonts w:asciiTheme="minorHAnsi" w:hAnsiTheme="minorHAnsi" w:cstheme="minorHAnsi"/>
          <w:sz w:val="22"/>
          <w:lang w:val="en-US" w:eastAsia="en-AU"/>
        </w:rPr>
        <w:t xml:space="preserve">eports are </w:t>
      </w:r>
      <w:r w:rsidR="000848ED" w:rsidRPr="00FB2B78">
        <w:rPr>
          <w:rFonts w:asciiTheme="minorHAnsi" w:hAnsiTheme="minorHAnsi" w:cstheme="minorHAnsi"/>
          <w:sz w:val="22"/>
          <w:lang w:val="en-US" w:eastAsia="en-AU"/>
        </w:rPr>
        <w:t>requested for baseline data (October 2023) and</w:t>
      </w:r>
      <w:r w:rsidRPr="00FB2B78">
        <w:rPr>
          <w:rFonts w:asciiTheme="minorHAnsi" w:hAnsiTheme="minorHAnsi" w:cstheme="minorHAnsi"/>
          <w:sz w:val="22"/>
          <w:lang w:val="en-US" w:eastAsia="en-AU"/>
        </w:rPr>
        <w:t xml:space="preserve"> </w:t>
      </w:r>
      <w:r w:rsidR="000848ED" w:rsidRPr="00FB2B78">
        <w:rPr>
          <w:rFonts w:asciiTheme="minorHAnsi" w:hAnsiTheme="minorHAnsi" w:cstheme="minorHAnsi"/>
          <w:sz w:val="22"/>
          <w:lang w:val="en-US" w:eastAsia="en-AU"/>
        </w:rPr>
        <w:t>2-yearly</w:t>
      </w:r>
      <w:r w:rsidR="008F3794" w:rsidRPr="00FB2B78">
        <w:rPr>
          <w:rFonts w:asciiTheme="minorHAnsi" w:hAnsiTheme="minorHAnsi" w:cstheme="minorHAnsi"/>
          <w:sz w:val="22"/>
          <w:lang w:val="en-US" w:eastAsia="en-AU"/>
        </w:rPr>
        <w:t>, commencing in October 202</w:t>
      </w:r>
      <w:r w:rsidR="000848ED" w:rsidRPr="00FB2B78">
        <w:rPr>
          <w:rFonts w:asciiTheme="minorHAnsi" w:hAnsiTheme="minorHAnsi" w:cstheme="minorHAnsi"/>
          <w:sz w:val="22"/>
          <w:lang w:val="en-US" w:eastAsia="en-AU"/>
        </w:rPr>
        <w:t>5</w:t>
      </w:r>
      <w:r w:rsidR="008F3794" w:rsidRPr="00FB2B78">
        <w:rPr>
          <w:rFonts w:asciiTheme="minorHAnsi" w:hAnsiTheme="minorHAnsi" w:cstheme="minorHAnsi"/>
          <w:sz w:val="22"/>
          <w:lang w:val="en-US" w:eastAsia="en-AU"/>
        </w:rPr>
        <w:t>.</w:t>
      </w:r>
      <w:r w:rsidR="00737B40" w:rsidRPr="00FB2B78">
        <w:rPr>
          <w:rFonts w:asciiTheme="minorHAnsi" w:hAnsiTheme="minorHAnsi" w:cstheme="minorHAnsi"/>
          <w:sz w:val="22"/>
          <w:lang w:val="en-US" w:eastAsia="en-AU"/>
        </w:rPr>
        <w:t xml:space="preserve"> </w:t>
      </w:r>
    </w:p>
    <w:p w14:paraId="17031D65" w14:textId="2496C1F0" w:rsidR="00240F40" w:rsidRPr="00FB2B78" w:rsidRDefault="00260434" w:rsidP="00A01C6C">
      <w:pPr>
        <w:pStyle w:val="Heading1"/>
        <w:keepNext w:val="0"/>
        <w:keepLines w:val="0"/>
        <w:spacing w:before="480" w:after="240"/>
        <w:rPr>
          <w:sz w:val="36"/>
        </w:rPr>
      </w:pPr>
      <w:r w:rsidRPr="00FB2B78">
        <w:rPr>
          <w:sz w:val="36"/>
        </w:rPr>
        <w:t xml:space="preserve">Distribution and </w:t>
      </w:r>
      <w:r w:rsidR="00950151" w:rsidRPr="00FB2B78">
        <w:rPr>
          <w:sz w:val="36"/>
        </w:rPr>
        <w:t>S</w:t>
      </w:r>
      <w:r w:rsidR="00240F40" w:rsidRPr="00FB2B78">
        <w:rPr>
          <w:sz w:val="36"/>
        </w:rPr>
        <w:t xml:space="preserve">takeholder </w:t>
      </w:r>
      <w:r w:rsidR="006D3E70" w:rsidRPr="00FB2B78">
        <w:rPr>
          <w:sz w:val="36"/>
        </w:rPr>
        <w:t>E</w:t>
      </w:r>
      <w:r w:rsidR="00240F40" w:rsidRPr="00FB2B78">
        <w:rPr>
          <w:sz w:val="36"/>
        </w:rPr>
        <w:t>ngagement</w:t>
      </w:r>
      <w:bookmarkEnd w:id="9"/>
      <w:bookmarkEnd w:id="10"/>
    </w:p>
    <w:p w14:paraId="18B434F9" w14:textId="32569F5C" w:rsidR="00DC26FC" w:rsidRPr="00FB2B78" w:rsidRDefault="00DC26FC" w:rsidP="004A7C64">
      <w:pPr>
        <w:pStyle w:val="Heading2"/>
        <w:spacing w:before="240" w:after="120"/>
        <w:rPr>
          <w:b/>
          <w:sz w:val="24"/>
          <w:lang w:val="en-US" w:eastAsia="en-AU"/>
        </w:rPr>
      </w:pPr>
      <w:bookmarkStart w:id="11" w:name="_Toc31270544"/>
      <w:bookmarkStart w:id="12" w:name="_Toc130547256"/>
      <w:r w:rsidRPr="00FB2B78">
        <w:rPr>
          <w:b/>
          <w:sz w:val="24"/>
          <w:lang w:val="en-US" w:eastAsia="en-AU"/>
        </w:rPr>
        <w:t>Distribution</w:t>
      </w:r>
    </w:p>
    <w:p w14:paraId="6D2BEFA3" w14:textId="29F6F491" w:rsidR="004C1B33" w:rsidRPr="00FB2B78" w:rsidRDefault="00DC26FC" w:rsidP="00DC26FC">
      <w:p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The Guide will be distributed through</w:t>
      </w:r>
      <w:r w:rsidR="00336286" w:rsidRPr="00FB2B78">
        <w:rPr>
          <w:rFonts w:asciiTheme="minorHAnsi" w:hAnsiTheme="minorHAnsi" w:cstheme="minorHAnsi"/>
          <w:sz w:val="22"/>
          <w:lang w:val="en-US" w:eastAsia="en-AU"/>
        </w:rPr>
        <w:t xml:space="preserve"> a </w:t>
      </w:r>
      <w:r w:rsidR="00373186" w:rsidRPr="00FB2B78">
        <w:rPr>
          <w:rFonts w:asciiTheme="minorHAnsi" w:hAnsiTheme="minorHAnsi" w:cstheme="minorHAnsi"/>
          <w:sz w:val="22"/>
          <w:lang w:val="en-US" w:eastAsia="en-AU"/>
        </w:rPr>
        <w:t>variety</w:t>
      </w:r>
      <w:r w:rsidR="00336286" w:rsidRPr="00FB2B78">
        <w:rPr>
          <w:rFonts w:asciiTheme="minorHAnsi" w:hAnsiTheme="minorHAnsi" w:cstheme="minorHAnsi"/>
          <w:sz w:val="22"/>
          <w:lang w:val="en-US" w:eastAsia="en-AU"/>
        </w:rPr>
        <w:t xml:space="preserve"> of channels, ensuring a wide </w:t>
      </w:r>
      <w:r w:rsidR="00373186" w:rsidRPr="00FB2B78">
        <w:rPr>
          <w:rFonts w:asciiTheme="minorHAnsi" w:hAnsiTheme="minorHAnsi" w:cstheme="minorHAnsi"/>
          <w:sz w:val="22"/>
          <w:lang w:val="en-US" w:eastAsia="en-AU"/>
        </w:rPr>
        <w:t>range</w:t>
      </w:r>
      <w:r w:rsidR="00336286" w:rsidRPr="00FB2B78">
        <w:rPr>
          <w:rFonts w:asciiTheme="minorHAnsi" w:hAnsiTheme="minorHAnsi" w:cstheme="minorHAnsi"/>
          <w:sz w:val="22"/>
          <w:lang w:val="en-US" w:eastAsia="en-AU"/>
        </w:rPr>
        <w:t xml:space="preserve"> of stakeholders are informed. These will include:</w:t>
      </w:r>
    </w:p>
    <w:p w14:paraId="6E26E44E" w14:textId="34A960F1" w:rsidR="004C1B33" w:rsidRPr="00FB2B78" w:rsidRDefault="00DC26FC" w:rsidP="004C1B33">
      <w:pPr>
        <w:pStyle w:val="ListParagraph"/>
        <w:numPr>
          <w:ilvl w:val="0"/>
          <w:numId w:val="28"/>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 xml:space="preserve">the </w:t>
      </w:r>
      <w:r w:rsidR="004C1B33" w:rsidRPr="00FB2B78">
        <w:rPr>
          <w:rFonts w:asciiTheme="minorHAnsi" w:hAnsiTheme="minorHAnsi" w:cstheme="minorHAnsi"/>
          <w:sz w:val="22"/>
          <w:lang w:val="en-US" w:eastAsia="en-AU"/>
        </w:rPr>
        <w:t>Department of Health</w:t>
      </w:r>
      <w:r w:rsidR="00576950" w:rsidRPr="00FB2B78">
        <w:rPr>
          <w:rFonts w:asciiTheme="minorHAnsi" w:hAnsiTheme="minorHAnsi" w:cstheme="minorHAnsi"/>
          <w:sz w:val="22"/>
          <w:lang w:val="en-US" w:eastAsia="en-AU"/>
        </w:rPr>
        <w:t xml:space="preserve"> </w:t>
      </w:r>
      <w:r w:rsidR="005C500F" w:rsidRPr="00FB2B78">
        <w:rPr>
          <w:rFonts w:asciiTheme="minorHAnsi" w:hAnsiTheme="minorHAnsi" w:cstheme="minorHAnsi"/>
          <w:sz w:val="22"/>
          <w:lang w:val="en-US" w:eastAsia="en-AU"/>
        </w:rPr>
        <w:t>and Aged Care’s</w:t>
      </w:r>
      <w:r w:rsidRPr="00FB2B78">
        <w:rPr>
          <w:rFonts w:asciiTheme="minorHAnsi" w:hAnsiTheme="minorHAnsi" w:cstheme="minorHAnsi"/>
          <w:sz w:val="22"/>
          <w:lang w:val="en-US" w:eastAsia="en-AU"/>
        </w:rPr>
        <w:t xml:space="preserve"> website,</w:t>
      </w:r>
      <w:r w:rsidR="004C1B33" w:rsidRPr="00FB2B78">
        <w:rPr>
          <w:rFonts w:asciiTheme="minorHAnsi" w:hAnsiTheme="minorHAnsi" w:cstheme="minorHAnsi"/>
          <w:sz w:val="22"/>
          <w:lang w:val="en-US" w:eastAsia="en-AU"/>
        </w:rPr>
        <w:t xml:space="preserve"> </w:t>
      </w:r>
    </w:p>
    <w:p w14:paraId="6A788680" w14:textId="77777777" w:rsidR="004C1B33" w:rsidRPr="00FB2B78" w:rsidRDefault="004C1B33" w:rsidP="004C1B33">
      <w:pPr>
        <w:pStyle w:val="ListParagraph"/>
        <w:numPr>
          <w:ilvl w:val="0"/>
          <w:numId w:val="28"/>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Healthy Food Partnership</w:t>
      </w:r>
      <w:r w:rsidR="00DC26FC" w:rsidRPr="00FB2B78">
        <w:rPr>
          <w:rFonts w:asciiTheme="minorHAnsi" w:hAnsiTheme="minorHAnsi" w:cstheme="minorHAnsi"/>
          <w:sz w:val="22"/>
          <w:lang w:val="en-US" w:eastAsia="en-AU"/>
        </w:rPr>
        <w:t xml:space="preserve"> email</w:t>
      </w:r>
      <w:r w:rsidRPr="00FB2B78">
        <w:rPr>
          <w:rFonts w:asciiTheme="minorHAnsi" w:hAnsiTheme="minorHAnsi" w:cstheme="minorHAnsi"/>
          <w:sz w:val="22"/>
          <w:lang w:val="en-US" w:eastAsia="en-AU"/>
        </w:rPr>
        <w:t xml:space="preserve"> distribution lists</w:t>
      </w:r>
      <w:r w:rsidR="00DC26FC" w:rsidRPr="00FB2B78">
        <w:rPr>
          <w:rFonts w:asciiTheme="minorHAnsi" w:hAnsiTheme="minorHAnsi" w:cstheme="minorHAnsi"/>
          <w:sz w:val="22"/>
          <w:lang w:val="en-US" w:eastAsia="en-AU"/>
        </w:rPr>
        <w:t>,</w:t>
      </w:r>
    </w:p>
    <w:p w14:paraId="3F08346E" w14:textId="77777777" w:rsidR="004C1B33" w:rsidRPr="00FB2B78" w:rsidRDefault="004C1B33" w:rsidP="004C1B33">
      <w:pPr>
        <w:pStyle w:val="ListParagraph"/>
        <w:numPr>
          <w:ilvl w:val="0"/>
          <w:numId w:val="28"/>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 xml:space="preserve">relevant </w:t>
      </w:r>
      <w:r w:rsidR="00DC26FC" w:rsidRPr="00FB2B78">
        <w:rPr>
          <w:rFonts w:asciiTheme="minorHAnsi" w:hAnsiTheme="minorHAnsi" w:cstheme="minorHAnsi"/>
          <w:sz w:val="22"/>
          <w:lang w:val="en-US" w:eastAsia="en-AU"/>
        </w:rPr>
        <w:t>stakeholder</w:t>
      </w:r>
      <w:r w:rsidRPr="00FB2B78">
        <w:rPr>
          <w:rFonts w:asciiTheme="minorHAnsi" w:hAnsiTheme="minorHAnsi" w:cstheme="minorHAnsi"/>
          <w:sz w:val="22"/>
          <w:lang w:val="en-US" w:eastAsia="en-AU"/>
        </w:rPr>
        <w:t xml:space="preserve"> networks</w:t>
      </w:r>
      <w:r w:rsidR="00DC26FC" w:rsidRPr="00FB2B78">
        <w:rPr>
          <w:rFonts w:asciiTheme="minorHAnsi" w:hAnsiTheme="minorHAnsi" w:cstheme="minorHAnsi"/>
          <w:sz w:val="22"/>
          <w:lang w:val="en-US" w:eastAsia="en-AU"/>
        </w:rPr>
        <w:t xml:space="preserve"> (</w:t>
      </w:r>
      <w:r w:rsidRPr="00FB2B78">
        <w:rPr>
          <w:rFonts w:asciiTheme="minorHAnsi" w:hAnsiTheme="minorHAnsi" w:cstheme="minorHAnsi"/>
          <w:sz w:val="22"/>
          <w:lang w:val="en-US" w:eastAsia="en-AU"/>
        </w:rPr>
        <w:t xml:space="preserve">e.g., </w:t>
      </w:r>
      <w:r w:rsidR="00DC26FC" w:rsidRPr="00FB2B78">
        <w:rPr>
          <w:rFonts w:asciiTheme="minorHAnsi" w:hAnsiTheme="minorHAnsi" w:cstheme="minorHAnsi"/>
          <w:sz w:val="22"/>
          <w:lang w:val="en-US" w:eastAsia="en-AU"/>
        </w:rPr>
        <w:t>A</w:t>
      </w:r>
      <w:r w:rsidRPr="00FB2B78">
        <w:rPr>
          <w:rFonts w:asciiTheme="minorHAnsi" w:hAnsiTheme="minorHAnsi" w:cstheme="minorHAnsi"/>
          <w:sz w:val="22"/>
          <w:lang w:val="en-US" w:eastAsia="en-AU"/>
        </w:rPr>
        <w:t xml:space="preserve">ustralian </w:t>
      </w:r>
      <w:r w:rsidR="00DC26FC" w:rsidRPr="00FB2B78">
        <w:rPr>
          <w:rFonts w:asciiTheme="minorHAnsi" w:hAnsiTheme="minorHAnsi" w:cstheme="minorHAnsi"/>
          <w:sz w:val="22"/>
          <w:lang w:val="en-US" w:eastAsia="en-AU"/>
        </w:rPr>
        <w:t>F</w:t>
      </w:r>
      <w:r w:rsidRPr="00FB2B78">
        <w:rPr>
          <w:rFonts w:asciiTheme="minorHAnsi" w:hAnsiTheme="minorHAnsi" w:cstheme="minorHAnsi"/>
          <w:sz w:val="22"/>
          <w:lang w:val="en-US" w:eastAsia="en-AU"/>
        </w:rPr>
        <w:t xml:space="preserve">ood and </w:t>
      </w:r>
      <w:r w:rsidR="00DC26FC" w:rsidRPr="00FB2B78">
        <w:rPr>
          <w:rFonts w:asciiTheme="minorHAnsi" w:hAnsiTheme="minorHAnsi" w:cstheme="minorHAnsi"/>
          <w:sz w:val="22"/>
          <w:lang w:val="en-US" w:eastAsia="en-AU"/>
        </w:rPr>
        <w:t>G</w:t>
      </w:r>
      <w:r w:rsidRPr="00FB2B78">
        <w:rPr>
          <w:rFonts w:asciiTheme="minorHAnsi" w:hAnsiTheme="minorHAnsi" w:cstheme="minorHAnsi"/>
          <w:sz w:val="22"/>
          <w:lang w:val="en-US" w:eastAsia="en-AU"/>
        </w:rPr>
        <w:t xml:space="preserve">rocery </w:t>
      </w:r>
      <w:r w:rsidR="00DC26FC" w:rsidRPr="00FB2B78">
        <w:rPr>
          <w:rFonts w:asciiTheme="minorHAnsi" w:hAnsiTheme="minorHAnsi" w:cstheme="minorHAnsi"/>
          <w:sz w:val="22"/>
          <w:lang w:val="en-US" w:eastAsia="en-AU"/>
        </w:rPr>
        <w:t>C</w:t>
      </w:r>
      <w:r w:rsidRPr="00FB2B78">
        <w:rPr>
          <w:rFonts w:asciiTheme="minorHAnsi" w:hAnsiTheme="minorHAnsi" w:cstheme="minorHAnsi"/>
          <w:sz w:val="22"/>
          <w:lang w:val="en-US" w:eastAsia="en-AU"/>
        </w:rPr>
        <w:t>ouncil, Restaurant and Catering Association</w:t>
      </w:r>
      <w:r w:rsidR="00DC26FC" w:rsidRPr="00FB2B78">
        <w:rPr>
          <w:rFonts w:asciiTheme="minorHAnsi" w:hAnsiTheme="minorHAnsi" w:cstheme="minorHAnsi"/>
          <w:sz w:val="22"/>
          <w:lang w:val="en-US" w:eastAsia="en-AU"/>
        </w:rPr>
        <w:t xml:space="preserve">), </w:t>
      </w:r>
    </w:p>
    <w:p w14:paraId="26A54663" w14:textId="77777777" w:rsidR="004C1B33" w:rsidRPr="00FB2B78" w:rsidRDefault="00DC26FC" w:rsidP="004C1B33">
      <w:pPr>
        <w:pStyle w:val="ListParagraph"/>
        <w:numPr>
          <w:ilvl w:val="0"/>
          <w:numId w:val="28"/>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special interest groups (</w:t>
      </w:r>
      <w:r w:rsidR="004C1B33" w:rsidRPr="00FB2B78">
        <w:rPr>
          <w:rFonts w:asciiTheme="minorHAnsi" w:hAnsiTheme="minorHAnsi" w:cstheme="minorHAnsi"/>
          <w:sz w:val="22"/>
          <w:lang w:val="en-US" w:eastAsia="en-AU"/>
        </w:rPr>
        <w:t>e.g., Food Industry Nutritionists Group (</w:t>
      </w:r>
      <w:r w:rsidRPr="00FB2B78">
        <w:rPr>
          <w:rFonts w:asciiTheme="minorHAnsi" w:hAnsiTheme="minorHAnsi" w:cstheme="minorHAnsi"/>
          <w:sz w:val="22"/>
          <w:lang w:val="en-US" w:eastAsia="en-AU"/>
        </w:rPr>
        <w:t>FING</w:t>
      </w:r>
      <w:r w:rsidR="004C1B33" w:rsidRPr="00FB2B78">
        <w:rPr>
          <w:rFonts w:asciiTheme="minorHAnsi" w:hAnsiTheme="minorHAnsi" w:cstheme="minorHAnsi"/>
          <w:sz w:val="22"/>
          <w:lang w:val="en-US" w:eastAsia="en-AU"/>
        </w:rPr>
        <w:t>)</w:t>
      </w:r>
      <w:r w:rsidR="00BE3D4E" w:rsidRPr="00FB2B78">
        <w:rPr>
          <w:rFonts w:asciiTheme="minorHAnsi" w:hAnsiTheme="minorHAnsi" w:cstheme="minorHAnsi"/>
          <w:sz w:val="22"/>
          <w:lang w:val="en-US" w:eastAsia="en-AU"/>
        </w:rPr>
        <w:t xml:space="preserve">, </w:t>
      </w:r>
      <w:r w:rsidR="004C1B33" w:rsidRPr="00FB2B78">
        <w:rPr>
          <w:rFonts w:asciiTheme="minorHAnsi" w:hAnsiTheme="minorHAnsi" w:cstheme="minorHAnsi"/>
          <w:sz w:val="22"/>
          <w:lang w:val="en-US" w:eastAsia="en-AU"/>
        </w:rPr>
        <w:t xml:space="preserve">relevant </w:t>
      </w:r>
      <w:r w:rsidR="00BE3D4E" w:rsidRPr="00FB2B78">
        <w:rPr>
          <w:rFonts w:asciiTheme="minorHAnsi" w:hAnsiTheme="minorHAnsi" w:cstheme="minorHAnsi"/>
          <w:sz w:val="22"/>
          <w:lang w:val="en-US" w:eastAsia="en-AU"/>
        </w:rPr>
        <w:t>D</w:t>
      </w:r>
      <w:r w:rsidR="004C1B33" w:rsidRPr="00FB2B78">
        <w:rPr>
          <w:rFonts w:asciiTheme="minorHAnsi" w:hAnsiTheme="minorHAnsi" w:cstheme="minorHAnsi"/>
          <w:sz w:val="22"/>
          <w:lang w:val="en-US" w:eastAsia="en-AU"/>
        </w:rPr>
        <w:t xml:space="preserve">ietitians </w:t>
      </w:r>
      <w:r w:rsidR="00BE3D4E" w:rsidRPr="00FB2B78">
        <w:rPr>
          <w:rFonts w:asciiTheme="minorHAnsi" w:hAnsiTheme="minorHAnsi" w:cstheme="minorHAnsi"/>
          <w:sz w:val="22"/>
          <w:lang w:val="en-US" w:eastAsia="en-AU"/>
        </w:rPr>
        <w:t>A</w:t>
      </w:r>
      <w:r w:rsidR="004C1B33" w:rsidRPr="00FB2B78">
        <w:rPr>
          <w:rFonts w:asciiTheme="minorHAnsi" w:hAnsiTheme="minorHAnsi" w:cstheme="minorHAnsi"/>
          <w:sz w:val="22"/>
          <w:lang w:val="en-US" w:eastAsia="en-AU"/>
        </w:rPr>
        <w:t>ustralia</w:t>
      </w:r>
      <w:r w:rsidR="00BE3D4E" w:rsidRPr="00FB2B78">
        <w:rPr>
          <w:rFonts w:asciiTheme="minorHAnsi" w:hAnsiTheme="minorHAnsi" w:cstheme="minorHAnsi"/>
          <w:sz w:val="22"/>
          <w:lang w:val="en-US" w:eastAsia="en-AU"/>
        </w:rPr>
        <w:t xml:space="preserve"> interest group</w:t>
      </w:r>
      <w:r w:rsidR="004C1B33" w:rsidRPr="00FB2B78">
        <w:rPr>
          <w:rFonts w:asciiTheme="minorHAnsi" w:hAnsiTheme="minorHAnsi" w:cstheme="minorHAnsi"/>
          <w:sz w:val="22"/>
          <w:lang w:val="en-US" w:eastAsia="en-AU"/>
        </w:rPr>
        <w:t>s</w:t>
      </w:r>
      <w:r w:rsidR="00BE3D4E" w:rsidRPr="00FB2B78">
        <w:rPr>
          <w:rFonts w:asciiTheme="minorHAnsi" w:hAnsiTheme="minorHAnsi" w:cstheme="minorHAnsi"/>
          <w:sz w:val="22"/>
          <w:lang w:val="en-US" w:eastAsia="en-AU"/>
        </w:rPr>
        <w:t xml:space="preserve">), </w:t>
      </w:r>
    </w:p>
    <w:p w14:paraId="26ABF940" w14:textId="2E85DD66" w:rsidR="004C1B33" w:rsidRPr="00FB2B78" w:rsidRDefault="004C1B33" w:rsidP="004C1B33">
      <w:pPr>
        <w:pStyle w:val="ListParagraph"/>
        <w:numPr>
          <w:ilvl w:val="0"/>
          <w:numId w:val="28"/>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lastRenderedPageBreak/>
        <w:t xml:space="preserve">food industry </w:t>
      </w:r>
      <w:r w:rsidR="00BE3D4E" w:rsidRPr="00FB2B78">
        <w:rPr>
          <w:rFonts w:asciiTheme="minorHAnsi" w:hAnsiTheme="minorHAnsi" w:cstheme="minorHAnsi"/>
          <w:sz w:val="22"/>
          <w:lang w:val="en-US" w:eastAsia="en-AU"/>
        </w:rPr>
        <w:t>conferences</w:t>
      </w:r>
      <w:r w:rsidRPr="00FB2B78">
        <w:rPr>
          <w:rFonts w:asciiTheme="minorHAnsi" w:hAnsiTheme="minorHAnsi" w:cstheme="minorHAnsi"/>
          <w:sz w:val="22"/>
          <w:lang w:val="en-US" w:eastAsia="en-AU"/>
        </w:rPr>
        <w:t>, and</w:t>
      </w:r>
      <w:r w:rsidR="00BE3D4E" w:rsidRPr="00FB2B78">
        <w:rPr>
          <w:rFonts w:asciiTheme="minorHAnsi" w:hAnsiTheme="minorHAnsi" w:cstheme="minorHAnsi"/>
          <w:sz w:val="22"/>
          <w:lang w:val="en-US" w:eastAsia="en-AU"/>
        </w:rPr>
        <w:t xml:space="preserve"> </w:t>
      </w:r>
    </w:p>
    <w:p w14:paraId="48B75056" w14:textId="2D8A1DF5" w:rsidR="00BE3D4E" w:rsidRPr="00FB2B78" w:rsidRDefault="00BE3D4E" w:rsidP="004C1B33">
      <w:pPr>
        <w:pStyle w:val="ListParagraph"/>
        <w:numPr>
          <w:ilvl w:val="0"/>
          <w:numId w:val="28"/>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stakeholder forums</w:t>
      </w:r>
      <w:r w:rsidR="004C1B33" w:rsidRPr="00FB2B78">
        <w:rPr>
          <w:rFonts w:asciiTheme="minorHAnsi" w:hAnsiTheme="minorHAnsi" w:cstheme="minorHAnsi"/>
          <w:sz w:val="22"/>
          <w:lang w:val="en-US" w:eastAsia="en-AU"/>
        </w:rPr>
        <w:t xml:space="preserve">. </w:t>
      </w:r>
    </w:p>
    <w:p w14:paraId="5CF6BDC5" w14:textId="3080F2FE" w:rsidR="00BE3D4E" w:rsidRPr="00FB2B78" w:rsidRDefault="00336286" w:rsidP="00DC26FC">
      <w:p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 xml:space="preserve">For a complete list of contacts, see </w:t>
      </w:r>
      <w:hyperlink w:anchor="_Appendix_1:_Distribution" w:history="1">
        <w:r w:rsidR="00BE3D4E" w:rsidRPr="00FB2B78">
          <w:rPr>
            <w:rStyle w:val="Hyperlink"/>
            <w:rFonts w:asciiTheme="minorHAnsi" w:hAnsiTheme="minorHAnsi" w:cstheme="minorHAnsi"/>
            <w:sz w:val="22"/>
            <w:lang w:val="en-US" w:eastAsia="en-AU"/>
          </w:rPr>
          <w:t xml:space="preserve">Appendix </w:t>
        </w:r>
        <w:r w:rsidRPr="00FB2B78">
          <w:rPr>
            <w:rStyle w:val="Hyperlink"/>
            <w:rFonts w:asciiTheme="minorHAnsi" w:hAnsiTheme="minorHAnsi" w:cstheme="minorHAnsi"/>
            <w:sz w:val="22"/>
            <w:lang w:val="en-US" w:eastAsia="en-AU"/>
          </w:rPr>
          <w:t>1</w:t>
        </w:r>
      </w:hyperlink>
      <w:r w:rsidRPr="00FB2B78">
        <w:rPr>
          <w:rFonts w:asciiTheme="minorHAnsi" w:hAnsiTheme="minorHAnsi" w:cstheme="minorHAnsi"/>
          <w:sz w:val="22"/>
          <w:lang w:val="en-US" w:eastAsia="en-AU"/>
        </w:rPr>
        <w:t xml:space="preserve">. </w:t>
      </w:r>
    </w:p>
    <w:p w14:paraId="18AC5AA0" w14:textId="2E5547E7" w:rsidR="005A4841" w:rsidRPr="00FB2B78" w:rsidRDefault="005A4841" w:rsidP="004A7C64">
      <w:pPr>
        <w:pStyle w:val="Heading2"/>
        <w:spacing w:before="240" w:after="120"/>
        <w:rPr>
          <w:b/>
          <w:sz w:val="24"/>
          <w:lang w:val="en-US" w:eastAsia="en-AU"/>
        </w:rPr>
      </w:pPr>
      <w:r w:rsidRPr="00FB2B78">
        <w:rPr>
          <w:b/>
          <w:sz w:val="24"/>
          <w:lang w:val="en-US" w:eastAsia="en-AU"/>
        </w:rPr>
        <w:t>Stakeholder engagement plan for implementation</w:t>
      </w:r>
      <w:bookmarkEnd w:id="11"/>
      <w:bookmarkEnd w:id="12"/>
      <w:r w:rsidRPr="00FB2B78">
        <w:rPr>
          <w:b/>
          <w:sz w:val="24"/>
          <w:lang w:val="en-US" w:eastAsia="en-AU"/>
        </w:rPr>
        <w:t xml:space="preserve"> </w:t>
      </w:r>
    </w:p>
    <w:p w14:paraId="4D549C98" w14:textId="78261CC3" w:rsidR="00B36659" w:rsidRPr="00FB2B78" w:rsidRDefault="005A4841" w:rsidP="004A7C64">
      <w:p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 xml:space="preserve">To ensure the </w:t>
      </w:r>
      <w:r w:rsidR="002D6EE8" w:rsidRPr="00FB2B78">
        <w:rPr>
          <w:rFonts w:asciiTheme="minorHAnsi" w:hAnsiTheme="minorHAnsi" w:cstheme="minorHAnsi"/>
          <w:sz w:val="22"/>
          <w:lang w:val="en-US" w:eastAsia="en-AU"/>
        </w:rPr>
        <w:t>Guide</w:t>
      </w:r>
      <w:r w:rsidRPr="00FB2B78">
        <w:rPr>
          <w:rFonts w:asciiTheme="minorHAnsi" w:hAnsiTheme="minorHAnsi" w:cstheme="minorHAnsi"/>
          <w:sz w:val="22"/>
          <w:lang w:val="en-US" w:eastAsia="en-AU"/>
        </w:rPr>
        <w:t xml:space="preserve"> is implemented effectively, </w:t>
      </w:r>
      <w:r w:rsidR="00627F8B" w:rsidRPr="00FB2B78">
        <w:rPr>
          <w:rFonts w:asciiTheme="minorHAnsi" w:hAnsiTheme="minorHAnsi" w:cstheme="minorHAnsi"/>
          <w:sz w:val="22"/>
          <w:lang w:val="en-US" w:eastAsia="en-AU"/>
        </w:rPr>
        <w:t>s</w:t>
      </w:r>
      <w:r w:rsidRPr="00FB2B78">
        <w:rPr>
          <w:rFonts w:asciiTheme="minorHAnsi" w:hAnsiTheme="minorHAnsi" w:cstheme="minorHAnsi"/>
          <w:sz w:val="22"/>
          <w:lang w:val="en-US" w:eastAsia="en-AU"/>
        </w:rPr>
        <w:t xml:space="preserve">takeholders should be fully informed of the </w:t>
      </w:r>
      <w:r w:rsidR="00A01C6C" w:rsidRPr="00FB2B78">
        <w:rPr>
          <w:rFonts w:asciiTheme="minorHAnsi" w:hAnsiTheme="minorHAnsi" w:cstheme="minorHAnsi"/>
          <w:sz w:val="22"/>
          <w:lang w:val="en-US" w:eastAsia="en-AU"/>
        </w:rPr>
        <w:t>initiative</w:t>
      </w:r>
      <w:r w:rsidR="00B36659" w:rsidRPr="00FB2B78">
        <w:rPr>
          <w:rFonts w:asciiTheme="minorHAnsi" w:hAnsiTheme="minorHAnsi" w:cstheme="minorHAnsi"/>
          <w:sz w:val="22"/>
          <w:lang w:val="en-US" w:eastAsia="en-AU"/>
        </w:rPr>
        <w:t xml:space="preserve"> and their </w:t>
      </w:r>
      <w:r w:rsidR="002C2087" w:rsidRPr="00FB2B78">
        <w:rPr>
          <w:rFonts w:asciiTheme="minorHAnsi" w:hAnsiTheme="minorHAnsi" w:cstheme="minorHAnsi"/>
          <w:sz w:val="22"/>
          <w:lang w:val="en-US" w:eastAsia="en-AU"/>
        </w:rPr>
        <w:t>commitments</w:t>
      </w:r>
      <w:r w:rsidR="00B36659" w:rsidRPr="00FB2B78">
        <w:rPr>
          <w:rFonts w:asciiTheme="minorHAnsi" w:hAnsiTheme="minorHAnsi" w:cstheme="minorHAnsi"/>
          <w:sz w:val="22"/>
          <w:lang w:val="en-US" w:eastAsia="en-AU"/>
        </w:rPr>
        <w:t xml:space="preserve"> as </w:t>
      </w:r>
      <w:r w:rsidR="00627F8B" w:rsidRPr="00FB2B78">
        <w:rPr>
          <w:rFonts w:asciiTheme="minorHAnsi" w:hAnsiTheme="minorHAnsi" w:cstheme="minorHAnsi"/>
          <w:sz w:val="22"/>
          <w:lang w:val="en-US" w:eastAsia="en-AU"/>
        </w:rPr>
        <w:t xml:space="preserve">voluntary </w:t>
      </w:r>
      <w:r w:rsidR="00B36659" w:rsidRPr="00FB2B78">
        <w:rPr>
          <w:rFonts w:asciiTheme="minorHAnsi" w:hAnsiTheme="minorHAnsi" w:cstheme="minorHAnsi"/>
          <w:sz w:val="22"/>
          <w:lang w:val="en-US" w:eastAsia="en-AU"/>
        </w:rPr>
        <w:t>participants.</w:t>
      </w:r>
    </w:p>
    <w:p w14:paraId="69E86A50" w14:textId="7AD8106A" w:rsidR="00B36659" w:rsidRPr="00FB2B78" w:rsidRDefault="00B36659" w:rsidP="00521419">
      <w:pPr>
        <w:rPr>
          <w:rFonts w:asciiTheme="minorHAnsi" w:hAnsiTheme="minorHAnsi" w:cstheme="minorHAnsi"/>
          <w:sz w:val="22"/>
          <w:lang w:val="en-US" w:eastAsia="en-AU"/>
        </w:rPr>
      </w:pPr>
      <w:r w:rsidRPr="00FB2B78">
        <w:rPr>
          <w:rFonts w:asciiTheme="minorHAnsi" w:hAnsiTheme="minorHAnsi" w:cstheme="minorHAnsi"/>
          <w:sz w:val="22"/>
          <w:lang w:val="en-US" w:eastAsia="en-AU"/>
        </w:rPr>
        <w:t>The Partnership’s Secretariat will</w:t>
      </w:r>
      <w:r w:rsidR="00B942C8" w:rsidRPr="00FB2B78">
        <w:rPr>
          <w:rFonts w:asciiTheme="minorHAnsi" w:hAnsiTheme="minorHAnsi" w:cstheme="minorHAnsi"/>
          <w:sz w:val="22"/>
          <w:lang w:val="en-US" w:eastAsia="en-AU"/>
        </w:rPr>
        <w:t xml:space="preserve"> </w:t>
      </w:r>
      <w:r w:rsidR="004A7C64" w:rsidRPr="00FB2B78">
        <w:rPr>
          <w:rFonts w:asciiTheme="minorHAnsi" w:hAnsiTheme="minorHAnsi" w:cstheme="minorHAnsi"/>
          <w:sz w:val="22"/>
          <w:lang w:val="en-US" w:eastAsia="en-AU"/>
        </w:rPr>
        <w:t>email</w:t>
      </w:r>
      <w:r w:rsidR="00B942C8" w:rsidRPr="00FB2B78">
        <w:rPr>
          <w:rFonts w:asciiTheme="minorHAnsi" w:hAnsiTheme="minorHAnsi" w:cstheme="minorHAnsi"/>
          <w:sz w:val="22"/>
          <w:lang w:val="en-US" w:eastAsia="en-AU"/>
        </w:rPr>
        <w:t xml:space="preserve"> the</w:t>
      </w:r>
      <w:r w:rsidR="004A7C64" w:rsidRPr="00FB2B78">
        <w:rPr>
          <w:rFonts w:asciiTheme="minorHAnsi" w:hAnsiTheme="minorHAnsi" w:cstheme="minorHAnsi"/>
          <w:sz w:val="22"/>
          <w:lang w:val="en-US" w:eastAsia="en-AU"/>
        </w:rPr>
        <w:t xml:space="preserve"> Partnership’s Community of Interest</w:t>
      </w:r>
      <w:r w:rsidR="00B942C8" w:rsidRPr="00FB2B78">
        <w:rPr>
          <w:rFonts w:asciiTheme="minorHAnsi" w:hAnsiTheme="minorHAnsi" w:cstheme="minorHAnsi"/>
          <w:sz w:val="22"/>
          <w:lang w:val="en-US" w:eastAsia="en-AU"/>
        </w:rPr>
        <w:t xml:space="preserve"> </w:t>
      </w:r>
      <w:r w:rsidR="004A7C64" w:rsidRPr="00FB2B78">
        <w:rPr>
          <w:rFonts w:asciiTheme="minorHAnsi" w:hAnsiTheme="minorHAnsi" w:cstheme="minorHAnsi"/>
          <w:sz w:val="22"/>
          <w:lang w:val="en-US" w:eastAsia="en-AU"/>
        </w:rPr>
        <w:t xml:space="preserve">and the </w:t>
      </w:r>
      <w:r w:rsidR="00B942C8" w:rsidRPr="00FB2B78">
        <w:rPr>
          <w:rFonts w:asciiTheme="minorHAnsi" w:hAnsiTheme="minorHAnsi" w:cstheme="minorHAnsi"/>
          <w:sz w:val="22"/>
          <w:lang w:val="en-US" w:eastAsia="en-AU"/>
        </w:rPr>
        <w:t xml:space="preserve">approximately </w:t>
      </w:r>
      <w:r w:rsidR="004A7C64" w:rsidRPr="00FB2B78">
        <w:rPr>
          <w:rFonts w:asciiTheme="minorHAnsi" w:hAnsiTheme="minorHAnsi" w:cstheme="minorHAnsi"/>
          <w:sz w:val="22"/>
          <w:lang w:val="en-US" w:eastAsia="en-AU"/>
        </w:rPr>
        <w:t>160</w:t>
      </w:r>
      <w:r w:rsidR="004A7C64" w:rsidRPr="00FB2B78">
        <w:rPr>
          <w:lang w:eastAsia="en-AU"/>
        </w:rPr>
        <w:t xml:space="preserve"> </w:t>
      </w:r>
      <w:r w:rsidRPr="00FB2B78">
        <w:rPr>
          <w:rFonts w:asciiTheme="minorHAnsi" w:hAnsiTheme="minorHAnsi" w:cstheme="minorHAnsi"/>
          <w:sz w:val="22"/>
          <w:lang w:val="en-US" w:eastAsia="en-AU"/>
        </w:rPr>
        <w:t xml:space="preserve">food companies </w:t>
      </w:r>
      <w:r w:rsidR="00627F8B" w:rsidRPr="00FB2B78">
        <w:rPr>
          <w:rFonts w:asciiTheme="minorHAnsi" w:hAnsiTheme="minorHAnsi" w:cstheme="minorHAnsi"/>
          <w:sz w:val="22"/>
          <w:lang w:val="en-US" w:eastAsia="en-AU"/>
        </w:rPr>
        <w:t xml:space="preserve">who were </w:t>
      </w:r>
      <w:r w:rsidRPr="00FB2B78">
        <w:rPr>
          <w:rFonts w:asciiTheme="minorHAnsi" w:hAnsiTheme="minorHAnsi" w:cstheme="minorHAnsi"/>
          <w:sz w:val="22"/>
          <w:lang w:val="en-US" w:eastAsia="en-AU"/>
        </w:rPr>
        <w:t>initially identified during the consultation process. The email will:</w:t>
      </w:r>
    </w:p>
    <w:p w14:paraId="048F41A0" w14:textId="6FB86562" w:rsidR="00B36659" w:rsidRPr="00FB2B78" w:rsidRDefault="00A01C6C" w:rsidP="00C1267F">
      <w:pPr>
        <w:pStyle w:val="ListParagraph"/>
        <w:numPr>
          <w:ilvl w:val="0"/>
          <w:numId w:val="20"/>
        </w:numPr>
        <w:spacing w:before="0"/>
        <w:rPr>
          <w:rFonts w:asciiTheme="minorHAnsi" w:hAnsiTheme="minorHAnsi" w:cstheme="minorHAnsi"/>
          <w:sz w:val="22"/>
          <w:lang w:val="en-US" w:eastAsia="en-AU"/>
        </w:rPr>
      </w:pPr>
      <w:r w:rsidRPr="00FB2B78">
        <w:rPr>
          <w:rFonts w:asciiTheme="minorHAnsi" w:hAnsiTheme="minorHAnsi" w:cstheme="minorHAnsi"/>
          <w:sz w:val="22"/>
          <w:lang w:val="en-US" w:eastAsia="en-AU"/>
        </w:rPr>
        <w:t>p</w:t>
      </w:r>
      <w:r w:rsidR="00B36659" w:rsidRPr="00FB2B78">
        <w:rPr>
          <w:rFonts w:asciiTheme="minorHAnsi" w:hAnsiTheme="minorHAnsi" w:cstheme="minorHAnsi"/>
          <w:sz w:val="22"/>
          <w:lang w:val="en-US" w:eastAsia="en-AU"/>
        </w:rPr>
        <w:t>rovide details of the</w:t>
      </w:r>
      <w:r w:rsidR="001104FE" w:rsidRPr="00FB2B78">
        <w:rPr>
          <w:rFonts w:asciiTheme="minorHAnsi" w:hAnsiTheme="minorHAnsi" w:cstheme="minorHAnsi"/>
          <w:sz w:val="22"/>
          <w:lang w:val="en-US" w:eastAsia="en-AU"/>
        </w:rPr>
        <w:t xml:space="preserve"> </w:t>
      </w:r>
      <w:proofErr w:type="gramStart"/>
      <w:r w:rsidR="001104FE" w:rsidRPr="00FB2B78">
        <w:rPr>
          <w:rFonts w:asciiTheme="minorHAnsi" w:hAnsiTheme="minorHAnsi" w:cstheme="minorHAnsi"/>
          <w:sz w:val="22"/>
          <w:lang w:val="en-US" w:eastAsia="en-AU"/>
        </w:rPr>
        <w:t>Guide</w:t>
      </w:r>
      <w:r w:rsidR="009D7894" w:rsidRPr="00FB2B78">
        <w:rPr>
          <w:rFonts w:asciiTheme="minorHAnsi" w:hAnsiTheme="minorHAnsi" w:cstheme="minorHAnsi"/>
          <w:sz w:val="22"/>
          <w:lang w:val="en-US" w:eastAsia="en-AU"/>
        </w:rPr>
        <w:t>;</w:t>
      </w:r>
      <w:proofErr w:type="gramEnd"/>
      <w:r w:rsidR="004A7C64" w:rsidRPr="00FB2B78">
        <w:rPr>
          <w:rFonts w:asciiTheme="minorHAnsi" w:hAnsiTheme="minorHAnsi" w:cstheme="minorHAnsi"/>
          <w:sz w:val="22"/>
          <w:lang w:val="en-US" w:eastAsia="en-AU"/>
        </w:rPr>
        <w:t xml:space="preserve"> </w:t>
      </w:r>
    </w:p>
    <w:p w14:paraId="16210B95" w14:textId="7BE111C5" w:rsidR="00B36659" w:rsidRPr="00FB2B78" w:rsidRDefault="00A01C6C" w:rsidP="00B36659">
      <w:pPr>
        <w:pStyle w:val="ListParagraph"/>
        <w:numPr>
          <w:ilvl w:val="0"/>
          <w:numId w:val="19"/>
        </w:numPr>
        <w:rPr>
          <w:rFonts w:asciiTheme="minorHAnsi" w:hAnsiTheme="minorHAnsi" w:cstheme="minorHAnsi"/>
          <w:sz w:val="22"/>
          <w:lang w:val="en-US" w:eastAsia="en-AU"/>
        </w:rPr>
      </w:pPr>
      <w:r w:rsidRPr="00FB2B78">
        <w:rPr>
          <w:rFonts w:asciiTheme="minorHAnsi" w:hAnsiTheme="minorHAnsi" w:cstheme="minorHAnsi"/>
          <w:sz w:val="22"/>
          <w:lang w:val="en-US" w:eastAsia="en-AU"/>
        </w:rPr>
        <w:t>i</w:t>
      </w:r>
      <w:r w:rsidR="00B36659" w:rsidRPr="00FB2B78">
        <w:rPr>
          <w:rFonts w:asciiTheme="minorHAnsi" w:hAnsiTheme="minorHAnsi" w:cstheme="minorHAnsi"/>
          <w:sz w:val="22"/>
          <w:lang w:val="en-US" w:eastAsia="en-AU"/>
        </w:rPr>
        <w:t xml:space="preserve">nclude an information pack, comprising </w:t>
      </w:r>
      <w:r w:rsidR="009D7894" w:rsidRPr="00FB2B78">
        <w:rPr>
          <w:rFonts w:asciiTheme="minorHAnsi" w:hAnsiTheme="minorHAnsi" w:cstheme="minorHAnsi"/>
          <w:sz w:val="22"/>
          <w:lang w:val="en-US" w:eastAsia="en-AU"/>
        </w:rPr>
        <w:t xml:space="preserve">the </w:t>
      </w:r>
      <w:r w:rsidR="00B36659" w:rsidRPr="00FB2B78">
        <w:rPr>
          <w:rFonts w:asciiTheme="minorHAnsi" w:hAnsiTheme="minorHAnsi" w:cstheme="minorHAnsi"/>
          <w:sz w:val="22"/>
          <w:lang w:val="en-US" w:eastAsia="en-AU"/>
        </w:rPr>
        <w:t xml:space="preserve">rationale for </w:t>
      </w:r>
      <w:r w:rsidR="001104FE" w:rsidRPr="00FB2B78">
        <w:rPr>
          <w:rFonts w:asciiTheme="minorHAnsi" w:hAnsiTheme="minorHAnsi" w:cstheme="minorHAnsi"/>
          <w:sz w:val="22"/>
          <w:lang w:val="en-US" w:eastAsia="en-AU"/>
        </w:rPr>
        <w:t>serving size reduction</w:t>
      </w:r>
      <w:r w:rsidR="00232A54" w:rsidRPr="00FB2B78">
        <w:rPr>
          <w:rFonts w:asciiTheme="minorHAnsi" w:hAnsiTheme="minorHAnsi" w:cstheme="minorHAnsi"/>
          <w:sz w:val="22"/>
          <w:lang w:val="en-US" w:eastAsia="en-AU"/>
        </w:rPr>
        <w:t xml:space="preserve"> and a copy of the </w:t>
      </w:r>
      <w:proofErr w:type="gramStart"/>
      <w:r w:rsidR="00232A54" w:rsidRPr="00FB2B78">
        <w:rPr>
          <w:rFonts w:asciiTheme="minorHAnsi" w:hAnsiTheme="minorHAnsi" w:cstheme="minorHAnsi"/>
          <w:sz w:val="22"/>
          <w:lang w:val="en-US" w:eastAsia="en-AU"/>
        </w:rPr>
        <w:t>Guide</w:t>
      </w:r>
      <w:r w:rsidR="000C4A80" w:rsidRPr="00FB2B78">
        <w:rPr>
          <w:rFonts w:asciiTheme="minorHAnsi" w:hAnsiTheme="minorHAnsi" w:cstheme="minorHAnsi"/>
          <w:sz w:val="22"/>
          <w:lang w:val="en-US" w:eastAsia="en-AU"/>
        </w:rPr>
        <w:t>;</w:t>
      </w:r>
      <w:proofErr w:type="gramEnd"/>
    </w:p>
    <w:p w14:paraId="0473A4C3" w14:textId="17768532" w:rsidR="000C4A80" w:rsidRPr="00FB2B78" w:rsidRDefault="000C4A80" w:rsidP="00B36659">
      <w:pPr>
        <w:pStyle w:val="ListParagraph"/>
        <w:numPr>
          <w:ilvl w:val="0"/>
          <w:numId w:val="19"/>
        </w:numPr>
        <w:rPr>
          <w:rFonts w:asciiTheme="minorHAnsi" w:hAnsiTheme="minorHAnsi" w:cstheme="minorHAnsi"/>
          <w:sz w:val="22"/>
          <w:lang w:val="en-US" w:eastAsia="en-AU"/>
        </w:rPr>
      </w:pPr>
      <w:r w:rsidRPr="00FB2B78">
        <w:rPr>
          <w:rFonts w:asciiTheme="minorHAnsi" w:hAnsiTheme="minorHAnsi" w:cstheme="minorHAnsi"/>
          <w:sz w:val="22"/>
          <w:lang w:val="en-US" w:eastAsia="en-AU"/>
        </w:rPr>
        <w:t xml:space="preserve">Encourage sharing of the Guide across food industry networks, and particularly encourage industry peak bodies to share and promote the Guide amongst their members. </w:t>
      </w:r>
    </w:p>
    <w:p w14:paraId="23D6C7F0" w14:textId="71ADCDB2" w:rsidR="0062792B" w:rsidRPr="00FB2B78" w:rsidRDefault="0062792B" w:rsidP="004A7C64">
      <w:pPr>
        <w:pStyle w:val="Heading2"/>
        <w:keepNext/>
        <w:keepLines/>
        <w:spacing w:before="240" w:after="120"/>
        <w:rPr>
          <w:b/>
          <w:sz w:val="24"/>
          <w:lang w:val="en-US" w:eastAsia="en-AU"/>
        </w:rPr>
      </w:pPr>
      <w:bookmarkStart w:id="13" w:name="_Toc130547257"/>
      <w:r w:rsidRPr="00FB2B78">
        <w:rPr>
          <w:b/>
          <w:sz w:val="24"/>
          <w:lang w:val="en-US" w:eastAsia="en-AU"/>
        </w:rPr>
        <w:t>Stakeholder communication</w:t>
      </w:r>
      <w:bookmarkEnd w:id="13"/>
    </w:p>
    <w:p w14:paraId="2AD45684" w14:textId="2B95E85C" w:rsidR="0062792B" w:rsidRPr="00FB2B78" w:rsidRDefault="0062792B" w:rsidP="00EF11AC">
      <w:pPr>
        <w:spacing w:before="120" w:line="259" w:lineRule="auto"/>
        <w:rPr>
          <w:rFonts w:asciiTheme="minorHAnsi" w:hAnsiTheme="minorHAnsi" w:cstheme="minorHAnsi"/>
          <w:color w:val="FF0000"/>
          <w:sz w:val="22"/>
          <w:lang w:val="en-US" w:eastAsia="en-AU"/>
        </w:rPr>
      </w:pPr>
      <w:r w:rsidRPr="00FB2B78">
        <w:rPr>
          <w:rFonts w:asciiTheme="minorHAnsi" w:hAnsiTheme="minorHAnsi" w:cstheme="minorHAnsi"/>
          <w:sz w:val="22"/>
          <w:lang w:val="en-US" w:eastAsia="en-AU"/>
        </w:rPr>
        <w:t xml:space="preserve">The Healthy Food Partnership Secretariat </w:t>
      </w:r>
      <w:r w:rsidR="00750639" w:rsidRPr="00FB2B78">
        <w:rPr>
          <w:rFonts w:asciiTheme="minorHAnsi" w:hAnsiTheme="minorHAnsi" w:cstheme="minorHAnsi"/>
          <w:sz w:val="22"/>
          <w:lang w:val="en-US" w:eastAsia="en-AU"/>
        </w:rPr>
        <w:t>will develop</w:t>
      </w:r>
      <w:r w:rsidRPr="00FB2B78">
        <w:rPr>
          <w:rFonts w:asciiTheme="minorHAnsi" w:hAnsiTheme="minorHAnsi" w:cstheme="minorHAnsi"/>
          <w:sz w:val="22"/>
          <w:lang w:val="en-US" w:eastAsia="en-AU"/>
        </w:rPr>
        <w:t xml:space="preserve"> a </w:t>
      </w:r>
      <w:r w:rsidR="00D63399" w:rsidRPr="00FB2B78">
        <w:rPr>
          <w:rFonts w:asciiTheme="minorHAnsi" w:hAnsiTheme="minorHAnsi" w:cstheme="minorHAnsi"/>
          <w:sz w:val="22"/>
          <w:lang w:val="en-US" w:eastAsia="en-AU"/>
        </w:rPr>
        <w:t xml:space="preserve">separate </w:t>
      </w:r>
      <w:r w:rsidRPr="00FB2B78">
        <w:rPr>
          <w:rFonts w:asciiTheme="minorHAnsi" w:hAnsiTheme="minorHAnsi" w:cstheme="minorHAnsi"/>
          <w:sz w:val="22"/>
          <w:lang w:val="en-US" w:eastAsia="en-AU"/>
        </w:rPr>
        <w:t xml:space="preserve">Communication Plan for the implementation of the </w:t>
      </w:r>
      <w:r w:rsidR="00A52A23" w:rsidRPr="00FB2B78">
        <w:rPr>
          <w:rFonts w:asciiTheme="minorHAnsi" w:hAnsiTheme="minorHAnsi" w:cstheme="minorHAnsi"/>
          <w:sz w:val="22"/>
          <w:lang w:val="en-US" w:eastAsia="en-AU"/>
        </w:rPr>
        <w:t xml:space="preserve">Guide. </w:t>
      </w:r>
      <w:r w:rsidRPr="00FB2B78">
        <w:rPr>
          <w:rFonts w:asciiTheme="minorHAnsi" w:hAnsiTheme="minorHAnsi" w:cstheme="minorHAnsi"/>
          <w:sz w:val="22"/>
          <w:lang w:val="en-US" w:eastAsia="en-AU"/>
        </w:rPr>
        <w:t xml:space="preserve">The goal of the plan is to inform food companies that the </w:t>
      </w:r>
      <w:r w:rsidR="00A52A23" w:rsidRPr="00FB2B78">
        <w:rPr>
          <w:rFonts w:asciiTheme="minorHAnsi" w:hAnsiTheme="minorHAnsi" w:cstheme="minorHAnsi"/>
          <w:sz w:val="22"/>
          <w:lang w:val="en-US" w:eastAsia="en-AU"/>
        </w:rPr>
        <w:t>Guide</w:t>
      </w:r>
      <w:r w:rsidRPr="00FB2B78">
        <w:rPr>
          <w:rFonts w:asciiTheme="minorHAnsi" w:hAnsiTheme="minorHAnsi" w:cstheme="minorHAnsi"/>
          <w:sz w:val="22"/>
          <w:lang w:val="en-US" w:eastAsia="en-AU"/>
        </w:rPr>
        <w:t xml:space="preserve"> has been launched and that their participation is important, and to champion the </w:t>
      </w:r>
      <w:r w:rsidR="00A01C6C" w:rsidRPr="00FB2B78">
        <w:rPr>
          <w:rFonts w:asciiTheme="minorHAnsi" w:hAnsiTheme="minorHAnsi" w:cstheme="minorHAnsi"/>
          <w:sz w:val="22"/>
          <w:lang w:val="en-US" w:eastAsia="en-AU"/>
        </w:rPr>
        <w:t>progra</w:t>
      </w:r>
      <w:r w:rsidR="00C92051" w:rsidRPr="00FB2B78">
        <w:rPr>
          <w:rFonts w:asciiTheme="minorHAnsi" w:hAnsiTheme="minorHAnsi" w:cstheme="minorHAnsi"/>
          <w:sz w:val="22"/>
          <w:lang w:val="en-US" w:eastAsia="en-AU"/>
        </w:rPr>
        <w:t>m</w:t>
      </w:r>
      <w:r w:rsidRPr="00FB2B78">
        <w:rPr>
          <w:rFonts w:asciiTheme="minorHAnsi" w:hAnsiTheme="minorHAnsi" w:cstheme="minorHAnsi"/>
          <w:sz w:val="22"/>
          <w:lang w:val="en-US" w:eastAsia="en-AU"/>
        </w:rPr>
        <w:t xml:space="preserve"> to the community.</w:t>
      </w:r>
      <w:r w:rsidR="00EF11AC" w:rsidRPr="00FB2B78">
        <w:rPr>
          <w:rFonts w:asciiTheme="minorHAnsi" w:hAnsiTheme="minorHAnsi" w:cstheme="minorHAnsi"/>
          <w:sz w:val="22"/>
          <w:lang w:val="en-US" w:eastAsia="en-AU"/>
        </w:rPr>
        <w:t xml:space="preserve"> </w:t>
      </w:r>
      <w:r w:rsidRPr="00FB2B78">
        <w:rPr>
          <w:rFonts w:asciiTheme="minorHAnsi" w:hAnsiTheme="minorHAnsi" w:cstheme="minorHAnsi"/>
          <w:sz w:val="22"/>
          <w:lang w:val="en-US" w:eastAsia="en-AU"/>
        </w:rPr>
        <w:t>Effective communication will ensure food</w:t>
      </w:r>
      <w:r w:rsidR="005B0F91" w:rsidRPr="00FB2B78">
        <w:rPr>
          <w:rFonts w:asciiTheme="minorHAnsi" w:hAnsiTheme="minorHAnsi" w:cstheme="minorHAnsi"/>
          <w:sz w:val="22"/>
          <w:lang w:val="en-US" w:eastAsia="en-AU"/>
        </w:rPr>
        <w:t xml:space="preserve"> companies are aware of the </w:t>
      </w:r>
      <w:r w:rsidR="00FD41E2" w:rsidRPr="00FB2B78">
        <w:rPr>
          <w:rFonts w:asciiTheme="minorHAnsi" w:hAnsiTheme="minorHAnsi" w:cstheme="minorHAnsi"/>
          <w:sz w:val="22"/>
          <w:lang w:val="en-US" w:eastAsia="en-AU"/>
        </w:rPr>
        <w:t>Guide</w:t>
      </w:r>
      <w:r w:rsidR="005B0F91" w:rsidRPr="00FB2B78">
        <w:rPr>
          <w:rFonts w:asciiTheme="minorHAnsi" w:hAnsiTheme="minorHAnsi" w:cstheme="minorHAnsi"/>
          <w:sz w:val="22"/>
          <w:lang w:val="en-US" w:eastAsia="en-AU"/>
        </w:rPr>
        <w:t xml:space="preserve">, encouraging </w:t>
      </w:r>
      <w:r w:rsidR="004A7C64" w:rsidRPr="00FB2B78">
        <w:rPr>
          <w:rFonts w:asciiTheme="minorHAnsi" w:hAnsiTheme="minorHAnsi" w:cstheme="minorHAnsi"/>
          <w:sz w:val="22"/>
          <w:lang w:val="en-US" w:eastAsia="en-AU"/>
        </w:rPr>
        <w:t>adoption</w:t>
      </w:r>
      <w:r w:rsidR="005B0F91" w:rsidRPr="00FB2B78">
        <w:rPr>
          <w:rFonts w:asciiTheme="minorHAnsi" w:hAnsiTheme="minorHAnsi" w:cstheme="minorHAnsi"/>
          <w:sz w:val="22"/>
          <w:lang w:val="en-US" w:eastAsia="en-AU"/>
        </w:rPr>
        <w:t xml:space="preserve">. </w:t>
      </w:r>
    </w:p>
    <w:p w14:paraId="27D0CCCF" w14:textId="77777777" w:rsidR="005B0F91" w:rsidRPr="00FB2B78" w:rsidRDefault="005B0F91" w:rsidP="005B0F91">
      <w:pPr>
        <w:rPr>
          <w:rFonts w:asciiTheme="minorHAnsi" w:hAnsiTheme="minorHAnsi" w:cstheme="minorHAnsi"/>
          <w:sz w:val="22"/>
          <w:lang w:val="en-US" w:eastAsia="en-AU"/>
        </w:rPr>
      </w:pPr>
      <w:r w:rsidRPr="00FB2B78">
        <w:rPr>
          <w:rFonts w:asciiTheme="minorHAnsi" w:hAnsiTheme="minorHAnsi" w:cstheme="minorHAnsi"/>
          <w:sz w:val="22"/>
          <w:lang w:val="en-US" w:eastAsia="en-AU"/>
        </w:rPr>
        <w:t>Communication activities will include:</w:t>
      </w:r>
    </w:p>
    <w:p w14:paraId="2E37F08F" w14:textId="07E63303" w:rsidR="005B0F91" w:rsidRPr="00FB2B78" w:rsidRDefault="005B0F91" w:rsidP="005B0F91">
      <w:pPr>
        <w:pStyle w:val="ListParagraph"/>
        <w:numPr>
          <w:ilvl w:val="0"/>
          <w:numId w:val="25"/>
        </w:numPr>
        <w:spacing w:before="0"/>
        <w:rPr>
          <w:rFonts w:asciiTheme="minorHAnsi" w:hAnsiTheme="minorHAnsi" w:cstheme="minorHAnsi"/>
          <w:sz w:val="22"/>
          <w:lang w:val="en-US" w:eastAsia="en-AU"/>
        </w:rPr>
      </w:pPr>
      <w:r w:rsidRPr="00FB2B78">
        <w:rPr>
          <w:rFonts w:asciiTheme="minorHAnsi" w:hAnsiTheme="minorHAnsi" w:cstheme="minorHAnsi"/>
          <w:sz w:val="22"/>
          <w:lang w:val="en-US" w:eastAsia="en-AU"/>
        </w:rPr>
        <w:t xml:space="preserve">updating the Partnership website to ensure information on the </w:t>
      </w:r>
      <w:r w:rsidR="00FD41E2" w:rsidRPr="00FB2B78">
        <w:rPr>
          <w:rFonts w:asciiTheme="minorHAnsi" w:hAnsiTheme="minorHAnsi" w:cstheme="minorHAnsi"/>
          <w:sz w:val="22"/>
          <w:lang w:val="en-US" w:eastAsia="en-AU"/>
        </w:rPr>
        <w:t>Guide</w:t>
      </w:r>
      <w:r w:rsidRPr="00FB2B78">
        <w:rPr>
          <w:rFonts w:asciiTheme="minorHAnsi" w:hAnsiTheme="minorHAnsi" w:cstheme="minorHAnsi"/>
          <w:sz w:val="22"/>
          <w:lang w:val="en-US" w:eastAsia="en-AU"/>
        </w:rPr>
        <w:t xml:space="preserve"> is accessible to </w:t>
      </w:r>
      <w:proofErr w:type="gramStart"/>
      <w:r w:rsidRPr="00FB2B78">
        <w:rPr>
          <w:rFonts w:asciiTheme="minorHAnsi" w:hAnsiTheme="minorHAnsi" w:cstheme="minorHAnsi"/>
          <w:sz w:val="22"/>
          <w:lang w:val="en-US" w:eastAsia="en-AU"/>
        </w:rPr>
        <w:t>stakeholders;</w:t>
      </w:r>
      <w:proofErr w:type="gramEnd"/>
      <w:r w:rsidRPr="00FB2B78">
        <w:rPr>
          <w:rFonts w:asciiTheme="minorHAnsi" w:hAnsiTheme="minorHAnsi" w:cstheme="minorHAnsi"/>
          <w:sz w:val="22"/>
          <w:lang w:val="en-US" w:eastAsia="en-AU"/>
        </w:rPr>
        <w:t xml:space="preserve"> </w:t>
      </w:r>
    </w:p>
    <w:p w14:paraId="22E681A0" w14:textId="36818F3F" w:rsidR="00A01C6C" w:rsidRPr="00FB2B78" w:rsidRDefault="00A01C6C" w:rsidP="005B0F91">
      <w:pPr>
        <w:pStyle w:val="ListParagraph"/>
        <w:numPr>
          <w:ilvl w:val="0"/>
          <w:numId w:val="25"/>
        </w:numPr>
        <w:spacing w:before="0"/>
        <w:rPr>
          <w:rFonts w:asciiTheme="minorHAnsi" w:hAnsiTheme="minorHAnsi" w:cstheme="minorHAnsi"/>
          <w:sz w:val="22"/>
          <w:lang w:val="en-US" w:eastAsia="en-AU"/>
        </w:rPr>
      </w:pPr>
      <w:r w:rsidRPr="00FB2B78">
        <w:rPr>
          <w:rFonts w:asciiTheme="minorHAnsi" w:hAnsiTheme="minorHAnsi" w:cstheme="minorHAnsi"/>
          <w:sz w:val="22"/>
          <w:lang w:val="en-US" w:eastAsia="en-AU"/>
        </w:rPr>
        <w:t xml:space="preserve">preparation of an information brochure for dissemination at industry </w:t>
      </w:r>
      <w:proofErr w:type="gramStart"/>
      <w:r w:rsidRPr="00FB2B78">
        <w:rPr>
          <w:rFonts w:asciiTheme="minorHAnsi" w:hAnsiTheme="minorHAnsi" w:cstheme="minorHAnsi"/>
          <w:sz w:val="22"/>
          <w:lang w:val="en-US" w:eastAsia="en-AU"/>
        </w:rPr>
        <w:t>events;</w:t>
      </w:r>
      <w:proofErr w:type="gramEnd"/>
    </w:p>
    <w:p w14:paraId="60088441" w14:textId="6C0CD49A" w:rsidR="005B0F91" w:rsidRPr="00FB2B78" w:rsidRDefault="005B0F91" w:rsidP="005B0F91">
      <w:pPr>
        <w:pStyle w:val="ListParagraph"/>
        <w:numPr>
          <w:ilvl w:val="0"/>
          <w:numId w:val="25"/>
        </w:numPr>
        <w:rPr>
          <w:rFonts w:asciiTheme="minorHAnsi" w:hAnsiTheme="minorHAnsi" w:cstheme="minorHAnsi"/>
          <w:sz w:val="22"/>
          <w:lang w:val="en-US" w:eastAsia="en-AU"/>
        </w:rPr>
      </w:pPr>
      <w:r w:rsidRPr="00FB2B78">
        <w:rPr>
          <w:rFonts w:asciiTheme="minorHAnsi" w:hAnsiTheme="minorHAnsi" w:cstheme="minorHAnsi"/>
          <w:sz w:val="22"/>
          <w:lang w:val="en-US" w:eastAsia="en-AU"/>
        </w:rPr>
        <w:t>a media release</w:t>
      </w:r>
      <w:r w:rsidR="00861B1C" w:rsidRPr="00FB2B78">
        <w:rPr>
          <w:rFonts w:asciiTheme="minorHAnsi" w:hAnsiTheme="minorHAnsi" w:cstheme="minorHAnsi"/>
          <w:sz w:val="22"/>
          <w:lang w:val="en-US" w:eastAsia="en-AU"/>
        </w:rPr>
        <w:t xml:space="preserve"> </w:t>
      </w:r>
      <w:r w:rsidR="006449E5" w:rsidRPr="00FB2B78">
        <w:rPr>
          <w:rFonts w:asciiTheme="minorHAnsi" w:hAnsiTheme="minorHAnsi" w:cstheme="minorHAnsi"/>
          <w:sz w:val="22"/>
          <w:lang w:val="en-US" w:eastAsia="en-AU"/>
        </w:rPr>
        <w:t xml:space="preserve">from </w:t>
      </w:r>
      <w:r w:rsidR="004A7C64" w:rsidRPr="00FB2B78">
        <w:rPr>
          <w:rFonts w:asciiTheme="minorHAnsi" w:hAnsiTheme="minorHAnsi" w:cstheme="minorHAnsi"/>
          <w:sz w:val="22"/>
          <w:lang w:val="en-US" w:eastAsia="en-AU"/>
        </w:rPr>
        <w:t xml:space="preserve">the </w:t>
      </w:r>
      <w:r w:rsidR="006449E5" w:rsidRPr="00FB2B78">
        <w:rPr>
          <w:rFonts w:asciiTheme="minorHAnsi" w:hAnsiTheme="minorHAnsi" w:cstheme="minorHAnsi"/>
          <w:sz w:val="22"/>
          <w:lang w:val="en-US" w:eastAsia="en-AU"/>
        </w:rPr>
        <w:t>Minister</w:t>
      </w:r>
      <w:r w:rsidR="004A7C64" w:rsidRPr="00FB2B78">
        <w:rPr>
          <w:rFonts w:asciiTheme="minorHAnsi" w:hAnsiTheme="minorHAnsi" w:cstheme="minorHAnsi"/>
          <w:sz w:val="22"/>
          <w:lang w:val="en-US" w:eastAsia="en-AU"/>
        </w:rPr>
        <w:t xml:space="preserve"> </w:t>
      </w:r>
      <w:r w:rsidR="006449E5" w:rsidRPr="00FB2B78">
        <w:rPr>
          <w:rFonts w:asciiTheme="minorHAnsi" w:hAnsiTheme="minorHAnsi" w:cstheme="minorHAnsi"/>
          <w:sz w:val="22"/>
          <w:lang w:val="en-US" w:eastAsia="en-AU"/>
        </w:rPr>
        <w:t xml:space="preserve">to formally announce the </w:t>
      </w:r>
      <w:r w:rsidR="00FD41E2" w:rsidRPr="00FB2B78">
        <w:rPr>
          <w:rFonts w:asciiTheme="minorHAnsi" w:hAnsiTheme="minorHAnsi" w:cstheme="minorHAnsi"/>
          <w:sz w:val="22"/>
          <w:lang w:val="en-US" w:eastAsia="en-AU"/>
        </w:rPr>
        <w:t>Guide</w:t>
      </w:r>
      <w:r w:rsidR="006449E5" w:rsidRPr="00FB2B78">
        <w:rPr>
          <w:rFonts w:asciiTheme="minorHAnsi" w:hAnsiTheme="minorHAnsi" w:cstheme="minorHAnsi"/>
          <w:sz w:val="22"/>
          <w:lang w:val="en-US" w:eastAsia="en-AU"/>
        </w:rPr>
        <w:t>; and</w:t>
      </w:r>
    </w:p>
    <w:p w14:paraId="0531D8F6" w14:textId="2FC43DC0" w:rsidR="006449E5" w:rsidRPr="00FB2B78" w:rsidRDefault="006449E5" w:rsidP="006449E5">
      <w:pPr>
        <w:pStyle w:val="ListParagraph"/>
        <w:numPr>
          <w:ilvl w:val="0"/>
          <w:numId w:val="25"/>
        </w:numPr>
        <w:rPr>
          <w:rFonts w:asciiTheme="minorHAnsi" w:hAnsiTheme="minorHAnsi" w:cstheme="minorHAnsi"/>
          <w:sz w:val="22"/>
          <w:lang w:val="en-US" w:eastAsia="en-AU"/>
        </w:rPr>
      </w:pPr>
      <w:r w:rsidRPr="00FB2B78">
        <w:rPr>
          <w:rFonts w:asciiTheme="minorHAnsi" w:hAnsiTheme="minorHAnsi" w:cstheme="minorHAnsi"/>
          <w:sz w:val="22"/>
          <w:lang w:val="en-US" w:eastAsia="en-AU"/>
        </w:rPr>
        <w:t xml:space="preserve">preparing an industry-specific press release to related trade media outlets to encourage </w:t>
      </w:r>
      <w:r w:rsidR="004A7C64" w:rsidRPr="00FB2B78">
        <w:rPr>
          <w:rFonts w:asciiTheme="minorHAnsi" w:hAnsiTheme="minorHAnsi" w:cstheme="minorHAnsi"/>
          <w:sz w:val="22"/>
          <w:lang w:val="en-US" w:eastAsia="en-AU"/>
        </w:rPr>
        <w:t>adoption</w:t>
      </w:r>
      <w:r w:rsidRPr="00FB2B78">
        <w:rPr>
          <w:rFonts w:asciiTheme="minorHAnsi" w:hAnsiTheme="minorHAnsi" w:cstheme="minorHAnsi"/>
          <w:sz w:val="22"/>
          <w:lang w:val="en-US" w:eastAsia="en-AU"/>
        </w:rPr>
        <w:t xml:space="preserve"> and </w:t>
      </w:r>
      <w:r w:rsidR="00EF11AC" w:rsidRPr="00FB2B78">
        <w:rPr>
          <w:rFonts w:asciiTheme="minorHAnsi" w:hAnsiTheme="minorHAnsi" w:cstheme="minorHAnsi"/>
          <w:sz w:val="22"/>
          <w:lang w:val="en-US" w:eastAsia="en-AU"/>
        </w:rPr>
        <w:t xml:space="preserve">to </w:t>
      </w:r>
      <w:r w:rsidRPr="00FB2B78">
        <w:rPr>
          <w:rFonts w:asciiTheme="minorHAnsi" w:hAnsiTheme="minorHAnsi" w:cstheme="minorHAnsi"/>
          <w:sz w:val="22"/>
          <w:lang w:val="en-US" w:eastAsia="en-AU"/>
        </w:rPr>
        <w:t xml:space="preserve">champion the </w:t>
      </w:r>
      <w:r w:rsidR="004A7C64" w:rsidRPr="00FB2B78">
        <w:rPr>
          <w:rFonts w:asciiTheme="minorHAnsi" w:hAnsiTheme="minorHAnsi" w:cstheme="minorHAnsi"/>
          <w:sz w:val="22"/>
          <w:lang w:val="en-US" w:eastAsia="en-AU"/>
        </w:rPr>
        <w:t>Guide</w:t>
      </w:r>
      <w:r w:rsidRPr="00FB2B78">
        <w:rPr>
          <w:rFonts w:asciiTheme="minorHAnsi" w:hAnsiTheme="minorHAnsi" w:cstheme="minorHAnsi"/>
          <w:sz w:val="22"/>
          <w:lang w:val="en-US" w:eastAsia="en-AU"/>
        </w:rPr>
        <w:t>.</w:t>
      </w:r>
    </w:p>
    <w:p w14:paraId="5D73C96B" w14:textId="0109B3CF" w:rsidR="00950151" w:rsidRPr="00FB2B78" w:rsidRDefault="00950151" w:rsidP="004A7C64">
      <w:pPr>
        <w:pStyle w:val="Heading1"/>
        <w:spacing w:before="360"/>
        <w:rPr>
          <w:sz w:val="36"/>
        </w:rPr>
      </w:pPr>
      <w:bookmarkStart w:id="14" w:name="_Toc31270545"/>
      <w:bookmarkStart w:id="15" w:name="_Toc130547258"/>
      <w:r w:rsidRPr="00FB2B78">
        <w:rPr>
          <w:sz w:val="36"/>
        </w:rPr>
        <w:t>Risk Management</w:t>
      </w:r>
      <w:bookmarkEnd w:id="14"/>
      <w:bookmarkEnd w:id="15"/>
    </w:p>
    <w:p w14:paraId="67843646" w14:textId="3E99AB9E" w:rsidR="00552BEC" w:rsidRPr="00FB2B78" w:rsidRDefault="00552BEC" w:rsidP="00CF3D0B">
      <w:pPr>
        <w:pStyle w:val="Heading2"/>
        <w:keepNext/>
        <w:keepLines/>
        <w:spacing w:before="0"/>
        <w:rPr>
          <w:b/>
          <w:sz w:val="24"/>
          <w:lang w:val="en-US" w:eastAsia="en-AU"/>
        </w:rPr>
      </w:pPr>
      <w:bookmarkStart w:id="16" w:name="_Toc130547259"/>
      <w:r w:rsidRPr="00FB2B78">
        <w:rPr>
          <w:b/>
          <w:sz w:val="24"/>
          <w:lang w:val="en-US" w:eastAsia="en-AU"/>
        </w:rPr>
        <w:t>Reputational risk</w:t>
      </w:r>
      <w:r w:rsidR="00861B1C" w:rsidRPr="00FB2B78">
        <w:rPr>
          <w:b/>
          <w:sz w:val="24"/>
          <w:lang w:val="en-US" w:eastAsia="en-AU"/>
        </w:rPr>
        <w:t>s</w:t>
      </w:r>
      <w:bookmarkEnd w:id="16"/>
    </w:p>
    <w:p w14:paraId="792634C8" w14:textId="008B7596" w:rsidR="00D54880" w:rsidRPr="00FB2B78" w:rsidRDefault="00D54880" w:rsidP="00B375DB">
      <w:pPr>
        <w:autoSpaceDE w:val="0"/>
        <w:autoSpaceDN w:val="0"/>
        <w:adjustRightInd w:val="0"/>
        <w:spacing w:after="120"/>
        <w:rPr>
          <w:rFonts w:asciiTheme="minorHAnsi" w:hAnsiTheme="minorHAnsi" w:cstheme="minorHAnsi"/>
          <w:color w:val="FF0000"/>
          <w:sz w:val="22"/>
          <w:lang w:eastAsia="en-AU"/>
        </w:rPr>
      </w:pPr>
      <w:r w:rsidRPr="00FB2B78">
        <w:rPr>
          <w:rFonts w:asciiTheme="minorHAnsi" w:hAnsiTheme="minorHAnsi" w:cstheme="minorHAnsi"/>
          <w:sz w:val="22"/>
          <w:lang w:eastAsia="en-AU"/>
        </w:rPr>
        <w:t>There are reputational risks to the Healthy Food Partnership. For example, there may be criticisms associated with the voluntary nature of the Partnership</w:t>
      </w:r>
      <w:r w:rsidR="004A7C64" w:rsidRPr="00FB2B78">
        <w:rPr>
          <w:rFonts w:asciiTheme="minorHAnsi" w:hAnsiTheme="minorHAnsi" w:cstheme="minorHAnsi"/>
          <w:sz w:val="22"/>
          <w:lang w:eastAsia="en-AU"/>
        </w:rPr>
        <w:t xml:space="preserve"> or</w:t>
      </w:r>
      <w:r w:rsidR="00575D19" w:rsidRPr="00FB2B78">
        <w:rPr>
          <w:rFonts w:asciiTheme="minorHAnsi" w:hAnsiTheme="minorHAnsi" w:cstheme="minorHAnsi"/>
          <w:sz w:val="22"/>
          <w:lang w:eastAsia="en-AU"/>
        </w:rPr>
        <w:t xml:space="preserve"> companies not </w:t>
      </w:r>
      <w:r w:rsidR="004A7C64" w:rsidRPr="00FB2B78">
        <w:rPr>
          <w:rFonts w:asciiTheme="minorHAnsi" w:hAnsiTheme="minorHAnsi" w:cstheme="minorHAnsi"/>
          <w:sz w:val="22"/>
          <w:lang w:eastAsia="en-AU"/>
        </w:rPr>
        <w:t>implementing the recommendations</w:t>
      </w:r>
      <w:r w:rsidR="00575D19" w:rsidRPr="00FB2B78">
        <w:rPr>
          <w:rFonts w:asciiTheme="minorHAnsi" w:hAnsiTheme="minorHAnsi" w:cstheme="minorHAnsi"/>
          <w:sz w:val="22"/>
          <w:lang w:eastAsia="en-AU"/>
        </w:rPr>
        <w:t>.</w:t>
      </w:r>
      <w:r w:rsidR="00E15538" w:rsidRPr="00FB2B78">
        <w:rPr>
          <w:rFonts w:asciiTheme="minorHAnsi" w:hAnsiTheme="minorHAnsi" w:cstheme="minorHAnsi"/>
          <w:sz w:val="22"/>
          <w:lang w:eastAsia="en-AU"/>
        </w:rPr>
        <w:t xml:space="preserve"> The Department will monitor engagement </w:t>
      </w:r>
      <w:r w:rsidR="00FC544C" w:rsidRPr="00FB2B78">
        <w:rPr>
          <w:rFonts w:asciiTheme="minorHAnsi" w:hAnsiTheme="minorHAnsi" w:cstheme="minorHAnsi"/>
          <w:sz w:val="22"/>
          <w:lang w:eastAsia="en-AU"/>
        </w:rPr>
        <w:t xml:space="preserve">of food companies </w:t>
      </w:r>
      <w:r w:rsidR="00E15538" w:rsidRPr="00FB2B78">
        <w:rPr>
          <w:rFonts w:asciiTheme="minorHAnsi" w:hAnsiTheme="minorHAnsi" w:cstheme="minorHAnsi"/>
          <w:sz w:val="22"/>
          <w:lang w:eastAsia="en-AU"/>
        </w:rPr>
        <w:t xml:space="preserve">with the </w:t>
      </w:r>
      <w:r w:rsidR="00FC544C" w:rsidRPr="00FB2B78">
        <w:rPr>
          <w:rFonts w:asciiTheme="minorHAnsi" w:hAnsiTheme="minorHAnsi" w:cstheme="minorHAnsi"/>
          <w:sz w:val="22"/>
          <w:lang w:eastAsia="en-AU"/>
        </w:rPr>
        <w:t>Guide</w:t>
      </w:r>
      <w:r w:rsidR="00E15538" w:rsidRPr="00FB2B78">
        <w:rPr>
          <w:rFonts w:asciiTheme="minorHAnsi" w:hAnsiTheme="minorHAnsi" w:cstheme="minorHAnsi"/>
          <w:sz w:val="22"/>
          <w:lang w:eastAsia="en-AU"/>
        </w:rPr>
        <w:t xml:space="preserve"> and progress towards </w:t>
      </w:r>
      <w:r w:rsidR="004A7C64" w:rsidRPr="00FB2B78">
        <w:rPr>
          <w:rFonts w:asciiTheme="minorHAnsi" w:hAnsiTheme="minorHAnsi" w:cstheme="minorHAnsi"/>
          <w:sz w:val="22"/>
          <w:lang w:eastAsia="en-AU"/>
        </w:rPr>
        <w:t>implementing</w:t>
      </w:r>
      <w:r w:rsidR="00FC544C" w:rsidRPr="00FB2B78">
        <w:rPr>
          <w:rFonts w:asciiTheme="minorHAnsi" w:hAnsiTheme="minorHAnsi" w:cstheme="minorHAnsi"/>
          <w:sz w:val="22"/>
          <w:lang w:eastAsia="en-AU"/>
        </w:rPr>
        <w:t xml:space="preserve"> </w:t>
      </w:r>
      <w:r w:rsidR="00E15538" w:rsidRPr="00FB2B78">
        <w:rPr>
          <w:rFonts w:asciiTheme="minorHAnsi" w:hAnsiTheme="minorHAnsi" w:cstheme="minorHAnsi"/>
          <w:sz w:val="22"/>
          <w:lang w:eastAsia="en-AU"/>
        </w:rPr>
        <w:t xml:space="preserve">the </w:t>
      </w:r>
      <w:r w:rsidR="00232A54" w:rsidRPr="00FB2B78">
        <w:rPr>
          <w:rFonts w:asciiTheme="minorHAnsi" w:hAnsiTheme="minorHAnsi" w:cstheme="minorHAnsi"/>
          <w:sz w:val="22"/>
          <w:lang w:eastAsia="en-AU"/>
        </w:rPr>
        <w:t>recommended serving sizes.</w:t>
      </w:r>
      <w:r w:rsidR="00E15538" w:rsidRPr="00FB2B78">
        <w:rPr>
          <w:rFonts w:asciiTheme="minorHAnsi" w:hAnsiTheme="minorHAnsi" w:cstheme="minorHAnsi"/>
          <w:sz w:val="22"/>
          <w:lang w:eastAsia="en-AU"/>
        </w:rPr>
        <w:t xml:space="preserve"> </w:t>
      </w:r>
    </w:p>
    <w:p w14:paraId="084B16B4" w14:textId="2DD781C7" w:rsidR="00552BEC" w:rsidRPr="00FB2B78" w:rsidRDefault="00552BEC" w:rsidP="00CF3D0B">
      <w:pPr>
        <w:pStyle w:val="Heading2"/>
        <w:keepNext/>
        <w:keepLines/>
        <w:spacing w:before="0"/>
        <w:rPr>
          <w:b/>
          <w:sz w:val="24"/>
          <w:lang w:val="en-US" w:eastAsia="en-AU"/>
        </w:rPr>
      </w:pPr>
      <w:bookmarkStart w:id="17" w:name="_Toc130547260"/>
      <w:r w:rsidRPr="00FB2B78">
        <w:rPr>
          <w:b/>
          <w:sz w:val="24"/>
          <w:lang w:val="en-US" w:eastAsia="en-AU"/>
        </w:rPr>
        <w:t>Implementation risk</w:t>
      </w:r>
      <w:r w:rsidR="000430BA" w:rsidRPr="00FB2B78">
        <w:rPr>
          <w:b/>
          <w:sz w:val="24"/>
          <w:lang w:val="en-US" w:eastAsia="en-AU"/>
        </w:rPr>
        <w:t>s</w:t>
      </w:r>
      <w:bookmarkEnd w:id="17"/>
      <w:r w:rsidRPr="00FB2B78">
        <w:rPr>
          <w:b/>
          <w:sz w:val="24"/>
          <w:lang w:val="en-US" w:eastAsia="en-AU"/>
        </w:rPr>
        <w:t xml:space="preserve"> </w:t>
      </w:r>
    </w:p>
    <w:p w14:paraId="5622FC89" w14:textId="6BCA01A7" w:rsidR="00552BEC" w:rsidRPr="00FB2B78" w:rsidRDefault="00903FBB" w:rsidP="00903FBB">
      <w:pPr>
        <w:autoSpaceDE w:val="0"/>
        <w:autoSpaceDN w:val="0"/>
        <w:adjustRightInd w:val="0"/>
        <w:rPr>
          <w:rFonts w:asciiTheme="minorHAnsi" w:hAnsiTheme="minorHAnsi" w:cstheme="minorHAnsi"/>
          <w:sz w:val="22"/>
          <w:lang w:eastAsia="en-AU"/>
        </w:rPr>
      </w:pPr>
      <w:r w:rsidRPr="00FB2B78">
        <w:rPr>
          <w:rFonts w:asciiTheme="minorHAnsi" w:hAnsiTheme="minorHAnsi" w:cstheme="minorHAnsi"/>
          <w:sz w:val="22"/>
          <w:lang w:eastAsia="en-AU"/>
        </w:rPr>
        <w:t xml:space="preserve">There is a risk that the </w:t>
      </w:r>
      <w:r w:rsidR="00232A54" w:rsidRPr="00FB2B78">
        <w:rPr>
          <w:rFonts w:asciiTheme="minorHAnsi" w:hAnsiTheme="minorHAnsi" w:cstheme="minorHAnsi"/>
          <w:sz w:val="22"/>
          <w:lang w:eastAsia="en-AU"/>
        </w:rPr>
        <w:t>Guide</w:t>
      </w:r>
      <w:r w:rsidRPr="00FB2B78">
        <w:rPr>
          <w:rFonts w:asciiTheme="minorHAnsi" w:hAnsiTheme="minorHAnsi" w:cstheme="minorHAnsi"/>
          <w:sz w:val="22"/>
          <w:lang w:eastAsia="en-AU"/>
        </w:rPr>
        <w:t xml:space="preserve"> </w:t>
      </w:r>
      <w:r w:rsidR="00861B1C" w:rsidRPr="00FB2B78">
        <w:rPr>
          <w:rFonts w:asciiTheme="minorHAnsi" w:hAnsiTheme="minorHAnsi" w:cstheme="minorHAnsi"/>
          <w:sz w:val="22"/>
          <w:lang w:eastAsia="en-AU"/>
        </w:rPr>
        <w:t xml:space="preserve">does not achieve meaningful reductions in </w:t>
      </w:r>
      <w:r w:rsidR="00232A54" w:rsidRPr="00FB2B78">
        <w:rPr>
          <w:rFonts w:asciiTheme="minorHAnsi" w:hAnsiTheme="minorHAnsi" w:cstheme="minorHAnsi"/>
          <w:sz w:val="22"/>
          <w:lang w:eastAsia="en-AU"/>
        </w:rPr>
        <w:t>serving sizes of the priority categories.</w:t>
      </w:r>
      <w:r w:rsidRPr="00FB2B78">
        <w:rPr>
          <w:rFonts w:asciiTheme="minorHAnsi" w:hAnsiTheme="minorHAnsi" w:cstheme="minorHAnsi"/>
          <w:sz w:val="22"/>
          <w:lang w:eastAsia="en-AU"/>
        </w:rPr>
        <w:t xml:space="preserve"> This </w:t>
      </w:r>
      <w:r w:rsidR="001104D5" w:rsidRPr="00FB2B78">
        <w:rPr>
          <w:rFonts w:asciiTheme="minorHAnsi" w:hAnsiTheme="minorHAnsi" w:cstheme="minorHAnsi"/>
          <w:sz w:val="22"/>
          <w:lang w:eastAsia="en-AU"/>
        </w:rPr>
        <w:t>risk</w:t>
      </w:r>
      <w:r w:rsidRPr="00FB2B78">
        <w:rPr>
          <w:rFonts w:asciiTheme="minorHAnsi" w:hAnsiTheme="minorHAnsi" w:cstheme="minorHAnsi"/>
          <w:sz w:val="22"/>
          <w:lang w:eastAsia="en-AU"/>
        </w:rPr>
        <w:t xml:space="preserve"> will be minimised by ensuring there are ample </w:t>
      </w:r>
      <w:r w:rsidR="00552BEC" w:rsidRPr="00FB2B78">
        <w:rPr>
          <w:rFonts w:asciiTheme="minorHAnsi" w:hAnsiTheme="minorHAnsi" w:cstheme="minorHAnsi"/>
          <w:sz w:val="22"/>
          <w:lang w:eastAsia="en-AU"/>
        </w:rPr>
        <w:t>awareness</w:t>
      </w:r>
      <w:r w:rsidRPr="00FB2B78">
        <w:rPr>
          <w:rFonts w:asciiTheme="minorHAnsi" w:hAnsiTheme="minorHAnsi" w:cstheme="minorHAnsi"/>
          <w:sz w:val="22"/>
          <w:lang w:eastAsia="en-AU"/>
        </w:rPr>
        <w:t xml:space="preserve"> raising activities through multiple channels</w:t>
      </w:r>
      <w:r w:rsidR="00861B1C" w:rsidRPr="00FB2B78">
        <w:rPr>
          <w:rFonts w:asciiTheme="minorHAnsi" w:hAnsiTheme="minorHAnsi" w:cstheme="minorHAnsi"/>
          <w:sz w:val="22"/>
          <w:lang w:eastAsia="en-AU"/>
        </w:rPr>
        <w:t xml:space="preserve"> to </w:t>
      </w:r>
      <w:r w:rsidR="002F5549" w:rsidRPr="00FB2B78">
        <w:rPr>
          <w:rFonts w:asciiTheme="minorHAnsi" w:hAnsiTheme="minorHAnsi" w:cstheme="minorHAnsi"/>
          <w:sz w:val="22"/>
          <w:lang w:eastAsia="en-AU"/>
        </w:rPr>
        <w:t>achieve</w:t>
      </w:r>
      <w:r w:rsidRPr="00FB2B78">
        <w:rPr>
          <w:rFonts w:asciiTheme="minorHAnsi" w:hAnsiTheme="minorHAnsi" w:cstheme="minorHAnsi"/>
          <w:sz w:val="22"/>
          <w:lang w:eastAsia="en-AU"/>
        </w:rPr>
        <w:t xml:space="preserve"> a</w:t>
      </w:r>
      <w:r w:rsidR="00552BEC" w:rsidRPr="00FB2B78">
        <w:rPr>
          <w:rFonts w:asciiTheme="minorHAnsi" w:hAnsiTheme="minorHAnsi" w:cstheme="minorHAnsi"/>
          <w:sz w:val="22"/>
          <w:lang w:eastAsia="en-AU"/>
        </w:rPr>
        <w:t xml:space="preserve"> </w:t>
      </w:r>
      <w:r w:rsidRPr="00FB2B78">
        <w:rPr>
          <w:rFonts w:asciiTheme="minorHAnsi" w:hAnsiTheme="minorHAnsi" w:cstheme="minorHAnsi"/>
          <w:sz w:val="22"/>
          <w:lang w:eastAsia="en-AU"/>
        </w:rPr>
        <w:t xml:space="preserve">sufficient </w:t>
      </w:r>
      <w:r w:rsidR="00552BEC" w:rsidRPr="00FB2B78">
        <w:rPr>
          <w:rFonts w:asciiTheme="minorHAnsi" w:hAnsiTheme="minorHAnsi" w:cstheme="minorHAnsi"/>
          <w:sz w:val="22"/>
          <w:lang w:eastAsia="en-AU"/>
        </w:rPr>
        <w:t xml:space="preserve">level of engagement </w:t>
      </w:r>
      <w:r w:rsidRPr="00FB2B78">
        <w:rPr>
          <w:rFonts w:asciiTheme="minorHAnsi" w:hAnsiTheme="minorHAnsi" w:cstheme="minorHAnsi"/>
          <w:sz w:val="22"/>
          <w:lang w:eastAsia="en-AU"/>
        </w:rPr>
        <w:t xml:space="preserve">with the </w:t>
      </w:r>
      <w:r w:rsidR="00232A54" w:rsidRPr="00FB2B78">
        <w:rPr>
          <w:rFonts w:asciiTheme="minorHAnsi" w:hAnsiTheme="minorHAnsi" w:cstheme="minorHAnsi"/>
          <w:sz w:val="22"/>
          <w:lang w:eastAsia="en-AU"/>
        </w:rPr>
        <w:t>Guide</w:t>
      </w:r>
      <w:r w:rsidRPr="00FB2B78">
        <w:rPr>
          <w:rFonts w:asciiTheme="minorHAnsi" w:hAnsiTheme="minorHAnsi" w:cstheme="minorHAnsi"/>
          <w:sz w:val="22"/>
          <w:lang w:eastAsia="en-AU"/>
        </w:rPr>
        <w:t xml:space="preserve">. </w:t>
      </w:r>
      <w:r w:rsidR="00232A54" w:rsidRPr="00FB2B78">
        <w:rPr>
          <w:rFonts w:asciiTheme="minorHAnsi" w:hAnsiTheme="minorHAnsi" w:cstheme="minorHAnsi"/>
          <w:sz w:val="22"/>
          <w:lang w:eastAsia="en-AU"/>
        </w:rPr>
        <w:t>The serving sizes</w:t>
      </w:r>
      <w:r w:rsidR="00D26462" w:rsidRPr="00FB2B78">
        <w:rPr>
          <w:rFonts w:asciiTheme="minorHAnsi" w:hAnsiTheme="minorHAnsi" w:cstheme="minorHAnsi"/>
          <w:sz w:val="22"/>
          <w:lang w:eastAsia="en-AU"/>
        </w:rPr>
        <w:t xml:space="preserve"> are considered feasible, having</w:t>
      </w:r>
      <w:r w:rsidR="00861B1C" w:rsidRPr="00FB2B78">
        <w:rPr>
          <w:rFonts w:asciiTheme="minorHAnsi" w:hAnsiTheme="minorHAnsi" w:cstheme="minorHAnsi"/>
          <w:sz w:val="22"/>
          <w:lang w:eastAsia="en-AU"/>
        </w:rPr>
        <w:t xml:space="preserve"> been set through analysis of the current food supply, what has been achieved internationally, and through consultation with industry</w:t>
      </w:r>
      <w:r w:rsidR="006843B9" w:rsidRPr="00FB2B78">
        <w:rPr>
          <w:rStyle w:val="FootnoteReference"/>
          <w:rFonts w:asciiTheme="minorHAnsi" w:hAnsiTheme="minorHAnsi" w:cstheme="minorHAnsi"/>
          <w:sz w:val="22"/>
          <w:lang w:eastAsia="en-AU"/>
        </w:rPr>
        <w:footnoteReference w:id="1"/>
      </w:r>
      <w:r w:rsidR="00861B1C" w:rsidRPr="00FB2B78">
        <w:rPr>
          <w:rFonts w:asciiTheme="minorHAnsi" w:hAnsiTheme="minorHAnsi" w:cstheme="minorHAnsi"/>
          <w:sz w:val="22"/>
          <w:lang w:eastAsia="en-AU"/>
        </w:rPr>
        <w:t xml:space="preserve">. </w:t>
      </w:r>
      <w:r w:rsidR="000C5E86" w:rsidRPr="00FB2B78">
        <w:rPr>
          <w:rFonts w:asciiTheme="minorHAnsi" w:hAnsiTheme="minorHAnsi" w:cstheme="minorHAnsi"/>
          <w:sz w:val="22"/>
          <w:lang w:eastAsia="en-AU"/>
        </w:rPr>
        <w:t>S</w:t>
      </w:r>
      <w:r w:rsidR="002F5549" w:rsidRPr="00FB2B78">
        <w:rPr>
          <w:rFonts w:asciiTheme="minorHAnsi" w:hAnsiTheme="minorHAnsi" w:cstheme="minorHAnsi"/>
          <w:sz w:val="22"/>
          <w:lang w:eastAsia="en-AU"/>
        </w:rPr>
        <w:t>p</w:t>
      </w:r>
      <w:r w:rsidRPr="00FB2B78">
        <w:rPr>
          <w:rFonts w:asciiTheme="minorHAnsi" w:hAnsiTheme="minorHAnsi" w:cstheme="minorHAnsi"/>
          <w:sz w:val="22"/>
          <w:lang w:eastAsia="en-AU"/>
        </w:rPr>
        <w:t xml:space="preserve">ecific actions </w:t>
      </w:r>
      <w:r w:rsidR="00232A54" w:rsidRPr="00FB2B78">
        <w:rPr>
          <w:rFonts w:asciiTheme="minorHAnsi" w:hAnsiTheme="minorHAnsi" w:cstheme="minorHAnsi"/>
          <w:sz w:val="22"/>
          <w:lang w:eastAsia="en-AU"/>
        </w:rPr>
        <w:t>will be</w:t>
      </w:r>
      <w:r w:rsidRPr="00FB2B78">
        <w:rPr>
          <w:rFonts w:asciiTheme="minorHAnsi" w:hAnsiTheme="minorHAnsi" w:cstheme="minorHAnsi"/>
          <w:sz w:val="22"/>
          <w:lang w:eastAsia="en-AU"/>
        </w:rPr>
        <w:t xml:space="preserve"> detailed in the Communication </w:t>
      </w:r>
      <w:r w:rsidR="006D3E70" w:rsidRPr="00FB2B78">
        <w:rPr>
          <w:rFonts w:asciiTheme="minorHAnsi" w:hAnsiTheme="minorHAnsi" w:cstheme="minorHAnsi"/>
          <w:sz w:val="22"/>
          <w:lang w:eastAsia="en-AU"/>
        </w:rPr>
        <w:t>Strategy</w:t>
      </w:r>
      <w:r w:rsidRPr="00FB2B78">
        <w:rPr>
          <w:rFonts w:asciiTheme="minorHAnsi" w:hAnsiTheme="minorHAnsi" w:cstheme="minorHAnsi"/>
          <w:sz w:val="22"/>
          <w:lang w:eastAsia="en-AU"/>
        </w:rPr>
        <w:t>.</w:t>
      </w:r>
    </w:p>
    <w:p w14:paraId="6C78C95C" w14:textId="77777777" w:rsidR="00B46185" w:rsidRPr="00FB2B78" w:rsidRDefault="00B46185" w:rsidP="00B46185">
      <w:pPr>
        <w:spacing w:after="120"/>
        <w:rPr>
          <w:rFonts w:eastAsia="MS Gothic" w:cstheme="majorBidi"/>
          <w:color w:val="007A33"/>
          <w:sz w:val="36"/>
          <w:szCs w:val="36"/>
          <w:lang w:val="en-US" w:eastAsia="en-AU"/>
        </w:rPr>
      </w:pPr>
      <w:r w:rsidRPr="00FB2B78">
        <w:rPr>
          <w:rFonts w:eastAsia="MS Gothic" w:cstheme="majorBidi"/>
          <w:color w:val="007A33"/>
          <w:sz w:val="36"/>
          <w:szCs w:val="36"/>
          <w:lang w:val="en-US" w:eastAsia="en-AU"/>
        </w:rPr>
        <w:lastRenderedPageBreak/>
        <w:t>Context and Background</w:t>
      </w:r>
    </w:p>
    <w:p w14:paraId="70D1AFD3" w14:textId="77777777" w:rsidR="00B46185" w:rsidRPr="00FB2B78" w:rsidRDefault="00B46185" w:rsidP="00B46185">
      <w:pPr>
        <w:spacing w:after="120"/>
        <w:rPr>
          <w:rFonts w:asciiTheme="minorHAnsi" w:hAnsiTheme="minorHAnsi" w:cstheme="minorHAnsi"/>
          <w:sz w:val="22"/>
          <w:szCs w:val="22"/>
        </w:rPr>
      </w:pPr>
      <w:r w:rsidRPr="00FB2B78">
        <w:rPr>
          <w:rFonts w:asciiTheme="minorHAnsi" w:hAnsiTheme="minorHAnsi" w:cstheme="minorHAnsi"/>
          <w:sz w:val="22"/>
          <w:szCs w:val="22"/>
        </w:rPr>
        <w:t xml:space="preserve">In late 2015, the Australian Government established the Healthy Food Partnership (Partnership) with the aim of improving the dietary habits of Australians by making healthier food choices easier and more accessible, and by raising awareness of appropriate food choices and portion sizes. </w:t>
      </w:r>
    </w:p>
    <w:p w14:paraId="375336F3" w14:textId="77777777" w:rsidR="00B46185" w:rsidRPr="00FB2B78" w:rsidRDefault="00B46185" w:rsidP="00B46185">
      <w:pPr>
        <w:spacing w:after="120"/>
        <w:rPr>
          <w:rFonts w:asciiTheme="minorHAnsi" w:hAnsiTheme="minorHAnsi" w:cstheme="minorHAnsi"/>
          <w:sz w:val="22"/>
          <w:szCs w:val="22"/>
        </w:rPr>
      </w:pPr>
      <w:r w:rsidRPr="00FB2B78">
        <w:rPr>
          <w:rFonts w:asciiTheme="minorHAnsi" w:hAnsiTheme="minorHAnsi" w:cstheme="minorHAnsi"/>
          <w:sz w:val="22"/>
          <w:szCs w:val="22"/>
        </w:rPr>
        <w:t xml:space="preserve">The Partnership provides a mechanism for government, the public health </w:t>
      </w:r>
      <w:proofErr w:type="gramStart"/>
      <w:r w:rsidRPr="00FB2B78">
        <w:rPr>
          <w:rFonts w:asciiTheme="minorHAnsi" w:hAnsiTheme="minorHAnsi" w:cstheme="minorHAnsi"/>
          <w:sz w:val="22"/>
          <w:szCs w:val="22"/>
        </w:rPr>
        <w:t>sector</w:t>
      </w:r>
      <w:proofErr w:type="gramEnd"/>
      <w:r w:rsidRPr="00FB2B78">
        <w:rPr>
          <w:rFonts w:asciiTheme="minorHAnsi" w:hAnsiTheme="minorHAnsi" w:cstheme="minorHAnsi"/>
          <w:sz w:val="22"/>
          <w:szCs w:val="22"/>
        </w:rPr>
        <w:t xml:space="preserve"> and the food industry to cooperatively tackle obesity, encourage healthy eating and empower food manufacturers to make positive changes. The scope of work within the Partnership comprises several policy areas that consider portion size, food reformulation, food service environments and education. Initiatives under the Partnership are voluntary in nature.</w:t>
      </w:r>
    </w:p>
    <w:p w14:paraId="0E6FE784" w14:textId="77777777" w:rsidR="00B46185" w:rsidRPr="00FB2B78" w:rsidRDefault="00B46185" w:rsidP="00B716DD">
      <w:pPr>
        <w:spacing w:after="120" w:line="259" w:lineRule="auto"/>
        <w:rPr>
          <w:rFonts w:asciiTheme="minorHAnsi" w:hAnsiTheme="minorHAnsi" w:cstheme="minorHAnsi"/>
          <w:sz w:val="22"/>
          <w:szCs w:val="22"/>
        </w:rPr>
      </w:pPr>
      <w:r w:rsidRPr="00FB2B78">
        <w:rPr>
          <w:rStyle w:val="normaltextrun"/>
          <w:rFonts w:ascii="Calibri" w:eastAsia="MS Gothic" w:hAnsi="Calibri" w:cs="Calibri"/>
          <w:color w:val="000000"/>
          <w:sz w:val="22"/>
          <w:szCs w:val="22"/>
          <w:shd w:val="clear" w:color="auto" w:fill="FFFFFF"/>
        </w:rPr>
        <w:t>This multifaceted approach reflects the fact that dietary choices are determined through a complex interplay of factors and thus, there is not one single policy measure that can be introduced to shift populations onto a healthier dietary trajectory.</w:t>
      </w:r>
      <w:r w:rsidRPr="00FB2B78">
        <w:rPr>
          <w:rStyle w:val="eop"/>
          <w:rFonts w:ascii="Calibri" w:eastAsia="MS Gothic" w:hAnsi="Calibri" w:cs="Calibri"/>
          <w:color w:val="000000"/>
          <w:sz w:val="22"/>
          <w:szCs w:val="22"/>
          <w:shd w:val="clear" w:color="auto" w:fill="FFFFFF"/>
        </w:rPr>
        <w:t> </w:t>
      </w:r>
    </w:p>
    <w:p w14:paraId="76116141" w14:textId="38367450" w:rsidR="00B46185" w:rsidRPr="00FB2B78" w:rsidRDefault="00B46185" w:rsidP="00B716DD">
      <w:pPr>
        <w:pStyle w:val="paragraph"/>
        <w:spacing w:before="0" w:beforeAutospacing="0" w:after="0" w:afterAutospacing="0" w:line="259" w:lineRule="auto"/>
        <w:textAlignment w:val="baseline"/>
        <w:rPr>
          <w:rFonts w:asciiTheme="minorHAnsi" w:hAnsiTheme="minorHAnsi" w:cstheme="minorHAnsi"/>
          <w:sz w:val="22"/>
          <w:szCs w:val="22"/>
        </w:rPr>
      </w:pPr>
      <w:r w:rsidRPr="00FB2B78">
        <w:rPr>
          <w:rStyle w:val="normaltextrun"/>
          <w:rFonts w:asciiTheme="minorHAnsi" w:eastAsia="MS Gothic" w:hAnsiTheme="minorHAnsi" w:cstheme="minorHAnsi"/>
          <w:sz w:val="22"/>
          <w:szCs w:val="22"/>
        </w:rPr>
        <w:t>The Portion Size Working Group (PSWG) was one of the first working groups established under the Partnership. One of the objectives of the PSWG was to consider how to engage with industry to optimise portion sizes. Between September 2016 and June 2018, the PSWG undertook research and assessments and developed key recommendations. One of these recommendations was to develop an industry engagement strategy to adopt voluntary activities to support healthier sizes of portions and servings. Key activities of the strategy include the development of a best practice guide on serving size</w:t>
      </w:r>
      <w:r w:rsidRPr="00FB2B78">
        <w:rPr>
          <w:rStyle w:val="normaltextrun"/>
          <w:rFonts w:asciiTheme="minorHAnsi" w:eastAsia="MS Gothic" w:hAnsiTheme="minorHAnsi" w:cstheme="minorHAnsi"/>
          <w:sz w:val="22"/>
          <w:szCs w:val="22"/>
          <w:vertAlign w:val="superscript"/>
        </w:rPr>
        <w:t xml:space="preserve"> </w:t>
      </w:r>
      <w:r w:rsidRPr="00FB2B78">
        <w:rPr>
          <w:rStyle w:val="normaltextrun"/>
          <w:rFonts w:asciiTheme="minorHAnsi" w:eastAsia="MS Gothic" w:hAnsiTheme="minorHAnsi" w:cstheme="minorHAnsi"/>
          <w:sz w:val="22"/>
          <w:szCs w:val="22"/>
        </w:rPr>
        <w:t xml:space="preserve">to provide industry with guidance and support to undertake serving size reductions, and the development of recommended serving sizes for key discretionary foods and beverages. </w:t>
      </w:r>
      <w:r w:rsidR="00DD2F95" w:rsidRPr="00FB2B78">
        <w:rPr>
          <w:rStyle w:val="normaltextrun"/>
          <w:rFonts w:asciiTheme="minorHAnsi" w:eastAsia="MS Gothic" w:hAnsiTheme="minorHAnsi" w:cstheme="minorHAnsi"/>
          <w:sz w:val="22"/>
          <w:szCs w:val="22"/>
        </w:rPr>
        <w:t xml:space="preserve">The PWSG also developed </w:t>
      </w:r>
      <w:hyperlink r:id="rId9" w:history="1">
        <w:r w:rsidR="00DD2F95" w:rsidRPr="00FB2B78">
          <w:rPr>
            <w:rStyle w:val="Hyperlink"/>
            <w:rFonts w:asciiTheme="minorHAnsi" w:hAnsiTheme="minorHAnsi" w:cstheme="minorHAnsi"/>
            <w:sz w:val="22"/>
            <w:szCs w:val="22"/>
          </w:rPr>
          <w:t>consistent terminology for describing the size of food and beverages</w:t>
        </w:r>
      </w:hyperlink>
      <w:r w:rsidR="00DD2F95" w:rsidRPr="00FB2B78">
        <w:rPr>
          <w:rFonts w:asciiTheme="minorHAnsi" w:hAnsiTheme="minorHAnsi" w:cstheme="minorHAnsi"/>
          <w:sz w:val="22"/>
          <w:szCs w:val="22"/>
        </w:rPr>
        <w:t>.</w:t>
      </w:r>
      <w:r w:rsidR="00DD2F95" w:rsidRPr="00FB2B78">
        <w:t xml:space="preserve"> </w:t>
      </w:r>
      <w:r w:rsidRPr="00FB2B78">
        <w:rPr>
          <w:rStyle w:val="normaltextrun"/>
          <w:rFonts w:asciiTheme="minorHAnsi" w:eastAsia="MS Gothic" w:hAnsiTheme="minorHAnsi" w:cstheme="minorHAnsi"/>
          <w:sz w:val="22"/>
          <w:szCs w:val="22"/>
        </w:rPr>
        <w:t>The PSWG was disbanded following the release of their report and the Industry Best Practice Guide Working Group (IBPGWG) was convened in August 2019 to deliver on this recommendation.</w:t>
      </w:r>
      <w:r w:rsidRPr="00FB2B78">
        <w:rPr>
          <w:rStyle w:val="eop"/>
          <w:rFonts w:asciiTheme="minorHAnsi" w:hAnsiTheme="minorHAnsi" w:cstheme="minorHAnsi"/>
          <w:sz w:val="22"/>
          <w:szCs w:val="22"/>
        </w:rPr>
        <w:t> </w:t>
      </w:r>
      <w:r w:rsidRPr="00FB2B78">
        <w:rPr>
          <w:rStyle w:val="eop"/>
          <w:rFonts w:asciiTheme="minorHAnsi" w:hAnsiTheme="minorHAnsi" w:cstheme="minorHAnsi"/>
          <w:sz w:val="22"/>
          <w:szCs w:val="22"/>
        </w:rPr>
        <w:br/>
      </w:r>
    </w:p>
    <w:p w14:paraId="0DD1145A" w14:textId="77777777" w:rsidR="000C4A80" w:rsidRPr="00FB2B78" w:rsidRDefault="00B46185" w:rsidP="000C4A80">
      <w:pPr>
        <w:pStyle w:val="paragraph"/>
        <w:spacing w:before="0" w:beforeAutospacing="0" w:after="0" w:afterAutospacing="0"/>
        <w:textAlignment w:val="baseline"/>
        <w:rPr>
          <w:rStyle w:val="eop"/>
          <w:rFonts w:asciiTheme="minorHAnsi" w:hAnsiTheme="minorHAnsi" w:cstheme="minorHAnsi"/>
          <w:sz w:val="22"/>
          <w:szCs w:val="22"/>
        </w:rPr>
      </w:pPr>
      <w:r w:rsidRPr="00FB2B78">
        <w:rPr>
          <w:rStyle w:val="normaltextrun"/>
          <w:rFonts w:asciiTheme="minorHAnsi" w:eastAsia="MS Gothic" w:hAnsiTheme="minorHAnsi" w:cstheme="minorHAnsi"/>
          <w:sz w:val="22"/>
          <w:szCs w:val="22"/>
        </w:rPr>
        <w:t xml:space="preserve">The IBPGWG was tasked with establishing priorities for serving size recommendations which may help consumers achieve dietary patterns that are consistent with the Australian Dietary Guidelines (ADG). The recommended serving sizes are intended to drive a decrease in energy and risk associated nutrients (added sugar, </w:t>
      </w:r>
      <w:proofErr w:type="gramStart"/>
      <w:r w:rsidRPr="00FB2B78">
        <w:rPr>
          <w:rStyle w:val="normaltextrun"/>
          <w:rFonts w:asciiTheme="minorHAnsi" w:eastAsia="MS Gothic" w:hAnsiTheme="minorHAnsi" w:cstheme="minorHAnsi"/>
          <w:sz w:val="22"/>
          <w:szCs w:val="22"/>
        </w:rPr>
        <w:t>sodium</w:t>
      </w:r>
      <w:proofErr w:type="gramEnd"/>
      <w:r w:rsidRPr="00FB2B78">
        <w:rPr>
          <w:rStyle w:val="normaltextrun"/>
          <w:rFonts w:asciiTheme="minorHAnsi" w:eastAsia="MS Gothic" w:hAnsiTheme="minorHAnsi" w:cstheme="minorHAnsi"/>
          <w:sz w:val="22"/>
          <w:szCs w:val="22"/>
        </w:rPr>
        <w:t xml:space="preserve"> and saturated fat) in priority food categories.</w:t>
      </w:r>
      <w:r w:rsidRPr="00FB2B78">
        <w:rPr>
          <w:rStyle w:val="eop"/>
          <w:rFonts w:asciiTheme="minorHAnsi" w:hAnsiTheme="minorHAnsi" w:cstheme="minorHAnsi"/>
          <w:sz w:val="22"/>
          <w:szCs w:val="22"/>
        </w:rPr>
        <w:t> </w:t>
      </w:r>
    </w:p>
    <w:p w14:paraId="77BA8C9E" w14:textId="77777777" w:rsidR="000C4A80" w:rsidRPr="00FB2B78" w:rsidRDefault="000C4A80" w:rsidP="000C4A80">
      <w:pPr>
        <w:pStyle w:val="paragraph"/>
        <w:spacing w:before="0" w:beforeAutospacing="0" w:after="0" w:afterAutospacing="0"/>
        <w:textAlignment w:val="baseline"/>
        <w:rPr>
          <w:rStyle w:val="eop"/>
          <w:rFonts w:asciiTheme="minorHAnsi" w:hAnsiTheme="minorHAnsi" w:cstheme="minorHAnsi"/>
          <w:sz w:val="22"/>
          <w:szCs w:val="22"/>
        </w:rPr>
      </w:pPr>
    </w:p>
    <w:p w14:paraId="3B34A4DC" w14:textId="690652E1" w:rsidR="00B46185" w:rsidRPr="00FB2B78" w:rsidRDefault="000C4A80" w:rsidP="00B46185">
      <w:pPr>
        <w:pStyle w:val="paragraph"/>
        <w:spacing w:before="0" w:beforeAutospacing="0" w:after="0" w:afterAutospacing="0"/>
        <w:textAlignment w:val="baseline"/>
        <w:rPr>
          <w:rStyle w:val="eop"/>
          <w:rFonts w:asciiTheme="minorHAnsi" w:hAnsiTheme="minorHAnsi" w:cstheme="minorHAnsi"/>
          <w:sz w:val="22"/>
          <w:szCs w:val="22"/>
        </w:rPr>
      </w:pPr>
      <w:r w:rsidRPr="00FB2B78">
        <w:rPr>
          <w:rFonts w:asciiTheme="minorHAnsi" w:hAnsiTheme="minorHAnsi" w:cstheme="minorHAnsi"/>
          <w:sz w:val="22"/>
          <w:lang w:val="en-US"/>
        </w:rPr>
        <w:t xml:space="preserve">Feedback received from a public consultation in August 2021 informed the development of the Guide and the Draft Rationale. 27 submissions were received from a broad range of industry sectors and public health groups. There was strong support for portion size and serving size guidance as a complementary public health measure to support the community in reducing the number of serves and portion sizes of discretionary foods and beverages consumed. Practical and detailed feedback provided on the individual categories and the design of the Guide was considered by the IBPGWG when </w:t>
      </w:r>
      <w:proofErr w:type="spellStart"/>
      <w:r w:rsidRPr="00FB2B78">
        <w:rPr>
          <w:rFonts w:asciiTheme="minorHAnsi" w:hAnsiTheme="minorHAnsi" w:cstheme="minorHAnsi"/>
          <w:sz w:val="22"/>
          <w:lang w:val="en-US"/>
        </w:rPr>
        <w:t>finalising</w:t>
      </w:r>
      <w:proofErr w:type="spellEnd"/>
      <w:r w:rsidRPr="00FB2B78">
        <w:rPr>
          <w:rFonts w:asciiTheme="minorHAnsi" w:hAnsiTheme="minorHAnsi" w:cstheme="minorHAnsi"/>
          <w:sz w:val="22"/>
          <w:lang w:val="en-US"/>
        </w:rPr>
        <w:t xml:space="preserve"> the Guide. </w:t>
      </w:r>
      <w:r w:rsidR="00B46185" w:rsidRPr="00FB2B78">
        <w:rPr>
          <w:rStyle w:val="eop"/>
          <w:rFonts w:asciiTheme="minorHAnsi" w:hAnsiTheme="minorHAnsi" w:cstheme="minorHAnsi"/>
          <w:sz w:val="22"/>
          <w:szCs w:val="22"/>
        </w:rPr>
        <w:br/>
      </w:r>
    </w:p>
    <w:p w14:paraId="6DA56DA0" w14:textId="77777777" w:rsidR="00B46185" w:rsidRPr="00FB2B78" w:rsidRDefault="00B46185" w:rsidP="00B46185">
      <w:pPr>
        <w:pStyle w:val="paragraph"/>
        <w:spacing w:before="0" w:beforeAutospacing="0" w:after="0" w:afterAutospacing="0"/>
        <w:textAlignment w:val="baseline"/>
        <w:rPr>
          <w:rFonts w:asciiTheme="minorHAnsi" w:hAnsiTheme="minorHAnsi" w:cstheme="minorHAnsi"/>
          <w:sz w:val="22"/>
          <w:szCs w:val="22"/>
        </w:rPr>
      </w:pPr>
      <w:r w:rsidRPr="00FB2B78">
        <w:rPr>
          <w:rStyle w:val="eop"/>
          <w:rFonts w:asciiTheme="minorHAnsi" w:hAnsiTheme="minorHAnsi" w:cstheme="minorHAnsi"/>
          <w:sz w:val="22"/>
          <w:szCs w:val="22"/>
        </w:rPr>
        <w:t xml:space="preserve">Following public consultation, the IBPGWG agreed to rename the guide to the Industry Guide to Voluntary Serving Size Reduction (the Guide), in recognition of some stakeholder views that true best practice would be to reduce serving size for all discretionary foods to 600kJ. </w:t>
      </w:r>
    </w:p>
    <w:p w14:paraId="155EAF53" w14:textId="6636D9B7" w:rsidR="00B46185" w:rsidRPr="00FB2B78" w:rsidRDefault="00B46185" w:rsidP="00CB061E">
      <w:pPr>
        <w:autoSpaceDE w:val="0"/>
        <w:autoSpaceDN w:val="0"/>
        <w:adjustRightInd w:val="0"/>
        <w:spacing w:after="120"/>
        <w:rPr>
          <w:rStyle w:val="Hyperlink"/>
          <w:rFonts w:asciiTheme="minorHAnsi" w:hAnsiTheme="minorHAnsi" w:cstheme="minorHAnsi"/>
          <w:sz w:val="22"/>
          <w:szCs w:val="22"/>
        </w:rPr>
      </w:pPr>
      <w:r w:rsidRPr="00FB2B78">
        <w:rPr>
          <w:rFonts w:asciiTheme="minorHAnsi" w:hAnsiTheme="minorHAnsi" w:cstheme="minorHAnsi"/>
          <w:sz w:val="22"/>
          <w:szCs w:val="22"/>
        </w:rPr>
        <w:t xml:space="preserve">For further information on the development of the </w:t>
      </w:r>
      <w:r w:rsidRPr="00FB2B78">
        <w:rPr>
          <w:rStyle w:val="eop"/>
          <w:rFonts w:asciiTheme="minorHAnsi" w:hAnsiTheme="minorHAnsi" w:cstheme="minorHAnsi"/>
          <w:sz w:val="22"/>
          <w:szCs w:val="22"/>
        </w:rPr>
        <w:t xml:space="preserve">Industry Guide to Voluntary Serving Size Reduction </w:t>
      </w:r>
      <w:r w:rsidRPr="00FB2B78">
        <w:rPr>
          <w:rFonts w:asciiTheme="minorHAnsi" w:hAnsiTheme="minorHAnsi" w:cstheme="minorHAnsi"/>
          <w:sz w:val="22"/>
          <w:szCs w:val="22"/>
        </w:rPr>
        <w:t xml:space="preserve">and the rationale for reducing serving sizes, see </w:t>
      </w:r>
      <w:hyperlink r:id="rId10" w:history="1">
        <w:r w:rsidRPr="00FB2B78">
          <w:rPr>
            <w:rStyle w:val="Hyperlink"/>
            <w:rFonts w:asciiTheme="minorHAnsi" w:hAnsiTheme="minorHAnsi" w:cstheme="minorHAnsi"/>
            <w:i/>
            <w:iCs/>
            <w:sz w:val="22"/>
            <w:szCs w:val="22"/>
          </w:rPr>
          <w:t>Industry Guide to Voluntary Serving Size Reduction</w:t>
        </w:r>
        <w:r w:rsidRPr="00FB2B78">
          <w:rPr>
            <w:rStyle w:val="Hyperlink"/>
            <w:rFonts w:asciiTheme="minorHAnsi" w:hAnsiTheme="minorHAnsi" w:cstheme="minorHAnsi"/>
            <w:sz w:val="22"/>
            <w:szCs w:val="22"/>
          </w:rPr>
          <w:t>: Rationale</w:t>
        </w:r>
      </w:hyperlink>
      <w:r w:rsidR="00373186" w:rsidRPr="00FB2B78">
        <w:rPr>
          <w:rStyle w:val="Hyperlink"/>
          <w:rFonts w:asciiTheme="minorHAnsi" w:hAnsiTheme="minorHAnsi" w:cstheme="minorHAnsi"/>
          <w:sz w:val="22"/>
          <w:szCs w:val="22"/>
        </w:rPr>
        <w:t>.</w:t>
      </w:r>
    </w:p>
    <w:p w14:paraId="614B2669" w14:textId="1B0D6E54" w:rsidR="00373186" w:rsidRPr="00FB2B78" w:rsidRDefault="00373186">
      <w:pPr>
        <w:spacing w:before="0" w:line="240" w:lineRule="auto"/>
        <w:rPr>
          <w:rStyle w:val="Hyperlink"/>
          <w:rFonts w:asciiTheme="minorHAnsi" w:hAnsiTheme="minorHAnsi" w:cstheme="minorHAnsi"/>
          <w:sz w:val="22"/>
          <w:szCs w:val="22"/>
        </w:rPr>
      </w:pPr>
      <w:r w:rsidRPr="00FB2B78">
        <w:rPr>
          <w:rStyle w:val="Hyperlink"/>
          <w:rFonts w:asciiTheme="minorHAnsi" w:hAnsiTheme="minorHAnsi" w:cstheme="minorHAnsi"/>
          <w:sz w:val="22"/>
          <w:szCs w:val="22"/>
        </w:rPr>
        <w:br w:type="page"/>
      </w:r>
    </w:p>
    <w:p w14:paraId="3B99847B" w14:textId="77777777" w:rsidR="002C2087" w:rsidRPr="00FB2B78" w:rsidRDefault="002C2087" w:rsidP="002C2087">
      <w:pPr>
        <w:pStyle w:val="Heading1"/>
        <w:spacing w:after="0"/>
      </w:pPr>
      <w:bookmarkStart w:id="18" w:name="_Appendix_1:_Distribution"/>
      <w:bookmarkEnd w:id="18"/>
      <w:r w:rsidRPr="00FB2B78">
        <w:lastRenderedPageBreak/>
        <w:t>Appendix 1: Distribution</w:t>
      </w:r>
    </w:p>
    <w:p w14:paraId="0B7C2FB7" w14:textId="77777777" w:rsidR="002C2087" w:rsidRPr="00FB2B78" w:rsidRDefault="002C2087" w:rsidP="002C2087">
      <w:pPr>
        <w:pStyle w:val="Heading3"/>
        <w:spacing w:before="160"/>
        <w:rPr>
          <w:rFonts w:asciiTheme="minorHAnsi" w:hAnsiTheme="minorHAnsi" w:cstheme="minorHAnsi"/>
          <w:lang w:eastAsia="en-AU"/>
        </w:rPr>
      </w:pPr>
      <w:r w:rsidRPr="00FB2B78">
        <w:rPr>
          <w:rFonts w:asciiTheme="minorHAnsi" w:hAnsiTheme="minorHAnsi" w:cstheme="minorHAnsi"/>
          <w:lang w:eastAsia="en-AU"/>
        </w:rPr>
        <w:t>Websites</w:t>
      </w:r>
    </w:p>
    <w:p w14:paraId="363F2878" w14:textId="77777777" w:rsidR="002C2087" w:rsidRPr="00FB2B78" w:rsidRDefault="002C2087" w:rsidP="002C2087">
      <w:pPr>
        <w:pStyle w:val="ListParagraph"/>
        <w:numPr>
          <w:ilvl w:val="0"/>
          <w:numId w:val="31"/>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 xml:space="preserve">The Department of Health and Aged Care’s website for the Healthy Food Partnership </w:t>
      </w:r>
    </w:p>
    <w:p w14:paraId="300044C8" w14:textId="77777777" w:rsidR="002C2087" w:rsidRPr="00FB2B78" w:rsidRDefault="00000000" w:rsidP="002C2087">
      <w:pPr>
        <w:pStyle w:val="ListParagraph"/>
        <w:numPr>
          <w:ilvl w:val="0"/>
          <w:numId w:val="31"/>
        </w:numPr>
        <w:spacing w:before="0" w:line="259" w:lineRule="auto"/>
        <w:rPr>
          <w:rFonts w:asciiTheme="minorHAnsi" w:hAnsiTheme="minorHAnsi" w:cstheme="minorHAnsi"/>
          <w:sz w:val="22"/>
          <w:lang w:val="en-US" w:eastAsia="en-AU"/>
        </w:rPr>
      </w:pPr>
      <w:hyperlink r:id="rId11" w:history="1">
        <w:r w:rsidR="002C2087" w:rsidRPr="00FB2B78">
          <w:rPr>
            <w:rStyle w:val="Hyperlink"/>
            <w:rFonts w:asciiTheme="minorHAnsi" w:hAnsiTheme="minorHAnsi" w:cstheme="minorHAnsi"/>
            <w:sz w:val="22"/>
            <w:lang w:val="en-US" w:eastAsia="en-AU"/>
          </w:rPr>
          <w:t>https://www.health.gov.au/our-work/healthy-food-partnership/industry-guide-to-voluntary-serving-size-reduction</w:t>
        </w:r>
      </w:hyperlink>
      <w:r w:rsidR="002C2087" w:rsidRPr="00FB2B78">
        <w:rPr>
          <w:rFonts w:asciiTheme="minorHAnsi" w:hAnsiTheme="minorHAnsi" w:cstheme="minorHAnsi"/>
          <w:sz w:val="22"/>
          <w:lang w:val="en-US" w:eastAsia="en-AU"/>
        </w:rPr>
        <w:t xml:space="preserve"> </w:t>
      </w:r>
    </w:p>
    <w:p w14:paraId="155B878C" w14:textId="77777777" w:rsidR="002C2087" w:rsidRPr="00FB2B78" w:rsidRDefault="002C2087" w:rsidP="002C2087">
      <w:pPr>
        <w:pStyle w:val="Heading3"/>
        <w:spacing w:before="160"/>
        <w:rPr>
          <w:rFonts w:asciiTheme="minorHAnsi" w:hAnsiTheme="minorHAnsi" w:cstheme="minorHAnsi"/>
          <w:lang w:eastAsia="en-AU"/>
        </w:rPr>
      </w:pPr>
      <w:r w:rsidRPr="00FB2B78">
        <w:rPr>
          <w:rFonts w:asciiTheme="minorHAnsi" w:hAnsiTheme="minorHAnsi" w:cstheme="minorHAnsi"/>
          <w:lang w:eastAsia="en-AU"/>
        </w:rPr>
        <w:t>Healthy Food Partnership email distribution lists</w:t>
      </w:r>
    </w:p>
    <w:p w14:paraId="736BC5FF" w14:textId="77777777" w:rsidR="002C2087" w:rsidRPr="00FB2B78" w:rsidRDefault="002C2087" w:rsidP="002C2087">
      <w:pPr>
        <w:pStyle w:val="ListParagraph"/>
        <w:numPr>
          <w:ilvl w:val="0"/>
          <w:numId w:val="28"/>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Healthy Food Partnership Executive Committee</w:t>
      </w:r>
    </w:p>
    <w:p w14:paraId="0897B410" w14:textId="77777777" w:rsidR="002C2087" w:rsidRPr="00FB2B78" w:rsidRDefault="002C2087" w:rsidP="002C2087">
      <w:pPr>
        <w:pStyle w:val="ListParagraph"/>
        <w:numPr>
          <w:ilvl w:val="0"/>
          <w:numId w:val="28"/>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Healthy Food Partnership Community of Interest</w:t>
      </w:r>
    </w:p>
    <w:p w14:paraId="3EE376FF" w14:textId="77777777" w:rsidR="002C2087" w:rsidRPr="00FB2B78" w:rsidRDefault="002C2087" w:rsidP="002C2087">
      <w:pPr>
        <w:pStyle w:val="ListParagraph"/>
        <w:numPr>
          <w:ilvl w:val="0"/>
          <w:numId w:val="28"/>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Healthy Food Partnership Industry Best Practice Guide Working Group</w:t>
      </w:r>
    </w:p>
    <w:p w14:paraId="3758DC6B" w14:textId="77777777" w:rsidR="002C2087" w:rsidRPr="00FB2B78" w:rsidRDefault="002C2087" w:rsidP="002C2087">
      <w:pPr>
        <w:pStyle w:val="Heading3"/>
        <w:spacing w:before="160"/>
        <w:rPr>
          <w:rFonts w:asciiTheme="minorHAnsi" w:hAnsiTheme="minorHAnsi" w:cstheme="minorHAnsi"/>
          <w:lang w:eastAsia="en-AU"/>
        </w:rPr>
      </w:pPr>
      <w:r w:rsidRPr="00FB2B78">
        <w:rPr>
          <w:rFonts w:asciiTheme="minorHAnsi" w:hAnsiTheme="minorHAnsi" w:cstheme="minorHAnsi"/>
          <w:lang w:eastAsia="en-AU"/>
        </w:rPr>
        <w:t>Stakeholder networks and peak bodies</w:t>
      </w:r>
    </w:p>
    <w:p w14:paraId="670CCF28" w14:textId="77777777" w:rsidR="002C2087" w:rsidRPr="00FB2B78" w:rsidRDefault="002C2087" w:rsidP="002C2087">
      <w:pPr>
        <w:pStyle w:val="ListParagraph"/>
        <w:numPr>
          <w:ilvl w:val="0"/>
          <w:numId w:val="29"/>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 xml:space="preserve">Australian Food and Grocery Council </w:t>
      </w:r>
    </w:p>
    <w:p w14:paraId="71742D03" w14:textId="77777777" w:rsidR="002C2087" w:rsidRPr="00FB2B78" w:rsidRDefault="002C2087" w:rsidP="002C2087">
      <w:pPr>
        <w:pStyle w:val="ListParagraph"/>
        <w:numPr>
          <w:ilvl w:val="0"/>
          <w:numId w:val="29"/>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Restaurant and Catering Industry Association</w:t>
      </w:r>
    </w:p>
    <w:p w14:paraId="10EFB31F" w14:textId="77777777" w:rsidR="002C2087" w:rsidRPr="00FB2B78" w:rsidRDefault="002C2087" w:rsidP="002C2087">
      <w:pPr>
        <w:pStyle w:val="ListParagraph"/>
        <w:numPr>
          <w:ilvl w:val="0"/>
          <w:numId w:val="29"/>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Ai Group</w:t>
      </w:r>
    </w:p>
    <w:p w14:paraId="56B75672" w14:textId="77777777" w:rsidR="002C2087" w:rsidRPr="00FB2B78" w:rsidRDefault="002C2087" w:rsidP="002C2087">
      <w:pPr>
        <w:pStyle w:val="ListParagraph"/>
        <w:numPr>
          <w:ilvl w:val="0"/>
          <w:numId w:val="29"/>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 xml:space="preserve">Australian Beverages Council </w:t>
      </w:r>
    </w:p>
    <w:p w14:paraId="527C375E" w14:textId="77777777" w:rsidR="002C2087" w:rsidRPr="00FB2B78" w:rsidRDefault="002C2087" w:rsidP="002C2087">
      <w:pPr>
        <w:pStyle w:val="ListParagraph"/>
        <w:numPr>
          <w:ilvl w:val="0"/>
          <w:numId w:val="29"/>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Dairy Australia</w:t>
      </w:r>
    </w:p>
    <w:p w14:paraId="0264F6D5" w14:textId="77777777" w:rsidR="002C2087" w:rsidRPr="00FB2B78" w:rsidRDefault="002C2087" w:rsidP="002C2087">
      <w:pPr>
        <w:pStyle w:val="Heading3"/>
        <w:spacing w:before="160"/>
        <w:rPr>
          <w:rFonts w:asciiTheme="minorHAnsi" w:hAnsiTheme="minorHAnsi" w:cstheme="minorHAnsi"/>
          <w:lang w:eastAsia="en-AU"/>
        </w:rPr>
      </w:pPr>
      <w:r w:rsidRPr="00FB2B78">
        <w:rPr>
          <w:rFonts w:asciiTheme="minorHAnsi" w:hAnsiTheme="minorHAnsi" w:cstheme="minorHAnsi"/>
          <w:lang w:eastAsia="en-AU"/>
        </w:rPr>
        <w:t xml:space="preserve">Special interest groups </w:t>
      </w:r>
    </w:p>
    <w:p w14:paraId="765DE925" w14:textId="77777777" w:rsidR="002C2087" w:rsidRPr="00FB2B78" w:rsidRDefault="002C2087" w:rsidP="002C2087">
      <w:pPr>
        <w:pStyle w:val="ListParagraph"/>
        <w:numPr>
          <w:ilvl w:val="0"/>
          <w:numId w:val="30"/>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Food Industry Nutritionists Group (FING)</w:t>
      </w:r>
    </w:p>
    <w:p w14:paraId="0BC63140" w14:textId="77777777" w:rsidR="002C2087" w:rsidRPr="00FB2B78" w:rsidRDefault="002C2087" w:rsidP="002C2087">
      <w:pPr>
        <w:pStyle w:val="ListParagraph"/>
        <w:numPr>
          <w:ilvl w:val="0"/>
          <w:numId w:val="30"/>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Relevant Dietitians Australia interest groups</w:t>
      </w:r>
    </w:p>
    <w:p w14:paraId="4D5C1195" w14:textId="77777777" w:rsidR="002C2087" w:rsidRPr="00FB2B78" w:rsidRDefault="002C2087" w:rsidP="002C2087">
      <w:pPr>
        <w:pStyle w:val="ListParagraph"/>
        <w:numPr>
          <w:ilvl w:val="0"/>
          <w:numId w:val="30"/>
        </w:numPr>
        <w:spacing w:before="120" w:line="259" w:lineRule="auto"/>
        <w:rPr>
          <w:rFonts w:asciiTheme="minorHAnsi" w:hAnsiTheme="minorHAnsi" w:cstheme="minorHAnsi"/>
          <w:sz w:val="22"/>
          <w:lang w:val="en-US" w:eastAsia="en-AU"/>
        </w:rPr>
      </w:pPr>
      <w:r w:rsidRPr="00FB2B78">
        <w:rPr>
          <w:rFonts w:asciiTheme="minorHAnsi" w:hAnsiTheme="minorHAnsi" w:cstheme="minorHAnsi"/>
          <w:sz w:val="22"/>
          <w:lang w:val="en-US" w:eastAsia="en-AU"/>
        </w:rPr>
        <w:t>Relevant conferences and trade shows</w:t>
      </w:r>
    </w:p>
    <w:p w14:paraId="601B56D8" w14:textId="77777777" w:rsidR="002C2087" w:rsidRPr="00FB2B78" w:rsidRDefault="002C2087" w:rsidP="002C2087">
      <w:pPr>
        <w:pStyle w:val="Heading3"/>
        <w:rPr>
          <w:rFonts w:asciiTheme="minorHAnsi" w:hAnsiTheme="minorHAnsi" w:cstheme="minorHAnsi"/>
          <w:lang w:eastAsia="en-AU"/>
        </w:rPr>
      </w:pPr>
      <w:r w:rsidRPr="00FB2B78">
        <w:rPr>
          <w:rFonts w:asciiTheme="minorHAnsi" w:hAnsiTheme="minorHAnsi" w:cstheme="minorHAnsi"/>
          <w:lang w:eastAsia="en-AU"/>
        </w:rPr>
        <w:t>Examples of companies with products in relevant categories (not an exhaustive list)</w:t>
      </w:r>
    </w:p>
    <w:tbl>
      <w:tblPr>
        <w:tblStyle w:val="TableGrid"/>
        <w:tblW w:w="9927" w:type="dxa"/>
        <w:tblLook w:val="04A0" w:firstRow="1" w:lastRow="0" w:firstColumn="1" w:lastColumn="0" w:noHBand="0" w:noVBand="1"/>
      </w:tblPr>
      <w:tblGrid>
        <w:gridCol w:w="4837"/>
        <w:gridCol w:w="5090"/>
      </w:tblGrid>
      <w:tr w:rsidR="002C2087" w:rsidRPr="00FB2B78" w14:paraId="7ACA874A" w14:textId="77777777" w:rsidTr="00CB6E0D">
        <w:trPr>
          <w:trHeight w:val="252"/>
        </w:trPr>
        <w:tc>
          <w:tcPr>
            <w:tcW w:w="0" w:type="auto"/>
            <w:hideMark/>
          </w:tcPr>
          <w:p w14:paraId="13DF94E2" w14:textId="77777777" w:rsidR="002C2087" w:rsidRPr="00FB2B78" w:rsidRDefault="002C2087" w:rsidP="00CB6E0D">
            <w:pPr>
              <w:spacing w:before="0" w:line="240" w:lineRule="auto"/>
              <w:jc w:val="center"/>
              <w:textAlignment w:val="baseline"/>
              <w:rPr>
                <w:rFonts w:ascii="Calibri" w:hAnsi="Calibri" w:cs="Calibri"/>
                <w:sz w:val="12"/>
                <w:szCs w:val="12"/>
                <w:lang w:eastAsia="en-AU"/>
              </w:rPr>
            </w:pPr>
            <w:r w:rsidRPr="00FB2B78">
              <w:rPr>
                <w:rFonts w:ascii="Calibri" w:hAnsi="Calibri" w:cs="Calibri"/>
                <w:b/>
                <w:bCs/>
                <w:sz w:val="22"/>
                <w:lang w:eastAsia="en-AU"/>
              </w:rPr>
              <w:t xml:space="preserve">Manufacturers </w:t>
            </w:r>
          </w:p>
        </w:tc>
        <w:tc>
          <w:tcPr>
            <w:tcW w:w="0" w:type="auto"/>
            <w:hideMark/>
          </w:tcPr>
          <w:p w14:paraId="035F519C" w14:textId="77777777" w:rsidR="002C2087" w:rsidRPr="00FB2B78" w:rsidRDefault="002C2087" w:rsidP="00CB6E0D">
            <w:pPr>
              <w:spacing w:before="0" w:line="240" w:lineRule="auto"/>
              <w:jc w:val="center"/>
              <w:textAlignment w:val="baseline"/>
              <w:rPr>
                <w:rFonts w:ascii="Calibri" w:hAnsi="Calibri" w:cs="Calibri"/>
                <w:sz w:val="12"/>
                <w:szCs w:val="12"/>
                <w:lang w:eastAsia="en-AU"/>
              </w:rPr>
            </w:pPr>
            <w:r w:rsidRPr="00FB2B78">
              <w:rPr>
                <w:rFonts w:ascii="Calibri" w:hAnsi="Calibri" w:cs="Calibri"/>
                <w:b/>
                <w:bCs/>
                <w:sz w:val="22"/>
                <w:lang w:eastAsia="en-AU"/>
              </w:rPr>
              <w:t>Out-of-home sector </w:t>
            </w:r>
          </w:p>
        </w:tc>
      </w:tr>
      <w:tr w:rsidR="002C2087" w:rsidRPr="00FB2B78" w14:paraId="39CB21F8" w14:textId="77777777" w:rsidTr="00CB6E0D">
        <w:trPr>
          <w:trHeight w:val="239"/>
        </w:trPr>
        <w:tc>
          <w:tcPr>
            <w:tcW w:w="0" w:type="auto"/>
          </w:tcPr>
          <w:p w14:paraId="46B515DF"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Woolworths </w:t>
            </w:r>
          </w:p>
        </w:tc>
        <w:tc>
          <w:tcPr>
            <w:tcW w:w="0" w:type="auto"/>
            <w:hideMark/>
          </w:tcPr>
          <w:p w14:paraId="2C14ECBF"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McDonalds </w:t>
            </w:r>
          </w:p>
        </w:tc>
      </w:tr>
      <w:tr w:rsidR="002C2087" w:rsidRPr="00FB2B78" w14:paraId="7FEC119E" w14:textId="77777777" w:rsidTr="00CB6E0D">
        <w:trPr>
          <w:trHeight w:val="252"/>
        </w:trPr>
        <w:tc>
          <w:tcPr>
            <w:tcW w:w="0" w:type="auto"/>
          </w:tcPr>
          <w:p w14:paraId="40E304FB"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ALDI </w:t>
            </w:r>
          </w:p>
        </w:tc>
        <w:tc>
          <w:tcPr>
            <w:tcW w:w="0" w:type="auto"/>
          </w:tcPr>
          <w:p w14:paraId="6042DB83"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Yum! Restaurants (KFC) </w:t>
            </w:r>
          </w:p>
        </w:tc>
      </w:tr>
      <w:tr w:rsidR="002C2087" w:rsidRPr="00FB2B78" w14:paraId="3B3D32F5" w14:textId="77777777" w:rsidTr="00CB6E0D">
        <w:trPr>
          <w:trHeight w:val="239"/>
        </w:trPr>
        <w:tc>
          <w:tcPr>
            <w:tcW w:w="0" w:type="auto"/>
          </w:tcPr>
          <w:p w14:paraId="1E6CE338"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Metcash </w:t>
            </w:r>
          </w:p>
        </w:tc>
        <w:tc>
          <w:tcPr>
            <w:tcW w:w="0" w:type="auto"/>
          </w:tcPr>
          <w:p w14:paraId="5255A8E5"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Hungry Jacks </w:t>
            </w:r>
          </w:p>
        </w:tc>
      </w:tr>
      <w:tr w:rsidR="002C2087" w:rsidRPr="00FB2B78" w14:paraId="3A892A8E" w14:textId="77777777" w:rsidTr="00CB6E0D">
        <w:trPr>
          <w:trHeight w:val="252"/>
        </w:trPr>
        <w:tc>
          <w:tcPr>
            <w:tcW w:w="0" w:type="auto"/>
            <w:hideMark/>
          </w:tcPr>
          <w:p w14:paraId="35D8ABB5"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Coles </w:t>
            </w:r>
          </w:p>
        </w:tc>
        <w:tc>
          <w:tcPr>
            <w:tcW w:w="0" w:type="auto"/>
          </w:tcPr>
          <w:p w14:paraId="54401C43"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Pizza Hut </w:t>
            </w:r>
          </w:p>
        </w:tc>
      </w:tr>
      <w:tr w:rsidR="002C2087" w:rsidRPr="00FB2B78" w14:paraId="1656C3E0" w14:textId="77777777" w:rsidTr="00CB6E0D">
        <w:trPr>
          <w:trHeight w:val="239"/>
        </w:trPr>
        <w:tc>
          <w:tcPr>
            <w:tcW w:w="0" w:type="auto"/>
          </w:tcPr>
          <w:p w14:paraId="3B3258DC"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Nestle </w:t>
            </w:r>
          </w:p>
        </w:tc>
        <w:tc>
          <w:tcPr>
            <w:tcW w:w="0" w:type="auto"/>
          </w:tcPr>
          <w:p w14:paraId="1587D082"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Dominos </w:t>
            </w:r>
          </w:p>
        </w:tc>
      </w:tr>
      <w:tr w:rsidR="002C2087" w:rsidRPr="00FB2B78" w14:paraId="0CC9331C" w14:textId="77777777" w:rsidTr="00CB6E0D">
        <w:trPr>
          <w:trHeight w:val="252"/>
        </w:trPr>
        <w:tc>
          <w:tcPr>
            <w:tcW w:w="0" w:type="auto"/>
          </w:tcPr>
          <w:p w14:paraId="19A52824"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Mars Food </w:t>
            </w:r>
          </w:p>
        </w:tc>
        <w:tc>
          <w:tcPr>
            <w:tcW w:w="0" w:type="auto"/>
          </w:tcPr>
          <w:p w14:paraId="7001B6A8"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Subway </w:t>
            </w:r>
          </w:p>
        </w:tc>
      </w:tr>
      <w:tr w:rsidR="002C2087" w:rsidRPr="00FB2B78" w14:paraId="73A01C5E" w14:textId="77777777" w:rsidTr="00CB6E0D">
        <w:trPr>
          <w:trHeight w:val="252"/>
        </w:trPr>
        <w:tc>
          <w:tcPr>
            <w:tcW w:w="0" w:type="auto"/>
          </w:tcPr>
          <w:p w14:paraId="1DBA7830"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PepsiCo </w:t>
            </w:r>
          </w:p>
        </w:tc>
        <w:tc>
          <w:tcPr>
            <w:tcW w:w="0" w:type="auto"/>
          </w:tcPr>
          <w:p w14:paraId="15A19A10"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Red Rooster </w:t>
            </w:r>
          </w:p>
        </w:tc>
      </w:tr>
      <w:tr w:rsidR="002C2087" w:rsidRPr="00FB2B78" w14:paraId="571A7204" w14:textId="77777777" w:rsidTr="00CB6E0D">
        <w:trPr>
          <w:trHeight w:val="239"/>
        </w:trPr>
        <w:tc>
          <w:tcPr>
            <w:tcW w:w="0" w:type="auto"/>
          </w:tcPr>
          <w:p w14:paraId="606D4A11"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Coca Cola Amatil </w:t>
            </w:r>
          </w:p>
        </w:tc>
        <w:tc>
          <w:tcPr>
            <w:tcW w:w="0" w:type="auto"/>
          </w:tcPr>
          <w:p w14:paraId="5BBF5B32" w14:textId="77777777" w:rsidR="002C2087" w:rsidRPr="00FB2B78" w:rsidRDefault="002C2087" w:rsidP="00CB6E0D">
            <w:pPr>
              <w:spacing w:before="0" w:line="240" w:lineRule="auto"/>
              <w:textAlignment w:val="baseline"/>
              <w:rPr>
                <w:rFonts w:ascii="Calibri" w:hAnsi="Calibri" w:cs="Calibri"/>
                <w:sz w:val="12"/>
                <w:szCs w:val="12"/>
                <w:lang w:eastAsia="en-AU"/>
              </w:rPr>
            </w:pPr>
            <w:proofErr w:type="spellStart"/>
            <w:r w:rsidRPr="00FB2B78">
              <w:rPr>
                <w:rFonts w:ascii="Calibri" w:hAnsi="Calibri" w:cs="Calibri"/>
                <w:sz w:val="22"/>
                <w:lang w:eastAsia="en-AU"/>
              </w:rPr>
              <w:t>Nandos</w:t>
            </w:r>
            <w:proofErr w:type="spellEnd"/>
            <w:r w:rsidRPr="00FB2B78">
              <w:rPr>
                <w:rFonts w:ascii="Calibri" w:hAnsi="Calibri" w:cs="Calibri"/>
                <w:sz w:val="22"/>
                <w:lang w:eastAsia="en-AU"/>
              </w:rPr>
              <w:t> </w:t>
            </w:r>
          </w:p>
        </w:tc>
      </w:tr>
      <w:tr w:rsidR="002C2087" w:rsidRPr="00FB2B78" w14:paraId="00CF146E" w14:textId="77777777" w:rsidTr="00CB6E0D">
        <w:trPr>
          <w:trHeight w:val="252"/>
        </w:trPr>
        <w:tc>
          <w:tcPr>
            <w:tcW w:w="0" w:type="auto"/>
          </w:tcPr>
          <w:p w14:paraId="2C94F007"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Fonterra </w:t>
            </w:r>
          </w:p>
        </w:tc>
        <w:tc>
          <w:tcPr>
            <w:tcW w:w="0" w:type="auto"/>
          </w:tcPr>
          <w:p w14:paraId="68C8F796" w14:textId="77777777" w:rsidR="002C2087" w:rsidRPr="00FB2B78" w:rsidRDefault="002C2087" w:rsidP="00CB6E0D">
            <w:pPr>
              <w:spacing w:before="0" w:line="240" w:lineRule="auto"/>
              <w:textAlignment w:val="baseline"/>
              <w:rPr>
                <w:rFonts w:ascii="Calibri" w:hAnsi="Calibri" w:cs="Calibri"/>
                <w:sz w:val="12"/>
                <w:szCs w:val="12"/>
                <w:lang w:eastAsia="en-AU"/>
              </w:rPr>
            </w:pPr>
            <w:proofErr w:type="spellStart"/>
            <w:r w:rsidRPr="00FB2B78">
              <w:rPr>
                <w:rFonts w:ascii="Calibri" w:hAnsi="Calibri" w:cs="Calibri"/>
                <w:sz w:val="22"/>
                <w:lang w:eastAsia="en-AU"/>
              </w:rPr>
              <w:t>Zambrero</w:t>
            </w:r>
            <w:proofErr w:type="spellEnd"/>
            <w:r w:rsidRPr="00FB2B78">
              <w:rPr>
                <w:rFonts w:ascii="Calibri" w:hAnsi="Calibri" w:cs="Calibri"/>
                <w:sz w:val="22"/>
                <w:lang w:eastAsia="en-AU"/>
              </w:rPr>
              <w:t> </w:t>
            </w:r>
          </w:p>
        </w:tc>
      </w:tr>
      <w:tr w:rsidR="002C2087" w:rsidRPr="00FB2B78" w14:paraId="1D87498D" w14:textId="77777777" w:rsidTr="00CB6E0D">
        <w:trPr>
          <w:trHeight w:val="239"/>
        </w:trPr>
        <w:tc>
          <w:tcPr>
            <w:tcW w:w="0" w:type="auto"/>
          </w:tcPr>
          <w:p w14:paraId="234F78C2"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Unilever </w:t>
            </w:r>
          </w:p>
        </w:tc>
        <w:tc>
          <w:tcPr>
            <w:tcW w:w="0" w:type="auto"/>
          </w:tcPr>
          <w:p w14:paraId="3AD8782E"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Oporto </w:t>
            </w:r>
          </w:p>
        </w:tc>
      </w:tr>
      <w:tr w:rsidR="002C2087" w:rsidRPr="00FB2B78" w14:paraId="644B843A" w14:textId="77777777" w:rsidTr="00CB6E0D">
        <w:trPr>
          <w:trHeight w:val="252"/>
        </w:trPr>
        <w:tc>
          <w:tcPr>
            <w:tcW w:w="0" w:type="auto"/>
          </w:tcPr>
          <w:p w14:paraId="6A1D774B"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Murray Goulbourn </w:t>
            </w:r>
          </w:p>
        </w:tc>
        <w:tc>
          <w:tcPr>
            <w:tcW w:w="0" w:type="auto"/>
          </w:tcPr>
          <w:p w14:paraId="0776669F"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Michel’s Patisserie </w:t>
            </w:r>
          </w:p>
        </w:tc>
      </w:tr>
      <w:tr w:rsidR="002C2087" w:rsidRPr="00FB2B78" w14:paraId="48DAAFC3" w14:textId="77777777" w:rsidTr="00CB6E0D">
        <w:trPr>
          <w:trHeight w:val="239"/>
        </w:trPr>
        <w:tc>
          <w:tcPr>
            <w:tcW w:w="0" w:type="auto"/>
          </w:tcPr>
          <w:p w14:paraId="401C9430"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Bega </w:t>
            </w:r>
          </w:p>
        </w:tc>
        <w:tc>
          <w:tcPr>
            <w:tcW w:w="0" w:type="auto"/>
          </w:tcPr>
          <w:p w14:paraId="236DDD97"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Coffee club </w:t>
            </w:r>
          </w:p>
        </w:tc>
      </w:tr>
      <w:tr w:rsidR="002C2087" w:rsidRPr="00FB2B78" w14:paraId="61C0C824" w14:textId="77777777" w:rsidTr="00CB6E0D">
        <w:trPr>
          <w:trHeight w:val="252"/>
        </w:trPr>
        <w:tc>
          <w:tcPr>
            <w:tcW w:w="0" w:type="auto"/>
          </w:tcPr>
          <w:p w14:paraId="0895B7BE"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George Weston Foods </w:t>
            </w:r>
          </w:p>
        </w:tc>
        <w:tc>
          <w:tcPr>
            <w:tcW w:w="0" w:type="auto"/>
          </w:tcPr>
          <w:p w14:paraId="72B696B6"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Pie Face </w:t>
            </w:r>
          </w:p>
        </w:tc>
      </w:tr>
      <w:tr w:rsidR="002C2087" w:rsidRPr="00FB2B78" w14:paraId="04A7EF54" w14:textId="77777777" w:rsidTr="00CB6E0D">
        <w:trPr>
          <w:trHeight w:val="252"/>
        </w:trPr>
        <w:tc>
          <w:tcPr>
            <w:tcW w:w="0" w:type="auto"/>
          </w:tcPr>
          <w:p w14:paraId="3BCAE904"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Goodman Fielder </w:t>
            </w:r>
          </w:p>
        </w:tc>
        <w:tc>
          <w:tcPr>
            <w:tcW w:w="0" w:type="auto"/>
          </w:tcPr>
          <w:p w14:paraId="725A136B" w14:textId="77777777" w:rsidR="002C2087" w:rsidRPr="00FB2B78" w:rsidRDefault="002C2087" w:rsidP="00CB6E0D">
            <w:pPr>
              <w:spacing w:before="0" w:line="240" w:lineRule="auto"/>
              <w:textAlignment w:val="baseline"/>
              <w:rPr>
                <w:rFonts w:ascii="Calibri" w:hAnsi="Calibri" w:cs="Calibri"/>
                <w:sz w:val="12"/>
                <w:szCs w:val="12"/>
                <w:lang w:eastAsia="en-AU"/>
              </w:rPr>
            </w:pPr>
            <w:proofErr w:type="spellStart"/>
            <w:r w:rsidRPr="00FB2B78">
              <w:rPr>
                <w:rFonts w:ascii="Calibri" w:hAnsi="Calibri" w:cs="Calibri"/>
                <w:sz w:val="22"/>
                <w:lang w:eastAsia="en-AU"/>
              </w:rPr>
              <w:t>Grill’d</w:t>
            </w:r>
            <w:proofErr w:type="spellEnd"/>
            <w:r w:rsidRPr="00FB2B78">
              <w:rPr>
                <w:rFonts w:ascii="Calibri" w:hAnsi="Calibri" w:cs="Calibri"/>
                <w:sz w:val="22"/>
                <w:lang w:eastAsia="en-AU"/>
              </w:rPr>
              <w:t> </w:t>
            </w:r>
          </w:p>
        </w:tc>
      </w:tr>
      <w:tr w:rsidR="002C2087" w:rsidRPr="00FB2B78" w14:paraId="31F80BD6" w14:textId="77777777" w:rsidTr="00CB6E0D">
        <w:trPr>
          <w:trHeight w:val="239"/>
        </w:trPr>
        <w:tc>
          <w:tcPr>
            <w:tcW w:w="0" w:type="auto"/>
          </w:tcPr>
          <w:p w14:paraId="39951BF1"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Lactalis </w:t>
            </w:r>
          </w:p>
        </w:tc>
        <w:tc>
          <w:tcPr>
            <w:tcW w:w="0" w:type="auto"/>
          </w:tcPr>
          <w:p w14:paraId="285DCFC2"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Bakers Delight </w:t>
            </w:r>
          </w:p>
        </w:tc>
      </w:tr>
      <w:tr w:rsidR="002C2087" w:rsidRPr="00FB2B78" w14:paraId="6ABEAB76" w14:textId="77777777" w:rsidTr="00CB6E0D">
        <w:trPr>
          <w:trHeight w:val="252"/>
        </w:trPr>
        <w:tc>
          <w:tcPr>
            <w:tcW w:w="0" w:type="auto"/>
          </w:tcPr>
          <w:p w14:paraId="13EAD9BA"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McCain Foods </w:t>
            </w:r>
          </w:p>
        </w:tc>
        <w:tc>
          <w:tcPr>
            <w:tcW w:w="0" w:type="auto"/>
          </w:tcPr>
          <w:p w14:paraId="33AF64E6"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Doughnut King </w:t>
            </w:r>
          </w:p>
        </w:tc>
      </w:tr>
      <w:tr w:rsidR="002C2087" w:rsidRPr="00FB2B78" w14:paraId="7681BEFE" w14:textId="77777777" w:rsidTr="00CB6E0D">
        <w:trPr>
          <w:trHeight w:val="239"/>
        </w:trPr>
        <w:tc>
          <w:tcPr>
            <w:tcW w:w="0" w:type="auto"/>
          </w:tcPr>
          <w:p w14:paraId="2FC4BAE4"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Patties </w:t>
            </w:r>
          </w:p>
        </w:tc>
        <w:tc>
          <w:tcPr>
            <w:tcW w:w="0" w:type="auto"/>
          </w:tcPr>
          <w:p w14:paraId="29427B52"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Wendy’s </w:t>
            </w:r>
          </w:p>
        </w:tc>
      </w:tr>
      <w:tr w:rsidR="002C2087" w:rsidRPr="00FB2B78" w14:paraId="59DD0B9E" w14:textId="77777777" w:rsidTr="00CB6E0D">
        <w:trPr>
          <w:trHeight w:val="252"/>
        </w:trPr>
        <w:tc>
          <w:tcPr>
            <w:tcW w:w="0" w:type="auto"/>
          </w:tcPr>
          <w:p w14:paraId="6A891E0B"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Mondelez </w:t>
            </w:r>
          </w:p>
        </w:tc>
        <w:tc>
          <w:tcPr>
            <w:tcW w:w="0" w:type="auto"/>
          </w:tcPr>
          <w:p w14:paraId="29526AEF" w14:textId="77777777" w:rsidR="002C2087" w:rsidRPr="00FB2B78" w:rsidRDefault="002C2087" w:rsidP="00CB6E0D">
            <w:pPr>
              <w:spacing w:before="0" w:line="240" w:lineRule="auto"/>
              <w:textAlignment w:val="baseline"/>
              <w:rPr>
                <w:rFonts w:ascii="Calibri" w:hAnsi="Calibri" w:cs="Calibri"/>
                <w:sz w:val="12"/>
                <w:szCs w:val="12"/>
                <w:lang w:eastAsia="en-AU"/>
              </w:rPr>
            </w:pPr>
            <w:r w:rsidRPr="00FB2B78">
              <w:rPr>
                <w:rFonts w:ascii="Calibri" w:hAnsi="Calibri" w:cs="Calibri"/>
                <w:sz w:val="22"/>
                <w:lang w:eastAsia="en-AU"/>
              </w:rPr>
              <w:t>Ben and Jerry’s</w:t>
            </w:r>
          </w:p>
        </w:tc>
      </w:tr>
      <w:tr w:rsidR="002C2087" w:rsidRPr="00FB2B78" w14:paraId="7C0BC17F" w14:textId="77777777" w:rsidTr="00CB6E0D">
        <w:trPr>
          <w:trHeight w:val="252"/>
        </w:trPr>
        <w:tc>
          <w:tcPr>
            <w:tcW w:w="0" w:type="auto"/>
          </w:tcPr>
          <w:p w14:paraId="1013A077" w14:textId="77777777" w:rsidR="002C2087" w:rsidRPr="00FB2B78" w:rsidRDefault="002C2087" w:rsidP="00CB6E0D">
            <w:pPr>
              <w:spacing w:before="0" w:line="240" w:lineRule="auto"/>
              <w:textAlignment w:val="baseline"/>
              <w:rPr>
                <w:rFonts w:ascii="Calibri" w:hAnsi="Calibri" w:cs="Calibri"/>
                <w:sz w:val="22"/>
                <w:lang w:eastAsia="en-AU"/>
              </w:rPr>
            </w:pPr>
            <w:r w:rsidRPr="00FB2B78">
              <w:rPr>
                <w:rFonts w:ascii="Calibri" w:hAnsi="Calibri" w:cs="Calibri"/>
                <w:sz w:val="22"/>
                <w:lang w:eastAsia="en-AU"/>
              </w:rPr>
              <w:t>Inghams</w:t>
            </w:r>
          </w:p>
        </w:tc>
        <w:tc>
          <w:tcPr>
            <w:tcW w:w="0" w:type="auto"/>
          </w:tcPr>
          <w:p w14:paraId="5BFFB691" w14:textId="77777777" w:rsidR="002C2087" w:rsidRPr="00FB2B78" w:rsidRDefault="002C2087" w:rsidP="00CB6E0D">
            <w:pPr>
              <w:spacing w:before="0" w:line="240" w:lineRule="auto"/>
              <w:textAlignment w:val="baseline"/>
              <w:rPr>
                <w:rFonts w:ascii="Calibri" w:hAnsi="Calibri" w:cs="Calibri"/>
                <w:sz w:val="22"/>
                <w:lang w:eastAsia="en-AU"/>
              </w:rPr>
            </w:pPr>
            <w:r w:rsidRPr="00FB2B78">
              <w:rPr>
                <w:rFonts w:ascii="Calibri" w:hAnsi="Calibri" w:cs="Calibri"/>
                <w:sz w:val="22"/>
                <w:lang w:eastAsia="en-AU"/>
              </w:rPr>
              <w:t>Spotless</w:t>
            </w:r>
          </w:p>
        </w:tc>
      </w:tr>
      <w:tr w:rsidR="002C2087" w:rsidRPr="00FB2B78" w14:paraId="4C4F4079" w14:textId="77777777" w:rsidTr="00CB6E0D">
        <w:trPr>
          <w:trHeight w:val="252"/>
        </w:trPr>
        <w:tc>
          <w:tcPr>
            <w:tcW w:w="0" w:type="auto"/>
          </w:tcPr>
          <w:p w14:paraId="6A0B29C2" w14:textId="77777777" w:rsidR="002C2087" w:rsidRPr="00FB2B78" w:rsidRDefault="002C2087" w:rsidP="00CB6E0D">
            <w:pPr>
              <w:spacing w:before="0" w:line="240" w:lineRule="auto"/>
              <w:textAlignment w:val="baseline"/>
              <w:rPr>
                <w:rFonts w:ascii="Calibri" w:hAnsi="Calibri" w:cs="Calibri"/>
                <w:sz w:val="22"/>
                <w:lang w:eastAsia="en-AU"/>
              </w:rPr>
            </w:pPr>
            <w:r w:rsidRPr="00FB2B78">
              <w:rPr>
                <w:rFonts w:ascii="Calibri" w:hAnsi="Calibri" w:cs="Calibri"/>
                <w:sz w:val="22"/>
                <w:lang w:eastAsia="en-AU"/>
              </w:rPr>
              <w:t>Mrs Mac’s</w:t>
            </w:r>
          </w:p>
        </w:tc>
        <w:tc>
          <w:tcPr>
            <w:tcW w:w="0" w:type="auto"/>
          </w:tcPr>
          <w:p w14:paraId="494DE4CC" w14:textId="77777777" w:rsidR="002C2087" w:rsidRPr="00FB2B78" w:rsidRDefault="002C2087" w:rsidP="00CB6E0D">
            <w:pPr>
              <w:spacing w:before="0" w:line="240" w:lineRule="auto"/>
              <w:textAlignment w:val="baseline"/>
              <w:rPr>
                <w:rFonts w:ascii="Calibri" w:hAnsi="Calibri" w:cs="Calibri"/>
                <w:sz w:val="22"/>
                <w:lang w:eastAsia="en-AU"/>
              </w:rPr>
            </w:pPr>
            <w:r w:rsidRPr="00FB2B78">
              <w:rPr>
                <w:rFonts w:ascii="Calibri" w:hAnsi="Calibri" w:cs="Calibri"/>
                <w:sz w:val="22"/>
                <w:lang w:eastAsia="en-AU"/>
              </w:rPr>
              <w:t xml:space="preserve">Sodexo </w:t>
            </w:r>
          </w:p>
        </w:tc>
      </w:tr>
      <w:tr w:rsidR="002C2087" w:rsidRPr="00FB2B78" w14:paraId="6E0E84C3" w14:textId="77777777" w:rsidTr="00CB6E0D">
        <w:trPr>
          <w:trHeight w:val="252"/>
        </w:trPr>
        <w:tc>
          <w:tcPr>
            <w:tcW w:w="0" w:type="auto"/>
          </w:tcPr>
          <w:p w14:paraId="17693E0C" w14:textId="77777777" w:rsidR="002C2087" w:rsidRPr="00FB2B78" w:rsidRDefault="002C2087" w:rsidP="00CB6E0D">
            <w:pPr>
              <w:spacing w:before="0" w:line="240" w:lineRule="auto"/>
              <w:textAlignment w:val="baseline"/>
              <w:rPr>
                <w:rFonts w:ascii="Calibri" w:hAnsi="Calibri" w:cs="Calibri"/>
                <w:sz w:val="22"/>
                <w:lang w:eastAsia="en-AU"/>
              </w:rPr>
            </w:pPr>
          </w:p>
        </w:tc>
        <w:tc>
          <w:tcPr>
            <w:tcW w:w="0" w:type="auto"/>
          </w:tcPr>
          <w:p w14:paraId="3B7E0EE7" w14:textId="77777777" w:rsidR="002C2087" w:rsidRPr="00FB2B78" w:rsidRDefault="002C2087" w:rsidP="00CB6E0D">
            <w:pPr>
              <w:spacing w:before="0" w:line="240" w:lineRule="auto"/>
              <w:textAlignment w:val="baseline"/>
              <w:rPr>
                <w:rFonts w:ascii="Calibri" w:hAnsi="Calibri" w:cs="Calibri"/>
                <w:sz w:val="22"/>
                <w:lang w:eastAsia="en-AU"/>
              </w:rPr>
            </w:pPr>
            <w:r w:rsidRPr="00FB2B78">
              <w:rPr>
                <w:rFonts w:ascii="Calibri" w:hAnsi="Calibri" w:cs="Calibri"/>
                <w:sz w:val="22"/>
                <w:lang w:eastAsia="en-AU"/>
              </w:rPr>
              <w:t>Muffin Break</w:t>
            </w:r>
          </w:p>
        </w:tc>
      </w:tr>
    </w:tbl>
    <w:p w14:paraId="34ABA07B" w14:textId="447A61E5" w:rsidR="00373186" w:rsidRPr="00FB2B78" w:rsidRDefault="00373186" w:rsidP="002C2087">
      <w:pPr>
        <w:rPr>
          <w:lang w:val="en-US" w:eastAsia="en-AU"/>
        </w:rPr>
      </w:pPr>
    </w:p>
    <w:p w14:paraId="260A5740" w14:textId="6EEF15F6" w:rsidR="00737B40" w:rsidRPr="00FB2B78" w:rsidRDefault="00737B40" w:rsidP="00737B40">
      <w:pPr>
        <w:pStyle w:val="Heading1"/>
        <w:spacing w:after="0"/>
      </w:pPr>
      <w:r w:rsidRPr="00FB2B78">
        <w:lastRenderedPageBreak/>
        <w:t xml:space="preserve">Appendix 2: Sign up </w:t>
      </w:r>
      <w:proofErr w:type="gramStart"/>
      <w:r w:rsidRPr="00FB2B78">
        <w:t>form</w:t>
      </w:r>
      <w:proofErr w:type="gramEnd"/>
    </w:p>
    <w:p w14:paraId="4D6CEF33" w14:textId="77777777" w:rsidR="00737B40" w:rsidRPr="00FB2B78" w:rsidRDefault="00737B40" w:rsidP="00737B40">
      <w:pPr>
        <w:rPr>
          <w:lang w:val="en-US" w:eastAsia="en-AU"/>
        </w:rPr>
      </w:pPr>
      <w:r w:rsidRPr="00FB2B78">
        <w:rPr>
          <w:noProof/>
          <w:lang w:eastAsia="en-AU"/>
        </w:rPr>
        <w:drawing>
          <wp:anchor distT="0" distB="0" distL="114300" distR="114300" simplePos="0" relativeHeight="251668480" behindDoc="0" locked="0" layoutInCell="1" allowOverlap="1" wp14:anchorId="2FF08DA6" wp14:editId="3B61B480">
            <wp:simplePos x="0" y="0"/>
            <wp:positionH relativeFrom="margin">
              <wp:posOffset>4231318</wp:posOffset>
            </wp:positionH>
            <wp:positionV relativeFrom="paragraph">
              <wp:posOffset>644484</wp:posOffset>
            </wp:positionV>
            <wp:extent cx="1933575" cy="601366"/>
            <wp:effectExtent l="0" t="0" r="0" b="8255"/>
            <wp:wrapNone/>
            <wp:docPr id="2" name="Picture 2" descr="Healthy food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lthy food partnership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3575" cy="601366"/>
                    </a:xfrm>
                    <a:prstGeom prst="rect">
                      <a:avLst/>
                    </a:prstGeom>
                  </pic:spPr>
                </pic:pic>
              </a:graphicData>
            </a:graphic>
            <wp14:sizeRelH relativeFrom="page">
              <wp14:pctWidth>0</wp14:pctWidth>
            </wp14:sizeRelH>
            <wp14:sizeRelV relativeFrom="page">
              <wp14:pctHeight>0</wp14:pctHeight>
            </wp14:sizeRelV>
          </wp:anchor>
        </w:drawing>
      </w:r>
      <w:r w:rsidRPr="00FB2B78">
        <w:rPr>
          <w:noProof/>
          <w:lang w:val="en-US" w:eastAsia="en-AU"/>
        </w:rPr>
        <w:drawing>
          <wp:inline distT="0" distB="0" distL="0" distR="0" wp14:anchorId="7CB18E45" wp14:editId="64E9EF07">
            <wp:extent cx="2536190" cy="1249680"/>
            <wp:effectExtent l="0" t="0" r="0" b="7620"/>
            <wp:docPr id="4" name="Picture 4" descr="Australian Government 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Department of Health and Aged Care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6190" cy="1249680"/>
                    </a:xfrm>
                    <a:prstGeom prst="rect">
                      <a:avLst/>
                    </a:prstGeom>
                    <a:noFill/>
                  </pic:spPr>
                </pic:pic>
              </a:graphicData>
            </a:graphic>
          </wp:inline>
        </w:drawing>
      </w:r>
    </w:p>
    <w:p w14:paraId="672151D0" w14:textId="77777777" w:rsidR="00737B40" w:rsidRPr="00FB2B78" w:rsidRDefault="00737B40" w:rsidP="00737B40">
      <w:r w:rsidRPr="00FB2B78">
        <w:tab/>
        <w:t xml:space="preserve">                   </w:t>
      </w:r>
    </w:p>
    <w:p w14:paraId="044C940C" w14:textId="77777777" w:rsidR="00737B40" w:rsidRPr="00FB2B78" w:rsidRDefault="00737B40" w:rsidP="00737B40">
      <w:pPr>
        <w:rPr>
          <w:lang w:val="en-US" w:eastAsia="en-AU"/>
        </w:rPr>
      </w:pPr>
    </w:p>
    <w:p w14:paraId="08D85107" w14:textId="19D86519" w:rsidR="00737B40" w:rsidRPr="00FB2B78" w:rsidRDefault="00737B40" w:rsidP="00737B40">
      <w:pPr>
        <w:rPr>
          <w:color w:val="007A33"/>
          <w:sz w:val="36"/>
          <w:szCs w:val="36"/>
        </w:rPr>
      </w:pPr>
      <w:bookmarkStart w:id="19" w:name="_Hlk173144693"/>
      <w:r w:rsidRPr="00FB2B78">
        <w:rPr>
          <w:color w:val="007A33"/>
          <w:sz w:val="36"/>
          <w:szCs w:val="36"/>
        </w:rPr>
        <w:t>Healthy Food Partnership Guide to Voluntary Serving Size Reduction: Sign-up Form</w:t>
      </w:r>
    </w:p>
    <w:p w14:paraId="6DA923A6" w14:textId="77777777" w:rsidR="00737B40" w:rsidRPr="00FB2B78" w:rsidRDefault="00737B40" w:rsidP="00737B40">
      <w:pPr>
        <w:rPr>
          <w:rFonts w:asciiTheme="minorHAnsi" w:hAnsiTheme="minorHAnsi" w:cstheme="minorHAnsi"/>
          <w:sz w:val="22"/>
          <w:szCs w:val="21"/>
        </w:rPr>
      </w:pPr>
    </w:p>
    <w:p w14:paraId="0CC99AA8" w14:textId="77777777" w:rsidR="00737B40" w:rsidRPr="00FB2B78" w:rsidRDefault="00737B40" w:rsidP="00737B40">
      <w:pPr>
        <w:rPr>
          <w:rFonts w:asciiTheme="minorHAnsi" w:hAnsiTheme="minorHAnsi" w:cstheme="minorHAnsi"/>
          <w:sz w:val="22"/>
          <w:szCs w:val="21"/>
        </w:rPr>
      </w:pPr>
      <w:r w:rsidRPr="00FB2B78">
        <w:rPr>
          <w:rFonts w:asciiTheme="minorHAnsi" w:hAnsiTheme="minorHAnsi" w:cstheme="minorHAnsi"/>
          <w:sz w:val="22"/>
          <w:szCs w:val="21"/>
        </w:rPr>
        <w:t>Company name ________________________________</w:t>
      </w:r>
    </w:p>
    <w:p w14:paraId="2D3EE28B" w14:textId="77777777" w:rsidR="00737B40" w:rsidRPr="00FB2B78" w:rsidRDefault="00737B40" w:rsidP="00737B40">
      <w:pPr>
        <w:rPr>
          <w:rFonts w:asciiTheme="minorHAnsi" w:hAnsiTheme="minorHAnsi" w:cstheme="minorHAnsi"/>
          <w:sz w:val="22"/>
          <w:szCs w:val="21"/>
        </w:rPr>
      </w:pPr>
      <w:r w:rsidRPr="00FB2B78">
        <w:rPr>
          <w:rFonts w:asciiTheme="minorHAnsi" w:hAnsiTheme="minorHAnsi" w:cstheme="minorHAnsi"/>
          <w:sz w:val="22"/>
          <w:szCs w:val="21"/>
        </w:rPr>
        <w:t>Represented by ________________________________</w:t>
      </w:r>
    </w:p>
    <w:p w14:paraId="6085BB39" w14:textId="661E89F2" w:rsidR="00737B40" w:rsidRPr="00FB2B78" w:rsidRDefault="00737B40" w:rsidP="00737B40">
      <w:pPr>
        <w:rPr>
          <w:rFonts w:asciiTheme="minorHAnsi" w:hAnsiTheme="minorHAnsi" w:cstheme="minorHAnsi"/>
          <w:sz w:val="22"/>
          <w:szCs w:val="21"/>
        </w:rPr>
      </w:pPr>
      <w:r w:rsidRPr="00FB2B78">
        <w:rPr>
          <w:rFonts w:asciiTheme="minorHAnsi" w:hAnsiTheme="minorHAnsi" w:cstheme="minorHAnsi"/>
          <w:sz w:val="22"/>
          <w:szCs w:val="21"/>
        </w:rPr>
        <w:t>This form is to confirm that_______________________________</w:t>
      </w:r>
      <w:r w:rsidRPr="00FB2B78">
        <w:rPr>
          <w:rFonts w:asciiTheme="minorHAnsi" w:hAnsiTheme="minorHAnsi" w:cstheme="minorHAnsi"/>
          <w:i/>
          <w:iCs/>
          <w:sz w:val="22"/>
          <w:szCs w:val="21"/>
        </w:rPr>
        <w:t xml:space="preserve"> </w:t>
      </w:r>
      <w:r w:rsidRPr="00FB2B78">
        <w:rPr>
          <w:rFonts w:asciiTheme="minorHAnsi" w:hAnsiTheme="minorHAnsi" w:cstheme="minorHAnsi"/>
          <w:sz w:val="22"/>
          <w:szCs w:val="21"/>
        </w:rPr>
        <w:t xml:space="preserve">is committed to the recommendations in the Healthy Food Partnership Guide to Voluntary Serving Size Reduction (the Guide). </w:t>
      </w:r>
    </w:p>
    <w:p w14:paraId="056C538D" w14:textId="77777777" w:rsidR="00737B40" w:rsidRPr="00FB2B78" w:rsidRDefault="00737B40" w:rsidP="00737B40">
      <w:pPr>
        <w:pStyle w:val="paragraph"/>
        <w:spacing w:before="0" w:beforeAutospacing="0" w:after="0" w:afterAutospacing="0"/>
        <w:textAlignment w:val="baseline"/>
        <w:rPr>
          <w:rFonts w:asciiTheme="minorHAnsi" w:hAnsiTheme="minorHAnsi" w:cstheme="minorHAnsi"/>
          <w:sz w:val="22"/>
          <w:szCs w:val="21"/>
        </w:rPr>
      </w:pPr>
    </w:p>
    <w:p w14:paraId="27CDF388" w14:textId="4E29C166" w:rsidR="00737B40" w:rsidRPr="00FB2B78" w:rsidRDefault="00737B40" w:rsidP="00737B40">
      <w:pPr>
        <w:pStyle w:val="paragraph"/>
        <w:spacing w:before="0" w:beforeAutospacing="0" w:after="0" w:afterAutospacing="0"/>
        <w:textAlignment w:val="baseline"/>
        <w:rPr>
          <w:rStyle w:val="normaltextrun"/>
          <w:rFonts w:ascii="Segoe UI" w:eastAsia="MS Gothic" w:hAnsi="Segoe UI" w:cs="Segoe UI"/>
        </w:rPr>
      </w:pPr>
      <w:r w:rsidRPr="00FB2B78">
        <w:rPr>
          <w:rFonts w:asciiTheme="minorHAnsi" w:hAnsiTheme="minorHAnsi" w:cstheme="minorHAnsi"/>
          <w:sz w:val="22"/>
          <w:szCs w:val="21"/>
        </w:rPr>
        <w:t xml:space="preserve">By committing to the </w:t>
      </w:r>
      <w:proofErr w:type="gramStart"/>
      <w:r w:rsidRPr="00FB2B78">
        <w:rPr>
          <w:rFonts w:asciiTheme="minorHAnsi" w:hAnsiTheme="minorHAnsi" w:cstheme="minorHAnsi"/>
          <w:sz w:val="22"/>
          <w:szCs w:val="21"/>
        </w:rPr>
        <w:t xml:space="preserve">Guide  </w:t>
      </w:r>
      <w:r w:rsidRPr="00FB2B78">
        <w:rPr>
          <w:rFonts w:asciiTheme="minorHAnsi" w:hAnsiTheme="minorHAnsi" w:cstheme="minorHAnsi"/>
          <w:i/>
          <w:iCs/>
          <w:sz w:val="22"/>
          <w:szCs w:val="21"/>
        </w:rPr>
        <w:softHyphen/>
      </w:r>
      <w:proofErr w:type="gramEnd"/>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i/>
          <w:iCs/>
          <w:sz w:val="22"/>
          <w:szCs w:val="21"/>
        </w:rPr>
        <w:softHyphen/>
      </w:r>
      <w:r w:rsidRPr="00FB2B78">
        <w:rPr>
          <w:rFonts w:asciiTheme="minorHAnsi" w:hAnsiTheme="minorHAnsi" w:cstheme="minorHAnsi"/>
          <w:sz w:val="22"/>
          <w:szCs w:val="21"/>
        </w:rPr>
        <w:t>_</w:t>
      </w:r>
      <w:r w:rsidRPr="00FB2B78">
        <w:rPr>
          <w:rFonts w:asciiTheme="minorHAnsi" w:hAnsiTheme="minorHAnsi" w:cstheme="minorHAnsi"/>
          <w:i/>
          <w:iCs/>
          <w:sz w:val="22"/>
          <w:szCs w:val="21"/>
        </w:rPr>
        <w:t>(Company name)</w:t>
      </w:r>
      <w:r w:rsidRPr="00FB2B78">
        <w:rPr>
          <w:rFonts w:asciiTheme="minorHAnsi" w:hAnsiTheme="minorHAnsi" w:cstheme="minorHAnsi"/>
          <w:sz w:val="22"/>
          <w:szCs w:val="21"/>
        </w:rPr>
        <w:t>_ is committing to:</w:t>
      </w:r>
    </w:p>
    <w:p w14:paraId="230481CC" w14:textId="252B92E1" w:rsidR="00737B40" w:rsidRPr="00FB2B78" w:rsidRDefault="00737B40" w:rsidP="00737B40">
      <w:pPr>
        <w:pStyle w:val="paragraph"/>
        <w:numPr>
          <w:ilvl w:val="0"/>
          <w:numId w:val="32"/>
        </w:numPr>
        <w:spacing w:before="0" w:beforeAutospacing="0" w:after="0" w:afterAutospacing="0"/>
        <w:textAlignment w:val="baseline"/>
        <w:rPr>
          <w:rStyle w:val="normaltextrun"/>
          <w:rFonts w:asciiTheme="minorHAnsi" w:eastAsia="MS Gothic" w:hAnsiTheme="minorHAnsi" w:cstheme="minorHAnsi"/>
          <w:sz w:val="22"/>
          <w:szCs w:val="22"/>
        </w:rPr>
      </w:pPr>
      <w:r w:rsidRPr="00FB2B78">
        <w:rPr>
          <w:rStyle w:val="normaltextrun"/>
          <w:rFonts w:asciiTheme="minorHAnsi" w:eastAsia="MS Gothic" w:hAnsiTheme="minorHAnsi" w:cstheme="minorHAnsi"/>
          <w:sz w:val="22"/>
          <w:szCs w:val="22"/>
        </w:rPr>
        <w:t>The recommended serving sizes outlines in the Guide; and</w:t>
      </w:r>
    </w:p>
    <w:p w14:paraId="7EF43D55" w14:textId="2D20E72E" w:rsidR="00737B40" w:rsidRPr="00FB2B78" w:rsidRDefault="00737B40" w:rsidP="00737B40">
      <w:pPr>
        <w:pStyle w:val="paragraph"/>
        <w:numPr>
          <w:ilvl w:val="0"/>
          <w:numId w:val="32"/>
        </w:numPr>
        <w:spacing w:before="0" w:beforeAutospacing="0" w:after="0" w:afterAutospacing="0"/>
        <w:textAlignment w:val="baseline"/>
        <w:rPr>
          <w:rStyle w:val="normaltextrun"/>
          <w:rFonts w:asciiTheme="minorHAnsi" w:eastAsia="MS Gothic" w:hAnsiTheme="minorHAnsi" w:cstheme="minorHAnsi"/>
          <w:sz w:val="22"/>
          <w:szCs w:val="22"/>
        </w:rPr>
      </w:pPr>
      <w:r w:rsidRPr="00FB2B78">
        <w:rPr>
          <w:rStyle w:val="normaltextrun"/>
          <w:rFonts w:asciiTheme="minorHAnsi" w:eastAsia="MS Gothic" w:hAnsiTheme="minorHAnsi" w:cstheme="minorHAnsi"/>
          <w:sz w:val="22"/>
          <w:szCs w:val="22"/>
        </w:rPr>
        <w:t xml:space="preserve">submit a baseline report on the serving size their relevant products within 3 months of commitment, based on the sign-up </w:t>
      </w:r>
      <w:proofErr w:type="gramStart"/>
      <w:r w:rsidRPr="00FB2B78">
        <w:rPr>
          <w:rStyle w:val="normaltextrun"/>
          <w:rFonts w:asciiTheme="minorHAnsi" w:eastAsia="MS Gothic" w:hAnsiTheme="minorHAnsi" w:cstheme="minorHAnsi"/>
          <w:sz w:val="22"/>
          <w:szCs w:val="22"/>
        </w:rPr>
        <w:t>time period</w:t>
      </w:r>
      <w:proofErr w:type="gramEnd"/>
      <w:r w:rsidRPr="00FB2B78">
        <w:rPr>
          <w:rStyle w:val="normaltextrun"/>
          <w:rFonts w:asciiTheme="minorHAnsi" w:eastAsia="MS Gothic" w:hAnsiTheme="minorHAnsi" w:cstheme="minorHAnsi"/>
          <w:sz w:val="22"/>
          <w:szCs w:val="22"/>
        </w:rPr>
        <w:t>; and</w:t>
      </w:r>
    </w:p>
    <w:p w14:paraId="7AE1D7FE" w14:textId="5EFA5629" w:rsidR="00737B40" w:rsidRPr="00FB2B78" w:rsidRDefault="00737B40" w:rsidP="00737B40">
      <w:pPr>
        <w:pStyle w:val="paragraph"/>
        <w:numPr>
          <w:ilvl w:val="0"/>
          <w:numId w:val="32"/>
        </w:numPr>
        <w:spacing w:before="0" w:beforeAutospacing="0" w:after="0" w:afterAutospacing="0"/>
        <w:textAlignment w:val="baseline"/>
        <w:rPr>
          <w:rStyle w:val="normaltextrun"/>
          <w:rFonts w:asciiTheme="minorHAnsi" w:eastAsia="MS Gothic" w:hAnsiTheme="minorHAnsi" w:cstheme="minorHAnsi"/>
          <w:sz w:val="22"/>
          <w:szCs w:val="22"/>
        </w:rPr>
      </w:pPr>
      <w:r w:rsidRPr="00FB2B78">
        <w:rPr>
          <w:rStyle w:val="normaltextrun"/>
          <w:rFonts w:asciiTheme="minorHAnsi" w:eastAsia="MS Gothic" w:hAnsiTheme="minorHAnsi" w:cstheme="minorHAnsi"/>
          <w:sz w:val="22"/>
          <w:szCs w:val="22"/>
        </w:rPr>
        <w:t xml:space="preserve">submit </w:t>
      </w:r>
      <w:r w:rsidR="000848ED" w:rsidRPr="00FB2B78">
        <w:rPr>
          <w:rStyle w:val="normaltextrun"/>
          <w:rFonts w:asciiTheme="minorHAnsi" w:eastAsia="MS Gothic" w:hAnsiTheme="minorHAnsi" w:cstheme="minorHAnsi"/>
          <w:sz w:val="22"/>
          <w:szCs w:val="22"/>
        </w:rPr>
        <w:t>2-yearly</w:t>
      </w:r>
      <w:r w:rsidRPr="00FB2B78">
        <w:rPr>
          <w:rStyle w:val="normaltextrun"/>
          <w:rFonts w:asciiTheme="minorHAnsi" w:eastAsia="MS Gothic" w:hAnsiTheme="minorHAnsi" w:cstheme="minorHAnsi"/>
          <w:sz w:val="22"/>
          <w:szCs w:val="22"/>
        </w:rPr>
        <w:t xml:space="preserve"> reports, using the </w:t>
      </w:r>
      <w:r w:rsidRPr="00FB2B78">
        <w:rPr>
          <w:rStyle w:val="normaltextrun"/>
          <w:rFonts w:asciiTheme="minorHAnsi" w:eastAsia="MS Gothic" w:hAnsiTheme="minorHAnsi" w:cstheme="minorHAnsi"/>
          <w:i/>
          <w:iCs/>
          <w:sz w:val="22"/>
          <w:szCs w:val="22"/>
        </w:rPr>
        <w:t>Healthy Food Partnership Guide to Serving Size Reduction: Reporting and Monitoring Template</w:t>
      </w:r>
    </w:p>
    <w:p w14:paraId="5C643096" w14:textId="14D28F67" w:rsidR="00737B40" w:rsidRPr="00FB2B78" w:rsidRDefault="00737B40" w:rsidP="00737B40">
      <w:pPr>
        <w:rPr>
          <w:rFonts w:asciiTheme="minorHAnsi" w:hAnsiTheme="minorHAnsi" w:cstheme="minorHAnsi"/>
          <w:sz w:val="22"/>
          <w:lang w:val="en-US" w:eastAsia="en-AU"/>
        </w:rPr>
      </w:pPr>
      <w:r w:rsidRPr="00FB2B78">
        <w:rPr>
          <w:rFonts w:asciiTheme="minorHAnsi" w:hAnsiTheme="minorHAnsi" w:cstheme="minorHAnsi"/>
          <w:sz w:val="22"/>
          <w:lang w:val="en-US" w:eastAsia="en-AU"/>
        </w:rPr>
        <w:t xml:space="preserve">By committing to the recommendations in the Guide, you are showing your intent to work towards reducing the serving sizes for existing products as far as practicable. You are also </w:t>
      </w:r>
      <w:proofErr w:type="spellStart"/>
      <w:r w:rsidRPr="00FB2B78">
        <w:rPr>
          <w:rFonts w:asciiTheme="minorHAnsi" w:hAnsiTheme="minorHAnsi" w:cstheme="minorHAnsi"/>
          <w:sz w:val="22"/>
          <w:lang w:val="en-US" w:eastAsia="en-AU"/>
        </w:rPr>
        <w:t>commiting</w:t>
      </w:r>
      <w:proofErr w:type="spellEnd"/>
      <w:r w:rsidRPr="00FB2B78">
        <w:rPr>
          <w:rFonts w:asciiTheme="minorHAnsi" w:hAnsiTheme="minorHAnsi" w:cstheme="minorHAnsi"/>
          <w:sz w:val="22"/>
          <w:lang w:val="en-US" w:eastAsia="en-AU"/>
        </w:rPr>
        <w:t xml:space="preserve"> to use the recommendations in the Guide to inform new product development.</w:t>
      </w:r>
    </w:p>
    <w:p w14:paraId="7349418A" w14:textId="3E37E7A3" w:rsidR="00737B40" w:rsidRPr="00FB2B78" w:rsidRDefault="00737B40" w:rsidP="00737B40">
      <w:pPr>
        <w:spacing w:line="240" w:lineRule="auto"/>
        <w:rPr>
          <w:rStyle w:val="normaltextrun"/>
          <w:rFonts w:asciiTheme="minorHAnsi" w:eastAsia="MS Gothic" w:hAnsiTheme="minorHAnsi" w:cstheme="minorHAnsi"/>
          <w:sz w:val="22"/>
          <w:szCs w:val="22"/>
        </w:rPr>
      </w:pPr>
      <w:r w:rsidRPr="00FB2B78">
        <w:rPr>
          <w:rFonts w:asciiTheme="minorHAnsi" w:hAnsiTheme="minorHAnsi" w:cstheme="minorHAnsi"/>
          <w:sz w:val="22"/>
          <w:lang w:val="en-US" w:eastAsia="en-AU"/>
        </w:rPr>
        <w:t xml:space="preserve">As this is a voluntary program, there are no penalties for not achieving the recommendations in the Guide and no reporting of individual companies’ achievements. </w:t>
      </w:r>
    </w:p>
    <w:p w14:paraId="2F07D0DD" w14:textId="77777777" w:rsidR="00737B40" w:rsidRPr="00FB2B78" w:rsidRDefault="00737B40" w:rsidP="00737B40">
      <w:pPr>
        <w:rPr>
          <w:rFonts w:asciiTheme="minorHAnsi" w:hAnsiTheme="minorHAnsi" w:cstheme="minorHAnsi"/>
          <w:sz w:val="22"/>
          <w:szCs w:val="21"/>
        </w:rPr>
      </w:pPr>
      <w:r w:rsidRPr="00FB2B78">
        <w:rPr>
          <w:rFonts w:asciiTheme="minorHAnsi" w:hAnsiTheme="minorHAnsi" w:cstheme="minorHAnsi"/>
          <w:sz w:val="22"/>
          <w:szCs w:val="21"/>
        </w:rPr>
        <w:t>Please note this form is an intention of commitment only and is not intended to be legally binding.</w:t>
      </w:r>
    </w:p>
    <w:p w14:paraId="59E485A6" w14:textId="77777777" w:rsidR="00737B40" w:rsidRPr="00FB2B78" w:rsidRDefault="00737B40" w:rsidP="00737B40">
      <w:pPr>
        <w:rPr>
          <w:rFonts w:asciiTheme="minorHAnsi" w:hAnsiTheme="minorHAnsi" w:cstheme="minorHAnsi"/>
          <w:sz w:val="22"/>
          <w:szCs w:val="21"/>
        </w:rPr>
      </w:pPr>
    </w:p>
    <w:p w14:paraId="2EE82991" w14:textId="77777777" w:rsidR="00737B40" w:rsidRPr="00FB2B78" w:rsidRDefault="00737B40" w:rsidP="00737B40">
      <w:pPr>
        <w:rPr>
          <w:rFonts w:asciiTheme="minorHAnsi" w:hAnsiTheme="minorHAnsi" w:cstheme="minorHAnsi"/>
          <w:sz w:val="22"/>
          <w:szCs w:val="21"/>
        </w:rPr>
      </w:pPr>
      <w:r w:rsidRPr="00FB2B78">
        <w:rPr>
          <w:rFonts w:asciiTheme="minorHAnsi" w:hAnsiTheme="minorHAnsi" w:cstheme="minorHAnsi"/>
          <w:sz w:val="22"/>
          <w:szCs w:val="21"/>
        </w:rPr>
        <w:t>Signature: __________________________</w:t>
      </w:r>
    </w:p>
    <w:p w14:paraId="1B8F679C" w14:textId="77777777" w:rsidR="00737B40" w:rsidRPr="00F27636" w:rsidRDefault="00737B40" w:rsidP="00737B40">
      <w:pPr>
        <w:rPr>
          <w:rFonts w:asciiTheme="minorHAnsi" w:hAnsiTheme="minorHAnsi" w:cstheme="minorHAnsi"/>
          <w:sz w:val="22"/>
          <w:szCs w:val="21"/>
        </w:rPr>
      </w:pPr>
      <w:r w:rsidRPr="00FB2B78">
        <w:rPr>
          <w:rFonts w:asciiTheme="minorHAnsi" w:hAnsiTheme="minorHAnsi" w:cstheme="minorHAnsi"/>
          <w:sz w:val="22"/>
          <w:szCs w:val="21"/>
        </w:rPr>
        <w:t>Date: ___________________</w:t>
      </w:r>
    </w:p>
    <w:p w14:paraId="67868D88" w14:textId="77777777" w:rsidR="00737B40" w:rsidRDefault="00737B40" w:rsidP="00737B40">
      <w:bookmarkStart w:id="20" w:name="_Appendix_2._Partnership"/>
      <w:bookmarkEnd w:id="19"/>
      <w:bookmarkEnd w:id="20"/>
    </w:p>
    <w:p w14:paraId="6AEE2777" w14:textId="77777777" w:rsidR="00737B40" w:rsidRPr="00373186" w:rsidRDefault="00737B40" w:rsidP="002C2087">
      <w:pPr>
        <w:rPr>
          <w:lang w:val="en-US" w:eastAsia="en-AU"/>
        </w:rPr>
      </w:pPr>
    </w:p>
    <w:sectPr w:rsidR="00737B40" w:rsidRPr="00373186" w:rsidSect="00CE5E55">
      <w:footerReference w:type="default" r:id="rId14"/>
      <w:footerReference w:type="first" r:id="rId15"/>
      <w:pgSz w:w="11900" w:h="16840"/>
      <w:pgMar w:top="1191" w:right="907" w:bottom="680" w:left="907" w:header="709" w:footer="85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1234" w14:textId="77777777" w:rsidR="001F601C" w:rsidRDefault="001F601C" w:rsidP="00F15E50">
      <w:pPr>
        <w:spacing w:before="0" w:line="240" w:lineRule="auto"/>
      </w:pPr>
      <w:r>
        <w:separator/>
      </w:r>
    </w:p>
  </w:endnote>
  <w:endnote w:type="continuationSeparator" w:id="0">
    <w:p w14:paraId="2FE2B93B" w14:textId="77777777" w:rsidR="001F601C" w:rsidRDefault="001F601C" w:rsidP="00F15E5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Arial"/>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325206"/>
      <w:docPartObj>
        <w:docPartGallery w:val="Page Numbers (Bottom of Page)"/>
        <w:docPartUnique/>
      </w:docPartObj>
    </w:sdtPr>
    <w:sdtEndPr>
      <w:rPr>
        <w:noProof/>
        <w:color w:val="auto"/>
      </w:rPr>
    </w:sdtEndPr>
    <w:sdtContent>
      <w:p w14:paraId="4BADEEAD" w14:textId="43EFEB67" w:rsidR="00CE5E55" w:rsidRPr="00CE5E55" w:rsidRDefault="00CE5E55">
        <w:pPr>
          <w:pStyle w:val="Footer"/>
          <w:jc w:val="right"/>
          <w:rPr>
            <w:color w:val="auto"/>
          </w:rPr>
        </w:pPr>
        <w:r w:rsidRPr="00CE5E55">
          <w:rPr>
            <w:color w:val="auto"/>
          </w:rPr>
          <w:fldChar w:fldCharType="begin"/>
        </w:r>
        <w:r w:rsidRPr="00CE5E55">
          <w:rPr>
            <w:color w:val="auto"/>
          </w:rPr>
          <w:instrText xml:space="preserve"> PAGE   \* MERGEFORMAT </w:instrText>
        </w:r>
        <w:r w:rsidRPr="00CE5E55">
          <w:rPr>
            <w:color w:val="auto"/>
          </w:rPr>
          <w:fldChar w:fldCharType="separate"/>
        </w:r>
        <w:r w:rsidR="000C269A">
          <w:rPr>
            <w:noProof/>
            <w:color w:val="auto"/>
          </w:rPr>
          <w:t>8</w:t>
        </w:r>
        <w:r w:rsidRPr="00CE5E55">
          <w:rPr>
            <w:noProof/>
            <w:color w:val="auto"/>
          </w:rPr>
          <w:fldChar w:fldCharType="end"/>
        </w:r>
      </w:p>
    </w:sdtContent>
  </w:sdt>
  <w:p w14:paraId="46BF26A0" w14:textId="77777777" w:rsidR="00CE5E55" w:rsidRDefault="00CE5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6AA4" w14:textId="5028F0E9" w:rsidR="00B56DBD" w:rsidRDefault="008F1F02" w:rsidP="006D1A93">
    <w:pPr>
      <w:pStyle w:val="Footer"/>
      <w:tabs>
        <w:tab w:val="clear" w:pos="4513"/>
        <w:tab w:val="left" w:pos="8505"/>
      </w:tabs>
    </w:pPr>
    <w:r>
      <w:rPr>
        <w:noProof/>
        <w:sz w:val="20"/>
        <w:szCs w:val="20"/>
      </w:rPr>
      <w:drawing>
        <wp:inline distT="0" distB="0" distL="0" distR="0" wp14:anchorId="4DAEF0E3" wp14:editId="2C51152D">
          <wp:extent cx="1505585" cy="469265"/>
          <wp:effectExtent l="0" t="0" r="0" b="6985"/>
          <wp:docPr id="1" name="Picture 1" descr="Healthy food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y food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469265"/>
                  </a:xfrm>
                  <a:prstGeom prst="rect">
                    <a:avLst/>
                  </a:prstGeom>
                  <a:noFill/>
                </pic:spPr>
              </pic:pic>
            </a:graphicData>
          </a:graphic>
        </wp:inline>
      </w:drawing>
    </w:r>
    <w:r w:rsidR="00B56DBD" w:rsidRPr="00B6633D">
      <w:rPr>
        <w:sz w:val="20"/>
        <w:szCs w:val="20"/>
      </w:rPr>
      <w:t>Healthy Food Partnership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0F40" w14:textId="77777777" w:rsidR="001F601C" w:rsidRDefault="001F601C" w:rsidP="00F15E50">
      <w:pPr>
        <w:spacing w:before="0" w:line="240" w:lineRule="auto"/>
      </w:pPr>
      <w:r>
        <w:separator/>
      </w:r>
    </w:p>
  </w:footnote>
  <w:footnote w:type="continuationSeparator" w:id="0">
    <w:p w14:paraId="6966E758" w14:textId="77777777" w:rsidR="001F601C" w:rsidRDefault="001F601C" w:rsidP="00F15E50">
      <w:pPr>
        <w:spacing w:before="0" w:line="240" w:lineRule="auto"/>
      </w:pPr>
      <w:r>
        <w:continuationSeparator/>
      </w:r>
    </w:p>
  </w:footnote>
  <w:footnote w:id="1">
    <w:p w14:paraId="3FAE4B38" w14:textId="47B85241" w:rsidR="006843B9" w:rsidRPr="006843B9" w:rsidRDefault="006843B9">
      <w:pPr>
        <w:pStyle w:val="FootnoteText"/>
        <w:rPr>
          <w:rFonts w:asciiTheme="minorHAnsi" w:hAnsiTheme="minorHAnsi" w:cstheme="minorHAnsi"/>
        </w:rPr>
      </w:pPr>
      <w:r w:rsidRPr="006843B9">
        <w:rPr>
          <w:rStyle w:val="FootnoteReference"/>
          <w:rFonts w:asciiTheme="minorHAnsi" w:hAnsiTheme="minorHAnsi" w:cstheme="minorHAnsi"/>
        </w:rPr>
        <w:footnoteRef/>
      </w:r>
      <w:r w:rsidRPr="006843B9">
        <w:rPr>
          <w:rFonts w:asciiTheme="minorHAnsi" w:hAnsiTheme="minorHAnsi" w:cstheme="minorHAnsi"/>
        </w:rPr>
        <w:t xml:space="preserve"> See </w:t>
      </w:r>
      <w:hyperlink r:id="rId1" w:history="1">
        <w:r w:rsidRPr="006843B9">
          <w:rPr>
            <w:rStyle w:val="Hyperlink"/>
            <w:rFonts w:asciiTheme="minorHAnsi" w:hAnsiTheme="minorHAnsi" w:cstheme="minorHAnsi"/>
            <w:i/>
            <w:iCs/>
          </w:rPr>
          <w:t>Industry Guide to Voluntary Serving Size Reduction</w:t>
        </w:r>
        <w:r w:rsidRPr="006843B9">
          <w:rPr>
            <w:rStyle w:val="Hyperlink"/>
            <w:rFonts w:asciiTheme="minorHAnsi" w:hAnsiTheme="minorHAnsi" w:cstheme="minorHAnsi"/>
          </w:rPr>
          <w:t>: Rationale</w:t>
        </w:r>
      </w:hyperlink>
      <w:r w:rsidRPr="006843B9">
        <w:rPr>
          <w:rStyle w:val="Hyperlink"/>
          <w:rFonts w:asciiTheme="minorHAnsi" w:hAnsiTheme="minorHAnsi" w:cstheme="minorHAnsi"/>
        </w:rPr>
        <w:t xml:space="preserve"> for details on the development of the guide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B7828B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87875E6"/>
    <w:lvl w:ilvl="0">
      <w:start w:val="1"/>
      <w:numFmt w:val="decimal"/>
      <w:lvlText w:val="%1."/>
      <w:lvlJc w:val="left"/>
      <w:pPr>
        <w:ind w:left="360" w:hanging="360"/>
      </w:pPr>
      <w:rPr>
        <w:rFonts w:hint="default"/>
        <w:color w:val="005B9B"/>
      </w:rPr>
    </w:lvl>
  </w:abstractNum>
  <w:abstractNum w:abstractNumId="2" w15:restartNumberingAfterBreak="0">
    <w:nsid w:val="FFFFFF89"/>
    <w:multiLevelType w:val="singleLevel"/>
    <w:tmpl w:val="A1C8EA72"/>
    <w:lvl w:ilvl="0">
      <w:start w:val="1"/>
      <w:numFmt w:val="bullet"/>
      <w:lvlText w:val=""/>
      <w:lvlJc w:val="left"/>
      <w:pPr>
        <w:ind w:left="360" w:hanging="360"/>
      </w:pPr>
      <w:rPr>
        <w:rFonts w:ascii="Symbol" w:hAnsi="Symbol" w:hint="default"/>
        <w:color w:val="005B9B"/>
      </w:rPr>
    </w:lvl>
  </w:abstractNum>
  <w:abstractNum w:abstractNumId="3" w15:restartNumberingAfterBreak="0">
    <w:nsid w:val="0F612D3C"/>
    <w:multiLevelType w:val="hybridMultilevel"/>
    <w:tmpl w:val="8AA43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A53BC9"/>
    <w:multiLevelType w:val="hybridMultilevel"/>
    <w:tmpl w:val="98DCA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11BDF"/>
    <w:multiLevelType w:val="hybridMultilevel"/>
    <w:tmpl w:val="17989B88"/>
    <w:lvl w:ilvl="0" w:tplc="2242A666">
      <w:start w:val="1"/>
      <w:numFmt w:val="bullet"/>
      <w:lvlText w:val=""/>
      <w:lvlJc w:val="left"/>
      <w:pPr>
        <w:ind w:left="720" w:hanging="360"/>
      </w:pPr>
      <w:rPr>
        <w:rFonts w:ascii="Symbol" w:hAnsi="Symbol" w:hint="default"/>
        <w:color w:val="70AD47"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45771B"/>
    <w:multiLevelType w:val="hybridMultilevel"/>
    <w:tmpl w:val="34D8A976"/>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15:restartNumberingAfterBreak="0">
    <w:nsid w:val="192A16D7"/>
    <w:multiLevelType w:val="multilevel"/>
    <w:tmpl w:val="857C8D78"/>
    <w:lvl w:ilvl="0">
      <w:start w:val="1"/>
      <w:numFmt w:val="bullet"/>
      <w:lvlText w:val=""/>
      <w:lvlJc w:val="left"/>
      <w:pPr>
        <w:ind w:left="284" w:hanging="284"/>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20023A"/>
    <w:multiLevelType w:val="hybridMultilevel"/>
    <w:tmpl w:val="2D101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2B4BC5"/>
    <w:multiLevelType w:val="hybridMultilevel"/>
    <w:tmpl w:val="10D28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E22427"/>
    <w:multiLevelType w:val="hybridMultilevel"/>
    <w:tmpl w:val="100AB886"/>
    <w:lvl w:ilvl="0" w:tplc="E25EB960">
      <w:start w:val="1"/>
      <w:numFmt w:val="bullet"/>
      <w:lvlText w:val=""/>
      <w:lvlJc w:val="left"/>
      <w:pPr>
        <w:ind w:left="360" w:hanging="360"/>
      </w:pPr>
      <w:rPr>
        <w:rFonts w:ascii="Symbol" w:hAnsi="Symbol" w:hint="default"/>
        <w:color w:val="007A3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B1D3A"/>
    <w:multiLevelType w:val="hybridMultilevel"/>
    <w:tmpl w:val="D29EA204"/>
    <w:lvl w:ilvl="0" w:tplc="FC363A52">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465181"/>
    <w:multiLevelType w:val="hybridMultilevel"/>
    <w:tmpl w:val="F80A451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7A4966"/>
    <w:multiLevelType w:val="hybridMultilevel"/>
    <w:tmpl w:val="02B8A0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64E01DF"/>
    <w:multiLevelType w:val="hybridMultilevel"/>
    <w:tmpl w:val="F04E7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72F93"/>
    <w:multiLevelType w:val="hybridMultilevel"/>
    <w:tmpl w:val="92623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C25AC"/>
    <w:multiLevelType w:val="hybridMultilevel"/>
    <w:tmpl w:val="085C14A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40596573"/>
    <w:multiLevelType w:val="hybridMultilevel"/>
    <w:tmpl w:val="A5D8FBC6"/>
    <w:lvl w:ilvl="0" w:tplc="8EB652F2">
      <w:numFmt w:val="bullet"/>
      <w:lvlText w:val="–"/>
      <w:lvlJc w:val="left"/>
      <w:pPr>
        <w:ind w:left="1080" w:hanging="360"/>
      </w:pPr>
      <w:rPr>
        <w:rFonts w:ascii="Arial" w:eastAsia="Times New Roman" w:hAnsi="Aria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7942FB5"/>
    <w:multiLevelType w:val="hybridMultilevel"/>
    <w:tmpl w:val="E9EA35BA"/>
    <w:lvl w:ilvl="0" w:tplc="FE98C686">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9574100"/>
    <w:multiLevelType w:val="hybridMultilevel"/>
    <w:tmpl w:val="C5F26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B3108C"/>
    <w:multiLevelType w:val="hybridMultilevel"/>
    <w:tmpl w:val="4A5E8E4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6B6D04"/>
    <w:multiLevelType w:val="hybridMultilevel"/>
    <w:tmpl w:val="5CC6AF52"/>
    <w:lvl w:ilvl="0" w:tplc="37646A60">
      <w:start w:val="1"/>
      <w:numFmt w:val="bullet"/>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52F10"/>
    <w:multiLevelType w:val="hybridMultilevel"/>
    <w:tmpl w:val="A8E28000"/>
    <w:lvl w:ilvl="0" w:tplc="8EB652F2">
      <w:numFmt w:val="bullet"/>
      <w:lvlText w:val="–"/>
      <w:lvlJc w:val="left"/>
      <w:pPr>
        <w:ind w:left="1080" w:hanging="360"/>
      </w:pPr>
      <w:rPr>
        <w:rFonts w:ascii="Arial" w:eastAsia="Times New Roman" w:hAnsi="Aria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36A3F59"/>
    <w:multiLevelType w:val="hybridMultilevel"/>
    <w:tmpl w:val="B4F8206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02668B"/>
    <w:multiLevelType w:val="hybridMultilevel"/>
    <w:tmpl w:val="E730B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0346A73"/>
    <w:multiLevelType w:val="hybridMultilevel"/>
    <w:tmpl w:val="2530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63593D"/>
    <w:multiLevelType w:val="hybridMultilevel"/>
    <w:tmpl w:val="6F4648EE"/>
    <w:lvl w:ilvl="0" w:tplc="2242A666">
      <w:start w:val="1"/>
      <w:numFmt w:val="bullet"/>
      <w:lvlText w:val=""/>
      <w:lvlJc w:val="left"/>
      <w:pPr>
        <w:ind w:left="720" w:hanging="360"/>
      </w:pPr>
      <w:rPr>
        <w:rFonts w:ascii="Symbol" w:hAnsi="Symbol" w:hint="default"/>
        <w:color w:val="70AD47"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584724"/>
    <w:multiLevelType w:val="multilevel"/>
    <w:tmpl w:val="8676EFCC"/>
    <w:lvl w:ilvl="0">
      <w:start w:val="1"/>
      <w:numFmt w:val="bullet"/>
      <w:lvlText w:val=""/>
      <w:lvlJc w:val="left"/>
      <w:pPr>
        <w:ind w:left="284" w:hanging="284"/>
      </w:pPr>
      <w:rPr>
        <w:rFonts w:ascii="Wingdings" w:hAnsi="Wingdings"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F5488"/>
    <w:multiLevelType w:val="multilevel"/>
    <w:tmpl w:val="1F266850"/>
    <w:lvl w:ilvl="0">
      <w:start w:val="1"/>
      <w:numFmt w:val="bullet"/>
      <w:lvlText w:val=""/>
      <w:lvlJc w:val="left"/>
      <w:pPr>
        <w:ind w:left="360" w:hanging="360"/>
      </w:pPr>
      <w:rPr>
        <w:rFonts w:ascii="Symbol" w:hAnsi="Symbol"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5580513">
    <w:abstractNumId w:val="2"/>
  </w:num>
  <w:num w:numId="2" w16cid:durableId="334185125">
    <w:abstractNumId w:val="2"/>
  </w:num>
  <w:num w:numId="3" w16cid:durableId="65689130">
    <w:abstractNumId w:val="1"/>
  </w:num>
  <w:num w:numId="4" w16cid:durableId="1440025427">
    <w:abstractNumId w:val="1"/>
  </w:num>
  <w:num w:numId="5" w16cid:durableId="1015810341">
    <w:abstractNumId w:val="0"/>
  </w:num>
  <w:num w:numId="6" w16cid:durableId="1257052442">
    <w:abstractNumId w:val="21"/>
  </w:num>
  <w:num w:numId="7" w16cid:durableId="1298032050">
    <w:abstractNumId w:val="28"/>
  </w:num>
  <w:num w:numId="8" w16cid:durableId="1686711123">
    <w:abstractNumId w:val="7"/>
  </w:num>
  <w:num w:numId="9" w16cid:durableId="1779520602">
    <w:abstractNumId w:val="10"/>
  </w:num>
  <w:num w:numId="10" w16cid:durableId="1056440790">
    <w:abstractNumId w:val="27"/>
  </w:num>
  <w:num w:numId="11" w16cid:durableId="406805257">
    <w:abstractNumId w:val="29"/>
  </w:num>
  <w:num w:numId="12" w16cid:durableId="1477185123">
    <w:abstractNumId w:val="3"/>
  </w:num>
  <w:num w:numId="13" w16cid:durableId="1464426816">
    <w:abstractNumId w:val="11"/>
  </w:num>
  <w:num w:numId="14" w16cid:durableId="15085289">
    <w:abstractNumId w:val="9"/>
  </w:num>
  <w:num w:numId="15" w16cid:durableId="1400127705">
    <w:abstractNumId w:val="5"/>
  </w:num>
  <w:num w:numId="16" w16cid:durableId="639960849">
    <w:abstractNumId w:val="26"/>
  </w:num>
  <w:num w:numId="17" w16cid:durableId="798260955">
    <w:abstractNumId w:val="6"/>
  </w:num>
  <w:num w:numId="18" w16cid:durableId="1262958745">
    <w:abstractNumId w:val="13"/>
  </w:num>
  <w:num w:numId="19" w16cid:durableId="1830829738">
    <w:abstractNumId w:val="17"/>
  </w:num>
  <w:num w:numId="20" w16cid:durableId="1372611304">
    <w:abstractNumId w:val="22"/>
  </w:num>
  <w:num w:numId="21" w16cid:durableId="690956738">
    <w:abstractNumId w:val="18"/>
  </w:num>
  <w:num w:numId="22" w16cid:durableId="62684043">
    <w:abstractNumId w:val="20"/>
  </w:num>
  <w:num w:numId="23" w16cid:durableId="1206065097">
    <w:abstractNumId w:val="23"/>
  </w:num>
  <w:num w:numId="24" w16cid:durableId="986207057">
    <w:abstractNumId w:val="12"/>
  </w:num>
  <w:num w:numId="25" w16cid:durableId="769082297">
    <w:abstractNumId w:val="25"/>
  </w:num>
  <w:num w:numId="26" w16cid:durableId="1713267078">
    <w:abstractNumId w:val="19"/>
  </w:num>
  <w:num w:numId="27" w16cid:durableId="294919801">
    <w:abstractNumId w:val="8"/>
  </w:num>
  <w:num w:numId="28" w16cid:durableId="1905799062">
    <w:abstractNumId w:val="16"/>
  </w:num>
  <w:num w:numId="29" w16cid:durableId="1659529931">
    <w:abstractNumId w:val="4"/>
  </w:num>
  <w:num w:numId="30" w16cid:durableId="1026827222">
    <w:abstractNumId w:val="14"/>
  </w:num>
  <w:num w:numId="31" w16cid:durableId="1739596812">
    <w:abstractNumId w:val="15"/>
  </w:num>
  <w:num w:numId="32" w16cid:durableId="14823056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49E0"/>
    <w:rsid w:val="00010120"/>
    <w:rsid w:val="00020F87"/>
    <w:rsid w:val="00021F2E"/>
    <w:rsid w:val="000228A3"/>
    <w:rsid w:val="000430BA"/>
    <w:rsid w:val="00052ED2"/>
    <w:rsid w:val="00064EA0"/>
    <w:rsid w:val="00077F21"/>
    <w:rsid w:val="00081727"/>
    <w:rsid w:val="0008333A"/>
    <w:rsid w:val="000848ED"/>
    <w:rsid w:val="000A2DA5"/>
    <w:rsid w:val="000B0EEF"/>
    <w:rsid w:val="000B549F"/>
    <w:rsid w:val="000B6D1C"/>
    <w:rsid w:val="000C12A5"/>
    <w:rsid w:val="000C269A"/>
    <w:rsid w:val="000C4A80"/>
    <w:rsid w:val="000C5E86"/>
    <w:rsid w:val="000D1BC4"/>
    <w:rsid w:val="000D3909"/>
    <w:rsid w:val="000F714E"/>
    <w:rsid w:val="00105224"/>
    <w:rsid w:val="001104D5"/>
    <w:rsid w:val="001104FE"/>
    <w:rsid w:val="001108B0"/>
    <w:rsid w:val="00126E62"/>
    <w:rsid w:val="00134EC5"/>
    <w:rsid w:val="0015742E"/>
    <w:rsid w:val="001759F7"/>
    <w:rsid w:val="00180A15"/>
    <w:rsid w:val="001956F3"/>
    <w:rsid w:val="001B68D4"/>
    <w:rsid w:val="001D1871"/>
    <w:rsid w:val="001D2828"/>
    <w:rsid w:val="001D3B66"/>
    <w:rsid w:val="001E59D6"/>
    <w:rsid w:val="001F51EB"/>
    <w:rsid w:val="001F601C"/>
    <w:rsid w:val="002215FD"/>
    <w:rsid w:val="0022575D"/>
    <w:rsid w:val="002302A6"/>
    <w:rsid w:val="00232A54"/>
    <w:rsid w:val="002355A2"/>
    <w:rsid w:val="00240F40"/>
    <w:rsid w:val="00260434"/>
    <w:rsid w:val="00261306"/>
    <w:rsid w:val="002733B8"/>
    <w:rsid w:val="00273A81"/>
    <w:rsid w:val="00273D17"/>
    <w:rsid w:val="00275996"/>
    <w:rsid w:val="00277E3D"/>
    <w:rsid w:val="0028138A"/>
    <w:rsid w:val="00281C66"/>
    <w:rsid w:val="002A6F5B"/>
    <w:rsid w:val="002A71B0"/>
    <w:rsid w:val="002B0117"/>
    <w:rsid w:val="002B2143"/>
    <w:rsid w:val="002C2087"/>
    <w:rsid w:val="002C22E9"/>
    <w:rsid w:val="002C27C1"/>
    <w:rsid w:val="002C6AF6"/>
    <w:rsid w:val="002D6EE8"/>
    <w:rsid w:val="002E28C3"/>
    <w:rsid w:val="002E679D"/>
    <w:rsid w:val="002E67B0"/>
    <w:rsid w:val="002E79F3"/>
    <w:rsid w:val="002F5549"/>
    <w:rsid w:val="00304A36"/>
    <w:rsid w:val="00314BE5"/>
    <w:rsid w:val="003233DE"/>
    <w:rsid w:val="00335B9F"/>
    <w:rsid w:val="0033600D"/>
    <w:rsid w:val="00336286"/>
    <w:rsid w:val="00340D8E"/>
    <w:rsid w:val="003571BE"/>
    <w:rsid w:val="003606CA"/>
    <w:rsid w:val="00365042"/>
    <w:rsid w:val="00373186"/>
    <w:rsid w:val="00374FA0"/>
    <w:rsid w:val="003871F4"/>
    <w:rsid w:val="00394376"/>
    <w:rsid w:val="00395A9D"/>
    <w:rsid w:val="0039623E"/>
    <w:rsid w:val="003A6794"/>
    <w:rsid w:val="003B09B4"/>
    <w:rsid w:val="003B35C1"/>
    <w:rsid w:val="003C3D0C"/>
    <w:rsid w:val="003D12EE"/>
    <w:rsid w:val="003D45ED"/>
    <w:rsid w:val="003D5329"/>
    <w:rsid w:val="003F474D"/>
    <w:rsid w:val="00412286"/>
    <w:rsid w:val="0041384D"/>
    <w:rsid w:val="00432EB9"/>
    <w:rsid w:val="0043655E"/>
    <w:rsid w:val="00441C2B"/>
    <w:rsid w:val="004471F6"/>
    <w:rsid w:val="0048373F"/>
    <w:rsid w:val="004912F0"/>
    <w:rsid w:val="004952BE"/>
    <w:rsid w:val="004A7C64"/>
    <w:rsid w:val="004B402B"/>
    <w:rsid w:val="004C1B33"/>
    <w:rsid w:val="004D45EA"/>
    <w:rsid w:val="004D4CFA"/>
    <w:rsid w:val="004E2C5B"/>
    <w:rsid w:val="004E6F9E"/>
    <w:rsid w:val="00521419"/>
    <w:rsid w:val="005305AD"/>
    <w:rsid w:val="005430D7"/>
    <w:rsid w:val="00552BEC"/>
    <w:rsid w:val="005559F2"/>
    <w:rsid w:val="00557B05"/>
    <w:rsid w:val="00562A04"/>
    <w:rsid w:val="005707A1"/>
    <w:rsid w:val="005725B0"/>
    <w:rsid w:val="00575D19"/>
    <w:rsid w:val="00576285"/>
    <w:rsid w:val="00576950"/>
    <w:rsid w:val="00583A41"/>
    <w:rsid w:val="00585835"/>
    <w:rsid w:val="00590D14"/>
    <w:rsid w:val="00597584"/>
    <w:rsid w:val="005A4841"/>
    <w:rsid w:val="005B0F91"/>
    <w:rsid w:val="005B3C75"/>
    <w:rsid w:val="005C500F"/>
    <w:rsid w:val="005D2A21"/>
    <w:rsid w:val="005E7FE8"/>
    <w:rsid w:val="0060275B"/>
    <w:rsid w:val="00616171"/>
    <w:rsid w:val="00625BFA"/>
    <w:rsid w:val="0062792B"/>
    <w:rsid w:val="00627F8B"/>
    <w:rsid w:val="006303A5"/>
    <w:rsid w:val="00632A0B"/>
    <w:rsid w:val="00637620"/>
    <w:rsid w:val="00643318"/>
    <w:rsid w:val="006449E5"/>
    <w:rsid w:val="00671EB1"/>
    <w:rsid w:val="006743DA"/>
    <w:rsid w:val="00677A2E"/>
    <w:rsid w:val="006843B9"/>
    <w:rsid w:val="00684EEF"/>
    <w:rsid w:val="00692D02"/>
    <w:rsid w:val="0069389C"/>
    <w:rsid w:val="006A24C7"/>
    <w:rsid w:val="006A7B58"/>
    <w:rsid w:val="006B3AFE"/>
    <w:rsid w:val="006C59A1"/>
    <w:rsid w:val="006C6ACA"/>
    <w:rsid w:val="006D1A93"/>
    <w:rsid w:val="006D3E70"/>
    <w:rsid w:val="006F19F8"/>
    <w:rsid w:val="0070386E"/>
    <w:rsid w:val="00710FA3"/>
    <w:rsid w:val="007305B9"/>
    <w:rsid w:val="00737B40"/>
    <w:rsid w:val="00740EC6"/>
    <w:rsid w:val="0075034E"/>
    <w:rsid w:val="00750639"/>
    <w:rsid w:val="0075340D"/>
    <w:rsid w:val="0079463C"/>
    <w:rsid w:val="007A6DFC"/>
    <w:rsid w:val="007C4250"/>
    <w:rsid w:val="007C7A1E"/>
    <w:rsid w:val="007E753C"/>
    <w:rsid w:val="007F7F43"/>
    <w:rsid w:val="00804A93"/>
    <w:rsid w:val="008122A5"/>
    <w:rsid w:val="0082723D"/>
    <w:rsid w:val="00843974"/>
    <w:rsid w:val="008508BD"/>
    <w:rsid w:val="008513F0"/>
    <w:rsid w:val="00861B1C"/>
    <w:rsid w:val="0086674F"/>
    <w:rsid w:val="00881CD1"/>
    <w:rsid w:val="008C1D69"/>
    <w:rsid w:val="008C452B"/>
    <w:rsid w:val="008C4F24"/>
    <w:rsid w:val="008D4961"/>
    <w:rsid w:val="008F1F02"/>
    <w:rsid w:val="008F3794"/>
    <w:rsid w:val="00901279"/>
    <w:rsid w:val="00903FBB"/>
    <w:rsid w:val="009207FF"/>
    <w:rsid w:val="00920B81"/>
    <w:rsid w:val="0094077E"/>
    <w:rsid w:val="00950151"/>
    <w:rsid w:val="00952FE7"/>
    <w:rsid w:val="0095327E"/>
    <w:rsid w:val="00956261"/>
    <w:rsid w:val="0096756B"/>
    <w:rsid w:val="00970DF9"/>
    <w:rsid w:val="009823BB"/>
    <w:rsid w:val="00984126"/>
    <w:rsid w:val="00987913"/>
    <w:rsid w:val="009961AC"/>
    <w:rsid w:val="009B2EDB"/>
    <w:rsid w:val="009B4266"/>
    <w:rsid w:val="009C29DF"/>
    <w:rsid w:val="009D3C8E"/>
    <w:rsid w:val="009D7894"/>
    <w:rsid w:val="009F57F5"/>
    <w:rsid w:val="00A01C6C"/>
    <w:rsid w:val="00A13D0B"/>
    <w:rsid w:val="00A26420"/>
    <w:rsid w:val="00A2757F"/>
    <w:rsid w:val="00A27975"/>
    <w:rsid w:val="00A32E8E"/>
    <w:rsid w:val="00A3575E"/>
    <w:rsid w:val="00A360C6"/>
    <w:rsid w:val="00A41839"/>
    <w:rsid w:val="00A42987"/>
    <w:rsid w:val="00A50415"/>
    <w:rsid w:val="00A52A23"/>
    <w:rsid w:val="00A578FB"/>
    <w:rsid w:val="00A62B5D"/>
    <w:rsid w:val="00A63C70"/>
    <w:rsid w:val="00A66382"/>
    <w:rsid w:val="00A66706"/>
    <w:rsid w:val="00AA1B8A"/>
    <w:rsid w:val="00AA29B3"/>
    <w:rsid w:val="00AD108A"/>
    <w:rsid w:val="00AD4F73"/>
    <w:rsid w:val="00AE00D9"/>
    <w:rsid w:val="00B03017"/>
    <w:rsid w:val="00B0541E"/>
    <w:rsid w:val="00B07D9B"/>
    <w:rsid w:val="00B36659"/>
    <w:rsid w:val="00B375DB"/>
    <w:rsid w:val="00B401C3"/>
    <w:rsid w:val="00B46185"/>
    <w:rsid w:val="00B56B63"/>
    <w:rsid w:val="00B56DBD"/>
    <w:rsid w:val="00B574FC"/>
    <w:rsid w:val="00B60703"/>
    <w:rsid w:val="00B6633D"/>
    <w:rsid w:val="00B67133"/>
    <w:rsid w:val="00B716DD"/>
    <w:rsid w:val="00B853FF"/>
    <w:rsid w:val="00B93543"/>
    <w:rsid w:val="00B942C8"/>
    <w:rsid w:val="00BD111F"/>
    <w:rsid w:val="00BE3D4E"/>
    <w:rsid w:val="00BF16AB"/>
    <w:rsid w:val="00C064C7"/>
    <w:rsid w:val="00C1283C"/>
    <w:rsid w:val="00C30B65"/>
    <w:rsid w:val="00C46401"/>
    <w:rsid w:val="00C523DD"/>
    <w:rsid w:val="00C74007"/>
    <w:rsid w:val="00C92051"/>
    <w:rsid w:val="00C93519"/>
    <w:rsid w:val="00C96726"/>
    <w:rsid w:val="00CA275A"/>
    <w:rsid w:val="00CA7341"/>
    <w:rsid w:val="00CB061E"/>
    <w:rsid w:val="00CD1657"/>
    <w:rsid w:val="00CE5E55"/>
    <w:rsid w:val="00CF3D0B"/>
    <w:rsid w:val="00CF4582"/>
    <w:rsid w:val="00D04EB7"/>
    <w:rsid w:val="00D05B10"/>
    <w:rsid w:val="00D26462"/>
    <w:rsid w:val="00D265AF"/>
    <w:rsid w:val="00D42DB2"/>
    <w:rsid w:val="00D47A7D"/>
    <w:rsid w:val="00D54880"/>
    <w:rsid w:val="00D56BF7"/>
    <w:rsid w:val="00D63399"/>
    <w:rsid w:val="00D66DAE"/>
    <w:rsid w:val="00D75349"/>
    <w:rsid w:val="00D75691"/>
    <w:rsid w:val="00D96E3A"/>
    <w:rsid w:val="00DC26FC"/>
    <w:rsid w:val="00DC7A8F"/>
    <w:rsid w:val="00DD2F95"/>
    <w:rsid w:val="00DE0895"/>
    <w:rsid w:val="00DE7C03"/>
    <w:rsid w:val="00DF12ED"/>
    <w:rsid w:val="00DF1D9E"/>
    <w:rsid w:val="00E000A7"/>
    <w:rsid w:val="00E00B5D"/>
    <w:rsid w:val="00E04571"/>
    <w:rsid w:val="00E15538"/>
    <w:rsid w:val="00E25A6B"/>
    <w:rsid w:val="00E6141B"/>
    <w:rsid w:val="00E73F7E"/>
    <w:rsid w:val="00E84389"/>
    <w:rsid w:val="00EB0E4F"/>
    <w:rsid w:val="00EC34BE"/>
    <w:rsid w:val="00EC6E7E"/>
    <w:rsid w:val="00ED136A"/>
    <w:rsid w:val="00EE2F89"/>
    <w:rsid w:val="00EE3DE3"/>
    <w:rsid w:val="00EE5626"/>
    <w:rsid w:val="00EE7D1F"/>
    <w:rsid w:val="00EF11AC"/>
    <w:rsid w:val="00F0671B"/>
    <w:rsid w:val="00F15E50"/>
    <w:rsid w:val="00F27636"/>
    <w:rsid w:val="00F33CEE"/>
    <w:rsid w:val="00F44307"/>
    <w:rsid w:val="00F472F7"/>
    <w:rsid w:val="00F53DD6"/>
    <w:rsid w:val="00F81571"/>
    <w:rsid w:val="00F9321A"/>
    <w:rsid w:val="00F9378F"/>
    <w:rsid w:val="00F967F8"/>
    <w:rsid w:val="00FA62E3"/>
    <w:rsid w:val="00FB2B78"/>
    <w:rsid w:val="00FC544C"/>
    <w:rsid w:val="00FC6E53"/>
    <w:rsid w:val="00FD0A8F"/>
    <w:rsid w:val="00FD41E2"/>
    <w:rsid w:val="00FD49C2"/>
    <w:rsid w:val="00FE2CE0"/>
    <w:rsid w:val="00FE30D6"/>
    <w:rsid w:val="00FE61CA"/>
    <w:rsid w:val="00FF381B"/>
    <w:rsid w:val="00FF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7AAD2"/>
  <w14:defaultImageDpi w14:val="32767"/>
  <w15:docId w15:val="{D727BBCD-2543-4E04-8F9C-5FC036A8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E53"/>
    <w:pPr>
      <w:spacing w:before="240" w:line="260" w:lineRule="auto"/>
    </w:pPr>
    <w:rPr>
      <w:rFonts w:ascii="Arial" w:eastAsia="Times New Roman" w:hAnsi="Arial" w:cs="Times New Roman"/>
      <w:sz w:val="21"/>
      <w:lang w:val="en-AU"/>
    </w:rPr>
  </w:style>
  <w:style w:type="paragraph" w:styleId="Heading1">
    <w:name w:val="heading 1"/>
    <w:next w:val="Normal"/>
    <w:link w:val="Heading1Char"/>
    <w:qFormat/>
    <w:rsid w:val="00740EC6"/>
    <w:pPr>
      <w:keepNext/>
      <w:keepLines/>
      <w:spacing w:before="960" w:after="360"/>
      <w:outlineLvl w:val="0"/>
    </w:pPr>
    <w:rPr>
      <w:rFonts w:ascii="Arial" w:eastAsia="MS Gothic" w:hAnsi="Arial" w:cstheme="majorBidi"/>
      <w:color w:val="007A33"/>
      <w:sz w:val="40"/>
      <w:szCs w:val="36"/>
      <w:lang w:val="en-US" w:eastAsia="en-AU"/>
    </w:rPr>
  </w:style>
  <w:style w:type="paragraph" w:styleId="Heading2">
    <w:name w:val="heading 2"/>
    <w:basedOn w:val="IntenseQuote"/>
    <w:next w:val="Normal"/>
    <w:link w:val="Heading2Char"/>
    <w:uiPriority w:val="9"/>
    <w:unhideWhenUsed/>
    <w:qFormat/>
    <w:rsid w:val="00740EC6"/>
    <w:pPr>
      <w:outlineLvl w:val="1"/>
    </w:pPr>
  </w:style>
  <w:style w:type="paragraph" w:styleId="Heading3">
    <w:name w:val="heading 3"/>
    <w:basedOn w:val="Normal"/>
    <w:next w:val="Normal"/>
    <w:link w:val="Heading3Char"/>
    <w:uiPriority w:val="9"/>
    <w:unhideWhenUsed/>
    <w:qFormat/>
    <w:rsid w:val="000B549F"/>
    <w:pPr>
      <w:keepNext/>
      <w:keepLines/>
      <w:spacing w:before="360" w:line="271" w:lineRule="auto"/>
      <w:outlineLvl w:val="2"/>
    </w:pPr>
    <w:rPr>
      <w:rFonts w:eastAsia="MS Gothic"/>
      <w:b/>
      <w:sz w:val="22"/>
      <w:lang w:val="en-US"/>
    </w:rPr>
  </w:style>
  <w:style w:type="paragraph" w:styleId="Heading4">
    <w:name w:val="heading 4"/>
    <w:basedOn w:val="Normal"/>
    <w:next w:val="Normal"/>
    <w:link w:val="Heading4Char"/>
    <w:uiPriority w:val="9"/>
    <w:unhideWhenUsed/>
    <w:qFormat/>
    <w:rsid w:val="000B549F"/>
    <w:pPr>
      <w:keepNext/>
      <w:keepLines/>
      <w:spacing w:before="360" w:line="259" w:lineRule="auto"/>
      <w:outlineLvl w:val="3"/>
    </w:pPr>
    <w:rPr>
      <w:rFonts w:eastAsia="MS Gothic"/>
      <w:i/>
      <w:iCs/>
      <w:sz w:val="22"/>
      <w:lang w:val="en-US"/>
    </w:rPr>
  </w:style>
  <w:style w:type="paragraph" w:styleId="Heading5">
    <w:name w:val="heading 5"/>
    <w:basedOn w:val="Normal"/>
    <w:next w:val="Normal"/>
    <w:link w:val="Heading5Char"/>
    <w:rsid w:val="002E28C3"/>
    <w:pPr>
      <w:keepNext/>
      <w:spacing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EC6"/>
    <w:rPr>
      <w:rFonts w:ascii="Arial" w:eastAsia="MS Gothic" w:hAnsi="Arial" w:cstheme="majorBidi"/>
      <w:color w:val="007A33"/>
      <w:sz w:val="40"/>
      <w:szCs w:val="36"/>
      <w:lang w:val="en-US" w:eastAsia="en-AU"/>
    </w:rPr>
  </w:style>
  <w:style w:type="character" w:customStyle="1" w:styleId="Heading2Char">
    <w:name w:val="Heading 2 Char"/>
    <w:basedOn w:val="DefaultParagraphFont"/>
    <w:link w:val="Heading2"/>
    <w:uiPriority w:val="9"/>
    <w:rsid w:val="00740EC6"/>
    <w:rPr>
      <w:rFonts w:ascii="Arial" w:eastAsia="Times New Roman" w:hAnsi="Arial" w:cs="Times New Roman"/>
      <w:iCs/>
      <w:sz w:val="28"/>
      <w:lang w:val="en-AU"/>
    </w:rPr>
  </w:style>
  <w:style w:type="character" w:customStyle="1" w:styleId="Heading3Char">
    <w:name w:val="Heading 3 Char"/>
    <w:basedOn w:val="DefaultParagraphFont"/>
    <w:link w:val="Heading3"/>
    <w:uiPriority w:val="9"/>
    <w:rsid w:val="000B549F"/>
    <w:rPr>
      <w:rFonts w:ascii="Arial" w:eastAsia="MS Gothic" w:hAnsi="Arial" w:cs="Times New Roman"/>
      <w:b/>
      <w:sz w:val="22"/>
      <w:lang w:val="en-US"/>
    </w:rPr>
  </w:style>
  <w:style w:type="character" w:customStyle="1" w:styleId="Heading4Char">
    <w:name w:val="Heading 4 Char"/>
    <w:basedOn w:val="DefaultParagraphFont"/>
    <w:link w:val="Heading4"/>
    <w:uiPriority w:val="9"/>
    <w:rsid w:val="000B549F"/>
    <w:rPr>
      <w:rFonts w:ascii="Arial" w:eastAsia="MS Gothic" w:hAnsi="Arial" w:cs="Times New Roman"/>
      <w:i/>
      <w:iCs/>
      <w:sz w:val="22"/>
      <w:lang w:val="en-US"/>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paragraph" w:customStyle="1" w:styleId="IntroPara">
    <w:name w:val="Intro Para"/>
    <w:basedOn w:val="Normal"/>
    <w:qFormat/>
    <w:rsid w:val="002E28C3"/>
    <w:pPr>
      <w:spacing w:after="120" w:line="320" w:lineRule="auto"/>
    </w:pPr>
    <w:rPr>
      <w:rFonts w:cs="Times New Roman (Body CS)"/>
      <w:sz w:val="26"/>
    </w:rPr>
  </w:style>
  <w:style w:type="paragraph" w:styleId="ListBullet">
    <w:name w:val="List Bullet"/>
    <w:basedOn w:val="Normal"/>
    <w:uiPriority w:val="99"/>
    <w:unhideWhenUsed/>
    <w:qFormat/>
    <w:rsid w:val="002E28C3"/>
    <w:pPr>
      <w:spacing w:after="120" w:line="271" w:lineRule="auto"/>
      <w:ind w:left="357" w:hanging="357"/>
    </w:pPr>
    <w:rPr>
      <w:szCs w:val="21"/>
    </w:rPr>
  </w:style>
  <w:style w:type="paragraph" w:styleId="ListNumber">
    <w:name w:val="List Number"/>
    <w:basedOn w:val="Normal"/>
    <w:uiPriority w:val="99"/>
    <w:unhideWhenUsed/>
    <w:qFormat/>
    <w:rsid w:val="002E28C3"/>
    <w:pPr>
      <w:spacing w:after="120"/>
    </w:pPr>
  </w:style>
  <w:style w:type="paragraph" w:styleId="ListNumber2">
    <w:name w:val="List Number 2"/>
    <w:basedOn w:val="Normal"/>
    <w:uiPriority w:val="99"/>
    <w:unhideWhenUsed/>
    <w:qFormat/>
    <w:rsid w:val="002E28C3"/>
    <w:pPr>
      <w:contextualSpacing/>
    </w:pPr>
  </w:style>
  <w:style w:type="paragraph" w:styleId="ListParagraph">
    <w:name w:val="List Paragraph"/>
    <w:basedOn w:val="Normal"/>
    <w:uiPriority w:val="34"/>
    <w:qFormat/>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Normal"/>
    <w:link w:val="TitleChar"/>
    <w:rsid w:val="002E28C3"/>
    <w:pPr>
      <w:pBdr>
        <w:bottom w:val="single" w:sz="8" w:space="4" w:color="4472C4"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2E28C3"/>
    <w:rPr>
      <w:rFonts w:ascii="Arial" w:eastAsiaTheme="majorEastAsia" w:hAnsi="Arial" w:cstheme="majorBidi"/>
      <w:b/>
      <w:color w:val="595959" w:themeColor="text1" w:themeTint="A6"/>
      <w:kern w:val="28"/>
      <w:sz w:val="32"/>
      <w:szCs w:val="52"/>
      <w:lang w:val="en-AU" w:eastAsia="en-AU"/>
    </w:rPr>
  </w:style>
  <w:style w:type="paragraph" w:styleId="IntenseQuote">
    <w:name w:val="Intense Quote"/>
    <w:basedOn w:val="Normal"/>
    <w:next w:val="Normal"/>
    <w:link w:val="IntenseQuoteChar"/>
    <w:autoRedefine/>
    <w:uiPriority w:val="30"/>
    <w:qFormat/>
    <w:rsid w:val="000B549F"/>
    <w:pPr>
      <w:spacing w:before="480" w:after="240" w:line="400" w:lineRule="exact"/>
      <w:ind w:right="1134"/>
    </w:pPr>
    <w:rPr>
      <w:iCs/>
      <w:sz w:val="28"/>
    </w:rPr>
  </w:style>
  <w:style w:type="character" w:customStyle="1" w:styleId="IntenseQuoteChar">
    <w:name w:val="Intense Quote Char"/>
    <w:basedOn w:val="DefaultParagraphFont"/>
    <w:link w:val="IntenseQuote"/>
    <w:uiPriority w:val="30"/>
    <w:rsid w:val="000B549F"/>
    <w:rPr>
      <w:rFonts w:ascii="Arial" w:eastAsia="Times New Roman" w:hAnsi="Arial" w:cs="Times New Roman"/>
      <w:iCs/>
      <w:sz w:val="28"/>
      <w:lang w:val="en-AU"/>
    </w:rPr>
  </w:style>
  <w:style w:type="paragraph" w:customStyle="1" w:styleId="PolicyStatement">
    <w:name w:val="PolicyStatement"/>
    <w:basedOn w:val="Normal"/>
    <w:qFormat/>
    <w:rsid w:val="00557B05"/>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ind w:left="227" w:right="227"/>
    </w:pPr>
  </w:style>
  <w:style w:type="paragraph" w:customStyle="1" w:styleId="VisionBox">
    <w:name w:val="VisionBox"/>
    <w:basedOn w:val="Normal"/>
    <w:qFormat/>
    <w:rsid w:val="00740EC6"/>
    <w:pPr>
      <w:pBdr>
        <w:top w:val="single" w:sz="4" w:space="15" w:color="007A33"/>
        <w:bottom w:val="single" w:sz="4" w:space="10" w:color="007A33"/>
      </w:pBdr>
      <w:spacing w:before="360" w:after="360" w:line="340" w:lineRule="exact"/>
    </w:pPr>
    <w:rPr>
      <w:rFonts w:eastAsiaTheme="minorHAnsi"/>
      <w:color w:val="007A33"/>
      <w:sz w:val="22"/>
    </w:rPr>
  </w:style>
  <w:style w:type="paragraph" w:customStyle="1" w:styleId="Policystylebullet">
    <w:name w:val="Policy style bullet"/>
    <w:basedOn w:val="PolicyStatement"/>
    <w:qFormat/>
    <w:rsid w:val="00FF381B"/>
    <w:pPr>
      <w:numPr>
        <w:numId w:val="7"/>
      </w:numPr>
    </w:pPr>
  </w:style>
  <w:style w:type="paragraph" w:customStyle="1" w:styleId="Style1">
    <w:name w:val="Style1"/>
    <w:next w:val="Normal"/>
    <w:qFormat/>
    <w:rsid w:val="00557B05"/>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740EC6"/>
    <w:rPr>
      <w:b/>
      <w:caps/>
      <w:smallCaps w:val="0"/>
      <w:color w:val="007A33"/>
      <w:bdr w:val="none" w:sz="0" w:space="0" w:color="auto"/>
    </w:rPr>
  </w:style>
  <w:style w:type="paragraph" w:customStyle="1" w:styleId="BulletPoint1">
    <w:name w:val="Bullet Point 1"/>
    <w:basedOn w:val="Normal"/>
    <w:qFormat/>
    <w:rsid w:val="00740EC6"/>
    <w:pPr>
      <w:spacing w:before="120"/>
    </w:pPr>
    <w:rPr>
      <w:szCs w:val="22"/>
      <w:lang w:val="en-US"/>
    </w:rPr>
  </w:style>
  <w:style w:type="paragraph" w:styleId="Header">
    <w:name w:val="header"/>
    <w:basedOn w:val="Normal"/>
    <w:link w:val="HeaderChar"/>
    <w:uiPriority w:val="99"/>
    <w:unhideWhenUsed/>
    <w:rsid w:val="00F15E5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15E50"/>
    <w:rPr>
      <w:rFonts w:ascii="Arial" w:eastAsia="Times New Roman" w:hAnsi="Arial" w:cs="Times New Roman"/>
      <w:sz w:val="21"/>
      <w:lang w:val="en-AU"/>
    </w:rPr>
  </w:style>
  <w:style w:type="paragraph" w:styleId="Footer">
    <w:name w:val="footer"/>
    <w:basedOn w:val="Normal"/>
    <w:link w:val="FooterChar"/>
    <w:uiPriority w:val="99"/>
    <w:unhideWhenUsed/>
    <w:rsid w:val="00740EC6"/>
    <w:pPr>
      <w:tabs>
        <w:tab w:val="center" w:pos="4513"/>
        <w:tab w:val="right" w:pos="9026"/>
      </w:tabs>
      <w:spacing w:before="0" w:line="240" w:lineRule="auto"/>
    </w:pPr>
    <w:rPr>
      <w:color w:val="FFFFFF" w:themeColor="background1"/>
    </w:rPr>
  </w:style>
  <w:style w:type="character" w:customStyle="1" w:styleId="FooterChar">
    <w:name w:val="Footer Char"/>
    <w:basedOn w:val="DefaultParagraphFont"/>
    <w:link w:val="Footer"/>
    <w:uiPriority w:val="99"/>
    <w:rsid w:val="00740EC6"/>
    <w:rPr>
      <w:rFonts w:ascii="Arial" w:eastAsia="Times New Roman" w:hAnsi="Arial" w:cs="Times New Roman"/>
      <w:color w:val="FFFFFF" w:themeColor="background1"/>
      <w:sz w:val="21"/>
      <w:lang w:val="en-AU"/>
    </w:rPr>
  </w:style>
  <w:style w:type="paragraph" w:styleId="BalloonText">
    <w:name w:val="Balloon Text"/>
    <w:basedOn w:val="Normal"/>
    <w:link w:val="BalloonTextChar"/>
    <w:uiPriority w:val="99"/>
    <w:semiHidden/>
    <w:unhideWhenUsed/>
    <w:rsid w:val="00C74007"/>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4007"/>
    <w:rPr>
      <w:rFonts w:ascii="Times New Roman" w:eastAsia="Times New Roman" w:hAnsi="Times New Roman" w:cs="Times New Roman"/>
      <w:sz w:val="18"/>
      <w:szCs w:val="18"/>
      <w:lang w:val="en-AU"/>
    </w:rPr>
  </w:style>
  <w:style w:type="character" w:styleId="IntenseEmphasis">
    <w:name w:val="Intense Emphasis"/>
    <w:basedOn w:val="DefaultParagraphFont"/>
    <w:uiPriority w:val="21"/>
    <w:qFormat/>
    <w:rsid w:val="00740EC6"/>
    <w:rPr>
      <w:i/>
      <w:iCs/>
      <w:color w:val="007A33"/>
    </w:rPr>
  </w:style>
  <w:style w:type="character" w:styleId="IntenseReference">
    <w:name w:val="Intense Reference"/>
    <w:basedOn w:val="DefaultParagraphFont"/>
    <w:uiPriority w:val="32"/>
    <w:qFormat/>
    <w:rsid w:val="00740EC6"/>
    <w:rPr>
      <w:b/>
      <w:bCs/>
      <w:smallCaps/>
      <w:color w:val="007A33"/>
      <w:spacing w:val="5"/>
    </w:rPr>
  </w:style>
  <w:style w:type="table" w:styleId="TableGrid">
    <w:name w:val="Table Grid"/>
    <w:basedOn w:val="TableNormal"/>
    <w:rsid w:val="00FE30D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30D6"/>
    <w:rPr>
      <w:color w:val="0563C1" w:themeColor="hyperlink"/>
      <w:u w:val="single"/>
    </w:rPr>
  </w:style>
  <w:style w:type="paragraph" w:styleId="NoSpacing">
    <w:name w:val="No Spacing"/>
    <w:link w:val="NoSpacingChar"/>
    <w:uiPriority w:val="1"/>
    <w:qFormat/>
    <w:rsid w:val="006F19F8"/>
    <w:rPr>
      <w:rFonts w:eastAsiaTheme="minorEastAsia"/>
      <w:sz w:val="22"/>
      <w:szCs w:val="22"/>
      <w:lang w:val="en-US"/>
    </w:rPr>
  </w:style>
  <w:style w:type="character" w:customStyle="1" w:styleId="NoSpacingChar">
    <w:name w:val="No Spacing Char"/>
    <w:basedOn w:val="DefaultParagraphFont"/>
    <w:link w:val="NoSpacing"/>
    <w:uiPriority w:val="1"/>
    <w:rsid w:val="006F19F8"/>
    <w:rPr>
      <w:rFonts w:eastAsiaTheme="minorEastAsia"/>
      <w:sz w:val="22"/>
      <w:szCs w:val="22"/>
      <w:lang w:val="en-US"/>
    </w:rPr>
  </w:style>
  <w:style w:type="paragraph" w:styleId="TOCHeading">
    <w:name w:val="TOC Heading"/>
    <w:basedOn w:val="Heading1"/>
    <w:next w:val="Normal"/>
    <w:uiPriority w:val="39"/>
    <w:unhideWhenUsed/>
    <w:qFormat/>
    <w:rsid w:val="00277E3D"/>
    <w:pPr>
      <w:spacing w:before="240" w:after="0" w:line="259" w:lineRule="auto"/>
      <w:outlineLvl w:val="9"/>
    </w:pPr>
    <w:rPr>
      <w:rFonts w:asciiTheme="majorHAnsi" w:eastAsiaTheme="majorEastAsia" w:hAnsiTheme="majorHAnsi"/>
      <w:color w:val="2F5496" w:themeColor="accent1" w:themeShade="BF"/>
      <w:sz w:val="32"/>
      <w:szCs w:val="32"/>
      <w:lang w:eastAsia="en-US"/>
    </w:rPr>
  </w:style>
  <w:style w:type="paragraph" w:styleId="TOC1">
    <w:name w:val="toc 1"/>
    <w:basedOn w:val="Normal"/>
    <w:next w:val="Normal"/>
    <w:autoRedefine/>
    <w:uiPriority w:val="39"/>
    <w:unhideWhenUsed/>
    <w:rsid w:val="00950151"/>
    <w:pPr>
      <w:spacing w:after="100"/>
    </w:pPr>
  </w:style>
  <w:style w:type="paragraph" w:styleId="TOC2">
    <w:name w:val="toc 2"/>
    <w:basedOn w:val="Normal"/>
    <w:next w:val="Normal"/>
    <w:autoRedefine/>
    <w:uiPriority w:val="39"/>
    <w:unhideWhenUsed/>
    <w:rsid w:val="00DE0895"/>
    <w:pPr>
      <w:spacing w:after="100"/>
      <w:ind w:left="210"/>
    </w:pPr>
  </w:style>
  <w:style w:type="character" w:styleId="CommentReference">
    <w:name w:val="annotation reference"/>
    <w:basedOn w:val="DefaultParagraphFont"/>
    <w:uiPriority w:val="99"/>
    <w:semiHidden/>
    <w:unhideWhenUsed/>
    <w:rsid w:val="002C27C1"/>
    <w:rPr>
      <w:sz w:val="16"/>
      <w:szCs w:val="16"/>
    </w:rPr>
  </w:style>
  <w:style w:type="paragraph" w:styleId="CommentText">
    <w:name w:val="annotation text"/>
    <w:basedOn w:val="Normal"/>
    <w:link w:val="CommentTextChar"/>
    <w:uiPriority w:val="99"/>
    <w:unhideWhenUsed/>
    <w:rsid w:val="002C27C1"/>
    <w:pPr>
      <w:spacing w:line="240" w:lineRule="auto"/>
    </w:pPr>
    <w:rPr>
      <w:sz w:val="20"/>
      <w:szCs w:val="20"/>
    </w:rPr>
  </w:style>
  <w:style w:type="character" w:customStyle="1" w:styleId="CommentTextChar">
    <w:name w:val="Comment Text Char"/>
    <w:basedOn w:val="DefaultParagraphFont"/>
    <w:link w:val="CommentText"/>
    <w:uiPriority w:val="99"/>
    <w:rsid w:val="002C27C1"/>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2C27C1"/>
    <w:rPr>
      <w:b/>
      <w:bCs/>
    </w:rPr>
  </w:style>
  <w:style w:type="character" w:customStyle="1" w:styleId="CommentSubjectChar">
    <w:name w:val="Comment Subject Char"/>
    <w:basedOn w:val="CommentTextChar"/>
    <w:link w:val="CommentSubject"/>
    <w:uiPriority w:val="99"/>
    <w:semiHidden/>
    <w:rsid w:val="002C27C1"/>
    <w:rPr>
      <w:rFonts w:ascii="Arial" w:eastAsia="Times New Roman" w:hAnsi="Arial" w:cs="Times New Roman"/>
      <w:b/>
      <w:bCs/>
      <w:sz w:val="20"/>
      <w:szCs w:val="20"/>
      <w:lang w:val="en-AU"/>
    </w:rPr>
  </w:style>
  <w:style w:type="paragraph" w:styleId="FootnoteText">
    <w:name w:val="footnote text"/>
    <w:basedOn w:val="Normal"/>
    <w:link w:val="FootnoteTextChar"/>
    <w:uiPriority w:val="99"/>
    <w:semiHidden/>
    <w:unhideWhenUsed/>
    <w:rsid w:val="0062792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2792B"/>
    <w:rPr>
      <w:rFonts w:ascii="Arial" w:eastAsia="Times New Roman" w:hAnsi="Arial" w:cs="Times New Roman"/>
      <w:sz w:val="20"/>
      <w:szCs w:val="20"/>
      <w:lang w:val="en-AU"/>
    </w:rPr>
  </w:style>
  <w:style w:type="character" w:styleId="FootnoteReference">
    <w:name w:val="footnote reference"/>
    <w:basedOn w:val="DefaultParagraphFont"/>
    <w:uiPriority w:val="99"/>
    <w:semiHidden/>
    <w:unhideWhenUsed/>
    <w:rsid w:val="0062792B"/>
    <w:rPr>
      <w:vertAlign w:val="superscript"/>
    </w:rPr>
  </w:style>
  <w:style w:type="character" w:customStyle="1" w:styleId="normaltextrun">
    <w:name w:val="normaltextrun"/>
    <w:basedOn w:val="DefaultParagraphFont"/>
    <w:rsid w:val="006C59A1"/>
  </w:style>
  <w:style w:type="character" w:customStyle="1" w:styleId="eop">
    <w:name w:val="eop"/>
    <w:basedOn w:val="DefaultParagraphFont"/>
    <w:rsid w:val="006C59A1"/>
  </w:style>
  <w:style w:type="paragraph" w:customStyle="1" w:styleId="paragraph">
    <w:name w:val="paragraph"/>
    <w:basedOn w:val="Normal"/>
    <w:rsid w:val="006C59A1"/>
    <w:pPr>
      <w:spacing w:before="100" w:beforeAutospacing="1" w:after="100" w:afterAutospacing="1" w:line="240" w:lineRule="auto"/>
    </w:pPr>
    <w:rPr>
      <w:rFonts w:ascii="Times New Roman" w:hAnsi="Times New Roman"/>
      <w:sz w:val="24"/>
      <w:lang w:eastAsia="en-AU"/>
    </w:rPr>
  </w:style>
  <w:style w:type="character" w:customStyle="1" w:styleId="superscript">
    <w:name w:val="superscript"/>
    <w:basedOn w:val="DefaultParagraphFont"/>
    <w:rsid w:val="006C59A1"/>
  </w:style>
  <w:style w:type="character" w:styleId="UnresolvedMention">
    <w:name w:val="Unresolved Mention"/>
    <w:basedOn w:val="DefaultParagraphFont"/>
    <w:uiPriority w:val="99"/>
    <w:semiHidden/>
    <w:unhideWhenUsed/>
    <w:rsid w:val="00750639"/>
    <w:rPr>
      <w:color w:val="605E5C"/>
      <w:shd w:val="clear" w:color="auto" w:fill="E1DFDD"/>
    </w:rPr>
  </w:style>
  <w:style w:type="paragraph" w:styleId="NormalWeb">
    <w:name w:val="Normal (Web)"/>
    <w:basedOn w:val="Normal"/>
    <w:uiPriority w:val="99"/>
    <w:semiHidden/>
    <w:unhideWhenUsed/>
    <w:rsid w:val="002E679D"/>
    <w:pPr>
      <w:spacing w:before="100" w:beforeAutospacing="1" w:after="100" w:afterAutospacing="1" w:line="240" w:lineRule="auto"/>
    </w:pPr>
    <w:rPr>
      <w:rFonts w:ascii="Times New Roman" w:hAnsi="Times New Roman"/>
      <w:sz w:val="24"/>
      <w:lang w:eastAsia="en-AU"/>
    </w:rPr>
  </w:style>
  <w:style w:type="character" w:customStyle="1" w:styleId="spellingerror">
    <w:name w:val="spellingerror"/>
    <w:basedOn w:val="DefaultParagraphFont"/>
    <w:rsid w:val="002E679D"/>
  </w:style>
  <w:style w:type="paragraph" w:styleId="Revision">
    <w:name w:val="Revision"/>
    <w:hidden/>
    <w:uiPriority w:val="99"/>
    <w:semiHidden/>
    <w:rsid w:val="0043655E"/>
    <w:rPr>
      <w:rFonts w:ascii="Arial" w:eastAsia="Times New Roman" w:hAnsi="Arial" w:cs="Times New Roman"/>
      <w:sz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69635">
      <w:bodyDiv w:val="1"/>
      <w:marLeft w:val="0"/>
      <w:marRight w:val="0"/>
      <w:marTop w:val="0"/>
      <w:marBottom w:val="0"/>
      <w:divBdr>
        <w:top w:val="none" w:sz="0" w:space="0" w:color="auto"/>
        <w:left w:val="none" w:sz="0" w:space="0" w:color="auto"/>
        <w:bottom w:val="none" w:sz="0" w:space="0" w:color="auto"/>
        <w:right w:val="none" w:sz="0" w:space="0" w:color="auto"/>
      </w:divBdr>
    </w:div>
    <w:div w:id="425806448">
      <w:bodyDiv w:val="1"/>
      <w:marLeft w:val="0"/>
      <w:marRight w:val="0"/>
      <w:marTop w:val="0"/>
      <w:marBottom w:val="0"/>
      <w:divBdr>
        <w:top w:val="none" w:sz="0" w:space="0" w:color="auto"/>
        <w:left w:val="none" w:sz="0" w:space="0" w:color="auto"/>
        <w:bottom w:val="none" w:sz="0" w:space="0" w:color="auto"/>
        <w:right w:val="none" w:sz="0" w:space="0" w:color="auto"/>
      </w:divBdr>
    </w:div>
    <w:div w:id="1347100243">
      <w:bodyDiv w:val="1"/>
      <w:marLeft w:val="0"/>
      <w:marRight w:val="0"/>
      <w:marTop w:val="0"/>
      <w:marBottom w:val="0"/>
      <w:divBdr>
        <w:top w:val="none" w:sz="0" w:space="0" w:color="auto"/>
        <w:left w:val="none" w:sz="0" w:space="0" w:color="auto"/>
        <w:bottom w:val="none" w:sz="0" w:space="0" w:color="auto"/>
        <w:right w:val="none" w:sz="0" w:space="0" w:color="auto"/>
      </w:divBdr>
      <w:divsChild>
        <w:div w:id="1183319929">
          <w:marLeft w:val="0"/>
          <w:marRight w:val="0"/>
          <w:marTop w:val="0"/>
          <w:marBottom w:val="0"/>
          <w:divBdr>
            <w:top w:val="none" w:sz="0" w:space="0" w:color="auto"/>
            <w:left w:val="none" w:sz="0" w:space="0" w:color="auto"/>
            <w:bottom w:val="none" w:sz="0" w:space="0" w:color="auto"/>
            <w:right w:val="none" w:sz="0" w:space="0" w:color="auto"/>
          </w:divBdr>
          <w:divsChild>
            <w:div w:id="1335298344">
              <w:marLeft w:val="0"/>
              <w:marRight w:val="0"/>
              <w:marTop w:val="0"/>
              <w:marBottom w:val="0"/>
              <w:divBdr>
                <w:top w:val="none" w:sz="0" w:space="0" w:color="auto"/>
                <w:left w:val="none" w:sz="0" w:space="0" w:color="auto"/>
                <w:bottom w:val="none" w:sz="0" w:space="0" w:color="auto"/>
                <w:right w:val="none" w:sz="0" w:space="0" w:color="auto"/>
              </w:divBdr>
            </w:div>
          </w:divsChild>
        </w:div>
        <w:div w:id="875044214">
          <w:marLeft w:val="0"/>
          <w:marRight w:val="0"/>
          <w:marTop w:val="0"/>
          <w:marBottom w:val="0"/>
          <w:divBdr>
            <w:top w:val="none" w:sz="0" w:space="0" w:color="auto"/>
            <w:left w:val="none" w:sz="0" w:space="0" w:color="auto"/>
            <w:bottom w:val="none" w:sz="0" w:space="0" w:color="auto"/>
            <w:right w:val="none" w:sz="0" w:space="0" w:color="auto"/>
          </w:divBdr>
          <w:divsChild>
            <w:div w:id="973562321">
              <w:marLeft w:val="0"/>
              <w:marRight w:val="0"/>
              <w:marTop w:val="0"/>
              <w:marBottom w:val="0"/>
              <w:divBdr>
                <w:top w:val="none" w:sz="0" w:space="0" w:color="auto"/>
                <w:left w:val="none" w:sz="0" w:space="0" w:color="auto"/>
                <w:bottom w:val="none" w:sz="0" w:space="0" w:color="auto"/>
                <w:right w:val="none" w:sz="0" w:space="0" w:color="auto"/>
              </w:divBdr>
            </w:div>
          </w:divsChild>
        </w:div>
        <w:div w:id="935985265">
          <w:marLeft w:val="0"/>
          <w:marRight w:val="0"/>
          <w:marTop w:val="0"/>
          <w:marBottom w:val="0"/>
          <w:divBdr>
            <w:top w:val="none" w:sz="0" w:space="0" w:color="auto"/>
            <w:left w:val="none" w:sz="0" w:space="0" w:color="auto"/>
            <w:bottom w:val="none" w:sz="0" w:space="0" w:color="auto"/>
            <w:right w:val="none" w:sz="0" w:space="0" w:color="auto"/>
          </w:divBdr>
          <w:divsChild>
            <w:div w:id="1461730847">
              <w:marLeft w:val="0"/>
              <w:marRight w:val="0"/>
              <w:marTop w:val="0"/>
              <w:marBottom w:val="0"/>
              <w:divBdr>
                <w:top w:val="none" w:sz="0" w:space="0" w:color="auto"/>
                <w:left w:val="none" w:sz="0" w:space="0" w:color="auto"/>
                <w:bottom w:val="none" w:sz="0" w:space="0" w:color="auto"/>
                <w:right w:val="none" w:sz="0" w:space="0" w:color="auto"/>
              </w:divBdr>
            </w:div>
          </w:divsChild>
        </w:div>
        <w:div w:id="1022437845">
          <w:marLeft w:val="0"/>
          <w:marRight w:val="0"/>
          <w:marTop w:val="0"/>
          <w:marBottom w:val="0"/>
          <w:divBdr>
            <w:top w:val="none" w:sz="0" w:space="0" w:color="auto"/>
            <w:left w:val="none" w:sz="0" w:space="0" w:color="auto"/>
            <w:bottom w:val="none" w:sz="0" w:space="0" w:color="auto"/>
            <w:right w:val="none" w:sz="0" w:space="0" w:color="auto"/>
          </w:divBdr>
          <w:divsChild>
            <w:div w:id="2042363962">
              <w:marLeft w:val="0"/>
              <w:marRight w:val="0"/>
              <w:marTop w:val="0"/>
              <w:marBottom w:val="0"/>
              <w:divBdr>
                <w:top w:val="none" w:sz="0" w:space="0" w:color="auto"/>
                <w:left w:val="none" w:sz="0" w:space="0" w:color="auto"/>
                <w:bottom w:val="none" w:sz="0" w:space="0" w:color="auto"/>
                <w:right w:val="none" w:sz="0" w:space="0" w:color="auto"/>
              </w:divBdr>
            </w:div>
          </w:divsChild>
        </w:div>
        <w:div w:id="1776755000">
          <w:marLeft w:val="0"/>
          <w:marRight w:val="0"/>
          <w:marTop w:val="0"/>
          <w:marBottom w:val="0"/>
          <w:divBdr>
            <w:top w:val="none" w:sz="0" w:space="0" w:color="auto"/>
            <w:left w:val="none" w:sz="0" w:space="0" w:color="auto"/>
            <w:bottom w:val="none" w:sz="0" w:space="0" w:color="auto"/>
            <w:right w:val="none" w:sz="0" w:space="0" w:color="auto"/>
          </w:divBdr>
          <w:divsChild>
            <w:div w:id="1580746997">
              <w:marLeft w:val="0"/>
              <w:marRight w:val="0"/>
              <w:marTop w:val="0"/>
              <w:marBottom w:val="0"/>
              <w:divBdr>
                <w:top w:val="none" w:sz="0" w:space="0" w:color="auto"/>
                <w:left w:val="none" w:sz="0" w:space="0" w:color="auto"/>
                <w:bottom w:val="none" w:sz="0" w:space="0" w:color="auto"/>
                <w:right w:val="none" w:sz="0" w:space="0" w:color="auto"/>
              </w:divBdr>
            </w:div>
          </w:divsChild>
        </w:div>
        <w:div w:id="499320204">
          <w:marLeft w:val="0"/>
          <w:marRight w:val="0"/>
          <w:marTop w:val="0"/>
          <w:marBottom w:val="0"/>
          <w:divBdr>
            <w:top w:val="none" w:sz="0" w:space="0" w:color="auto"/>
            <w:left w:val="none" w:sz="0" w:space="0" w:color="auto"/>
            <w:bottom w:val="none" w:sz="0" w:space="0" w:color="auto"/>
            <w:right w:val="none" w:sz="0" w:space="0" w:color="auto"/>
          </w:divBdr>
          <w:divsChild>
            <w:div w:id="1815292621">
              <w:marLeft w:val="0"/>
              <w:marRight w:val="0"/>
              <w:marTop w:val="0"/>
              <w:marBottom w:val="0"/>
              <w:divBdr>
                <w:top w:val="none" w:sz="0" w:space="0" w:color="auto"/>
                <w:left w:val="none" w:sz="0" w:space="0" w:color="auto"/>
                <w:bottom w:val="none" w:sz="0" w:space="0" w:color="auto"/>
                <w:right w:val="none" w:sz="0" w:space="0" w:color="auto"/>
              </w:divBdr>
            </w:div>
          </w:divsChild>
        </w:div>
        <w:div w:id="407311532">
          <w:marLeft w:val="0"/>
          <w:marRight w:val="0"/>
          <w:marTop w:val="0"/>
          <w:marBottom w:val="0"/>
          <w:divBdr>
            <w:top w:val="none" w:sz="0" w:space="0" w:color="auto"/>
            <w:left w:val="none" w:sz="0" w:space="0" w:color="auto"/>
            <w:bottom w:val="none" w:sz="0" w:space="0" w:color="auto"/>
            <w:right w:val="none" w:sz="0" w:space="0" w:color="auto"/>
          </w:divBdr>
          <w:divsChild>
            <w:div w:id="1185707777">
              <w:marLeft w:val="0"/>
              <w:marRight w:val="0"/>
              <w:marTop w:val="0"/>
              <w:marBottom w:val="0"/>
              <w:divBdr>
                <w:top w:val="none" w:sz="0" w:space="0" w:color="auto"/>
                <w:left w:val="none" w:sz="0" w:space="0" w:color="auto"/>
                <w:bottom w:val="none" w:sz="0" w:space="0" w:color="auto"/>
                <w:right w:val="none" w:sz="0" w:space="0" w:color="auto"/>
              </w:divBdr>
            </w:div>
          </w:divsChild>
        </w:div>
        <w:div w:id="669018861">
          <w:marLeft w:val="0"/>
          <w:marRight w:val="0"/>
          <w:marTop w:val="0"/>
          <w:marBottom w:val="0"/>
          <w:divBdr>
            <w:top w:val="none" w:sz="0" w:space="0" w:color="auto"/>
            <w:left w:val="none" w:sz="0" w:space="0" w:color="auto"/>
            <w:bottom w:val="none" w:sz="0" w:space="0" w:color="auto"/>
            <w:right w:val="none" w:sz="0" w:space="0" w:color="auto"/>
          </w:divBdr>
          <w:divsChild>
            <w:div w:id="466630200">
              <w:marLeft w:val="0"/>
              <w:marRight w:val="0"/>
              <w:marTop w:val="0"/>
              <w:marBottom w:val="0"/>
              <w:divBdr>
                <w:top w:val="none" w:sz="0" w:space="0" w:color="auto"/>
                <w:left w:val="none" w:sz="0" w:space="0" w:color="auto"/>
                <w:bottom w:val="none" w:sz="0" w:space="0" w:color="auto"/>
                <w:right w:val="none" w:sz="0" w:space="0" w:color="auto"/>
              </w:divBdr>
            </w:div>
          </w:divsChild>
        </w:div>
        <w:div w:id="51925905">
          <w:marLeft w:val="0"/>
          <w:marRight w:val="0"/>
          <w:marTop w:val="0"/>
          <w:marBottom w:val="0"/>
          <w:divBdr>
            <w:top w:val="none" w:sz="0" w:space="0" w:color="auto"/>
            <w:left w:val="none" w:sz="0" w:space="0" w:color="auto"/>
            <w:bottom w:val="none" w:sz="0" w:space="0" w:color="auto"/>
            <w:right w:val="none" w:sz="0" w:space="0" w:color="auto"/>
          </w:divBdr>
          <w:divsChild>
            <w:div w:id="1048456689">
              <w:marLeft w:val="0"/>
              <w:marRight w:val="0"/>
              <w:marTop w:val="0"/>
              <w:marBottom w:val="0"/>
              <w:divBdr>
                <w:top w:val="none" w:sz="0" w:space="0" w:color="auto"/>
                <w:left w:val="none" w:sz="0" w:space="0" w:color="auto"/>
                <w:bottom w:val="none" w:sz="0" w:space="0" w:color="auto"/>
                <w:right w:val="none" w:sz="0" w:space="0" w:color="auto"/>
              </w:divBdr>
            </w:div>
          </w:divsChild>
        </w:div>
        <w:div w:id="1236625823">
          <w:marLeft w:val="0"/>
          <w:marRight w:val="0"/>
          <w:marTop w:val="0"/>
          <w:marBottom w:val="0"/>
          <w:divBdr>
            <w:top w:val="none" w:sz="0" w:space="0" w:color="auto"/>
            <w:left w:val="none" w:sz="0" w:space="0" w:color="auto"/>
            <w:bottom w:val="none" w:sz="0" w:space="0" w:color="auto"/>
            <w:right w:val="none" w:sz="0" w:space="0" w:color="auto"/>
          </w:divBdr>
          <w:divsChild>
            <w:div w:id="1892187050">
              <w:marLeft w:val="0"/>
              <w:marRight w:val="0"/>
              <w:marTop w:val="0"/>
              <w:marBottom w:val="0"/>
              <w:divBdr>
                <w:top w:val="none" w:sz="0" w:space="0" w:color="auto"/>
                <w:left w:val="none" w:sz="0" w:space="0" w:color="auto"/>
                <w:bottom w:val="none" w:sz="0" w:space="0" w:color="auto"/>
                <w:right w:val="none" w:sz="0" w:space="0" w:color="auto"/>
              </w:divBdr>
            </w:div>
          </w:divsChild>
        </w:div>
        <w:div w:id="1577325878">
          <w:marLeft w:val="0"/>
          <w:marRight w:val="0"/>
          <w:marTop w:val="0"/>
          <w:marBottom w:val="0"/>
          <w:divBdr>
            <w:top w:val="none" w:sz="0" w:space="0" w:color="auto"/>
            <w:left w:val="none" w:sz="0" w:space="0" w:color="auto"/>
            <w:bottom w:val="none" w:sz="0" w:space="0" w:color="auto"/>
            <w:right w:val="none" w:sz="0" w:space="0" w:color="auto"/>
          </w:divBdr>
          <w:divsChild>
            <w:div w:id="318776168">
              <w:marLeft w:val="0"/>
              <w:marRight w:val="0"/>
              <w:marTop w:val="0"/>
              <w:marBottom w:val="0"/>
              <w:divBdr>
                <w:top w:val="none" w:sz="0" w:space="0" w:color="auto"/>
                <w:left w:val="none" w:sz="0" w:space="0" w:color="auto"/>
                <w:bottom w:val="none" w:sz="0" w:space="0" w:color="auto"/>
                <w:right w:val="none" w:sz="0" w:space="0" w:color="auto"/>
              </w:divBdr>
            </w:div>
          </w:divsChild>
        </w:div>
        <w:div w:id="209075162">
          <w:marLeft w:val="0"/>
          <w:marRight w:val="0"/>
          <w:marTop w:val="0"/>
          <w:marBottom w:val="0"/>
          <w:divBdr>
            <w:top w:val="none" w:sz="0" w:space="0" w:color="auto"/>
            <w:left w:val="none" w:sz="0" w:space="0" w:color="auto"/>
            <w:bottom w:val="none" w:sz="0" w:space="0" w:color="auto"/>
            <w:right w:val="none" w:sz="0" w:space="0" w:color="auto"/>
          </w:divBdr>
          <w:divsChild>
            <w:div w:id="1257447857">
              <w:marLeft w:val="0"/>
              <w:marRight w:val="0"/>
              <w:marTop w:val="0"/>
              <w:marBottom w:val="0"/>
              <w:divBdr>
                <w:top w:val="none" w:sz="0" w:space="0" w:color="auto"/>
                <w:left w:val="none" w:sz="0" w:space="0" w:color="auto"/>
                <w:bottom w:val="none" w:sz="0" w:space="0" w:color="auto"/>
                <w:right w:val="none" w:sz="0" w:space="0" w:color="auto"/>
              </w:divBdr>
            </w:div>
          </w:divsChild>
        </w:div>
        <w:div w:id="1539590224">
          <w:marLeft w:val="0"/>
          <w:marRight w:val="0"/>
          <w:marTop w:val="0"/>
          <w:marBottom w:val="0"/>
          <w:divBdr>
            <w:top w:val="none" w:sz="0" w:space="0" w:color="auto"/>
            <w:left w:val="none" w:sz="0" w:space="0" w:color="auto"/>
            <w:bottom w:val="none" w:sz="0" w:space="0" w:color="auto"/>
            <w:right w:val="none" w:sz="0" w:space="0" w:color="auto"/>
          </w:divBdr>
          <w:divsChild>
            <w:div w:id="609898143">
              <w:marLeft w:val="0"/>
              <w:marRight w:val="0"/>
              <w:marTop w:val="0"/>
              <w:marBottom w:val="0"/>
              <w:divBdr>
                <w:top w:val="none" w:sz="0" w:space="0" w:color="auto"/>
                <w:left w:val="none" w:sz="0" w:space="0" w:color="auto"/>
                <w:bottom w:val="none" w:sz="0" w:space="0" w:color="auto"/>
                <w:right w:val="none" w:sz="0" w:space="0" w:color="auto"/>
              </w:divBdr>
            </w:div>
          </w:divsChild>
        </w:div>
        <w:div w:id="54789190">
          <w:marLeft w:val="0"/>
          <w:marRight w:val="0"/>
          <w:marTop w:val="0"/>
          <w:marBottom w:val="0"/>
          <w:divBdr>
            <w:top w:val="none" w:sz="0" w:space="0" w:color="auto"/>
            <w:left w:val="none" w:sz="0" w:space="0" w:color="auto"/>
            <w:bottom w:val="none" w:sz="0" w:space="0" w:color="auto"/>
            <w:right w:val="none" w:sz="0" w:space="0" w:color="auto"/>
          </w:divBdr>
          <w:divsChild>
            <w:div w:id="1205827646">
              <w:marLeft w:val="0"/>
              <w:marRight w:val="0"/>
              <w:marTop w:val="0"/>
              <w:marBottom w:val="0"/>
              <w:divBdr>
                <w:top w:val="none" w:sz="0" w:space="0" w:color="auto"/>
                <w:left w:val="none" w:sz="0" w:space="0" w:color="auto"/>
                <w:bottom w:val="none" w:sz="0" w:space="0" w:color="auto"/>
                <w:right w:val="none" w:sz="0" w:space="0" w:color="auto"/>
              </w:divBdr>
            </w:div>
          </w:divsChild>
        </w:div>
        <w:div w:id="1187863701">
          <w:marLeft w:val="0"/>
          <w:marRight w:val="0"/>
          <w:marTop w:val="0"/>
          <w:marBottom w:val="0"/>
          <w:divBdr>
            <w:top w:val="none" w:sz="0" w:space="0" w:color="auto"/>
            <w:left w:val="none" w:sz="0" w:space="0" w:color="auto"/>
            <w:bottom w:val="none" w:sz="0" w:space="0" w:color="auto"/>
            <w:right w:val="none" w:sz="0" w:space="0" w:color="auto"/>
          </w:divBdr>
          <w:divsChild>
            <w:div w:id="1844972783">
              <w:marLeft w:val="0"/>
              <w:marRight w:val="0"/>
              <w:marTop w:val="0"/>
              <w:marBottom w:val="0"/>
              <w:divBdr>
                <w:top w:val="none" w:sz="0" w:space="0" w:color="auto"/>
                <w:left w:val="none" w:sz="0" w:space="0" w:color="auto"/>
                <w:bottom w:val="none" w:sz="0" w:space="0" w:color="auto"/>
                <w:right w:val="none" w:sz="0" w:space="0" w:color="auto"/>
              </w:divBdr>
            </w:div>
          </w:divsChild>
        </w:div>
        <w:div w:id="1195850645">
          <w:marLeft w:val="0"/>
          <w:marRight w:val="0"/>
          <w:marTop w:val="0"/>
          <w:marBottom w:val="0"/>
          <w:divBdr>
            <w:top w:val="none" w:sz="0" w:space="0" w:color="auto"/>
            <w:left w:val="none" w:sz="0" w:space="0" w:color="auto"/>
            <w:bottom w:val="none" w:sz="0" w:space="0" w:color="auto"/>
            <w:right w:val="none" w:sz="0" w:space="0" w:color="auto"/>
          </w:divBdr>
          <w:divsChild>
            <w:div w:id="1397244134">
              <w:marLeft w:val="0"/>
              <w:marRight w:val="0"/>
              <w:marTop w:val="0"/>
              <w:marBottom w:val="0"/>
              <w:divBdr>
                <w:top w:val="none" w:sz="0" w:space="0" w:color="auto"/>
                <w:left w:val="none" w:sz="0" w:space="0" w:color="auto"/>
                <w:bottom w:val="none" w:sz="0" w:space="0" w:color="auto"/>
                <w:right w:val="none" w:sz="0" w:space="0" w:color="auto"/>
              </w:divBdr>
            </w:div>
          </w:divsChild>
        </w:div>
        <w:div w:id="49043581">
          <w:marLeft w:val="0"/>
          <w:marRight w:val="0"/>
          <w:marTop w:val="0"/>
          <w:marBottom w:val="0"/>
          <w:divBdr>
            <w:top w:val="none" w:sz="0" w:space="0" w:color="auto"/>
            <w:left w:val="none" w:sz="0" w:space="0" w:color="auto"/>
            <w:bottom w:val="none" w:sz="0" w:space="0" w:color="auto"/>
            <w:right w:val="none" w:sz="0" w:space="0" w:color="auto"/>
          </w:divBdr>
          <w:divsChild>
            <w:div w:id="1587421950">
              <w:marLeft w:val="0"/>
              <w:marRight w:val="0"/>
              <w:marTop w:val="0"/>
              <w:marBottom w:val="0"/>
              <w:divBdr>
                <w:top w:val="none" w:sz="0" w:space="0" w:color="auto"/>
                <w:left w:val="none" w:sz="0" w:space="0" w:color="auto"/>
                <w:bottom w:val="none" w:sz="0" w:space="0" w:color="auto"/>
                <w:right w:val="none" w:sz="0" w:space="0" w:color="auto"/>
              </w:divBdr>
            </w:div>
          </w:divsChild>
        </w:div>
        <w:div w:id="1228959669">
          <w:marLeft w:val="0"/>
          <w:marRight w:val="0"/>
          <w:marTop w:val="0"/>
          <w:marBottom w:val="0"/>
          <w:divBdr>
            <w:top w:val="none" w:sz="0" w:space="0" w:color="auto"/>
            <w:left w:val="none" w:sz="0" w:space="0" w:color="auto"/>
            <w:bottom w:val="none" w:sz="0" w:space="0" w:color="auto"/>
            <w:right w:val="none" w:sz="0" w:space="0" w:color="auto"/>
          </w:divBdr>
          <w:divsChild>
            <w:div w:id="1415205392">
              <w:marLeft w:val="0"/>
              <w:marRight w:val="0"/>
              <w:marTop w:val="0"/>
              <w:marBottom w:val="0"/>
              <w:divBdr>
                <w:top w:val="none" w:sz="0" w:space="0" w:color="auto"/>
                <w:left w:val="none" w:sz="0" w:space="0" w:color="auto"/>
                <w:bottom w:val="none" w:sz="0" w:space="0" w:color="auto"/>
                <w:right w:val="none" w:sz="0" w:space="0" w:color="auto"/>
              </w:divBdr>
            </w:div>
          </w:divsChild>
        </w:div>
        <w:div w:id="2011062142">
          <w:marLeft w:val="0"/>
          <w:marRight w:val="0"/>
          <w:marTop w:val="0"/>
          <w:marBottom w:val="0"/>
          <w:divBdr>
            <w:top w:val="none" w:sz="0" w:space="0" w:color="auto"/>
            <w:left w:val="none" w:sz="0" w:space="0" w:color="auto"/>
            <w:bottom w:val="none" w:sz="0" w:space="0" w:color="auto"/>
            <w:right w:val="none" w:sz="0" w:space="0" w:color="auto"/>
          </w:divBdr>
          <w:divsChild>
            <w:div w:id="415782187">
              <w:marLeft w:val="0"/>
              <w:marRight w:val="0"/>
              <w:marTop w:val="0"/>
              <w:marBottom w:val="0"/>
              <w:divBdr>
                <w:top w:val="none" w:sz="0" w:space="0" w:color="auto"/>
                <w:left w:val="none" w:sz="0" w:space="0" w:color="auto"/>
                <w:bottom w:val="none" w:sz="0" w:space="0" w:color="auto"/>
                <w:right w:val="none" w:sz="0" w:space="0" w:color="auto"/>
              </w:divBdr>
            </w:div>
          </w:divsChild>
        </w:div>
        <w:div w:id="5909490">
          <w:marLeft w:val="0"/>
          <w:marRight w:val="0"/>
          <w:marTop w:val="0"/>
          <w:marBottom w:val="0"/>
          <w:divBdr>
            <w:top w:val="none" w:sz="0" w:space="0" w:color="auto"/>
            <w:left w:val="none" w:sz="0" w:space="0" w:color="auto"/>
            <w:bottom w:val="none" w:sz="0" w:space="0" w:color="auto"/>
            <w:right w:val="none" w:sz="0" w:space="0" w:color="auto"/>
          </w:divBdr>
          <w:divsChild>
            <w:div w:id="186911891">
              <w:marLeft w:val="0"/>
              <w:marRight w:val="0"/>
              <w:marTop w:val="0"/>
              <w:marBottom w:val="0"/>
              <w:divBdr>
                <w:top w:val="none" w:sz="0" w:space="0" w:color="auto"/>
                <w:left w:val="none" w:sz="0" w:space="0" w:color="auto"/>
                <w:bottom w:val="none" w:sz="0" w:space="0" w:color="auto"/>
                <w:right w:val="none" w:sz="0" w:space="0" w:color="auto"/>
              </w:divBdr>
            </w:div>
          </w:divsChild>
        </w:div>
        <w:div w:id="1969893476">
          <w:marLeft w:val="0"/>
          <w:marRight w:val="0"/>
          <w:marTop w:val="0"/>
          <w:marBottom w:val="0"/>
          <w:divBdr>
            <w:top w:val="none" w:sz="0" w:space="0" w:color="auto"/>
            <w:left w:val="none" w:sz="0" w:space="0" w:color="auto"/>
            <w:bottom w:val="none" w:sz="0" w:space="0" w:color="auto"/>
            <w:right w:val="none" w:sz="0" w:space="0" w:color="auto"/>
          </w:divBdr>
          <w:divsChild>
            <w:div w:id="2029867100">
              <w:marLeft w:val="0"/>
              <w:marRight w:val="0"/>
              <w:marTop w:val="0"/>
              <w:marBottom w:val="0"/>
              <w:divBdr>
                <w:top w:val="none" w:sz="0" w:space="0" w:color="auto"/>
                <w:left w:val="none" w:sz="0" w:space="0" w:color="auto"/>
                <w:bottom w:val="none" w:sz="0" w:space="0" w:color="auto"/>
                <w:right w:val="none" w:sz="0" w:space="0" w:color="auto"/>
              </w:divBdr>
            </w:div>
          </w:divsChild>
        </w:div>
        <w:div w:id="1631324550">
          <w:marLeft w:val="0"/>
          <w:marRight w:val="0"/>
          <w:marTop w:val="0"/>
          <w:marBottom w:val="0"/>
          <w:divBdr>
            <w:top w:val="none" w:sz="0" w:space="0" w:color="auto"/>
            <w:left w:val="none" w:sz="0" w:space="0" w:color="auto"/>
            <w:bottom w:val="none" w:sz="0" w:space="0" w:color="auto"/>
            <w:right w:val="none" w:sz="0" w:space="0" w:color="auto"/>
          </w:divBdr>
          <w:divsChild>
            <w:div w:id="63335551">
              <w:marLeft w:val="0"/>
              <w:marRight w:val="0"/>
              <w:marTop w:val="0"/>
              <w:marBottom w:val="0"/>
              <w:divBdr>
                <w:top w:val="none" w:sz="0" w:space="0" w:color="auto"/>
                <w:left w:val="none" w:sz="0" w:space="0" w:color="auto"/>
                <w:bottom w:val="none" w:sz="0" w:space="0" w:color="auto"/>
                <w:right w:val="none" w:sz="0" w:space="0" w:color="auto"/>
              </w:divBdr>
            </w:div>
          </w:divsChild>
        </w:div>
        <w:div w:id="875193861">
          <w:marLeft w:val="0"/>
          <w:marRight w:val="0"/>
          <w:marTop w:val="0"/>
          <w:marBottom w:val="0"/>
          <w:divBdr>
            <w:top w:val="none" w:sz="0" w:space="0" w:color="auto"/>
            <w:left w:val="none" w:sz="0" w:space="0" w:color="auto"/>
            <w:bottom w:val="none" w:sz="0" w:space="0" w:color="auto"/>
            <w:right w:val="none" w:sz="0" w:space="0" w:color="auto"/>
          </w:divBdr>
          <w:divsChild>
            <w:div w:id="1711686232">
              <w:marLeft w:val="0"/>
              <w:marRight w:val="0"/>
              <w:marTop w:val="0"/>
              <w:marBottom w:val="0"/>
              <w:divBdr>
                <w:top w:val="none" w:sz="0" w:space="0" w:color="auto"/>
                <w:left w:val="none" w:sz="0" w:space="0" w:color="auto"/>
                <w:bottom w:val="none" w:sz="0" w:space="0" w:color="auto"/>
                <w:right w:val="none" w:sz="0" w:space="0" w:color="auto"/>
              </w:divBdr>
            </w:div>
          </w:divsChild>
        </w:div>
        <w:div w:id="1806896023">
          <w:marLeft w:val="0"/>
          <w:marRight w:val="0"/>
          <w:marTop w:val="0"/>
          <w:marBottom w:val="0"/>
          <w:divBdr>
            <w:top w:val="none" w:sz="0" w:space="0" w:color="auto"/>
            <w:left w:val="none" w:sz="0" w:space="0" w:color="auto"/>
            <w:bottom w:val="none" w:sz="0" w:space="0" w:color="auto"/>
            <w:right w:val="none" w:sz="0" w:space="0" w:color="auto"/>
          </w:divBdr>
          <w:divsChild>
            <w:div w:id="37173718">
              <w:marLeft w:val="0"/>
              <w:marRight w:val="0"/>
              <w:marTop w:val="0"/>
              <w:marBottom w:val="0"/>
              <w:divBdr>
                <w:top w:val="none" w:sz="0" w:space="0" w:color="auto"/>
                <w:left w:val="none" w:sz="0" w:space="0" w:color="auto"/>
                <w:bottom w:val="none" w:sz="0" w:space="0" w:color="auto"/>
                <w:right w:val="none" w:sz="0" w:space="0" w:color="auto"/>
              </w:divBdr>
            </w:div>
          </w:divsChild>
        </w:div>
        <w:div w:id="615718467">
          <w:marLeft w:val="0"/>
          <w:marRight w:val="0"/>
          <w:marTop w:val="0"/>
          <w:marBottom w:val="0"/>
          <w:divBdr>
            <w:top w:val="none" w:sz="0" w:space="0" w:color="auto"/>
            <w:left w:val="none" w:sz="0" w:space="0" w:color="auto"/>
            <w:bottom w:val="none" w:sz="0" w:space="0" w:color="auto"/>
            <w:right w:val="none" w:sz="0" w:space="0" w:color="auto"/>
          </w:divBdr>
          <w:divsChild>
            <w:div w:id="918246644">
              <w:marLeft w:val="0"/>
              <w:marRight w:val="0"/>
              <w:marTop w:val="0"/>
              <w:marBottom w:val="0"/>
              <w:divBdr>
                <w:top w:val="none" w:sz="0" w:space="0" w:color="auto"/>
                <w:left w:val="none" w:sz="0" w:space="0" w:color="auto"/>
                <w:bottom w:val="none" w:sz="0" w:space="0" w:color="auto"/>
                <w:right w:val="none" w:sz="0" w:space="0" w:color="auto"/>
              </w:divBdr>
            </w:div>
          </w:divsChild>
        </w:div>
        <w:div w:id="1571572470">
          <w:marLeft w:val="0"/>
          <w:marRight w:val="0"/>
          <w:marTop w:val="0"/>
          <w:marBottom w:val="0"/>
          <w:divBdr>
            <w:top w:val="none" w:sz="0" w:space="0" w:color="auto"/>
            <w:left w:val="none" w:sz="0" w:space="0" w:color="auto"/>
            <w:bottom w:val="none" w:sz="0" w:space="0" w:color="auto"/>
            <w:right w:val="none" w:sz="0" w:space="0" w:color="auto"/>
          </w:divBdr>
          <w:divsChild>
            <w:div w:id="220486104">
              <w:marLeft w:val="0"/>
              <w:marRight w:val="0"/>
              <w:marTop w:val="0"/>
              <w:marBottom w:val="0"/>
              <w:divBdr>
                <w:top w:val="none" w:sz="0" w:space="0" w:color="auto"/>
                <w:left w:val="none" w:sz="0" w:space="0" w:color="auto"/>
                <w:bottom w:val="none" w:sz="0" w:space="0" w:color="auto"/>
                <w:right w:val="none" w:sz="0" w:space="0" w:color="auto"/>
              </w:divBdr>
            </w:div>
          </w:divsChild>
        </w:div>
        <w:div w:id="144901619">
          <w:marLeft w:val="0"/>
          <w:marRight w:val="0"/>
          <w:marTop w:val="0"/>
          <w:marBottom w:val="0"/>
          <w:divBdr>
            <w:top w:val="none" w:sz="0" w:space="0" w:color="auto"/>
            <w:left w:val="none" w:sz="0" w:space="0" w:color="auto"/>
            <w:bottom w:val="none" w:sz="0" w:space="0" w:color="auto"/>
            <w:right w:val="none" w:sz="0" w:space="0" w:color="auto"/>
          </w:divBdr>
          <w:divsChild>
            <w:div w:id="1689484564">
              <w:marLeft w:val="0"/>
              <w:marRight w:val="0"/>
              <w:marTop w:val="0"/>
              <w:marBottom w:val="0"/>
              <w:divBdr>
                <w:top w:val="none" w:sz="0" w:space="0" w:color="auto"/>
                <w:left w:val="none" w:sz="0" w:space="0" w:color="auto"/>
                <w:bottom w:val="none" w:sz="0" w:space="0" w:color="auto"/>
                <w:right w:val="none" w:sz="0" w:space="0" w:color="auto"/>
              </w:divBdr>
            </w:div>
          </w:divsChild>
        </w:div>
        <w:div w:id="1095251812">
          <w:marLeft w:val="0"/>
          <w:marRight w:val="0"/>
          <w:marTop w:val="0"/>
          <w:marBottom w:val="0"/>
          <w:divBdr>
            <w:top w:val="none" w:sz="0" w:space="0" w:color="auto"/>
            <w:left w:val="none" w:sz="0" w:space="0" w:color="auto"/>
            <w:bottom w:val="none" w:sz="0" w:space="0" w:color="auto"/>
            <w:right w:val="none" w:sz="0" w:space="0" w:color="auto"/>
          </w:divBdr>
          <w:divsChild>
            <w:div w:id="1179344053">
              <w:marLeft w:val="0"/>
              <w:marRight w:val="0"/>
              <w:marTop w:val="0"/>
              <w:marBottom w:val="0"/>
              <w:divBdr>
                <w:top w:val="none" w:sz="0" w:space="0" w:color="auto"/>
                <w:left w:val="none" w:sz="0" w:space="0" w:color="auto"/>
                <w:bottom w:val="none" w:sz="0" w:space="0" w:color="auto"/>
                <w:right w:val="none" w:sz="0" w:space="0" w:color="auto"/>
              </w:divBdr>
            </w:div>
          </w:divsChild>
        </w:div>
        <w:div w:id="1829246321">
          <w:marLeft w:val="0"/>
          <w:marRight w:val="0"/>
          <w:marTop w:val="0"/>
          <w:marBottom w:val="0"/>
          <w:divBdr>
            <w:top w:val="none" w:sz="0" w:space="0" w:color="auto"/>
            <w:left w:val="none" w:sz="0" w:space="0" w:color="auto"/>
            <w:bottom w:val="none" w:sz="0" w:space="0" w:color="auto"/>
            <w:right w:val="none" w:sz="0" w:space="0" w:color="auto"/>
          </w:divBdr>
          <w:divsChild>
            <w:div w:id="339744512">
              <w:marLeft w:val="0"/>
              <w:marRight w:val="0"/>
              <w:marTop w:val="0"/>
              <w:marBottom w:val="0"/>
              <w:divBdr>
                <w:top w:val="none" w:sz="0" w:space="0" w:color="auto"/>
                <w:left w:val="none" w:sz="0" w:space="0" w:color="auto"/>
                <w:bottom w:val="none" w:sz="0" w:space="0" w:color="auto"/>
                <w:right w:val="none" w:sz="0" w:space="0" w:color="auto"/>
              </w:divBdr>
            </w:div>
          </w:divsChild>
        </w:div>
        <w:div w:id="563951437">
          <w:marLeft w:val="0"/>
          <w:marRight w:val="0"/>
          <w:marTop w:val="0"/>
          <w:marBottom w:val="0"/>
          <w:divBdr>
            <w:top w:val="none" w:sz="0" w:space="0" w:color="auto"/>
            <w:left w:val="none" w:sz="0" w:space="0" w:color="auto"/>
            <w:bottom w:val="none" w:sz="0" w:space="0" w:color="auto"/>
            <w:right w:val="none" w:sz="0" w:space="0" w:color="auto"/>
          </w:divBdr>
          <w:divsChild>
            <w:div w:id="703597863">
              <w:marLeft w:val="0"/>
              <w:marRight w:val="0"/>
              <w:marTop w:val="0"/>
              <w:marBottom w:val="0"/>
              <w:divBdr>
                <w:top w:val="none" w:sz="0" w:space="0" w:color="auto"/>
                <w:left w:val="none" w:sz="0" w:space="0" w:color="auto"/>
                <w:bottom w:val="none" w:sz="0" w:space="0" w:color="auto"/>
                <w:right w:val="none" w:sz="0" w:space="0" w:color="auto"/>
              </w:divBdr>
            </w:div>
          </w:divsChild>
        </w:div>
        <w:div w:id="1753744626">
          <w:marLeft w:val="0"/>
          <w:marRight w:val="0"/>
          <w:marTop w:val="0"/>
          <w:marBottom w:val="0"/>
          <w:divBdr>
            <w:top w:val="none" w:sz="0" w:space="0" w:color="auto"/>
            <w:left w:val="none" w:sz="0" w:space="0" w:color="auto"/>
            <w:bottom w:val="none" w:sz="0" w:space="0" w:color="auto"/>
            <w:right w:val="none" w:sz="0" w:space="0" w:color="auto"/>
          </w:divBdr>
          <w:divsChild>
            <w:div w:id="602037013">
              <w:marLeft w:val="0"/>
              <w:marRight w:val="0"/>
              <w:marTop w:val="0"/>
              <w:marBottom w:val="0"/>
              <w:divBdr>
                <w:top w:val="none" w:sz="0" w:space="0" w:color="auto"/>
                <w:left w:val="none" w:sz="0" w:space="0" w:color="auto"/>
                <w:bottom w:val="none" w:sz="0" w:space="0" w:color="auto"/>
                <w:right w:val="none" w:sz="0" w:space="0" w:color="auto"/>
              </w:divBdr>
            </w:div>
          </w:divsChild>
        </w:div>
        <w:div w:id="1737170543">
          <w:marLeft w:val="0"/>
          <w:marRight w:val="0"/>
          <w:marTop w:val="0"/>
          <w:marBottom w:val="0"/>
          <w:divBdr>
            <w:top w:val="none" w:sz="0" w:space="0" w:color="auto"/>
            <w:left w:val="none" w:sz="0" w:space="0" w:color="auto"/>
            <w:bottom w:val="none" w:sz="0" w:space="0" w:color="auto"/>
            <w:right w:val="none" w:sz="0" w:space="0" w:color="auto"/>
          </w:divBdr>
          <w:divsChild>
            <w:div w:id="1346397427">
              <w:marLeft w:val="0"/>
              <w:marRight w:val="0"/>
              <w:marTop w:val="0"/>
              <w:marBottom w:val="0"/>
              <w:divBdr>
                <w:top w:val="none" w:sz="0" w:space="0" w:color="auto"/>
                <w:left w:val="none" w:sz="0" w:space="0" w:color="auto"/>
                <w:bottom w:val="none" w:sz="0" w:space="0" w:color="auto"/>
                <w:right w:val="none" w:sz="0" w:space="0" w:color="auto"/>
              </w:divBdr>
            </w:div>
          </w:divsChild>
        </w:div>
        <w:div w:id="403843986">
          <w:marLeft w:val="0"/>
          <w:marRight w:val="0"/>
          <w:marTop w:val="0"/>
          <w:marBottom w:val="0"/>
          <w:divBdr>
            <w:top w:val="none" w:sz="0" w:space="0" w:color="auto"/>
            <w:left w:val="none" w:sz="0" w:space="0" w:color="auto"/>
            <w:bottom w:val="none" w:sz="0" w:space="0" w:color="auto"/>
            <w:right w:val="none" w:sz="0" w:space="0" w:color="auto"/>
          </w:divBdr>
          <w:divsChild>
            <w:div w:id="697505350">
              <w:marLeft w:val="0"/>
              <w:marRight w:val="0"/>
              <w:marTop w:val="0"/>
              <w:marBottom w:val="0"/>
              <w:divBdr>
                <w:top w:val="none" w:sz="0" w:space="0" w:color="auto"/>
                <w:left w:val="none" w:sz="0" w:space="0" w:color="auto"/>
                <w:bottom w:val="none" w:sz="0" w:space="0" w:color="auto"/>
                <w:right w:val="none" w:sz="0" w:space="0" w:color="auto"/>
              </w:divBdr>
            </w:div>
          </w:divsChild>
        </w:div>
        <w:div w:id="1731030063">
          <w:marLeft w:val="0"/>
          <w:marRight w:val="0"/>
          <w:marTop w:val="0"/>
          <w:marBottom w:val="0"/>
          <w:divBdr>
            <w:top w:val="none" w:sz="0" w:space="0" w:color="auto"/>
            <w:left w:val="none" w:sz="0" w:space="0" w:color="auto"/>
            <w:bottom w:val="none" w:sz="0" w:space="0" w:color="auto"/>
            <w:right w:val="none" w:sz="0" w:space="0" w:color="auto"/>
          </w:divBdr>
          <w:divsChild>
            <w:div w:id="83842110">
              <w:marLeft w:val="0"/>
              <w:marRight w:val="0"/>
              <w:marTop w:val="0"/>
              <w:marBottom w:val="0"/>
              <w:divBdr>
                <w:top w:val="none" w:sz="0" w:space="0" w:color="auto"/>
                <w:left w:val="none" w:sz="0" w:space="0" w:color="auto"/>
                <w:bottom w:val="none" w:sz="0" w:space="0" w:color="auto"/>
                <w:right w:val="none" w:sz="0" w:space="0" w:color="auto"/>
              </w:divBdr>
            </w:div>
          </w:divsChild>
        </w:div>
        <w:div w:id="556211620">
          <w:marLeft w:val="0"/>
          <w:marRight w:val="0"/>
          <w:marTop w:val="0"/>
          <w:marBottom w:val="0"/>
          <w:divBdr>
            <w:top w:val="none" w:sz="0" w:space="0" w:color="auto"/>
            <w:left w:val="none" w:sz="0" w:space="0" w:color="auto"/>
            <w:bottom w:val="none" w:sz="0" w:space="0" w:color="auto"/>
            <w:right w:val="none" w:sz="0" w:space="0" w:color="auto"/>
          </w:divBdr>
          <w:divsChild>
            <w:div w:id="1700278032">
              <w:marLeft w:val="0"/>
              <w:marRight w:val="0"/>
              <w:marTop w:val="0"/>
              <w:marBottom w:val="0"/>
              <w:divBdr>
                <w:top w:val="none" w:sz="0" w:space="0" w:color="auto"/>
                <w:left w:val="none" w:sz="0" w:space="0" w:color="auto"/>
                <w:bottom w:val="none" w:sz="0" w:space="0" w:color="auto"/>
                <w:right w:val="none" w:sz="0" w:space="0" w:color="auto"/>
              </w:divBdr>
            </w:div>
          </w:divsChild>
        </w:div>
        <w:div w:id="1156997639">
          <w:marLeft w:val="0"/>
          <w:marRight w:val="0"/>
          <w:marTop w:val="0"/>
          <w:marBottom w:val="0"/>
          <w:divBdr>
            <w:top w:val="none" w:sz="0" w:space="0" w:color="auto"/>
            <w:left w:val="none" w:sz="0" w:space="0" w:color="auto"/>
            <w:bottom w:val="none" w:sz="0" w:space="0" w:color="auto"/>
            <w:right w:val="none" w:sz="0" w:space="0" w:color="auto"/>
          </w:divBdr>
          <w:divsChild>
            <w:div w:id="1002898617">
              <w:marLeft w:val="0"/>
              <w:marRight w:val="0"/>
              <w:marTop w:val="0"/>
              <w:marBottom w:val="0"/>
              <w:divBdr>
                <w:top w:val="none" w:sz="0" w:space="0" w:color="auto"/>
                <w:left w:val="none" w:sz="0" w:space="0" w:color="auto"/>
                <w:bottom w:val="none" w:sz="0" w:space="0" w:color="auto"/>
                <w:right w:val="none" w:sz="0" w:space="0" w:color="auto"/>
              </w:divBdr>
            </w:div>
          </w:divsChild>
        </w:div>
        <w:div w:id="63308161">
          <w:marLeft w:val="0"/>
          <w:marRight w:val="0"/>
          <w:marTop w:val="0"/>
          <w:marBottom w:val="0"/>
          <w:divBdr>
            <w:top w:val="none" w:sz="0" w:space="0" w:color="auto"/>
            <w:left w:val="none" w:sz="0" w:space="0" w:color="auto"/>
            <w:bottom w:val="none" w:sz="0" w:space="0" w:color="auto"/>
            <w:right w:val="none" w:sz="0" w:space="0" w:color="auto"/>
          </w:divBdr>
          <w:divsChild>
            <w:div w:id="982008586">
              <w:marLeft w:val="0"/>
              <w:marRight w:val="0"/>
              <w:marTop w:val="0"/>
              <w:marBottom w:val="0"/>
              <w:divBdr>
                <w:top w:val="none" w:sz="0" w:space="0" w:color="auto"/>
                <w:left w:val="none" w:sz="0" w:space="0" w:color="auto"/>
                <w:bottom w:val="none" w:sz="0" w:space="0" w:color="auto"/>
                <w:right w:val="none" w:sz="0" w:space="0" w:color="auto"/>
              </w:divBdr>
            </w:div>
          </w:divsChild>
        </w:div>
        <w:div w:id="9528706">
          <w:marLeft w:val="0"/>
          <w:marRight w:val="0"/>
          <w:marTop w:val="0"/>
          <w:marBottom w:val="0"/>
          <w:divBdr>
            <w:top w:val="none" w:sz="0" w:space="0" w:color="auto"/>
            <w:left w:val="none" w:sz="0" w:space="0" w:color="auto"/>
            <w:bottom w:val="none" w:sz="0" w:space="0" w:color="auto"/>
            <w:right w:val="none" w:sz="0" w:space="0" w:color="auto"/>
          </w:divBdr>
          <w:divsChild>
            <w:div w:id="843325529">
              <w:marLeft w:val="0"/>
              <w:marRight w:val="0"/>
              <w:marTop w:val="0"/>
              <w:marBottom w:val="0"/>
              <w:divBdr>
                <w:top w:val="none" w:sz="0" w:space="0" w:color="auto"/>
                <w:left w:val="none" w:sz="0" w:space="0" w:color="auto"/>
                <w:bottom w:val="none" w:sz="0" w:space="0" w:color="auto"/>
                <w:right w:val="none" w:sz="0" w:space="0" w:color="auto"/>
              </w:divBdr>
            </w:div>
          </w:divsChild>
        </w:div>
        <w:div w:id="1272130657">
          <w:marLeft w:val="0"/>
          <w:marRight w:val="0"/>
          <w:marTop w:val="0"/>
          <w:marBottom w:val="0"/>
          <w:divBdr>
            <w:top w:val="none" w:sz="0" w:space="0" w:color="auto"/>
            <w:left w:val="none" w:sz="0" w:space="0" w:color="auto"/>
            <w:bottom w:val="none" w:sz="0" w:space="0" w:color="auto"/>
            <w:right w:val="none" w:sz="0" w:space="0" w:color="auto"/>
          </w:divBdr>
          <w:divsChild>
            <w:div w:id="1517689413">
              <w:marLeft w:val="0"/>
              <w:marRight w:val="0"/>
              <w:marTop w:val="0"/>
              <w:marBottom w:val="0"/>
              <w:divBdr>
                <w:top w:val="none" w:sz="0" w:space="0" w:color="auto"/>
                <w:left w:val="none" w:sz="0" w:space="0" w:color="auto"/>
                <w:bottom w:val="none" w:sz="0" w:space="0" w:color="auto"/>
                <w:right w:val="none" w:sz="0" w:space="0" w:color="auto"/>
              </w:divBdr>
            </w:div>
          </w:divsChild>
        </w:div>
        <w:div w:id="2023890567">
          <w:marLeft w:val="0"/>
          <w:marRight w:val="0"/>
          <w:marTop w:val="0"/>
          <w:marBottom w:val="0"/>
          <w:divBdr>
            <w:top w:val="none" w:sz="0" w:space="0" w:color="auto"/>
            <w:left w:val="none" w:sz="0" w:space="0" w:color="auto"/>
            <w:bottom w:val="none" w:sz="0" w:space="0" w:color="auto"/>
            <w:right w:val="none" w:sz="0" w:space="0" w:color="auto"/>
          </w:divBdr>
          <w:divsChild>
            <w:div w:id="543521814">
              <w:marLeft w:val="0"/>
              <w:marRight w:val="0"/>
              <w:marTop w:val="0"/>
              <w:marBottom w:val="0"/>
              <w:divBdr>
                <w:top w:val="none" w:sz="0" w:space="0" w:color="auto"/>
                <w:left w:val="none" w:sz="0" w:space="0" w:color="auto"/>
                <w:bottom w:val="none" w:sz="0" w:space="0" w:color="auto"/>
                <w:right w:val="none" w:sz="0" w:space="0" w:color="auto"/>
              </w:divBdr>
            </w:div>
          </w:divsChild>
        </w:div>
        <w:div w:id="201478115">
          <w:marLeft w:val="0"/>
          <w:marRight w:val="0"/>
          <w:marTop w:val="0"/>
          <w:marBottom w:val="0"/>
          <w:divBdr>
            <w:top w:val="none" w:sz="0" w:space="0" w:color="auto"/>
            <w:left w:val="none" w:sz="0" w:space="0" w:color="auto"/>
            <w:bottom w:val="none" w:sz="0" w:space="0" w:color="auto"/>
            <w:right w:val="none" w:sz="0" w:space="0" w:color="auto"/>
          </w:divBdr>
          <w:divsChild>
            <w:div w:id="568076141">
              <w:marLeft w:val="0"/>
              <w:marRight w:val="0"/>
              <w:marTop w:val="0"/>
              <w:marBottom w:val="0"/>
              <w:divBdr>
                <w:top w:val="none" w:sz="0" w:space="0" w:color="auto"/>
                <w:left w:val="none" w:sz="0" w:space="0" w:color="auto"/>
                <w:bottom w:val="none" w:sz="0" w:space="0" w:color="auto"/>
                <w:right w:val="none" w:sz="0" w:space="0" w:color="auto"/>
              </w:divBdr>
            </w:div>
          </w:divsChild>
        </w:div>
        <w:div w:id="177355039">
          <w:marLeft w:val="0"/>
          <w:marRight w:val="0"/>
          <w:marTop w:val="0"/>
          <w:marBottom w:val="0"/>
          <w:divBdr>
            <w:top w:val="none" w:sz="0" w:space="0" w:color="auto"/>
            <w:left w:val="none" w:sz="0" w:space="0" w:color="auto"/>
            <w:bottom w:val="none" w:sz="0" w:space="0" w:color="auto"/>
            <w:right w:val="none" w:sz="0" w:space="0" w:color="auto"/>
          </w:divBdr>
          <w:divsChild>
            <w:div w:id="1354301537">
              <w:marLeft w:val="0"/>
              <w:marRight w:val="0"/>
              <w:marTop w:val="0"/>
              <w:marBottom w:val="0"/>
              <w:divBdr>
                <w:top w:val="none" w:sz="0" w:space="0" w:color="auto"/>
                <w:left w:val="none" w:sz="0" w:space="0" w:color="auto"/>
                <w:bottom w:val="none" w:sz="0" w:space="0" w:color="auto"/>
                <w:right w:val="none" w:sz="0" w:space="0" w:color="auto"/>
              </w:divBdr>
            </w:div>
          </w:divsChild>
        </w:div>
        <w:div w:id="1517311414">
          <w:marLeft w:val="0"/>
          <w:marRight w:val="0"/>
          <w:marTop w:val="0"/>
          <w:marBottom w:val="0"/>
          <w:divBdr>
            <w:top w:val="none" w:sz="0" w:space="0" w:color="auto"/>
            <w:left w:val="none" w:sz="0" w:space="0" w:color="auto"/>
            <w:bottom w:val="none" w:sz="0" w:space="0" w:color="auto"/>
            <w:right w:val="none" w:sz="0" w:space="0" w:color="auto"/>
          </w:divBdr>
          <w:divsChild>
            <w:div w:id="1871526908">
              <w:marLeft w:val="0"/>
              <w:marRight w:val="0"/>
              <w:marTop w:val="0"/>
              <w:marBottom w:val="0"/>
              <w:divBdr>
                <w:top w:val="none" w:sz="0" w:space="0" w:color="auto"/>
                <w:left w:val="none" w:sz="0" w:space="0" w:color="auto"/>
                <w:bottom w:val="none" w:sz="0" w:space="0" w:color="auto"/>
                <w:right w:val="none" w:sz="0" w:space="0" w:color="auto"/>
              </w:divBdr>
            </w:div>
          </w:divsChild>
        </w:div>
        <w:div w:id="940333612">
          <w:marLeft w:val="0"/>
          <w:marRight w:val="0"/>
          <w:marTop w:val="0"/>
          <w:marBottom w:val="0"/>
          <w:divBdr>
            <w:top w:val="none" w:sz="0" w:space="0" w:color="auto"/>
            <w:left w:val="none" w:sz="0" w:space="0" w:color="auto"/>
            <w:bottom w:val="none" w:sz="0" w:space="0" w:color="auto"/>
            <w:right w:val="none" w:sz="0" w:space="0" w:color="auto"/>
          </w:divBdr>
          <w:divsChild>
            <w:div w:id="1038049575">
              <w:marLeft w:val="0"/>
              <w:marRight w:val="0"/>
              <w:marTop w:val="0"/>
              <w:marBottom w:val="0"/>
              <w:divBdr>
                <w:top w:val="none" w:sz="0" w:space="0" w:color="auto"/>
                <w:left w:val="none" w:sz="0" w:space="0" w:color="auto"/>
                <w:bottom w:val="none" w:sz="0" w:space="0" w:color="auto"/>
                <w:right w:val="none" w:sz="0" w:space="0" w:color="auto"/>
              </w:divBdr>
            </w:div>
          </w:divsChild>
        </w:div>
        <w:div w:id="2132438635">
          <w:marLeft w:val="0"/>
          <w:marRight w:val="0"/>
          <w:marTop w:val="0"/>
          <w:marBottom w:val="0"/>
          <w:divBdr>
            <w:top w:val="none" w:sz="0" w:space="0" w:color="auto"/>
            <w:left w:val="none" w:sz="0" w:space="0" w:color="auto"/>
            <w:bottom w:val="none" w:sz="0" w:space="0" w:color="auto"/>
            <w:right w:val="none" w:sz="0" w:space="0" w:color="auto"/>
          </w:divBdr>
          <w:divsChild>
            <w:div w:id="2025937633">
              <w:marLeft w:val="0"/>
              <w:marRight w:val="0"/>
              <w:marTop w:val="0"/>
              <w:marBottom w:val="0"/>
              <w:divBdr>
                <w:top w:val="none" w:sz="0" w:space="0" w:color="auto"/>
                <w:left w:val="none" w:sz="0" w:space="0" w:color="auto"/>
                <w:bottom w:val="none" w:sz="0" w:space="0" w:color="auto"/>
                <w:right w:val="none" w:sz="0" w:space="0" w:color="auto"/>
              </w:divBdr>
            </w:div>
          </w:divsChild>
        </w:div>
        <w:div w:id="352729930">
          <w:marLeft w:val="0"/>
          <w:marRight w:val="0"/>
          <w:marTop w:val="0"/>
          <w:marBottom w:val="0"/>
          <w:divBdr>
            <w:top w:val="none" w:sz="0" w:space="0" w:color="auto"/>
            <w:left w:val="none" w:sz="0" w:space="0" w:color="auto"/>
            <w:bottom w:val="none" w:sz="0" w:space="0" w:color="auto"/>
            <w:right w:val="none" w:sz="0" w:space="0" w:color="auto"/>
          </w:divBdr>
          <w:divsChild>
            <w:div w:id="9440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8757">
      <w:bodyDiv w:val="1"/>
      <w:marLeft w:val="0"/>
      <w:marRight w:val="0"/>
      <w:marTop w:val="0"/>
      <w:marBottom w:val="0"/>
      <w:divBdr>
        <w:top w:val="none" w:sz="0" w:space="0" w:color="auto"/>
        <w:left w:val="none" w:sz="0" w:space="0" w:color="auto"/>
        <w:bottom w:val="none" w:sz="0" w:space="0" w:color="auto"/>
        <w:right w:val="none" w:sz="0" w:space="0" w:color="auto"/>
      </w:divBdr>
      <w:divsChild>
        <w:div w:id="109788538">
          <w:marLeft w:val="0"/>
          <w:marRight w:val="0"/>
          <w:marTop w:val="0"/>
          <w:marBottom w:val="0"/>
          <w:divBdr>
            <w:top w:val="none" w:sz="0" w:space="0" w:color="auto"/>
            <w:left w:val="none" w:sz="0" w:space="0" w:color="auto"/>
            <w:bottom w:val="none" w:sz="0" w:space="0" w:color="auto"/>
            <w:right w:val="none" w:sz="0" w:space="0" w:color="auto"/>
          </w:divBdr>
        </w:div>
        <w:div w:id="116417676">
          <w:marLeft w:val="0"/>
          <w:marRight w:val="0"/>
          <w:marTop w:val="0"/>
          <w:marBottom w:val="0"/>
          <w:divBdr>
            <w:top w:val="none" w:sz="0" w:space="0" w:color="auto"/>
            <w:left w:val="none" w:sz="0" w:space="0" w:color="auto"/>
            <w:bottom w:val="none" w:sz="0" w:space="0" w:color="auto"/>
            <w:right w:val="none" w:sz="0" w:space="0" w:color="auto"/>
          </w:divBdr>
        </w:div>
        <w:div w:id="1994866267">
          <w:marLeft w:val="0"/>
          <w:marRight w:val="0"/>
          <w:marTop w:val="0"/>
          <w:marBottom w:val="0"/>
          <w:divBdr>
            <w:top w:val="none" w:sz="0" w:space="0" w:color="auto"/>
            <w:left w:val="none" w:sz="0" w:space="0" w:color="auto"/>
            <w:bottom w:val="none" w:sz="0" w:space="0" w:color="auto"/>
            <w:right w:val="none" w:sz="0" w:space="0" w:color="auto"/>
          </w:divBdr>
        </w:div>
        <w:div w:id="1419600114">
          <w:marLeft w:val="0"/>
          <w:marRight w:val="0"/>
          <w:marTop w:val="0"/>
          <w:marBottom w:val="0"/>
          <w:divBdr>
            <w:top w:val="none" w:sz="0" w:space="0" w:color="auto"/>
            <w:left w:val="none" w:sz="0" w:space="0" w:color="auto"/>
            <w:bottom w:val="none" w:sz="0" w:space="0" w:color="auto"/>
            <w:right w:val="none" w:sz="0" w:space="0" w:color="auto"/>
          </w:divBdr>
        </w:div>
      </w:divsChild>
    </w:div>
    <w:div w:id="2068988113">
      <w:bodyDiv w:val="1"/>
      <w:marLeft w:val="0"/>
      <w:marRight w:val="0"/>
      <w:marTop w:val="0"/>
      <w:marBottom w:val="0"/>
      <w:divBdr>
        <w:top w:val="none" w:sz="0" w:space="0" w:color="auto"/>
        <w:left w:val="none" w:sz="0" w:space="0" w:color="auto"/>
        <w:bottom w:val="none" w:sz="0" w:space="0" w:color="auto"/>
        <w:right w:val="none" w:sz="0" w:space="0" w:color="auto"/>
      </w:divBdr>
    </w:div>
    <w:div w:id="20950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gov.au/our-work/healthy-food-partnership/industry-guide-to-voluntary-serving-size-reductio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health.gov.au/resources/publications/industry-guide-to-voluntary-serving-size-reduction-rationale?language=en" TargetMode="External"/><Relationship Id="rId4" Type="http://schemas.openxmlformats.org/officeDocument/2006/relationships/styles" Target="styles.xml"/><Relationship Id="rId9" Type="http://schemas.openxmlformats.org/officeDocument/2006/relationships/hyperlink" Target="https://www.health.gov.au/sites/default/files/documents/2022/06/portion-size-terminology-fact-sheet-consistent-terminology-for-describing-the-size-of-food-and-beverages.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resources/publications/industry-guide-to-voluntary-serving-size-reduction-rationale?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EF8D12-6E61-4567-9B4F-37A78509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2610</Words>
  <Characters>16156</Characters>
  <Application>Microsoft Office Word</Application>
  <DocSecurity>0</DocSecurity>
  <Lines>475</Lines>
  <Paragraphs>237</Paragraphs>
  <ScaleCrop>false</ScaleCrop>
  <HeadingPairs>
    <vt:vector size="2" baseType="variant">
      <vt:variant>
        <vt:lpstr>Title</vt:lpstr>
      </vt:variant>
      <vt:variant>
        <vt:i4>1</vt:i4>
      </vt:variant>
    </vt:vector>
  </HeadingPairs>
  <TitlesOfParts>
    <vt:vector size="1" baseType="lpstr">
      <vt:lpstr>Healthy Food Partnership Industry Guide to Voluntary Serving Size Reduction: Implementation and Monitoring Plan</vt:lpstr>
    </vt:vector>
  </TitlesOfParts>
  <Company>Dept Health And Ageing</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Food Partnership Industry Guide to Voluntary Serving Size Reduction: Implementation and Monitoring Plan</dc:title>
  <dc:subject>Food and nutrition</dc:subject>
  <dc:creator>The Australian Government Department of Health</dc:creator>
  <cp:keywords>food and nutrition; healthy food partnerships</cp:keywords>
  <cp:lastModifiedBy>MARTIN, Mel</cp:lastModifiedBy>
  <cp:revision>3</cp:revision>
  <cp:lastPrinted>2020-03-10T00:33:00Z</cp:lastPrinted>
  <dcterms:created xsi:type="dcterms:W3CDTF">2024-07-29T01:25:00Z</dcterms:created>
  <dcterms:modified xsi:type="dcterms:W3CDTF">2024-08-16T03:41:00Z</dcterms:modified>
</cp:coreProperties>
</file>