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3151206"/>
    <w:p w14:paraId="4E1C9197" w14:textId="46B3E0F3" w:rsidR="00D560DC" w:rsidRPr="00146AA5" w:rsidRDefault="00000000" w:rsidP="004963FC">
      <w:pPr>
        <w:pStyle w:val="Title"/>
        <w:rPr>
          <w:rFonts w:cs="Arial"/>
        </w:rPr>
      </w:pPr>
      <w:sdt>
        <w:sdtPr>
          <w:rPr>
            <w:rFonts w:cs="Aria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0F13D9" w:rsidRPr="00146AA5">
            <w:rPr>
              <w:rFonts w:cs="Arial"/>
            </w:rPr>
            <w:t xml:space="preserve">General Practice in Aged Care Incentive </w:t>
          </w:r>
          <w:r w:rsidR="00D32D0A">
            <w:rPr>
              <w:rFonts w:cs="Arial"/>
            </w:rPr>
            <w:t>t</w:t>
          </w:r>
          <w:r w:rsidR="000F13D9" w:rsidRPr="00146AA5">
            <w:rPr>
              <w:rFonts w:cs="Arial"/>
            </w:rPr>
            <w:t>aking a person-centre approach to care</w:t>
          </w:r>
        </w:sdtContent>
      </w:sdt>
      <w:bookmarkEnd w:id="0"/>
      <w:bookmarkEnd w:id="1"/>
    </w:p>
    <w:p w14:paraId="4C570D0A" w14:textId="5A41B4FB" w:rsidR="00146AA5" w:rsidRPr="00146AA5" w:rsidRDefault="009E30CD" w:rsidP="00146AA5">
      <w:pPr>
        <w:rPr>
          <w:rFonts w:cs="Arial"/>
        </w:rPr>
      </w:pPr>
      <w:r w:rsidRPr="00146AA5">
        <w:rPr>
          <w:rFonts w:cs="Arial"/>
        </w:rPr>
        <w:t xml:space="preserve">Effective – </w:t>
      </w:r>
      <w:r w:rsidR="3830F714" w:rsidRPr="3DABCDF1">
        <w:rPr>
          <w:rFonts w:cs="Arial"/>
        </w:rPr>
        <w:t>August</w:t>
      </w:r>
      <w:r w:rsidRPr="00146AA5">
        <w:rPr>
          <w:rFonts w:cs="Arial"/>
        </w:rPr>
        <w:t xml:space="preserve"> 2024</w:t>
      </w:r>
      <w:bookmarkStart w:id="2" w:name="_Toc173151207"/>
    </w:p>
    <w:bookmarkEnd w:id="2"/>
    <w:p w14:paraId="140A4BB7" w14:textId="0FAE375F" w:rsidR="00F64948" w:rsidRPr="002379C3" w:rsidRDefault="00D32D0A" w:rsidP="002379C3">
      <w:pPr>
        <w:pStyle w:val="Heading1"/>
      </w:pPr>
      <w:r w:rsidRPr="002379C3">
        <w:t>General</w:t>
      </w:r>
      <w:r>
        <w:t xml:space="preserve"> Practice in Aged Care Incentive</w:t>
      </w:r>
    </w:p>
    <w:p w14:paraId="7E5CE76B" w14:textId="699A3333" w:rsidR="00D947AD" w:rsidRPr="002379C3" w:rsidRDefault="00D947AD" w:rsidP="004D48D9">
      <w:r w:rsidRPr="002379C3">
        <w:t>The General Practice in Aged Care Incentive aims to help people living in residential aged care homes receive better access to proactive, planned, and ongoing health care.</w:t>
      </w:r>
    </w:p>
    <w:p w14:paraId="6C00BC8B" w14:textId="5BAB29C8" w:rsidR="00D947AD" w:rsidRPr="002379C3" w:rsidRDefault="00D947AD" w:rsidP="002379C3">
      <w:r w:rsidRPr="002379C3">
        <w:t xml:space="preserve">The </w:t>
      </w:r>
      <w:hyperlink r:id="rId11">
        <w:r w:rsidRPr="01C41959">
          <w:rPr>
            <w:rFonts w:eastAsia="Arial" w:cs="Arial"/>
            <w:color w:val="467886"/>
            <w:u w:val="single"/>
          </w:rPr>
          <w:t>Royal Commission into Aged Care Quality and Safety</w:t>
        </w:r>
      </w:hyperlink>
      <w:r w:rsidRPr="002379C3">
        <w:t xml:space="preserve"> recommended a new way to care for older people by focusing on their needs. In response to this recommendation, the Department of Health and Aged Care developed the General Practice in Aged Care Incentive to improve access to primary care and other health services.</w:t>
      </w:r>
    </w:p>
    <w:p w14:paraId="734DFF5A" w14:textId="506EB9F8" w:rsidR="00D947AD" w:rsidRPr="002379C3" w:rsidRDefault="00D947AD" w:rsidP="009A32CF">
      <w:pPr>
        <w:pStyle w:val="Heading1"/>
      </w:pPr>
      <w:bookmarkStart w:id="3" w:name="_Toc173151208"/>
      <w:r w:rsidRPr="002379C3">
        <w:t>Person-centred care</w:t>
      </w:r>
      <w:bookmarkEnd w:id="3"/>
    </w:p>
    <w:p w14:paraId="407D0EE3" w14:textId="42E1308A" w:rsidR="00D947AD" w:rsidRPr="005D2AE0" w:rsidRDefault="00D947AD" w:rsidP="005D2AE0">
      <w:r w:rsidRPr="002379C3">
        <w:t xml:space="preserve">The General Practice in Aged Care Incentive promotes a person-centred approach to care. The Australian Commission on Safety and Quality in Health Care1 defines person-centred care as </w:t>
      </w:r>
      <w:r w:rsidRPr="002379C3">
        <w:rPr>
          <w:rStyle w:val="Emphasis"/>
        </w:rPr>
        <w:t>‘healthcare that respects the person, their family and carers, and responds to their preferences, needs and values.’</w:t>
      </w:r>
    </w:p>
    <w:p w14:paraId="18B10085" w14:textId="541008FB" w:rsidR="00D947AD" w:rsidRPr="002379C3" w:rsidRDefault="00D947AD" w:rsidP="009A32CF">
      <w:pPr>
        <w:pStyle w:val="Heading1"/>
      </w:pPr>
      <w:bookmarkStart w:id="4" w:name="_Toc173151209"/>
      <w:r w:rsidRPr="002379C3">
        <w:t>People’s rights in aged care</w:t>
      </w:r>
      <w:bookmarkEnd w:id="4"/>
    </w:p>
    <w:p w14:paraId="6029604B" w14:textId="6F1DB97D" w:rsidR="00D947AD" w:rsidRPr="002379C3" w:rsidRDefault="00D947AD" w:rsidP="002379C3">
      <w:r w:rsidRPr="002379C3">
        <w:t xml:space="preserve">The rights of people who receive aged care services are established in </w:t>
      </w:r>
      <w:hyperlink r:id="rId12">
        <w:r w:rsidRPr="01C41959">
          <w:rPr>
            <w:rFonts w:eastAsia="Arial" w:cs="Arial"/>
            <w:color w:val="467886"/>
            <w:u w:val="single"/>
          </w:rPr>
          <w:t>The Charter of Aged Care Rights</w:t>
        </w:r>
      </w:hyperlink>
      <w:r w:rsidRPr="002379C3">
        <w:t>. This includes aged care residents.</w:t>
      </w:r>
    </w:p>
    <w:p w14:paraId="34404586" w14:textId="6261E8BE" w:rsidR="00D947AD" w:rsidRPr="002379C3" w:rsidRDefault="00000000" w:rsidP="002379C3">
      <w:hyperlink r:id="rId13">
        <w:r w:rsidR="00D947AD" w:rsidRPr="002379C3">
          <w:rPr>
            <w:rStyle w:val="Hyperlink"/>
          </w:rPr>
          <w:t>The Australian Charter of Healthcare Rights</w:t>
        </w:r>
      </w:hyperlink>
      <w:r w:rsidR="00D947AD" w:rsidRPr="002379C3">
        <w:t xml:space="preserve"> sets out the healthcare rights of all people, in all places where health care is provided. This includes the rights of aged care residents, who receive primary care and other health services in an aged care home.</w:t>
      </w:r>
    </w:p>
    <w:p w14:paraId="20B802F8" w14:textId="75B88528" w:rsidR="00D947AD" w:rsidRPr="002379C3" w:rsidRDefault="00D947AD" w:rsidP="009A32CF">
      <w:pPr>
        <w:pStyle w:val="Heading1"/>
      </w:pPr>
      <w:bookmarkStart w:id="5" w:name="_Toc173151210"/>
      <w:r w:rsidRPr="002379C3">
        <w:t>The principles of person-centred care</w:t>
      </w:r>
      <w:bookmarkEnd w:id="5"/>
    </w:p>
    <w:p w14:paraId="6BD36445" w14:textId="4574F0AB" w:rsidR="00D947AD" w:rsidRPr="002379C3" w:rsidRDefault="00D947AD" w:rsidP="002379C3">
      <w:r w:rsidRPr="002379C3">
        <w:t>Person-centred care is recognised as a foundation to safe, high-quality health care.</w:t>
      </w:r>
    </w:p>
    <w:p w14:paraId="27BA8A87" w14:textId="4F1E40FE" w:rsidR="00D947AD" w:rsidRPr="002379C3" w:rsidRDefault="00D947AD" w:rsidP="002379C3">
      <w:r w:rsidRPr="002379C3">
        <w:t xml:space="preserve">There are </w:t>
      </w:r>
      <w:r w:rsidR="00F11125">
        <w:t>4</w:t>
      </w:r>
      <w:r w:rsidRPr="002379C3">
        <w:t xml:space="preserve"> principles of person-centred care</w:t>
      </w:r>
      <w:r w:rsidRPr="00F11125">
        <w:rPr>
          <w:rStyle w:val="superscript"/>
        </w:rPr>
        <w:t>1</w:t>
      </w:r>
      <w:r w:rsidRPr="002379C3">
        <w:t>:</w:t>
      </w:r>
    </w:p>
    <w:p w14:paraId="3A612067" w14:textId="702488BD" w:rsidR="00D947AD" w:rsidRPr="002379C3" w:rsidRDefault="00D947AD" w:rsidP="002379C3">
      <w:pPr>
        <w:pStyle w:val="ListBullet"/>
      </w:pPr>
      <w:r w:rsidRPr="002379C3">
        <w:t xml:space="preserve">The person is treated with </w:t>
      </w:r>
      <w:r w:rsidRPr="002379C3">
        <w:rPr>
          <w:rStyle w:val="Strong"/>
        </w:rPr>
        <w:t>dignity, respect, and compassion</w:t>
      </w:r>
      <w:r w:rsidRPr="002379C3">
        <w:t>.</w:t>
      </w:r>
    </w:p>
    <w:p w14:paraId="3B24F492" w14:textId="7A141989" w:rsidR="00D947AD" w:rsidRPr="002379C3" w:rsidRDefault="00D947AD" w:rsidP="002379C3">
      <w:pPr>
        <w:pStyle w:val="ListBullet"/>
      </w:pPr>
      <w:r w:rsidRPr="002379C3">
        <w:t xml:space="preserve">Care is </w:t>
      </w:r>
      <w:r w:rsidRPr="002379C3">
        <w:rPr>
          <w:rStyle w:val="Strong"/>
        </w:rPr>
        <w:t>personalised</w:t>
      </w:r>
      <w:r w:rsidRPr="002379C3">
        <w:t xml:space="preserve"> – it responds to the person’s needs and goals.</w:t>
      </w:r>
    </w:p>
    <w:p w14:paraId="13C76720" w14:textId="1BDFF704" w:rsidR="00D947AD" w:rsidRPr="002379C3" w:rsidRDefault="00D947AD" w:rsidP="002379C3">
      <w:pPr>
        <w:pStyle w:val="ListBullet"/>
      </w:pPr>
      <w:r w:rsidRPr="002379C3">
        <w:t xml:space="preserve">Care is </w:t>
      </w:r>
      <w:r w:rsidRPr="002379C3">
        <w:rPr>
          <w:rStyle w:val="Strong"/>
        </w:rPr>
        <w:t>coordinated</w:t>
      </w:r>
      <w:r w:rsidRPr="002379C3">
        <w:t xml:space="preserve"> – it takes a coordinated team approach to the person’s care.</w:t>
      </w:r>
    </w:p>
    <w:p w14:paraId="1F8AA882" w14:textId="1EC0ACE6" w:rsidR="00D947AD" w:rsidRPr="002379C3" w:rsidRDefault="00D947AD" w:rsidP="002379C3">
      <w:pPr>
        <w:pStyle w:val="ListBullet"/>
      </w:pPr>
      <w:r w:rsidRPr="002379C3">
        <w:t xml:space="preserve">Care is </w:t>
      </w:r>
      <w:r w:rsidRPr="002379C3">
        <w:rPr>
          <w:rStyle w:val="Strong"/>
        </w:rPr>
        <w:t>enabling</w:t>
      </w:r>
      <w:r w:rsidRPr="002379C3">
        <w:t xml:space="preserve"> – it empowers the person to be involved in decisions about their care.</w:t>
      </w:r>
    </w:p>
    <w:p w14:paraId="256F544D" w14:textId="7E5459B5" w:rsidR="00D947AD" w:rsidRPr="002379C3" w:rsidRDefault="00D947AD" w:rsidP="002379C3">
      <w:r w:rsidRPr="002379C3">
        <w:rPr>
          <w:noProof/>
        </w:rPr>
        <w:lastRenderedPageBreak/>
        <w:drawing>
          <wp:inline distT="0" distB="0" distL="0" distR="0" wp14:anchorId="647851F5" wp14:editId="5527CD5E">
            <wp:extent cx="5162550" cy="3095625"/>
            <wp:effectExtent l="0" t="0" r="0" b="0"/>
            <wp:docPr id="1" name="Picture 1" descr="A circular diagram divided into three equal-sized segments. The top segment is labelled ‘Care is personalised,’ the next in a clockwise direction is labelled ‘Care is coordinated,’ and the third is labelled ‘Care is enabling.’ The centre of the three wedges states ‘Person is treated with dignity, respect, compa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diagram divided into three equal-sized segments. The top segment is labelled ‘Care is personalised,’ the next in a clockwise direction is labelled ‘Care is coordinated,’ and the third is labelled ‘Care is enabling.’ The centre of the three wedges states ‘Person is treated with dignity, respect, compa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3095625"/>
                    </a:xfrm>
                    <a:prstGeom prst="rect">
                      <a:avLst/>
                    </a:prstGeom>
                    <a:noFill/>
                    <a:ln>
                      <a:noFill/>
                    </a:ln>
                  </pic:spPr>
                </pic:pic>
              </a:graphicData>
            </a:graphic>
          </wp:inline>
        </w:drawing>
      </w:r>
    </w:p>
    <w:p w14:paraId="1131AD36" w14:textId="72FE6A2F" w:rsidR="00D947AD" w:rsidRPr="002379C3" w:rsidRDefault="00D947AD" w:rsidP="009A32CF">
      <w:pPr>
        <w:pStyle w:val="Heading1"/>
      </w:pPr>
      <w:bookmarkStart w:id="6" w:name="_Toc173151211"/>
      <w:r w:rsidRPr="002379C3">
        <w:t>Strategies to strengthen person-centred health care</w:t>
      </w:r>
      <w:bookmarkEnd w:id="6"/>
    </w:p>
    <w:p w14:paraId="499F05B0" w14:textId="6170B165" w:rsidR="00D947AD" w:rsidRPr="002379C3" w:rsidRDefault="00D947AD" w:rsidP="002379C3">
      <w:r w:rsidRPr="002379C3">
        <w:t>Strategies to strengthen person-centred care can be implemented as part of the General Practice in Aged Care Incentive. Examples of strategies and how to apply them are outlined below.</w:t>
      </w:r>
    </w:p>
    <w:p w14:paraId="74AA1CD5" w14:textId="4F20AA1D" w:rsidR="00D947AD" w:rsidRPr="002379C3" w:rsidRDefault="00D947AD" w:rsidP="009A32CF">
      <w:pPr>
        <w:pStyle w:val="Heading2"/>
      </w:pPr>
      <w:bookmarkStart w:id="7" w:name="_Toc173151212"/>
      <w:r w:rsidRPr="002379C3">
        <w:t>Respect the person, their family and carers</w:t>
      </w:r>
      <w:bookmarkEnd w:id="7"/>
    </w:p>
    <w:p w14:paraId="46CA4A39" w14:textId="7C9D8389" w:rsidR="00D947AD" w:rsidRPr="002379C3" w:rsidRDefault="00D947AD" w:rsidP="002379C3">
      <w:r w:rsidRPr="002379C3">
        <w:t>Everyone has their own values, beliefs, culture, and norms. General practitioners (GPs) and practices should understand and respect these parts of each person. People living in aged care homes often have family or carers helping them. It is important to respect what the person wants when it comes to the involvement of these other people. </w:t>
      </w:r>
    </w:p>
    <w:p w14:paraId="598E55FB" w14:textId="3AB3214D" w:rsidR="00D947AD" w:rsidRPr="002379C3" w:rsidRDefault="00D947AD" w:rsidP="009A32CF">
      <w:pPr>
        <w:pStyle w:val="Heading3"/>
      </w:pPr>
      <w:r w:rsidRPr="002379C3">
        <w:t>What this means in practice:</w:t>
      </w:r>
    </w:p>
    <w:p w14:paraId="44855FE4" w14:textId="75777119" w:rsidR="00D947AD" w:rsidRPr="002379C3" w:rsidRDefault="00D947AD" w:rsidP="00FA31CF">
      <w:pPr>
        <w:pStyle w:val="ListBullet"/>
      </w:pPr>
      <w:r w:rsidRPr="002379C3">
        <w:t>A person’s unique qualities are considered and included in their care plan.</w:t>
      </w:r>
    </w:p>
    <w:p w14:paraId="4BBC8246" w14:textId="445113F5" w:rsidR="00D947AD" w:rsidRPr="002379C3" w:rsidRDefault="00D947AD" w:rsidP="00FA31CF">
      <w:pPr>
        <w:pStyle w:val="ListBullet"/>
      </w:pPr>
      <w:r w:rsidRPr="002379C3">
        <w:t>A person is seen as an individual, not just as their condition.</w:t>
      </w:r>
    </w:p>
    <w:p w14:paraId="19DE861B" w14:textId="4EF26672" w:rsidR="00D947AD" w:rsidRPr="002379C3" w:rsidRDefault="00D947AD" w:rsidP="00FA31CF">
      <w:pPr>
        <w:pStyle w:val="ListBullet"/>
      </w:pPr>
      <w:r w:rsidRPr="002379C3">
        <w:t>The views and cultural values of the person, their family and carers are considered, when appropriate. Their opinions are encouraged and valued.</w:t>
      </w:r>
    </w:p>
    <w:p w14:paraId="0353EB58" w14:textId="41CC1FF2" w:rsidR="00D947AD" w:rsidRPr="002379C3" w:rsidRDefault="00D947AD" w:rsidP="00FA31CF">
      <w:pPr>
        <w:pStyle w:val="ListBullet"/>
      </w:pPr>
      <w:r w:rsidRPr="002379C3">
        <w:t>Care is delivered in a way that is responsive to specific needs, including physical, emotional, and cultural safety. This may need extra support.</w:t>
      </w:r>
    </w:p>
    <w:p w14:paraId="45784BBC" w14:textId="77777777" w:rsidR="00D947AD" w:rsidRPr="002379C3" w:rsidRDefault="00D947AD" w:rsidP="00FA31CF">
      <w:pPr>
        <w:pStyle w:val="Heading2"/>
      </w:pPr>
      <w:bookmarkStart w:id="8" w:name="_Toc173151213"/>
      <w:r w:rsidRPr="002379C3">
        <w:lastRenderedPageBreak/>
        <w:t>Treat the person with dignity</w:t>
      </w:r>
      <w:bookmarkEnd w:id="8"/>
      <w:r w:rsidRPr="002379C3">
        <w:t> </w:t>
      </w:r>
    </w:p>
    <w:p w14:paraId="617843D3" w14:textId="0CD6EDE2" w:rsidR="00D947AD" w:rsidRPr="002379C3" w:rsidRDefault="00D947AD" w:rsidP="002379C3">
      <w:r w:rsidRPr="002379C3">
        <w:t>It is important to talk to the person receiving care respectfully, listen to what they say, and consider their ideas. Keep their dignity and avoid embarrassing them. People should feel they are being helped to make informed choices and take reasonable risks. Remember that aged care residents may have health issues that make communicating harder, like problems with hearing, seeing, thinking, or other impairments.</w:t>
      </w:r>
    </w:p>
    <w:p w14:paraId="5DCEE944" w14:textId="4CFA23F1" w:rsidR="00D947AD" w:rsidRPr="002379C3" w:rsidRDefault="00D947AD" w:rsidP="00FA31CF">
      <w:pPr>
        <w:pStyle w:val="Heading3"/>
      </w:pPr>
      <w:r w:rsidRPr="002379C3">
        <w:t>What this means in practice:</w:t>
      </w:r>
    </w:p>
    <w:p w14:paraId="65D7B9F5" w14:textId="77A4EAF7" w:rsidR="00D947AD" w:rsidRPr="002379C3" w:rsidRDefault="00D947AD" w:rsidP="002379C3">
      <w:pPr>
        <w:pStyle w:val="ListBullet"/>
      </w:pPr>
      <w:r w:rsidRPr="002379C3">
        <w:t>Specific needs are understood, and a safe and comfortable environment is created.</w:t>
      </w:r>
    </w:p>
    <w:p w14:paraId="2005C732" w14:textId="396A0DE9" w:rsidR="00D947AD" w:rsidRPr="002379C3" w:rsidRDefault="00D947AD" w:rsidP="002379C3">
      <w:pPr>
        <w:pStyle w:val="ListBullet"/>
      </w:pPr>
      <w:r w:rsidRPr="002379C3">
        <w:t>A person is talked with and not about. Face-to-face communication is best.</w:t>
      </w:r>
    </w:p>
    <w:p w14:paraId="18B77ED1" w14:textId="3AEC0D76" w:rsidR="00D947AD" w:rsidRPr="002379C3" w:rsidRDefault="00D947AD" w:rsidP="00FA31CF">
      <w:pPr>
        <w:pStyle w:val="ListBullet"/>
      </w:pPr>
      <w:r w:rsidRPr="002379C3">
        <w:t>More time is allowed for the person to hear and respond to information. There are frequent pauses to allow the person time to process what is being said.</w:t>
      </w:r>
    </w:p>
    <w:p w14:paraId="5288CD80" w14:textId="0254468C" w:rsidR="00D947AD" w:rsidRPr="002379C3" w:rsidRDefault="00D947AD" w:rsidP="00FA31CF">
      <w:pPr>
        <w:pStyle w:val="ListBullet"/>
      </w:pPr>
      <w:r w:rsidRPr="002379C3">
        <w:t>Information is repeated if needed.</w:t>
      </w:r>
    </w:p>
    <w:p w14:paraId="65407C77" w14:textId="734A81AD" w:rsidR="00D947AD" w:rsidRPr="002379C3" w:rsidRDefault="00D947AD" w:rsidP="00FA31CF">
      <w:pPr>
        <w:pStyle w:val="ListBullet"/>
      </w:pPr>
      <w:r w:rsidRPr="002379C3">
        <w:t>Privacy is always maintained.</w:t>
      </w:r>
    </w:p>
    <w:p w14:paraId="27FF724B" w14:textId="4E176A01" w:rsidR="00D947AD" w:rsidRPr="002379C3" w:rsidRDefault="00D947AD" w:rsidP="00FA31CF">
      <w:pPr>
        <w:pStyle w:val="ListBullet"/>
      </w:pPr>
      <w:r w:rsidRPr="002379C3">
        <w:t>Compassion and empathy are shown by taking things slowly and not rushing the person.</w:t>
      </w:r>
    </w:p>
    <w:p w14:paraId="0DD05D1F" w14:textId="4D30396A" w:rsidR="00D947AD" w:rsidRPr="002379C3" w:rsidRDefault="00D947AD" w:rsidP="00FA31CF">
      <w:pPr>
        <w:pStyle w:val="Heading2"/>
      </w:pPr>
      <w:bookmarkStart w:id="9" w:name="_Toc173151214"/>
      <w:r w:rsidRPr="002379C3">
        <w:t>Personalise care by understanding the person’s ideas, concerns, experiences, preferences and goals</w:t>
      </w:r>
      <w:bookmarkEnd w:id="9"/>
    </w:p>
    <w:p w14:paraId="173A99A2" w14:textId="315CB8F4" w:rsidR="00D947AD" w:rsidRPr="002379C3" w:rsidRDefault="00D947AD" w:rsidP="002379C3">
      <w:r w:rsidRPr="002379C3">
        <w:t>Understanding a person's past, how they are now, and what they want in the future are important. Letting them share their worries and wishes helps them feel in control and get care that fits their needs, priorities, and preferences.</w:t>
      </w:r>
    </w:p>
    <w:p w14:paraId="3E248FB4" w14:textId="2792448E" w:rsidR="00D947AD" w:rsidRPr="002379C3" w:rsidRDefault="00D947AD" w:rsidP="00FA31CF">
      <w:pPr>
        <w:pStyle w:val="Heading3"/>
      </w:pPr>
      <w:r w:rsidRPr="002379C3">
        <w:t>What this means in practice:</w:t>
      </w:r>
    </w:p>
    <w:p w14:paraId="1BA9BA8B" w14:textId="27D414D6" w:rsidR="00D947AD" w:rsidRPr="002379C3" w:rsidRDefault="00D947AD" w:rsidP="002379C3">
      <w:pPr>
        <w:pStyle w:val="ListBullet"/>
      </w:pPr>
      <w:r w:rsidRPr="002379C3">
        <w:t>A person has a say in their care.</w:t>
      </w:r>
    </w:p>
    <w:p w14:paraId="59662B47" w14:textId="0E3030B5" w:rsidR="00D947AD" w:rsidRPr="002379C3" w:rsidRDefault="00D947AD" w:rsidP="002379C3">
      <w:pPr>
        <w:pStyle w:val="ListBullet"/>
      </w:pPr>
      <w:r w:rsidRPr="002379C3">
        <w:t>The perspective of family and carers is listened to, if needed.</w:t>
      </w:r>
    </w:p>
    <w:p w14:paraId="277C531F" w14:textId="6C161E38" w:rsidR="00D947AD" w:rsidRPr="002379C3" w:rsidRDefault="00D947AD" w:rsidP="002379C3">
      <w:pPr>
        <w:pStyle w:val="ListBullet"/>
      </w:pPr>
      <w:r w:rsidRPr="002379C3">
        <w:t>Information is provided in different ways to match the person’s needs.</w:t>
      </w:r>
    </w:p>
    <w:p w14:paraId="678DA44D" w14:textId="190652DC" w:rsidR="00D947AD" w:rsidRPr="002379C3" w:rsidRDefault="00D947AD" w:rsidP="00FA31CF">
      <w:pPr>
        <w:pStyle w:val="Heading2"/>
      </w:pPr>
      <w:bookmarkStart w:id="10" w:name="_Toc173151215"/>
      <w:r w:rsidRPr="002379C3">
        <w:t>Support people to make decisions</w:t>
      </w:r>
      <w:bookmarkEnd w:id="10"/>
    </w:p>
    <w:p w14:paraId="55FC453E" w14:textId="06975BAF" w:rsidR="00D947AD" w:rsidRPr="002379C3" w:rsidRDefault="00D947AD" w:rsidP="002379C3">
      <w:r w:rsidRPr="002379C3">
        <w:t>Person-centred care means working together and helping a person be as independent as possible. It includes making decisions together and giving the person choices about their care. This may include helping them understand and manage risks.</w:t>
      </w:r>
    </w:p>
    <w:p w14:paraId="49F92F11" w14:textId="14AF9AF6" w:rsidR="00D947AD" w:rsidRPr="002379C3" w:rsidRDefault="00D947AD" w:rsidP="00FA31CF">
      <w:pPr>
        <w:pStyle w:val="Heading3"/>
      </w:pPr>
      <w:r w:rsidRPr="002379C3">
        <w:t>What this means in practice:</w:t>
      </w:r>
    </w:p>
    <w:p w14:paraId="778F8D51" w14:textId="781CDEAC" w:rsidR="00D947AD" w:rsidRPr="002379C3" w:rsidRDefault="00D947AD" w:rsidP="002379C3">
      <w:pPr>
        <w:pStyle w:val="ListBullet"/>
      </w:pPr>
      <w:r w:rsidRPr="002379C3">
        <w:t>People are given enough information to make informed decisions.</w:t>
      </w:r>
    </w:p>
    <w:p w14:paraId="592D5D14" w14:textId="514250A6" w:rsidR="00D947AD" w:rsidRPr="002379C3" w:rsidRDefault="00D947AD" w:rsidP="002379C3">
      <w:pPr>
        <w:pStyle w:val="ListBullet"/>
      </w:pPr>
      <w:r w:rsidRPr="002379C3">
        <w:t>People are told about their rights.</w:t>
      </w:r>
    </w:p>
    <w:p w14:paraId="2E9D7F80" w14:textId="2D69DCA4" w:rsidR="00D947AD" w:rsidRPr="002379C3" w:rsidRDefault="00D947AD" w:rsidP="002379C3">
      <w:pPr>
        <w:pStyle w:val="ListBullet"/>
      </w:pPr>
      <w:r w:rsidRPr="002379C3">
        <w:t>A person’s right to choose what care they want is respected.</w:t>
      </w:r>
    </w:p>
    <w:p w14:paraId="6B311DDA" w14:textId="13E0638E" w:rsidR="00D947AD" w:rsidRPr="002379C3" w:rsidRDefault="00D947AD" w:rsidP="00FA31CF">
      <w:pPr>
        <w:pStyle w:val="Heading2"/>
      </w:pPr>
      <w:bookmarkStart w:id="11" w:name="_Toc173151216"/>
      <w:r w:rsidRPr="002379C3">
        <w:lastRenderedPageBreak/>
        <w:t>Maintain confidentiality</w:t>
      </w:r>
      <w:bookmarkEnd w:id="11"/>
    </w:p>
    <w:p w14:paraId="4BD55B03" w14:textId="0864F19F" w:rsidR="00D947AD" w:rsidRPr="002379C3" w:rsidRDefault="00D947AD" w:rsidP="002379C3">
      <w:r w:rsidRPr="002379C3">
        <w:t>Keeping information private helps build trust. Trust is the foundation of an ongoing enduring relationship and continuity of care. It helps the person, their GP, and care team work better together.</w:t>
      </w:r>
    </w:p>
    <w:p w14:paraId="5311678B" w14:textId="76B12229" w:rsidR="00D947AD" w:rsidRPr="002379C3" w:rsidRDefault="00D947AD" w:rsidP="002379C3">
      <w:r w:rsidRPr="002379C3">
        <w:t>What this means in practice:</w:t>
      </w:r>
    </w:p>
    <w:p w14:paraId="60888DCB" w14:textId="6A5F5315" w:rsidR="00D947AD" w:rsidRPr="002379C3" w:rsidRDefault="00D947AD" w:rsidP="005D2AE0">
      <w:pPr>
        <w:pStyle w:val="ListBullet"/>
      </w:pPr>
      <w:r w:rsidRPr="002379C3">
        <w:t>A person is asked what information they want shared with their family, carers, and other professionals, including the aged care home.</w:t>
      </w:r>
    </w:p>
    <w:p w14:paraId="71B486AD" w14:textId="3FB716A9" w:rsidR="00D947AD" w:rsidRPr="002379C3" w:rsidRDefault="00D947AD" w:rsidP="002379C3">
      <w:pPr>
        <w:pStyle w:val="Heading1"/>
      </w:pPr>
      <w:bookmarkStart w:id="12" w:name="_Toc173151217"/>
      <w:r w:rsidRPr="002379C3">
        <w:t>More information</w:t>
      </w:r>
      <w:bookmarkEnd w:id="12"/>
    </w:p>
    <w:p w14:paraId="1E6E558D" w14:textId="1BF3E528" w:rsidR="009A32CF" w:rsidRPr="00F11125" w:rsidRDefault="00D947AD" w:rsidP="00F11125">
      <w:r w:rsidRPr="002379C3">
        <w:t xml:space="preserve">More information about the incentive is available at </w:t>
      </w:r>
      <w:hyperlink r:id="rId15" w:tgtFrame="_blank" w:history="1">
        <w:r w:rsidRPr="00146AA5">
          <w:rPr>
            <w:rFonts w:cs="Arial"/>
            <w:color w:val="467886"/>
            <w:u w:val="single"/>
          </w:rPr>
          <w:t>health.gov.au/our-work/gpaci</w:t>
        </w:r>
      </w:hyperlink>
      <w:r w:rsidR="009A32CF" w:rsidRPr="00F11125">
        <w:t>.</w:t>
      </w:r>
    </w:p>
    <w:p w14:paraId="76AAFD14" w14:textId="77777777" w:rsidR="009A32CF" w:rsidRPr="00F11125" w:rsidRDefault="009A32CF" w:rsidP="00F11125">
      <w:r w:rsidRPr="00F11125">
        <w:br w:type="page"/>
      </w:r>
    </w:p>
    <w:p w14:paraId="13DA2A0C" w14:textId="77777777" w:rsidR="00FA31CF" w:rsidRDefault="00FA31CF" w:rsidP="00FA31CF">
      <w:pPr>
        <w:pStyle w:val="Endofpagetext"/>
      </w:pPr>
    </w:p>
    <w:p w14:paraId="40FD9DAE" w14:textId="1144B4D6" w:rsidR="009E30CD" w:rsidRPr="00146AA5" w:rsidRDefault="009E30CD" w:rsidP="00FA31CF">
      <w:pPr>
        <w:pStyle w:val="Endofpagetext"/>
      </w:pPr>
      <w:r w:rsidRPr="00146AA5">
        <w:t xml:space="preserve">All information in this publication is correct as of </w:t>
      </w:r>
      <w:r w:rsidR="16EC7FC9" w:rsidRPr="3DABCDF1">
        <w:t>August</w:t>
      </w:r>
      <w:r w:rsidRPr="00146AA5">
        <w:t xml:space="preserve"> 2024</w:t>
      </w:r>
      <w:r w:rsidR="00F342F6" w:rsidRPr="00146AA5">
        <w:t>.</w:t>
      </w:r>
    </w:p>
    <w:sectPr w:rsidR="009E30CD" w:rsidRPr="00146AA5" w:rsidSect="004963FC">
      <w:headerReference w:type="default" r:id="rId16"/>
      <w:footerReference w:type="default" r:id="rId17"/>
      <w:headerReference w:type="first" r:id="rId18"/>
      <w:footerReference w:type="first" r:id="rId19"/>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9552" w14:textId="77777777" w:rsidR="00B03666" w:rsidRDefault="00B03666" w:rsidP="00D560DC">
      <w:pPr>
        <w:spacing w:before="0" w:after="0" w:line="240" w:lineRule="auto"/>
      </w:pPr>
      <w:r>
        <w:separator/>
      </w:r>
    </w:p>
  </w:endnote>
  <w:endnote w:type="continuationSeparator" w:id="0">
    <w:p w14:paraId="54FE7CA9" w14:textId="77777777" w:rsidR="00B03666" w:rsidRDefault="00B03666" w:rsidP="00D560DC">
      <w:pPr>
        <w:spacing w:before="0" w:after="0" w:line="240" w:lineRule="auto"/>
      </w:pPr>
      <w:r>
        <w:continuationSeparator/>
      </w:r>
    </w:p>
  </w:endnote>
  <w:endnote w:type="continuationNotice" w:id="1">
    <w:p w14:paraId="47E5D777" w14:textId="77777777" w:rsidR="00B03666" w:rsidRDefault="00B036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1ADD0274" w:rsidR="0039793D" w:rsidRPr="002379C3" w:rsidRDefault="00AF121B" w:rsidP="002379C3">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D32D0A" w:rsidRPr="002379C3">
          <w:t>General Practice in Aged Care Incentive taking a person-centre approach to care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6A3BFE73"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D32D0A">
          <w:t>General Practice in Aged Care Incentive taking a person-centre approach to care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B463" w14:textId="77777777" w:rsidR="00B03666" w:rsidRDefault="00B03666" w:rsidP="00D560DC">
      <w:pPr>
        <w:spacing w:before="0" w:after="0" w:line="240" w:lineRule="auto"/>
      </w:pPr>
      <w:r>
        <w:separator/>
      </w:r>
    </w:p>
  </w:footnote>
  <w:footnote w:type="continuationSeparator" w:id="0">
    <w:p w14:paraId="065865AE" w14:textId="77777777" w:rsidR="00B03666" w:rsidRDefault="00B03666" w:rsidP="00D560DC">
      <w:pPr>
        <w:spacing w:before="0" w:after="0" w:line="240" w:lineRule="auto"/>
      </w:pPr>
      <w:r>
        <w:continuationSeparator/>
      </w:r>
    </w:p>
  </w:footnote>
  <w:footnote w:type="continuationNotice" w:id="1">
    <w:p w14:paraId="548D961B" w14:textId="77777777" w:rsidR="00B03666" w:rsidRDefault="00B0366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567"/>
        </w:tabs>
        <w:ind w:left="567"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646D7"/>
    <w:multiLevelType w:val="hybridMultilevel"/>
    <w:tmpl w:val="BC70B26E"/>
    <w:lvl w:ilvl="0" w:tplc="4D481F9C">
      <w:start w:val="1"/>
      <w:numFmt w:val="bullet"/>
      <w:pStyle w:val="Subheading-Guidelines"/>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8538E8"/>
    <w:multiLevelType w:val="hybridMultilevel"/>
    <w:tmpl w:val="ABEC1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E4553C"/>
    <w:multiLevelType w:val="hybridMultilevel"/>
    <w:tmpl w:val="68588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1119D0"/>
    <w:multiLevelType w:val="hybridMultilevel"/>
    <w:tmpl w:val="DEE6B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BD5A56"/>
    <w:multiLevelType w:val="hybridMultilevel"/>
    <w:tmpl w:val="DB1AECD4"/>
    <w:lvl w:ilvl="0" w:tplc="8A36A97C">
      <w:start w:val="1"/>
      <w:numFmt w:val="decimal"/>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7E573D"/>
    <w:multiLevelType w:val="hybridMultilevel"/>
    <w:tmpl w:val="122C8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A77908"/>
    <w:multiLevelType w:val="hybridMultilevel"/>
    <w:tmpl w:val="F9FE1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5EA1A8B"/>
    <w:multiLevelType w:val="hybridMultilevel"/>
    <w:tmpl w:val="E01AE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45A6E52"/>
    <w:multiLevelType w:val="hybridMultilevel"/>
    <w:tmpl w:val="2EB89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3"/>
  </w:num>
  <w:num w:numId="2" w16cid:durableId="842470679">
    <w:abstractNumId w:val="10"/>
  </w:num>
  <w:num w:numId="3" w16cid:durableId="1678968889">
    <w:abstractNumId w:val="0"/>
  </w:num>
  <w:num w:numId="4" w16cid:durableId="1842163252">
    <w:abstractNumId w:val="1"/>
  </w:num>
  <w:num w:numId="5" w16cid:durableId="572276078">
    <w:abstractNumId w:val="2"/>
  </w:num>
  <w:num w:numId="6" w16cid:durableId="1993291614">
    <w:abstractNumId w:val="3"/>
  </w:num>
  <w:num w:numId="7" w16cid:durableId="1083137740">
    <w:abstractNumId w:val="7"/>
  </w:num>
  <w:num w:numId="8" w16cid:durableId="378365768">
    <w:abstractNumId w:val="12"/>
  </w:num>
  <w:num w:numId="9" w16cid:durableId="1106079229">
    <w:abstractNumId w:val="6"/>
  </w:num>
  <w:num w:numId="10" w16cid:durableId="1454908549">
    <w:abstractNumId w:val="5"/>
  </w:num>
  <w:num w:numId="11" w16cid:durableId="1941599965">
    <w:abstractNumId w:val="8"/>
  </w:num>
  <w:num w:numId="12" w16cid:durableId="861479653">
    <w:abstractNumId w:val="9"/>
  </w:num>
  <w:num w:numId="13" w16cid:durableId="320080703">
    <w:abstractNumId w:val="4"/>
  </w:num>
  <w:num w:numId="14" w16cid:durableId="9526330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44464"/>
    <w:rsid w:val="00061D6A"/>
    <w:rsid w:val="00073057"/>
    <w:rsid w:val="0007659C"/>
    <w:rsid w:val="00082701"/>
    <w:rsid w:val="000A7C9F"/>
    <w:rsid w:val="000B18A7"/>
    <w:rsid w:val="000F13D9"/>
    <w:rsid w:val="0010297C"/>
    <w:rsid w:val="0011315D"/>
    <w:rsid w:val="00124A98"/>
    <w:rsid w:val="0014204E"/>
    <w:rsid w:val="00146AA5"/>
    <w:rsid w:val="00163226"/>
    <w:rsid w:val="0019613B"/>
    <w:rsid w:val="00197EC9"/>
    <w:rsid w:val="001A53CC"/>
    <w:rsid w:val="001B3342"/>
    <w:rsid w:val="001E3443"/>
    <w:rsid w:val="00205290"/>
    <w:rsid w:val="00212D92"/>
    <w:rsid w:val="002379C3"/>
    <w:rsid w:val="00287B48"/>
    <w:rsid w:val="002A77A4"/>
    <w:rsid w:val="002B09F3"/>
    <w:rsid w:val="002B5E7A"/>
    <w:rsid w:val="002C26E8"/>
    <w:rsid w:val="002C6B2D"/>
    <w:rsid w:val="002D27AE"/>
    <w:rsid w:val="002E1B3E"/>
    <w:rsid w:val="002E4165"/>
    <w:rsid w:val="002F0B8B"/>
    <w:rsid w:val="00324651"/>
    <w:rsid w:val="003736EB"/>
    <w:rsid w:val="003932FC"/>
    <w:rsid w:val="00396A26"/>
    <w:rsid w:val="0039793D"/>
    <w:rsid w:val="003A18B8"/>
    <w:rsid w:val="003B2E3D"/>
    <w:rsid w:val="003B36D9"/>
    <w:rsid w:val="003F6E9A"/>
    <w:rsid w:val="00411AE3"/>
    <w:rsid w:val="0041233C"/>
    <w:rsid w:val="00432A99"/>
    <w:rsid w:val="0044135A"/>
    <w:rsid w:val="004963FC"/>
    <w:rsid w:val="004A1E4C"/>
    <w:rsid w:val="004A500A"/>
    <w:rsid w:val="004B3D3F"/>
    <w:rsid w:val="004C415D"/>
    <w:rsid w:val="004C7058"/>
    <w:rsid w:val="004D48D9"/>
    <w:rsid w:val="004E540A"/>
    <w:rsid w:val="0050199B"/>
    <w:rsid w:val="00524B9A"/>
    <w:rsid w:val="00527D37"/>
    <w:rsid w:val="00535C06"/>
    <w:rsid w:val="005958B1"/>
    <w:rsid w:val="005D2AE0"/>
    <w:rsid w:val="005D2DE6"/>
    <w:rsid w:val="00610DDA"/>
    <w:rsid w:val="00635A19"/>
    <w:rsid w:val="006A2EA6"/>
    <w:rsid w:val="006C5627"/>
    <w:rsid w:val="007138D1"/>
    <w:rsid w:val="007148D0"/>
    <w:rsid w:val="00762EB0"/>
    <w:rsid w:val="007661CA"/>
    <w:rsid w:val="00775EA0"/>
    <w:rsid w:val="00785E61"/>
    <w:rsid w:val="007A0DC4"/>
    <w:rsid w:val="007B0499"/>
    <w:rsid w:val="007B2408"/>
    <w:rsid w:val="007B4244"/>
    <w:rsid w:val="007C547B"/>
    <w:rsid w:val="007C5EAC"/>
    <w:rsid w:val="007E3DC7"/>
    <w:rsid w:val="0080053F"/>
    <w:rsid w:val="00802B82"/>
    <w:rsid w:val="00817CB4"/>
    <w:rsid w:val="00844530"/>
    <w:rsid w:val="00845E13"/>
    <w:rsid w:val="00853B77"/>
    <w:rsid w:val="00865346"/>
    <w:rsid w:val="00891C26"/>
    <w:rsid w:val="008A340B"/>
    <w:rsid w:val="008F62F1"/>
    <w:rsid w:val="00901119"/>
    <w:rsid w:val="009426C5"/>
    <w:rsid w:val="0095530D"/>
    <w:rsid w:val="009A0C1C"/>
    <w:rsid w:val="009A32CF"/>
    <w:rsid w:val="009B02F7"/>
    <w:rsid w:val="009B7043"/>
    <w:rsid w:val="009C01BF"/>
    <w:rsid w:val="009D70DA"/>
    <w:rsid w:val="009E30CD"/>
    <w:rsid w:val="00A2470F"/>
    <w:rsid w:val="00A62134"/>
    <w:rsid w:val="00A828C2"/>
    <w:rsid w:val="00A9171E"/>
    <w:rsid w:val="00AB76A4"/>
    <w:rsid w:val="00AF121B"/>
    <w:rsid w:val="00AF684A"/>
    <w:rsid w:val="00AF71F9"/>
    <w:rsid w:val="00B03666"/>
    <w:rsid w:val="00B305E8"/>
    <w:rsid w:val="00B349F8"/>
    <w:rsid w:val="00B612DA"/>
    <w:rsid w:val="00BA4643"/>
    <w:rsid w:val="00BA73B9"/>
    <w:rsid w:val="00BB763B"/>
    <w:rsid w:val="00BC2448"/>
    <w:rsid w:val="00BC45BA"/>
    <w:rsid w:val="00C1181F"/>
    <w:rsid w:val="00C579DD"/>
    <w:rsid w:val="00C70717"/>
    <w:rsid w:val="00C72181"/>
    <w:rsid w:val="00C763A2"/>
    <w:rsid w:val="00CE2ACC"/>
    <w:rsid w:val="00CE7B7A"/>
    <w:rsid w:val="00CF40FC"/>
    <w:rsid w:val="00D06FDA"/>
    <w:rsid w:val="00D11558"/>
    <w:rsid w:val="00D1260D"/>
    <w:rsid w:val="00D32D0A"/>
    <w:rsid w:val="00D43D9C"/>
    <w:rsid w:val="00D50739"/>
    <w:rsid w:val="00D548FC"/>
    <w:rsid w:val="00D560DC"/>
    <w:rsid w:val="00D67D1B"/>
    <w:rsid w:val="00D83C95"/>
    <w:rsid w:val="00D947AD"/>
    <w:rsid w:val="00DA78D7"/>
    <w:rsid w:val="00DB5904"/>
    <w:rsid w:val="00DB5D01"/>
    <w:rsid w:val="00DB786A"/>
    <w:rsid w:val="00DF666F"/>
    <w:rsid w:val="00E0009C"/>
    <w:rsid w:val="00E000BB"/>
    <w:rsid w:val="00E0199B"/>
    <w:rsid w:val="00E06FAF"/>
    <w:rsid w:val="00E47880"/>
    <w:rsid w:val="00E47EE2"/>
    <w:rsid w:val="00E54399"/>
    <w:rsid w:val="00E65022"/>
    <w:rsid w:val="00E65DAB"/>
    <w:rsid w:val="00EA39DC"/>
    <w:rsid w:val="00ED2F56"/>
    <w:rsid w:val="00EF16B7"/>
    <w:rsid w:val="00F11125"/>
    <w:rsid w:val="00F21192"/>
    <w:rsid w:val="00F342F6"/>
    <w:rsid w:val="00F46ED6"/>
    <w:rsid w:val="00F52C02"/>
    <w:rsid w:val="00F57682"/>
    <w:rsid w:val="00F61C49"/>
    <w:rsid w:val="00F62279"/>
    <w:rsid w:val="00F64948"/>
    <w:rsid w:val="00F64FDB"/>
    <w:rsid w:val="00F67C48"/>
    <w:rsid w:val="00FA3109"/>
    <w:rsid w:val="00FA31CF"/>
    <w:rsid w:val="00FB1D7F"/>
    <w:rsid w:val="00FB7C1E"/>
    <w:rsid w:val="00FC2C68"/>
    <w:rsid w:val="00FD4E53"/>
    <w:rsid w:val="01C41959"/>
    <w:rsid w:val="16EC7FC9"/>
    <w:rsid w:val="3830F714"/>
    <w:rsid w:val="3DABCDF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C70717"/>
    <w:pPr>
      <w:spacing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rsid w:val="00F64FDB"/>
    <w:rPr>
      <w:rFonts w:asciiTheme="majorHAnsi" w:eastAsiaTheme="majorEastAsia" w:hAnsiTheme="majorHAnsi" w:cstheme="majorBidi"/>
      <w:b/>
      <w:color w:val="212A4C" w:themeColor="text2"/>
      <w:sz w:val="44"/>
      <w:szCs w:val="22"/>
    </w:rPr>
  </w:style>
  <w:style w:type="paragraph" w:styleId="Title">
    <w:name w:val="Title"/>
    <w:next w:val="Normal"/>
    <w:link w:val="TitleChar"/>
    <w:qFormat/>
    <w:rsid w:val="009A32CF"/>
    <w:pPr>
      <w:spacing w:before="0" w:after="0" w:line="240" w:lineRule="auto"/>
      <w:contextualSpacing/>
    </w:pPr>
    <w:rPr>
      <w:rFonts w:ascii="Arial" w:eastAsiaTheme="majorEastAsia" w:hAnsi="Arial" w:cstheme="majorBidi"/>
      <w:spacing w:val="-10"/>
      <w:kern w:val="28"/>
      <w:sz w:val="52"/>
      <w:szCs w:val="56"/>
    </w:rPr>
  </w:style>
  <w:style w:type="character" w:customStyle="1" w:styleId="TitleChar">
    <w:name w:val="Title Char"/>
    <w:basedOn w:val="DefaultParagraphFont"/>
    <w:link w:val="Title"/>
    <w:rsid w:val="009A32CF"/>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styleId="ListBullet">
    <w:name w:val="List Bullet"/>
    <w:basedOn w:val="Normal"/>
    <w:unhideWhenUsed/>
    <w:qFormat/>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2379C3"/>
    <w:rPr>
      <w:rFonts w:ascii="Arial" w:hAnsi="Arial"/>
      <w:color w:val="467886"/>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Endofpagetext">
    <w:name w:val="End of page text"/>
    <w:basedOn w:val="Normal"/>
    <w:link w:val="EndofpagetextChar"/>
    <w:qFormat/>
    <w:rsid w:val="00FA31CF"/>
    <w:pPr>
      <w:spacing w:before="7000"/>
      <w:jc w:val="center"/>
    </w:pPr>
    <w:rPr>
      <w:rFonts w:cs="Arial"/>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character" w:customStyle="1" w:styleId="EndofpagetextChar">
    <w:name w:val="End of page text Char"/>
    <w:basedOn w:val="DefaultParagraphFont"/>
    <w:link w:val="Endofpagetext"/>
    <w:rsid w:val="00FA31CF"/>
    <w:rPr>
      <w:rFonts w:ascii="Arial" w:hAnsi="Arial" w:cs="Arial"/>
      <w:sz w:val="24"/>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Subheading-Guidelines">
    <w:name w:val="Sub heading - Guidelines"/>
    <w:basedOn w:val="Heading2"/>
    <w:link w:val="Subheading-GuidelinesChar"/>
    <w:qFormat/>
    <w:rsid w:val="00817CB4"/>
    <w:pPr>
      <w:numPr>
        <w:numId w:val="6"/>
      </w:numPr>
      <w:spacing w:before="40" w:after="0" w:line="259" w:lineRule="auto"/>
    </w:pPr>
    <w:rPr>
      <w:b w:val="0"/>
      <w:bCs/>
      <w:color w:val="264F90" w:themeColor="accent2"/>
      <w:kern w:val="2"/>
      <w:sz w:val="28"/>
      <w:szCs w:val="28"/>
      <w:lang w:eastAsia="en-US"/>
      <w14:ligatures w14:val="standardContextual"/>
    </w:rPr>
  </w:style>
  <w:style w:type="character" w:customStyle="1" w:styleId="Subheading-GuidelinesChar">
    <w:name w:val="Sub heading - Guidelines Char"/>
    <w:basedOn w:val="DefaultParagraphFont"/>
    <w:link w:val="Subheading-Guidelines"/>
    <w:rsid w:val="00F11125"/>
    <w:rPr>
      <w:rFonts w:ascii="Arial" w:eastAsiaTheme="majorEastAsia" w:hAnsi="Arial" w:cstheme="majorBidi"/>
      <w:b w:val="0"/>
      <w:bCs/>
      <w:color w:val="264F90" w:themeColor="accent2"/>
      <w:kern w:val="2"/>
      <w:sz w:val="28"/>
      <w:szCs w:val="28"/>
      <w:lang w:eastAsia="en-US"/>
      <w14:ligatures w14:val="standardContextual"/>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 w:val="22"/>
      <w:szCs w:val="22"/>
      <w:lang w:val="en-US" w:eastAsia="en-US"/>
    </w:rPr>
  </w:style>
  <w:style w:type="paragraph" w:customStyle="1" w:styleId="Tabletextleft">
    <w:name w:val="Table text left"/>
    <w:autoRedefine/>
    <w:qFormat/>
    <w:locked/>
    <w:rsid w:val="00817CB4"/>
    <w:pPr>
      <w:spacing w:before="60" w:after="60" w:line="240" w:lineRule="auto"/>
    </w:pPr>
    <w:rPr>
      <w:rFonts w:ascii="Arial" w:eastAsia="Times New Roman" w:hAnsi="Arial" w:cs="Times New Roman"/>
      <w:sz w:val="21"/>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 w:val="22"/>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character" w:customStyle="1" w:styleId="superscript">
    <w:name w:val="superscript"/>
    <w:basedOn w:val="DefaultParagraphFont"/>
    <w:rsid w:val="00F11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513">
      <w:bodyDiv w:val="1"/>
      <w:marLeft w:val="0"/>
      <w:marRight w:val="0"/>
      <w:marTop w:val="0"/>
      <w:marBottom w:val="0"/>
      <w:divBdr>
        <w:top w:val="none" w:sz="0" w:space="0" w:color="auto"/>
        <w:left w:val="none" w:sz="0" w:space="0" w:color="auto"/>
        <w:bottom w:val="none" w:sz="0" w:space="0" w:color="auto"/>
        <w:right w:val="none" w:sz="0" w:space="0" w:color="auto"/>
      </w:divBdr>
      <w:divsChild>
        <w:div w:id="1141656568">
          <w:marLeft w:val="0"/>
          <w:marRight w:val="0"/>
          <w:marTop w:val="0"/>
          <w:marBottom w:val="0"/>
          <w:divBdr>
            <w:top w:val="none" w:sz="0" w:space="0" w:color="auto"/>
            <w:left w:val="none" w:sz="0" w:space="0" w:color="auto"/>
            <w:bottom w:val="none" w:sz="0" w:space="0" w:color="auto"/>
            <w:right w:val="none" w:sz="0" w:space="0" w:color="auto"/>
          </w:divBdr>
        </w:div>
        <w:div w:id="141049013">
          <w:marLeft w:val="0"/>
          <w:marRight w:val="0"/>
          <w:marTop w:val="0"/>
          <w:marBottom w:val="0"/>
          <w:divBdr>
            <w:top w:val="none" w:sz="0" w:space="0" w:color="auto"/>
            <w:left w:val="none" w:sz="0" w:space="0" w:color="auto"/>
            <w:bottom w:val="none" w:sz="0" w:space="0" w:color="auto"/>
            <w:right w:val="none" w:sz="0" w:space="0" w:color="auto"/>
          </w:divBdr>
        </w:div>
        <w:div w:id="1341471319">
          <w:marLeft w:val="0"/>
          <w:marRight w:val="0"/>
          <w:marTop w:val="0"/>
          <w:marBottom w:val="0"/>
          <w:divBdr>
            <w:top w:val="none" w:sz="0" w:space="0" w:color="auto"/>
            <w:left w:val="none" w:sz="0" w:space="0" w:color="auto"/>
            <w:bottom w:val="none" w:sz="0" w:space="0" w:color="auto"/>
            <w:right w:val="none" w:sz="0" w:space="0" w:color="auto"/>
          </w:divBdr>
        </w:div>
        <w:div w:id="725449572">
          <w:marLeft w:val="0"/>
          <w:marRight w:val="0"/>
          <w:marTop w:val="0"/>
          <w:marBottom w:val="0"/>
          <w:divBdr>
            <w:top w:val="none" w:sz="0" w:space="0" w:color="auto"/>
            <w:left w:val="none" w:sz="0" w:space="0" w:color="auto"/>
            <w:bottom w:val="none" w:sz="0" w:space="0" w:color="auto"/>
            <w:right w:val="none" w:sz="0" w:space="0" w:color="auto"/>
          </w:divBdr>
        </w:div>
        <w:div w:id="420762139">
          <w:marLeft w:val="0"/>
          <w:marRight w:val="0"/>
          <w:marTop w:val="0"/>
          <w:marBottom w:val="0"/>
          <w:divBdr>
            <w:top w:val="none" w:sz="0" w:space="0" w:color="auto"/>
            <w:left w:val="none" w:sz="0" w:space="0" w:color="auto"/>
            <w:bottom w:val="none" w:sz="0" w:space="0" w:color="auto"/>
            <w:right w:val="none" w:sz="0" w:space="0" w:color="auto"/>
          </w:divBdr>
        </w:div>
        <w:div w:id="1669211077">
          <w:marLeft w:val="0"/>
          <w:marRight w:val="0"/>
          <w:marTop w:val="0"/>
          <w:marBottom w:val="0"/>
          <w:divBdr>
            <w:top w:val="none" w:sz="0" w:space="0" w:color="auto"/>
            <w:left w:val="none" w:sz="0" w:space="0" w:color="auto"/>
            <w:bottom w:val="none" w:sz="0" w:space="0" w:color="auto"/>
            <w:right w:val="none" w:sz="0" w:space="0" w:color="auto"/>
          </w:divBdr>
        </w:div>
        <w:div w:id="1590113995">
          <w:marLeft w:val="0"/>
          <w:marRight w:val="0"/>
          <w:marTop w:val="0"/>
          <w:marBottom w:val="0"/>
          <w:divBdr>
            <w:top w:val="none" w:sz="0" w:space="0" w:color="auto"/>
            <w:left w:val="none" w:sz="0" w:space="0" w:color="auto"/>
            <w:bottom w:val="none" w:sz="0" w:space="0" w:color="auto"/>
            <w:right w:val="none" w:sz="0" w:space="0" w:color="auto"/>
          </w:divBdr>
        </w:div>
        <w:div w:id="870607528">
          <w:marLeft w:val="0"/>
          <w:marRight w:val="0"/>
          <w:marTop w:val="0"/>
          <w:marBottom w:val="0"/>
          <w:divBdr>
            <w:top w:val="none" w:sz="0" w:space="0" w:color="auto"/>
            <w:left w:val="none" w:sz="0" w:space="0" w:color="auto"/>
            <w:bottom w:val="none" w:sz="0" w:space="0" w:color="auto"/>
            <w:right w:val="none" w:sz="0" w:space="0" w:color="auto"/>
          </w:divBdr>
        </w:div>
        <w:div w:id="1179933145">
          <w:marLeft w:val="0"/>
          <w:marRight w:val="0"/>
          <w:marTop w:val="0"/>
          <w:marBottom w:val="0"/>
          <w:divBdr>
            <w:top w:val="none" w:sz="0" w:space="0" w:color="auto"/>
            <w:left w:val="none" w:sz="0" w:space="0" w:color="auto"/>
            <w:bottom w:val="none" w:sz="0" w:space="0" w:color="auto"/>
            <w:right w:val="none" w:sz="0" w:space="0" w:color="auto"/>
          </w:divBdr>
        </w:div>
        <w:div w:id="4721552">
          <w:marLeft w:val="0"/>
          <w:marRight w:val="0"/>
          <w:marTop w:val="0"/>
          <w:marBottom w:val="0"/>
          <w:divBdr>
            <w:top w:val="none" w:sz="0" w:space="0" w:color="auto"/>
            <w:left w:val="none" w:sz="0" w:space="0" w:color="auto"/>
            <w:bottom w:val="none" w:sz="0" w:space="0" w:color="auto"/>
            <w:right w:val="none" w:sz="0" w:space="0" w:color="auto"/>
          </w:divBdr>
        </w:div>
        <w:div w:id="654187446">
          <w:marLeft w:val="0"/>
          <w:marRight w:val="0"/>
          <w:marTop w:val="0"/>
          <w:marBottom w:val="0"/>
          <w:divBdr>
            <w:top w:val="none" w:sz="0" w:space="0" w:color="auto"/>
            <w:left w:val="none" w:sz="0" w:space="0" w:color="auto"/>
            <w:bottom w:val="none" w:sz="0" w:space="0" w:color="auto"/>
            <w:right w:val="none" w:sz="0" w:space="0" w:color="auto"/>
          </w:divBdr>
        </w:div>
        <w:div w:id="936869123">
          <w:marLeft w:val="0"/>
          <w:marRight w:val="0"/>
          <w:marTop w:val="0"/>
          <w:marBottom w:val="0"/>
          <w:divBdr>
            <w:top w:val="none" w:sz="0" w:space="0" w:color="auto"/>
            <w:left w:val="none" w:sz="0" w:space="0" w:color="auto"/>
            <w:bottom w:val="none" w:sz="0" w:space="0" w:color="auto"/>
            <w:right w:val="none" w:sz="0" w:space="0" w:color="auto"/>
          </w:divBdr>
        </w:div>
        <w:div w:id="1612128123">
          <w:marLeft w:val="0"/>
          <w:marRight w:val="0"/>
          <w:marTop w:val="0"/>
          <w:marBottom w:val="0"/>
          <w:divBdr>
            <w:top w:val="none" w:sz="0" w:space="0" w:color="auto"/>
            <w:left w:val="none" w:sz="0" w:space="0" w:color="auto"/>
            <w:bottom w:val="none" w:sz="0" w:space="0" w:color="auto"/>
            <w:right w:val="none" w:sz="0" w:space="0" w:color="auto"/>
          </w:divBdr>
        </w:div>
        <w:div w:id="1159610347">
          <w:marLeft w:val="0"/>
          <w:marRight w:val="0"/>
          <w:marTop w:val="0"/>
          <w:marBottom w:val="0"/>
          <w:divBdr>
            <w:top w:val="none" w:sz="0" w:space="0" w:color="auto"/>
            <w:left w:val="none" w:sz="0" w:space="0" w:color="auto"/>
            <w:bottom w:val="none" w:sz="0" w:space="0" w:color="auto"/>
            <w:right w:val="none" w:sz="0" w:space="0" w:color="auto"/>
          </w:divBdr>
        </w:div>
        <w:div w:id="645476874">
          <w:marLeft w:val="0"/>
          <w:marRight w:val="0"/>
          <w:marTop w:val="0"/>
          <w:marBottom w:val="0"/>
          <w:divBdr>
            <w:top w:val="none" w:sz="0" w:space="0" w:color="auto"/>
            <w:left w:val="none" w:sz="0" w:space="0" w:color="auto"/>
            <w:bottom w:val="none" w:sz="0" w:space="0" w:color="auto"/>
            <w:right w:val="none" w:sz="0" w:space="0" w:color="auto"/>
          </w:divBdr>
        </w:div>
        <w:div w:id="1307315138">
          <w:marLeft w:val="0"/>
          <w:marRight w:val="0"/>
          <w:marTop w:val="0"/>
          <w:marBottom w:val="0"/>
          <w:divBdr>
            <w:top w:val="none" w:sz="0" w:space="0" w:color="auto"/>
            <w:left w:val="none" w:sz="0" w:space="0" w:color="auto"/>
            <w:bottom w:val="none" w:sz="0" w:space="0" w:color="auto"/>
            <w:right w:val="none" w:sz="0" w:space="0" w:color="auto"/>
          </w:divBdr>
        </w:div>
        <w:div w:id="242178818">
          <w:marLeft w:val="0"/>
          <w:marRight w:val="0"/>
          <w:marTop w:val="0"/>
          <w:marBottom w:val="0"/>
          <w:divBdr>
            <w:top w:val="none" w:sz="0" w:space="0" w:color="auto"/>
            <w:left w:val="none" w:sz="0" w:space="0" w:color="auto"/>
            <w:bottom w:val="none" w:sz="0" w:space="0" w:color="auto"/>
            <w:right w:val="none" w:sz="0" w:space="0" w:color="auto"/>
          </w:divBdr>
        </w:div>
        <w:div w:id="790588179">
          <w:marLeft w:val="0"/>
          <w:marRight w:val="0"/>
          <w:marTop w:val="0"/>
          <w:marBottom w:val="0"/>
          <w:divBdr>
            <w:top w:val="none" w:sz="0" w:space="0" w:color="auto"/>
            <w:left w:val="none" w:sz="0" w:space="0" w:color="auto"/>
            <w:bottom w:val="none" w:sz="0" w:space="0" w:color="auto"/>
            <w:right w:val="none" w:sz="0" w:space="0" w:color="auto"/>
          </w:divBdr>
        </w:div>
        <w:div w:id="578174301">
          <w:marLeft w:val="0"/>
          <w:marRight w:val="0"/>
          <w:marTop w:val="0"/>
          <w:marBottom w:val="0"/>
          <w:divBdr>
            <w:top w:val="none" w:sz="0" w:space="0" w:color="auto"/>
            <w:left w:val="none" w:sz="0" w:space="0" w:color="auto"/>
            <w:bottom w:val="none" w:sz="0" w:space="0" w:color="auto"/>
            <w:right w:val="none" w:sz="0" w:space="0" w:color="auto"/>
          </w:divBdr>
        </w:div>
        <w:div w:id="1628970990">
          <w:marLeft w:val="0"/>
          <w:marRight w:val="0"/>
          <w:marTop w:val="0"/>
          <w:marBottom w:val="0"/>
          <w:divBdr>
            <w:top w:val="none" w:sz="0" w:space="0" w:color="auto"/>
            <w:left w:val="none" w:sz="0" w:space="0" w:color="auto"/>
            <w:bottom w:val="none" w:sz="0" w:space="0" w:color="auto"/>
            <w:right w:val="none" w:sz="0" w:space="0" w:color="auto"/>
          </w:divBdr>
        </w:div>
        <w:div w:id="1723014763">
          <w:marLeft w:val="0"/>
          <w:marRight w:val="0"/>
          <w:marTop w:val="0"/>
          <w:marBottom w:val="0"/>
          <w:divBdr>
            <w:top w:val="none" w:sz="0" w:space="0" w:color="auto"/>
            <w:left w:val="none" w:sz="0" w:space="0" w:color="auto"/>
            <w:bottom w:val="none" w:sz="0" w:space="0" w:color="auto"/>
            <w:right w:val="none" w:sz="0" w:space="0" w:color="auto"/>
          </w:divBdr>
        </w:div>
        <w:div w:id="1864172476">
          <w:marLeft w:val="0"/>
          <w:marRight w:val="0"/>
          <w:marTop w:val="0"/>
          <w:marBottom w:val="0"/>
          <w:divBdr>
            <w:top w:val="none" w:sz="0" w:space="0" w:color="auto"/>
            <w:left w:val="none" w:sz="0" w:space="0" w:color="auto"/>
            <w:bottom w:val="none" w:sz="0" w:space="0" w:color="auto"/>
            <w:right w:val="none" w:sz="0" w:space="0" w:color="auto"/>
          </w:divBdr>
        </w:div>
        <w:div w:id="1234664276">
          <w:marLeft w:val="0"/>
          <w:marRight w:val="0"/>
          <w:marTop w:val="0"/>
          <w:marBottom w:val="0"/>
          <w:divBdr>
            <w:top w:val="none" w:sz="0" w:space="0" w:color="auto"/>
            <w:left w:val="none" w:sz="0" w:space="0" w:color="auto"/>
            <w:bottom w:val="none" w:sz="0" w:space="0" w:color="auto"/>
            <w:right w:val="none" w:sz="0" w:space="0" w:color="auto"/>
          </w:divBdr>
        </w:div>
        <w:div w:id="1638072787">
          <w:marLeft w:val="0"/>
          <w:marRight w:val="0"/>
          <w:marTop w:val="0"/>
          <w:marBottom w:val="0"/>
          <w:divBdr>
            <w:top w:val="none" w:sz="0" w:space="0" w:color="auto"/>
            <w:left w:val="none" w:sz="0" w:space="0" w:color="auto"/>
            <w:bottom w:val="none" w:sz="0" w:space="0" w:color="auto"/>
            <w:right w:val="none" w:sz="0" w:space="0" w:color="auto"/>
          </w:divBdr>
        </w:div>
        <w:div w:id="117768505">
          <w:marLeft w:val="0"/>
          <w:marRight w:val="0"/>
          <w:marTop w:val="0"/>
          <w:marBottom w:val="0"/>
          <w:divBdr>
            <w:top w:val="none" w:sz="0" w:space="0" w:color="auto"/>
            <w:left w:val="none" w:sz="0" w:space="0" w:color="auto"/>
            <w:bottom w:val="none" w:sz="0" w:space="0" w:color="auto"/>
            <w:right w:val="none" w:sz="0" w:space="0" w:color="auto"/>
          </w:divBdr>
        </w:div>
        <w:div w:id="1793665400">
          <w:marLeft w:val="0"/>
          <w:marRight w:val="0"/>
          <w:marTop w:val="0"/>
          <w:marBottom w:val="0"/>
          <w:divBdr>
            <w:top w:val="none" w:sz="0" w:space="0" w:color="auto"/>
            <w:left w:val="none" w:sz="0" w:space="0" w:color="auto"/>
            <w:bottom w:val="none" w:sz="0" w:space="0" w:color="auto"/>
            <w:right w:val="none" w:sz="0" w:space="0" w:color="auto"/>
          </w:divBdr>
        </w:div>
        <w:div w:id="980842062">
          <w:marLeft w:val="0"/>
          <w:marRight w:val="0"/>
          <w:marTop w:val="0"/>
          <w:marBottom w:val="0"/>
          <w:divBdr>
            <w:top w:val="none" w:sz="0" w:space="0" w:color="auto"/>
            <w:left w:val="none" w:sz="0" w:space="0" w:color="auto"/>
            <w:bottom w:val="none" w:sz="0" w:space="0" w:color="auto"/>
            <w:right w:val="none" w:sz="0" w:space="0" w:color="auto"/>
          </w:divBdr>
        </w:div>
        <w:div w:id="1015035028">
          <w:marLeft w:val="0"/>
          <w:marRight w:val="0"/>
          <w:marTop w:val="0"/>
          <w:marBottom w:val="0"/>
          <w:divBdr>
            <w:top w:val="none" w:sz="0" w:space="0" w:color="auto"/>
            <w:left w:val="none" w:sz="0" w:space="0" w:color="auto"/>
            <w:bottom w:val="none" w:sz="0" w:space="0" w:color="auto"/>
            <w:right w:val="none" w:sz="0" w:space="0" w:color="auto"/>
          </w:divBdr>
        </w:div>
        <w:div w:id="391542734">
          <w:marLeft w:val="0"/>
          <w:marRight w:val="0"/>
          <w:marTop w:val="0"/>
          <w:marBottom w:val="0"/>
          <w:divBdr>
            <w:top w:val="none" w:sz="0" w:space="0" w:color="auto"/>
            <w:left w:val="none" w:sz="0" w:space="0" w:color="auto"/>
            <w:bottom w:val="none" w:sz="0" w:space="0" w:color="auto"/>
            <w:right w:val="none" w:sz="0" w:space="0" w:color="auto"/>
          </w:divBdr>
        </w:div>
        <w:div w:id="1204363543">
          <w:marLeft w:val="0"/>
          <w:marRight w:val="0"/>
          <w:marTop w:val="0"/>
          <w:marBottom w:val="0"/>
          <w:divBdr>
            <w:top w:val="none" w:sz="0" w:space="0" w:color="auto"/>
            <w:left w:val="none" w:sz="0" w:space="0" w:color="auto"/>
            <w:bottom w:val="none" w:sz="0" w:space="0" w:color="auto"/>
            <w:right w:val="none" w:sz="0" w:space="0" w:color="auto"/>
          </w:divBdr>
        </w:div>
        <w:div w:id="1635869697">
          <w:marLeft w:val="0"/>
          <w:marRight w:val="0"/>
          <w:marTop w:val="0"/>
          <w:marBottom w:val="0"/>
          <w:divBdr>
            <w:top w:val="none" w:sz="0" w:space="0" w:color="auto"/>
            <w:left w:val="none" w:sz="0" w:space="0" w:color="auto"/>
            <w:bottom w:val="none" w:sz="0" w:space="0" w:color="auto"/>
            <w:right w:val="none" w:sz="0" w:space="0" w:color="auto"/>
          </w:divBdr>
        </w:div>
        <w:div w:id="1969621199">
          <w:marLeft w:val="0"/>
          <w:marRight w:val="0"/>
          <w:marTop w:val="0"/>
          <w:marBottom w:val="0"/>
          <w:divBdr>
            <w:top w:val="none" w:sz="0" w:space="0" w:color="auto"/>
            <w:left w:val="none" w:sz="0" w:space="0" w:color="auto"/>
            <w:bottom w:val="none" w:sz="0" w:space="0" w:color="auto"/>
            <w:right w:val="none" w:sz="0" w:space="0" w:color="auto"/>
          </w:divBdr>
        </w:div>
        <w:div w:id="1827427888">
          <w:marLeft w:val="0"/>
          <w:marRight w:val="0"/>
          <w:marTop w:val="0"/>
          <w:marBottom w:val="0"/>
          <w:divBdr>
            <w:top w:val="none" w:sz="0" w:space="0" w:color="auto"/>
            <w:left w:val="none" w:sz="0" w:space="0" w:color="auto"/>
            <w:bottom w:val="none" w:sz="0" w:space="0" w:color="auto"/>
            <w:right w:val="none" w:sz="0" w:space="0" w:color="auto"/>
          </w:divBdr>
        </w:div>
        <w:div w:id="467282438">
          <w:marLeft w:val="0"/>
          <w:marRight w:val="0"/>
          <w:marTop w:val="0"/>
          <w:marBottom w:val="0"/>
          <w:divBdr>
            <w:top w:val="none" w:sz="0" w:space="0" w:color="auto"/>
            <w:left w:val="none" w:sz="0" w:space="0" w:color="auto"/>
            <w:bottom w:val="none" w:sz="0" w:space="0" w:color="auto"/>
            <w:right w:val="none" w:sz="0" w:space="0" w:color="auto"/>
          </w:divBdr>
        </w:div>
        <w:div w:id="1250456857">
          <w:marLeft w:val="0"/>
          <w:marRight w:val="0"/>
          <w:marTop w:val="0"/>
          <w:marBottom w:val="0"/>
          <w:divBdr>
            <w:top w:val="none" w:sz="0" w:space="0" w:color="auto"/>
            <w:left w:val="none" w:sz="0" w:space="0" w:color="auto"/>
            <w:bottom w:val="none" w:sz="0" w:space="0" w:color="auto"/>
            <w:right w:val="none" w:sz="0" w:space="0" w:color="auto"/>
          </w:divBdr>
        </w:div>
        <w:div w:id="1985156390">
          <w:marLeft w:val="0"/>
          <w:marRight w:val="0"/>
          <w:marTop w:val="0"/>
          <w:marBottom w:val="0"/>
          <w:divBdr>
            <w:top w:val="none" w:sz="0" w:space="0" w:color="auto"/>
            <w:left w:val="none" w:sz="0" w:space="0" w:color="auto"/>
            <w:bottom w:val="none" w:sz="0" w:space="0" w:color="auto"/>
            <w:right w:val="none" w:sz="0" w:space="0" w:color="auto"/>
          </w:divBdr>
        </w:div>
        <w:div w:id="1670979914">
          <w:marLeft w:val="0"/>
          <w:marRight w:val="0"/>
          <w:marTop w:val="0"/>
          <w:marBottom w:val="0"/>
          <w:divBdr>
            <w:top w:val="none" w:sz="0" w:space="0" w:color="auto"/>
            <w:left w:val="none" w:sz="0" w:space="0" w:color="auto"/>
            <w:bottom w:val="none" w:sz="0" w:space="0" w:color="auto"/>
            <w:right w:val="none" w:sz="0" w:space="0" w:color="auto"/>
          </w:divBdr>
        </w:div>
        <w:div w:id="2558587">
          <w:marLeft w:val="0"/>
          <w:marRight w:val="0"/>
          <w:marTop w:val="0"/>
          <w:marBottom w:val="0"/>
          <w:divBdr>
            <w:top w:val="none" w:sz="0" w:space="0" w:color="auto"/>
            <w:left w:val="none" w:sz="0" w:space="0" w:color="auto"/>
            <w:bottom w:val="none" w:sz="0" w:space="0" w:color="auto"/>
            <w:right w:val="none" w:sz="0" w:space="0" w:color="auto"/>
          </w:divBdr>
        </w:div>
        <w:div w:id="718943258">
          <w:marLeft w:val="0"/>
          <w:marRight w:val="0"/>
          <w:marTop w:val="0"/>
          <w:marBottom w:val="0"/>
          <w:divBdr>
            <w:top w:val="none" w:sz="0" w:space="0" w:color="auto"/>
            <w:left w:val="none" w:sz="0" w:space="0" w:color="auto"/>
            <w:bottom w:val="none" w:sz="0" w:space="0" w:color="auto"/>
            <w:right w:val="none" w:sz="0" w:space="0" w:color="auto"/>
          </w:divBdr>
        </w:div>
        <w:div w:id="555505308">
          <w:marLeft w:val="0"/>
          <w:marRight w:val="0"/>
          <w:marTop w:val="0"/>
          <w:marBottom w:val="0"/>
          <w:divBdr>
            <w:top w:val="none" w:sz="0" w:space="0" w:color="auto"/>
            <w:left w:val="none" w:sz="0" w:space="0" w:color="auto"/>
            <w:bottom w:val="none" w:sz="0" w:space="0" w:color="auto"/>
            <w:right w:val="none" w:sz="0" w:space="0" w:color="auto"/>
          </w:divBdr>
        </w:div>
        <w:div w:id="1391685582">
          <w:marLeft w:val="0"/>
          <w:marRight w:val="0"/>
          <w:marTop w:val="0"/>
          <w:marBottom w:val="0"/>
          <w:divBdr>
            <w:top w:val="none" w:sz="0" w:space="0" w:color="auto"/>
            <w:left w:val="none" w:sz="0" w:space="0" w:color="auto"/>
            <w:bottom w:val="none" w:sz="0" w:space="0" w:color="auto"/>
            <w:right w:val="none" w:sz="0" w:space="0" w:color="auto"/>
          </w:divBdr>
        </w:div>
        <w:div w:id="361590375">
          <w:marLeft w:val="0"/>
          <w:marRight w:val="0"/>
          <w:marTop w:val="0"/>
          <w:marBottom w:val="0"/>
          <w:divBdr>
            <w:top w:val="none" w:sz="0" w:space="0" w:color="auto"/>
            <w:left w:val="none" w:sz="0" w:space="0" w:color="auto"/>
            <w:bottom w:val="none" w:sz="0" w:space="0" w:color="auto"/>
            <w:right w:val="none" w:sz="0" w:space="0" w:color="auto"/>
          </w:divBdr>
        </w:div>
        <w:div w:id="2143837744">
          <w:marLeft w:val="0"/>
          <w:marRight w:val="0"/>
          <w:marTop w:val="0"/>
          <w:marBottom w:val="0"/>
          <w:divBdr>
            <w:top w:val="none" w:sz="0" w:space="0" w:color="auto"/>
            <w:left w:val="none" w:sz="0" w:space="0" w:color="auto"/>
            <w:bottom w:val="none" w:sz="0" w:space="0" w:color="auto"/>
            <w:right w:val="none" w:sz="0" w:space="0" w:color="auto"/>
          </w:divBdr>
        </w:div>
        <w:div w:id="167212026">
          <w:marLeft w:val="0"/>
          <w:marRight w:val="0"/>
          <w:marTop w:val="0"/>
          <w:marBottom w:val="0"/>
          <w:divBdr>
            <w:top w:val="none" w:sz="0" w:space="0" w:color="auto"/>
            <w:left w:val="none" w:sz="0" w:space="0" w:color="auto"/>
            <w:bottom w:val="none" w:sz="0" w:space="0" w:color="auto"/>
            <w:right w:val="none" w:sz="0" w:space="0" w:color="auto"/>
          </w:divBdr>
        </w:div>
        <w:div w:id="1910799984">
          <w:marLeft w:val="0"/>
          <w:marRight w:val="0"/>
          <w:marTop w:val="0"/>
          <w:marBottom w:val="0"/>
          <w:divBdr>
            <w:top w:val="none" w:sz="0" w:space="0" w:color="auto"/>
            <w:left w:val="none" w:sz="0" w:space="0" w:color="auto"/>
            <w:bottom w:val="none" w:sz="0" w:space="0" w:color="auto"/>
            <w:right w:val="none" w:sz="0" w:space="0" w:color="auto"/>
          </w:divBdr>
        </w:div>
        <w:div w:id="959872620">
          <w:marLeft w:val="0"/>
          <w:marRight w:val="0"/>
          <w:marTop w:val="0"/>
          <w:marBottom w:val="0"/>
          <w:divBdr>
            <w:top w:val="none" w:sz="0" w:space="0" w:color="auto"/>
            <w:left w:val="none" w:sz="0" w:space="0" w:color="auto"/>
            <w:bottom w:val="none" w:sz="0" w:space="0" w:color="auto"/>
            <w:right w:val="none" w:sz="0" w:space="0" w:color="auto"/>
          </w:divBdr>
        </w:div>
        <w:div w:id="1879858002">
          <w:marLeft w:val="0"/>
          <w:marRight w:val="0"/>
          <w:marTop w:val="0"/>
          <w:marBottom w:val="0"/>
          <w:divBdr>
            <w:top w:val="none" w:sz="0" w:space="0" w:color="auto"/>
            <w:left w:val="none" w:sz="0" w:space="0" w:color="auto"/>
            <w:bottom w:val="none" w:sz="0" w:space="0" w:color="auto"/>
            <w:right w:val="none" w:sz="0" w:space="0" w:color="auto"/>
          </w:divBdr>
        </w:div>
        <w:div w:id="942146367">
          <w:marLeft w:val="0"/>
          <w:marRight w:val="0"/>
          <w:marTop w:val="0"/>
          <w:marBottom w:val="0"/>
          <w:divBdr>
            <w:top w:val="none" w:sz="0" w:space="0" w:color="auto"/>
            <w:left w:val="none" w:sz="0" w:space="0" w:color="auto"/>
            <w:bottom w:val="none" w:sz="0" w:space="0" w:color="auto"/>
            <w:right w:val="none" w:sz="0" w:space="0" w:color="auto"/>
          </w:divBdr>
        </w:div>
        <w:div w:id="44526591">
          <w:marLeft w:val="0"/>
          <w:marRight w:val="0"/>
          <w:marTop w:val="0"/>
          <w:marBottom w:val="0"/>
          <w:divBdr>
            <w:top w:val="none" w:sz="0" w:space="0" w:color="auto"/>
            <w:left w:val="none" w:sz="0" w:space="0" w:color="auto"/>
            <w:bottom w:val="none" w:sz="0" w:space="0" w:color="auto"/>
            <w:right w:val="none" w:sz="0" w:space="0" w:color="auto"/>
          </w:divBdr>
        </w:div>
        <w:div w:id="873276953">
          <w:marLeft w:val="0"/>
          <w:marRight w:val="0"/>
          <w:marTop w:val="0"/>
          <w:marBottom w:val="0"/>
          <w:divBdr>
            <w:top w:val="none" w:sz="0" w:space="0" w:color="auto"/>
            <w:left w:val="none" w:sz="0" w:space="0" w:color="auto"/>
            <w:bottom w:val="none" w:sz="0" w:space="0" w:color="auto"/>
            <w:right w:val="none" w:sz="0" w:space="0" w:color="auto"/>
          </w:divBdr>
        </w:div>
        <w:div w:id="914315755">
          <w:marLeft w:val="0"/>
          <w:marRight w:val="0"/>
          <w:marTop w:val="0"/>
          <w:marBottom w:val="0"/>
          <w:divBdr>
            <w:top w:val="none" w:sz="0" w:space="0" w:color="auto"/>
            <w:left w:val="none" w:sz="0" w:space="0" w:color="auto"/>
            <w:bottom w:val="none" w:sz="0" w:space="0" w:color="auto"/>
            <w:right w:val="none" w:sz="0" w:space="0" w:color="auto"/>
          </w:divBdr>
        </w:div>
        <w:div w:id="740830592">
          <w:marLeft w:val="0"/>
          <w:marRight w:val="0"/>
          <w:marTop w:val="0"/>
          <w:marBottom w:val="0"/>
          <w:divBdr>
            <w:top w:val="none" w:sz="0" w:space="0" w:color="auto"/>
            <w:left w:val="none" w:sz="0" w:space="0" w:color="auto"/>
            <w:bottom w:val="none" w:sz="0" w:space="0" w:color="auto"/>
            <w:right w:val="none" w:sz="0" w:space="0" w:color="auto"/>
          </w:divBdr>
        </w:div>
        <w:div w:id="422267042">
          <w:marLeft w:val="0"/>
          <w:marRight w:val="0"/>
          <w:marTop w:val="0"/>
          <w:marBottom w:val="0"/>
          <w:divBdr>
            <w:top w:val="none" w:sz="0" w:space="0" w:color="auto"/>
            <w:left w:val="none" w:sz="0" w:space="0" w:color="auto"/>
            <w:bottom w:val="none" w:sz="0" w:space="0" w:color="auto"/>
            <w:right w:val="none" w:sz="0" w:space="0" w:color="auto"/>
          </w:divBdr>
        </w:div>
        <w:div w:id="2040543951">
          <w:marLeft w:val="0"/>
          <w:marRight w:val="0"/>
          <w:marTop w:val="0"/>
          <w:marBottom w:val="0"/>
          <w:divBdr>
            <w:top w:val="none" w:sz="0" w:space="0" w:color="auto"/>
            <w:left w:val="none" w:sz="0" w:space="0" w:color="auto"/>
            <w:bottom w:val="none" w:sz="0" w:space="0" w:color="auto"/>
            <w:right w:val="none" w:sz="0" w:space="0" w:color="auto"/>
          </w:divBdr>
        </w:div>
        <w:div w:id="385642439">
          <w:marLeft w:val="0"/>
          <w:marRight w:val="0"/>
          <w:marTop w:val="0"/>
          <w:marBottom w:val="0"/>
          <w:divBdr>
            <w:top w:val="none" w:sz="0" w:space="0" w:color="auto"/>
            <w:left w:val="none" w:sz="0" w:space="0" w:color="auto"/>
            <w:bottom w:val="none" w:sz="0" w:space="0" w:color="auto"/>
            <w:right w:val="none" w:sz="0" w:space="0" w:color="auto"/>
          </w:divBdr>
        </w:div>
        <w:div w:id="1045911639">
          <w:marLeft w:val="0"/>
          <w:marRight w:val="0"/>
          <w:marTop w:val="0"/>
          <w:marBottom w:val="0"/>
          <w:divBdr>
            <w:top w:val="none" w:sz="0" w:space="0" w:color="auto"/>
            <w:left w:val="none" w:sz="0" w:space="0" w:color="auto"/>
            <w:bottom w:val="none" w:sz="0" w:space="0" w:color="auto"/>
            <w:right w:val="none" w:sz="0" w:space="0" w:color="auto"/>
          </w:divBdr>
        </w:div>
        <w:div w:id="637414586">
          <w:marLeft w:val="0"/>
          <w:marRight w:val="0"/>
          <w:marTop w:val="0"/>
          <w:marBottom w:val="0"/>
          <w:divBdr>
            <w:top w:val="none" w:sz="0" w:space="0" w:color="auto"/>
            <w:left w:val="none" w:sz="0" w:space="0" w:color="auto"/>
            <w:bottom w:val="none" w:sz="0" w:space="0" w:color="auto"/>
            <w:right w:val="none" w:sz="0" w:space="0" w:color="auto"/>
          </w:divBdr>
        </w:div>
        <w:div w:id="1166481870">
          <w:marLeft w:val="0"/>
          <w:marRight w:val="0"/>
          <w:marTop w:val="0"/>
          <w:marBottom w:val="0"/>
          <w:divBdr>
            <w:top w:val="none" w:sz="0" w:space="0" w:color="auto"/>
            <w:left w:val="none" w:sz="0" w:space="0" w:color="auto"/>
            <w:bottom w:val="none" w:sz="0" w:space="0" w:color="auto"/>
            <w:right w:val="none" w:sz="0" w:space="0" w:color="auto"/>
          </w:divBdr>
        </w:div>
      </w:divsChild>
    </w:div>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andquality.gov.au/our-work/partnering-consumers/australian-charter-healthcare-righ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gedcarequality.gov.au/older-australians/your-rights/charter-aged-care-righ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yalcommission.gov.au/aged-care" TargetMode="External"/><Relationship Id="rId5" Type="http://schemas.openxmlformats.org/officeDocument/2006/relationships/numbering" Target="numbering.xml"/><Relationship Id="rId15" Type="http://schemas.openxmlformats.org/officeDocument/2006/relationships/hyperlink" Target="http://health.gov.au/our-work/gpac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C763A2">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A40C0"/>
    <w:rsid w:val="001B697F"/>
    <w:rsid w:val="002B42BD"/>
    <w:rsid w:val="00302590"/>
    <w:rsid w:val="0044135A"/>
    <w:rsid w:val="00467953"/>
    <w:rsid w:val="004C415D"/>
    <w:rsid w:val="007572C0"/>
    <w:rsid w:val="007F147F"/>
    <w:rsid w:val="00A07B92"/>
    <w:rsid w:val="00AF684A"/>
    <w:rsid w:val="00BA3452"/>
    <w:rsid w:val="00BC45BA"/>
    <w:rsid w:val="00C763A2"/>
    <w:rsid w:val="00C9762E"/>
    <w:rsid w:val="00EE1D10"/>
    <w:rsid w:val="00F46ED6"/>
    <w:rsid w:val="00F51C66"/>
    <w:rsid w:val="00F70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52"/>
    <w:rPr>
      <w:rFonts w:ascii="Arial" w:hAnsi="Arial"/>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2.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844</Words>
  <Characters>4932</Characters>
  <Application>Microsoft Office Word</Application>
  <DocSecurity>0</DocSecurity>
  <Lines>98</Lines>
  <Paragraphs>63</Paragraphs>
  <ScaleCrop>false</ScaleCrop>
  <HeadingPairs>
    <vt:vector size="2" baseType="variant">
      <vt:variant>
        <vt:lpstr>Title</vt:lpstr>
      </vt:variant>
      <vt:variant>
        <vt:i4>1</vt:i4>
      </vt:variant>
    </vt:vector>
  </HeadingPairs>
  <TitlesOfParts>
    <vt:vector size="1" baseType="lpstr">
      <vt:lpstr>General Practice in Aged Care Incentive taking a person-centre approach to care</vt:lpstr>
    </vt:vector>
  </TitlesOfParts>
  <Manager/>
  <Company/>
  <LinksUpToDate>false</LinksUpToDate>
  <CharactersWithSpaces>5713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taking a person-centre approach to care</dc:title>
  <dc:subject>General Practice in Aged Care Incentive</dc:subject>
  <dc:creator>Australian Government Department of Health and Aged Care</dc:creator>
  <cp:keywords/>
  <dc:description/>
  <cp:lastModifiedBy>Australian Government Department of Health and Aged </cp:lastModifiedBy>
  <cp:revision>7</cp:revision>
  <dcterms:created xsi:type="dcterms:W3CDTF">2024-08-07T02:17:00Z</dcterms:created>
  <dcterms:modified xsi:type="dcterms:W3CDTF">2024-08-09T06:00:00Z</dcterms:modified>
  <cp:category/>
</cp:coreProperties>
</file>