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70817130"/>
    <w:bookmarkStart w:id="1" w:name="_Toc172635502"/>
    <w:p w14:paraId="4E1C9197" w14:textId="5EBC76AD" w:rsidR="00D560DC" w:rsidRDefault="00000000" w:rsidP="004963FC">
      <w:pPr>
        <w:pStyle w:val="Title"/>
      </w:pPr>
      <w:sdt>
        <w:sdt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01113">
            <w:t>General Practice in Aged Care Incentive</w:t>
          </w:r>
        </w:sdtContent>
      </w:sdt>
      <w:bookmarkEnd w:id="0"/>
      <w:bookmarkEnd w:id="1"/>
    </w:p>
    <w:p w14:paraId="62B76A6B" w14:textId="77777777" w:rsidR="00A03EB2" w:rsidRDefault="009E30CD" w:rsidP="00A03EB2">
      <w:r>
        <w:t xml:space="preserve">Effective – </w:t>
      </w:r>
      <w:r w:rsidR="00842449">
        <w:t>August</w:t>
      </w:r>
      <w:r>
        <w:t xml:space="preserve"> 2024</w:t>
      </w:r>
    </w:p>
    <w:p w14:paraId="286FF2CC" w14:textId="65BEC5CE" w:rsidR="00817CB4" w:rsidRDefault="00C01113" w:rsidP="00EC4AF4">
      <w:pPr>
        <w:pStyle w:val="Heading1"/>
      </w:pPr>
      <w:r>
        <w:t>About the incentive</w:t>
      </w:r>
    </w:p>
    <w:p w14:paraId="56372D70" w14:textId="73D0201D" w:rsidR="00C01113" w:rsidRPr="00EC4AF4" w:rsidRDefault="00C01113" w:rsidP="00EC4AF4">
      <w:r w:rsidRPr="00EC4AF4">
        <w:t>The General Practice in Aged Care Incentive supports older people living in residential aged care. It helps them receive quality primary care services from their regular provider and practice.</w:t>
      </w:r>
    </w:p>
    <w:p w14:paraId="7D8F7480" w14:textId="5E8825D5" w:rsidR="00817CB4" w:rsidRPr="00EC4AF4" w:rsidRDefault="00C01113" w:rsidP="00EC4AF4">
      <w:pPr>
        <w:pStyle w:val="Heading2"/>
      </w:pPr>
      <w:r>
        <w:t>Incentive payments</w:t>
      </w:r>
    </w:p>
    <w:p w14:paraId="5981EBC8" w14:textId="77777777" w:rsidR="00C01113" w:rsidRDefault="00C01113" w:rsidP="00C01113">
      <w:pPr>
        <w:rPr>
          <w:lang w:val="en-GB"/>
        </w:rPr>
      </w:pPr>
      <w:bookmarkStart w:id="2" w:name="_Hlk164769781"/>
      <w:bookmarkStart w:id="3" w:name="_Toc172635505"/>
      <w:r w:rsidRPr="007E2A1D">
        <w:rPr>
          <w:lang w:val="en-GB"/>
        </w:rPr>
        <w:t xml:space="preserve">Each quarter providers and practices registered with </w:t>
      </w:r>
      <w:proofErr w:type="spellStart"/>
      <w:r w:rsidRPr="007E2A1D">
        <w:rPr>
          <w:lang w:val="en-GB"/>
        </w:rPr>
        <w:t>MyMedicare</w:t>
      </w:r>
      <w:proofErr w:type="spellEnd"/>
      <w:r w:rsidRPr="007E2A1D">
        <w:rPr>
          <w:lang w:val="en-GB"/>
        </w:rPr>
        <w:t xml:space="preserve">, who meet the eligibility and servicing requirements, will receive an incentive payment. </w:t>
      </w:r>
    </w:p>
    <w:p w14:paraId="683F2D13" w14:textId="77777777" w:rsidR="00C01113" w:rsidRPr="007E2A1D" w:rsidRDefault="00C01113" w:rsidP="00C01113">
      <w:pPr>
        <w:rPr>
          <w:lang w:val="en-GB"/>
        </w:rPr>
      </w:pPr>
      <w:r w:rsidRPr="007E2A1D">
        <w:rPr>
          <w:lang w:val="en-GB"/>
        </w:rPr>
        <w:t>Eligible providers will receive payments for seeing their patients in a residential aged care home.</w:t>
      </w:r>
    </w:p>
    <w:p w14:paraId="5AB10E70" w14:textId="77777777" w:rsidR="00C01113" w:rsidRPr="007E2A1D" w:rsidRDefault="00C01113" w:rsidP="00C01113">
      <w:pPr>
        <w:rPr>
          <w:lang w:val="en-GB"/>
        </w:rPr>
      </w:pPr>
      <w:bookmarkStart w:id="4" w:name="_Hlk164769843"/>
      <w:bookmarkEnd w:id="2"/>
      <w:r w:rsidRPr="007E2A1D">
        <w:rPr>
          <w:lang w:val="en-GB"/>
        </w:rPr>
        <w:t>Eligible practices will receive funding to manage the care for patients living in an aged care home.</w:t>
      </w:r>
    </w:p>
    <w:p w14:paraId="5583C50A" w14:textId="77777777" w:rsidR="00C01113" w:rsidRPr="00657735" w:rsidRDefault="00C01113" w:rsidP="00C01113">
      <w:pPr>
        <w:rPr>
          <w:lang w:val="en-GB"/>
        </w:rPr>
      </w:pPr>
      <w:bookmarkStart w:id="5" w:name="_Hlk164769659"/>
      <w:bookmarkEnd w:id="4"/>
      <w:r>
        <w:rPr>
          <w:lang w:val="en-GB"/>
        </w:rPr>
        <w:t>P</w:t>
      </w:r>
      <w:r w:rsidRPr="00657735">
        <w:rPr>
          <w:lang w:val="en-GB"/>
        </w:rPr>
        <w:t>ayments are:</w:t>
      </w:r>
    </w:p>
    <w:bookmarkEnd w:id="5"/>
    <w:p w14:paraId="3B2AEF1E" w14:textId="77777777" w:rsidR="00C01113" w:rsidRPr="00EC4AF4" w:rsidRDefault="00C01113" w:rsidP="00EC4AF4">
      <w:pPr>
        <w:pStyle w:val="ListBullet"/>
      </w:pPr>
      <w:r w:rsidRPr="004B3EF0">
        <w:rPr>
          <w:b/>
          <w:bCs/>
          <w:lang w:val="en-GB"/>
        </w:rPr>
        <w:t>$300</w:t>
      </w:r>
      <w:r w:rsidRPr="004B3EF0">
        <w:rPr>
          <w:lang w:val="en-GB"/>
        </w:rPr>
        <w:t xml:space="preserve"> per patient, per year, paid to the responsible </w:t>
      </w:r>
      <w:proofErr w:type="gramStart"/>
      <w:r w:rsidRPr="004B3EF0">
        <w:rPr>
          <w:lang w:val="en-GB"/>
        </w:rPr>
        <w:t>provider</w:t>
      </w:r>
      <w:proofErr w:type="gramEnd"/>
    </w:p>
    <w:p w14:paraId="7BF6A018" w14:textId="6F84AE3B" w:rsidR="00C01113" w:rsidRPr="00EC4AF4" w:rsidRDefault="00C01113" w:rsidP="00EC4AF4">
      <w:pPr>
        <w:pStyle w:val="ListBullet"/>
        <w:rPr>
          <w:lang w:val="en-GB"/>
        </w:rPr>
      </w:pPr>
      <w:r>
        <w:rPr>
          <w:rFonts w:eastAsia="Calibri"/>
          <w:b/>
          <w:bCs/>
          <w:color w:val="000000"/>
          <w:lang w:val="en-GB"/>
        </w:rPr>
        <w:t>$130</w:t>
      </w:r>
      <w:r>
        <w:rPr>
          <w:rFonts w:eastAsia="Calibri"/>
          <w:color w:val="000000"/>
          <w:lang w:val="en-GB"/>
        </w:rPr>
        <w:t xml:space="preserve"> per patient, per year, paid to the practice.</w:t>
      </w:r>
    </w:p>
    <w:p w14:paraId="3F68C49C" w14:textId="77777777" w:rsidR="00C01113" w:rsidRDefault="00C01113" w:rsidP="00C01113">
      <w:pPr>
        <w:spacing w:before="0" w:after="0" w:line="259" w:lineRule="auto"/>
        <w:rPr>
          <w:rFonts w:eastAsia="Calibri"/>
          <w:color w:val="000000"/>
          <w:lang w:val="en-GB"/>
        </w:rPr>
      </w:pPr>
      <w:r>
        <w:rPr>
          <w:rFonts w:eastAsia="Calibri"/>
          <w:color w:val="000000"/>
          <w:lang w:val="en-GB"/>
        </w:rPr>
        <w:t>The incentive</w:t>
      </w:r>
      <w:r w:rsidRPr="00377950">
        <w:rPr>
          <w:rFonts w:eastAsia="Calibri"/>
          <w:color w:val="000000"/>
          <w:lang w:val="en-GB"/>
        </w:rPr>
        <w:t xml:space="preserve"> payments will be quarterly</w:t>
      </w:r>
      <w:r>
        <w:rPr>
          <w:rFonts w:eastAsia="Calibri"/>
          <w:color w:val="000000"/>
          <w:lang w:val="en-GB"/>
        </w:rPr>
        <w:t>,</w:t>
      </w:r>
      <w:r w:rsidRPr="00377950">
        <w:rPr>
          <w:rFonts w:eastAsia="Calibri"/>
          <w:color w:val="000000"/>
          <w:lang w:val="en-GB"/>
        </w:rPr>
        <w:t xml:space="preserve"> on top of existing Medicare Benefits Scheme (MBS) and Department of Veterans’ Affairs (DVA) rebates for services delivered.</w:t>
      </w:r>
    </w:p>
    <w:bookmarkEnd w:id="3"/>
    <w:p w14:paraId="4641D3B7" w14:textId="77777777" w:rsidR="002B5149" w:rsidRDefault="00C01113" w:rsidP="00C01113">
      <w:pPr>
        <w:pStyle w:val="Heading2"/>
      </w:pPr>
      <w:r>
        <w:t>Rural loadings</w:t>
      </w:r>
      <w:bookmarkStart w:id="6" w:name="_Toc167109428"/>
      <w:bookmarkStart w:id="7" w:name="_Toc170119992"/>
    </w:p>
    <w:p w14:paraId="1FAF6F43" w14:textId="0FABA0BB" w:rsidR="00C01113" w:rsidRPr="002B5149" w:rsidRDefault="00C01113" w:rsidP="002B5149">
      <w:pPr>
        <w:spacing w:before="0" w:after="0" w:line="259" w:lineRule="auto"/>
        <w:rPr>
          <w:rFonts w:eastAsiaTheme="majorEastAsia" w:cstheme="majorBidi"/>
          <w:bCs/>
          <w:szCs w:val="26"/>
        </w:rPr>
      </w:pPr>
      <w:r w:rsidRPr="002B5149">
        <w:rPr>
          <w:rFonts w:eastAsia="Times New Roman"/>
          <w:bCs/>
          <w:szCs w:val="24"/>
        </w:rPr>
        <w:t xml:space="preserve">Rural loadings will apply to provider and practice incentive payments for </w:t>
      </w:r>
      <w:hyperlink r:id="rId11" w:history="1">
        <w:r w:rsidRPr="002B5149">
          <w:rPr>
            <w:rFonts w:cs="Times New Roman"/>
            <w:bCs/>
            <w:color w:val="0000FF"/>
            <w:szCs w:val="24"/>
            <w:u w:val="single"/>
            <w:lang w:eastAsia="en-US"/>
          </w:rPr>
          <w:t>Modified Monash Model (MMM)</w:t>
        </w:r>
      </w:hyperlink>
      <w:r w:rsidRPr="002B5149">
        <w:rPr>
          <w:rFonts w:eastAsia="Times New Roman"/>
          <w:bCs/>
          <w:szCs w:val="24"/>
        </w:rPr>
        <w:t xml:space="preserve"> regions MMM 3 – 7.</w:t>
      </w:r>
    </w:p>
    <w:bookmarkEnd w:id="6"/>
    <w:bookmarkEnd w:id="7"/>
    <w:p w14:paraId="7CBCFE52" w14:textId="4B4A557E" w:rsidR="00817CB4" w:rsidRPr="00817CB4" w:rsidRDefault="00C01113" w:rsidP="00C01113">
      <w:pPr>
        <w:pStyle w:val="Heading2"/>
      </w:pPr>
      <w:r>
        <w:t>Payment eligibility</w:t>
      </w:r>
    </w:p>
    <w:p w14:paraId="64B1288A" w14:textId="77777777" w:rsidR="00C01113" w:rsidRPr="00924E2C" w:rsidRDefault="00C01113" w:rsidP="00C01113">
      <w:pPr>
        <w:rPr>
          <w:lang w:val="en-GB"/>
        </w:rPr>
      </w:pPr>
      <w:r w:rsidRPr="00924E2C">
        <w:rPr>
          <w:lang w:val="en-GB"/>
        </w:rPr>
        <w:t xml:space="preserve">In any given assessment period (quarter), to be eligible to receive </w:t>
      </w:r>
      <w:r>
        <w:rPr>
          <w:lang w:val="en-GB"/>
        </w:rPr>
        <w:t>incentive</w:t>
      </w:r>
      <w:r w:rsidRPr="00924E2C">
        <w:rPr>
          <w:lang w:val="en-GB"/>
        </w:rPr>
        <w:t xml:space="preserve"> payments, providers and practices must meet both eligibility and servicing requirements. </w:t>
      </w:r>
    </w:p>
    <w:p w14:paraId="7B6D2A0B" w14:textId="77777777" w:rsidR="00C01113" w:rsidRDefault="00C01113" w:rsidP="00C01113">
      <w:pPr>
        <w:rPr>
          <w:lang w:val="en-GB"/>
        </w:rPr>
      </w:pPr>
      <w:r>
        <w:t xml:space="preserve">The </w:t>
      </w:r>
      <w:r w:rsidRPr="00DC7B5D">
        <w:t xml:space="preserve">General Practice in Aged Care Incentive </w:t>
      </w:r>
      <w:r w:rsidRPr="00924E2C">
        <w:rPr>
          <w:lang w:val="en-GB"/>
        </w:rPr>
        <w:t xml:space="preserve">requirements will be outlined in the Program Guidelines. </w:t>
      </w:r>
    </w:p>
    <w:p w14:paraId="25F2E820" w14:textId="77777777" w:rsidR="00C01113" w:rsidRDefault="00C01113" w:rsidP="00C01113">
      <w:pPr>
        <w:rPr>
          <w:lang w:val="en-GB"/>
        </w:rPr>
      </w:pPr>
      <w:r>
        <w:rPr>
          <w:lang w:val="en-GB"/>
        </w:rPr>
        <w:t>Incentive</w:t>
      </w:r>
      <w:r w:rsidRPr="00924E2C">
        <w:rPr>
          <w:lang w:val="en-GB"/>
        </w:rPr>
        <w:t xml:space="preserve"> payments will be</w:t>
      </w:r>
      <w:r>
        <w:rPr>
          <w:lang w:val="en-GB"/>
        </w:rPr>
        <w:t>:</w:t>
      </w:r>
    </w:p>
    <w:p w14:paraId="72BFDE7A" w14:textId="77777777" w:rsidR="00C01113" w:rsidRPr="00C01113" w:rsidRDefault="00C01113" w:rsidP="00EC4AF4">
      <w:pPr>
        <w:pStyle w:val="ListBullet"/>
        <w:rPr>
          <w:lang w:val="en-GB"/>
        </w:rPr>
      </w:pPr>
      <w:r w:rsidRPr="00C01113">
        <w:rPr>
          <w:lang w:val="en-GB"/>
        </w:rPr>
        <w:t>assessed</w:t>
      </w:r>
    </w:p>
    <w:p w14:paraId="45C6D9C4" w14:textId="77777777" w:rsidR="00C01113" w:rsidRPr="00C01113" w:rsidRDefault="00C01113" w:rsidP="00EC4AF4">
      <w:pPr>
        <w:pStyle w:val="ListBullet"/>
        <w:rPr>
          <w:lang w:val="en-GB"/>
        </w:rPr>
      </w:pPr>
      <w:r w:rsidRPr="00C01113">
        <w:rPr>
          <w:lang w:val="en-GB"/>
        </w:rPr>
        <w:t>calculated</w:t>
      </w:r>
    </w:p>
    <w:p w14:paraId="789D2052" w14:textId="77777777" w:rsidR="00C01113" w:rsidRPr="00924E2C" w:rsidRDefault="00C01113" w:rsidP="00EC4AF4">
      <w:pPr>
        <w:pStyle w:val="ListBullet"/>
        <w:rPr>
          <w:lang w:val="en-GB"/>
        </w:rPr>
      </w:pPr>
      <w:r>
        <w:rPr>
          <w:lang w:val="en-GB"/>
        </w:rPr>
        <w:t xml:space="preserve">paid according to processes outlined in the Program Guidelines and Services Australia processes. </w:t>
      </w:r>
    </w:p>
    <w:p w14:paraId="3F0F09D7" w14:textId="71356E15" w:rsidR="00817CB4" w:rsidRDefault="00C01113" w:rsidP="00C01113">
      <w:pPr>
        <w:pStyle w:val="Heading1"/>
      </w:pPr>
      <w:r>
        <w:lastRenderedPageBreak/>
        <w:t>Eligibility to participate</w:t>
      </w:r>
    </w:p>
    <w:p w14:paraId="42C1E3C6" w14:textId="2C5DA043" w:rsidR="00C01113" w:rsidRPr="00817CB4" w:rsidRDefault="00C01113" w:rsidP="00C01113">
      <w:pPr>
        <w:pStyle w:val="Heading2"/>
      </w:pPr>
      <w:r>
        <w:t>Practice eligibility</w:t>
      </w:r>
    </w:p>
    <w:p w14:paraId="2A40F3ED" w14:textId="77777777" w:rsidR="00C01113" w:rsidRPr="00EC4AF4" w:rsidRDefault="00C01113" w:rsidP="00EC4AF4">
      <w:bookmarkStart w:id="8" w:name="_Hlk164761068"/>
      <w:bookmarkStart w:id="9" w:name="_Toc167109458"/>
      <w:bookmarkStart w:id="10" w:name="_Toc166066967"/>
      <w:bookmarkStart w:id="11" w:name="_Toc166068383"/>
      <w:bookmarkStart w:id="12" w:name="_Toc166068595"/>
      <w:bookmarkStart w:id="13" w:name="_Toc166069554"/>
      <w:bookmarkStart w:id="14" w:name="_Hlk165581837"/>
      <w:r w:rsidRPr="00EC4AF4">
        <w:t>General practices must be an eligible practice and be registered in the:</w:t>
      </w:r>
    </w:p>
    <w:p w14:paraId="18DAA65D" w14:textId="77777777" w:rsidR="00C01113" w:rsidRPr="00924E2C" w:rsidRDefault="00C01113" w:rsidP="00EC4AF4">
      <w:pPr>
        <w:pStyle w:val="ListBullet"/>
        <w:rPr>
          <w:lang w:val="en-GB"/>
        </w:rPr>
      </w:pPr>
      <w:bookmarkStart w:id="15" w:name="_Hlk164761668"/>
      <w:bookmarkEnd w:id="8"/>
      <w:r>
        <w:rPr>
          <w:lang w:val="en-GB"/>
        </w:rPr>
        <w:t>O</w:t>
      </w:r>
      <w:r w:rsidRPr="00924E2C">
        <w:rPr>
          <w:lang w:val="en-GB"/>
        </w:rPr>
        <w:t xml:space="preserve">rganisation </w:t>
      </w:r>
      <w:r>
        <w:rPr>
          <w:lang w:val="en-GB"/>
        </w:rPr>
        <w:t>R</w:t>
      </w:r>
      <w:r w:rsidRPr="00924E2C">
        <w:rPr>
          <w:lang w:val="en-GB"/>
        </w:rPr>
        <w:t>egister</w:t>
      </w:r>
    </w:p>
    <w:p w14:paraId="172CFA68" w14:textId="77777777" w:rsidR="00C01113" w:rsidRPr="00924E2C" w:rsidRDefault="00C01113" w:rsidP="00EC4AF4">
      <w:pPr>
        <w:pStyle w:val="ListBullet"/>
        <w:rPr>
          <w:lang w:val="en-GB"/>
        </w:rPr>
      </w:pPr>
      <w:proofErr w:type="spellStart"/>
      <w:r w:rsidRPr="00924E2C">
        <w:rPr>
          <w:lang w:val="en-GB"/>
        </w:rPr>
        <w:t>MyMedicare</w:t>
      </w:r>
      <w:proofErr w:type="spellEnd"/>
      <w:r w:rsidRPr="00924E2C">
        <w:rPr>
          <w:lang w:val="en-GB"/>
        </w:rPr>
        <w:t xml:space="preserve"> program (with banking details added)</w:t>
      </w:r>
    </w:p>
    <w:p w14:paraId="338F193C" w14:textId="77777777" w:rsidR="00C01113" w:rsidRDefault="00C01113" w:rsidP="00EC4AF4">
      <w:pPr>
        <w:pStyle w:val="ListBullet"/>
        <w:rPr>
          <w:lang w:val="en-GB"/>
        </w:rPr>
      </w:pPr>
      <w:r w:rsidRPr="00DC7B5D">
        <w:t xml:space="preserve">General Practice in Aged Care Incentive </w:t>
      </w:r>
      <w:r w:rsidRPr="00924E2C">
        <w:rPr>
          <w:lang w:val="en-GB"/>
        </w:rPr>
        <w:t>program.</w:t>
      </w:r>
    </w:p>
    <w:p w14:paraId="720105F1" w14:textId="76C65FF2" w:rsidR="00C01113" w:rsidRPr="00EC4AF4" w:rsidRDefault="00C01113" w:rsidP="00EC4AF4">
      <w:bookmarkStart w:id="16" w:name="_Hlk164770541"/>
      <w:bookmarkEnd w:id="15"/>
      <w:r w:rsidRPr="00EC4AF4">
        <w:t xml:space="preserve">Practices will be able to register for the General Practice in Aged Care Incentive through the </w:t>
      </w:r>
      <w:proofErr w:type="spellStart"/>
      <w:r w:rsidRPr="00EC4AF4">
        <w:t>MyMedicare</w:t>
      </w:r>
      <w:proofErr w:type="spellEnd"/>
      <w:r w:rsidRPr="00EC4AF4">
        <w:t xml:space="preserve"> program from 1 July 2024.</w:t>
      </w:r>
      <w:bookmarkEnd w:id="16"/>
    </w:p>
    <w:p w14:paraId="2C4DEADC" w14:textId="166FD44E" w:rsidR="00C01113" w:rsidRDefault="00C01113" w:rsidP="00C01113">
      <w:pPr>
        <w:pStyle w:val="Heading2"/>
      </w:pPr>
      <w:r>
        <w:t>Provider eligibility</w:t>
      </w:r>
    </w:p>
    <w:p w14:paraId="0FB921ED" w14:textId="77777777" w:rsidR="00C01113" w:rsidRPr="00EC4AF4" w:rsidRDefault="00C01113" w:rsidP="00EC4AF4">
      <w:r w:rsidRPr="00EC4AF4">
        <w:t>Providers must be:</w:t>
      </w:r>
    </w:p>
    <w:p w14:paraId="4C574BA7" w14:textId="77777777" w:rsidR="00C01113" w:rsidRPr="00685D80" w:rsidRDefault="00C01113" w:rsidP="00EC4AF4">
      <w:pPr>
        <w:pStyle w:val="ListBullet"/>
        <w:rPr>
          <w:lang w:val="en-GB"/>
        </w:rPr>
      </w:pPr>
      <w:r>
        <w:rPr>
          <w:lang w:val="en-GB"/>
        </w:rPr>
        <w:t>an eligible provider</w:t>
      </w:r>
    </w:p>
    <w:p w14:paraId="4BFE153E" w14:textId="77777777" w:rsidR="00C01113" w:rsidRPr="00685D80" w:rsidRDefault="00C01113" w:rsidP="00EC4AF4">
      <w:pPr>
        <w:pStyle w:val="ListBullet"/>
        <w:rPr>
          <w:lang w:val="en-GB"/>
        </w:rPr>
      </w:pPr>
      <w:bookmarkStart w:id="17" w:name="_Hlk164770251"/>
      <w:r>
        <w:rPr>
          <w:lang w:val="en-GB"/>
        </w:rPr>
        <w:t xml:space="preserve">linked to their eligible </w:t>
      </w:r>
      <w:proofErr w:type="gramStart"/>
      <w:r>
        <w:rPr>
          <w:lang w:val="en-GB"/>
        </w:rPr>
        <w:t>practice</w:t>
      </w:r>
      <w:proofErr w:type="gramEnd"/>
    </w:p>
    <w:bookmarkEnd w:id="17"/>
    <w:p w14:paraId="6D81C19D" w14:textId="77777777" w:rsidR="00C01113" w:rsidRPr="00685D80" w:rsidRDefault="00C01113" w:rsidP="00EC4AF4">
      <w:pPr>
        <w:pStyle w:val="ListBullet"/>
        <w:rPr>
          <w:lang w:val="en-GB"/>
        </w:rPr>
      </w:pPr>
      <w:r w:rsidRPr="00685D80">
        <w:rPr>
          <w:lang w:val="en-GB"/>
        </w:rPr>
        <w:t>declared as the responsible provider of eligible services to their eligible patient, including coordinating services provided by their care team.</w:t>
      </w:r>
    </w:p>
    <w:p w14:paraId="054D32D1" w14:textId="7D27B136" w:rsidR="00C01113" w:rsidRDefault="00C01113" w:rsidP="00C01113">
      <w:pPr>
        <w:rPr>
          <w:lang w:val="en-GB"/>
        </w:rPr>
      </w:pPr>
      <w:bookmarkStart w:id="18" w:name="_Hlk164761973"/>
      <w:r w:rsidRPr="00685D80">
        <w:rPr>
          <w:lang w:val="en-GB"/>
        </w:rPr>
        <w:t xml:space="preserve">Providers will be able to participate in </w:t>
      </w:r>
      <w:r>
        <w:rPr>
          <w:lang w:val="en-GB"/>
        </w:rPr>
        <w:t xml:space="preserve">the </w:t>
      </w:r>
      <w:r w:rsidRPr="00DC7B5D">
        <w:t xml:space="preserve">General Practice in Aged Care Incentive </w:t>
      </w:r>
      <w:r w:rsidRPr="00685D80">
        <w:rPr>
          <w:lang w:val="en-GB"/>
        </w:rPr>
        <w:t>from 1 July 2024.</w:t>
      </w:r>
    </w:p>
    <w:p w14:paraId="15F99E7B" w14:textId="063367F4" w:rsidR="00C01113" w:rsidRDefault="00C01113" w:rsidP="00C01113">
      <w:pPr>
        <w:pStyle w:val="Heading2"/>
      </w:pPr>
      <w:r>
        <w:t>Patient eligibility</w:t>
      </w:r>
    </w:p>
    <w:p w14:paraId="076013E6" w14:textId="77777777" w:rsidR="00C01113" w:rsidRPr="00685D80" w:rsidRDefault="00C01113" w:rsidP="00C01113">
      <w:pPr>
        <w:spacing w:before="0" w:after="160" w:line="259" w:lineRule="auto"/>
        <w:rPr>
          <w:rFonts w:eastAsia="Calibri" w:cs="Arial"/>
          <w:color w:val="000000"/>
          <w:szCs w:val="22"/>
          <w:lang w:val="en-GB"/>
        </w:rPr>
      </w:pPr>
      <w:bookmarkStart w:id="19" w:name="_Hlk164771326"/>
      <w:r>
        <w:rPr>
          <w:rFonts w:eastAsia="Calibri" w:cs="Arial"/>
          <w:color w:val="000000"/>
          <w:szCs w:val="22"/>
          <w:lang w:val="en-GB"/>
        </w:rPr>
        <w:t>P</w:t>
      </w:r>
      <w:r w:rsidRPr="00685D80">
        <w:rPr>
          <w:rFonts w:eastAsia="Calibri" w:cs="Arial"/>
          <w:color w:val="000000"/>
          <w:szCs w:val="22"/>
          <w:lang w:val="en-GB"/>
        </w:rPr>
        <w:t>atients must:</w:t>
      </w:r>
    </w:p>
    <w:p w14:paraId="0BE81BD9" w14:textId="77777777" w:rsidR="00C01113" w:rsidRPr="00C01113" w:rsidRDefault="00C01113" w:rsidP="00EC4AF4">
      <w:pPr>
        <w:pStyle w:val="ListBullet"/>
        <w:rPr>
          <w:lang w:val="en-GB"/>
        </w:rPr>
      </w:pPr>
      <w:bookmarkStart w:id="20" w:name="_Hlk164768353"/>
      <w:bookmarkEnd w:id="19"/>
      <w:r w:rsidRPr="00C01113">
        <w:rPr>
          <w:lang w:val="en-GB"/>
        </w:rPr>
        <w:t>permanently live in a Residential Aged Care Home (RACH), not including respite care</w:t>
      </w:r>
    </w:p>
    <w:p w14:paraId="62811DA2" w14:textId="77777777" w:rsidR="00C01113" w:rsidRPr="00C01113" w:rsidRDefault="00C01113" w:rsidP="00EC4AF4">
      <w:pPr>
        <w:pStyle w:val="ListBullet"/>
        <w:rPr>
          <w:lang w:val="en-GB"/>
        </w:rPr>
      </w:pPr>
      <w:r w:rsidRPr="00C01113">
        <w:rPr>
          <w:lang w:val="en-GB"/>
        </w:rPr>
        <w:t xml:space="preserve">register with the </w:t>
      </w:r>
      <w:proofErr w:type="spellStart"/>
      <w:r w:rsidRPr="00C01113">
        <w:rPr>
          <w:lang w:val="en-GB"/>
        </w:rPr>
        <w:t>MyMedicare</w:t>
      </w:r>
      <w:proofErr w:type="spellEnd"/>
      <w:r w:rsidRPr="00C01113">
        <w:rPr>
          <w:lang w:val="en-GB"/>
        </w:rPr>
        <w:t xml:space="preserve"> program and link to an eligible practice and responsible </w:t>
      </w:r>
      <w:proofErr w:type="gramStart"/>
      <w:r w:rsidRPr="00C01113">
        <w:rPr>
          <w:lang w:val="en-GB"/>
        </w:rPr>
        <w:t>provider</w:t>
      </w:r>
      <w:proofErr w:type="gramEnd"/>
    </w:p>
    <w:p w14:paraId="0E5ACCD6" w14:textId="77777777" w:rsidR="00C01113" w:rsidRPr="00C01113" w:rsidRDefault="00C01113" w:rsidP="00EC4AF4">
      <w:pPr>
        <w:pStyle w:val="ListBullet"/>
        <w:rPr>
          <w:lang w:val="en-GB"/>
        </w:rPr>
      </w:pPr>
      <w:bookmarkStart w:id="21" w:name="_Hlk164770416"/>
      <w:r w:rsidRPr="00C01113">
        <w:rPr>
          <w:lang w:val="en-GB"/>
        </w:rPr>
        <w:t xml:space="preserve">have the </w:t>
      </w:r>
      <w:r w:rsidRPr="00C01113">
        <w:t xml:space="preserve">General Practice in Aged Care Incentive </w:t>
      </w:r>
      <w:r w:rsidRPr="00C01113">
        <w:rPr>
          <w:lang w:val="en-GB"/>
        </w:rPr>
        <w:t xml:space="preserve">indicator selected on their </w:t>
      </w:r>
      <w:proofErr w:type="spellStart"/>
      <w:r w:rsidRPr="00C01113">
        <w:rPr>
          <w:lang w:val="en-GB"/>
        </w:rPr>
        <w:t>MyMedicare</w:t>
      </w:r>
      <w:proofErr w:type="spellEnd"/>
      <w:r w:rsidRPr="00C01113">
        <w:rPr>
          <w:lang w:val="en-GB"/>
        </w:rPr>
        <w:t xml:space="preserve"> profile by their practice. </w:t>
      </w:r>
    </w:p>
    <w:p w14:paraId="7A28C544" w14:textId="13399861" w:rsidR="00C01113" w:rsidRPr="00685D80" w:rsidRDefault="00C01113" w:rsidP="00C01113">
      <w:pPr>
        <w:rPr>
          <w:lang w:val="en-GB"/>
        </w:rPr>
      </w:pPr>
      <w:bookmarkStart w:id="22" w:name="_Hlk164770942"/>
      <w:bookmarkEnd w:id="20"/>
      <w:r w:rsidRPr="00F56263">
        <w:rPr>
          <w:lang w:val="en-GB"/>
        </w:rPr>
        <w:t xml:space="preserve">Patients can be registered by their practice for </w:t>
      </w:r>
      <w:r>
        <w:rPr>
          <w:lang w:val="en-GB"/>
        </w:rPr>
        <w:t xml:space="preserve">the </w:t>
      </w:r>
      <w:r w:rsidRPr="00DC7B5D">
        <w:t xml:space="preserve">General Practice in Aged Care Incentive </w:t>
      </w:r>
      <w:r w:rsidRPr="00F56263">
        <w:rPr>
          <w:lang w:val="en-GB"/>
        </w:rPr>
        <w:t xml:space="preserve">from 1 July 2024. If you would like to be a part of </w:t>
      </w:r>
      <w:r>
        <w:t>the program</w:t>
      </w:r>
      <w:r w:rsidRPr="00F56263">
        <w:rPr>
          <w:lang w:val="en-GB"/>
        </w:rPr>
        <w:t>, you should speak to your provider and/or practice.</w:t>
      </w:r>
      <w:bookmarkEnd w:id="21"/>
      <w:bookmarkEnd w:id="22"/>
    </w:p>
    <w:bookmarkEnd w:id="18"/>
    <w:p w14:paraId="5C07FBFE" w14:textId="412EBBC8" w:rsidR="002B5149" w:rsidRDefault="002B5149" w:rsidP="002B5149">
      <w:pPr>
        <w:pStyle w:val="Heading2"/>
      </w:pPr>
      <w:r>
        <w:t xml:space="preserve">Provider and practice responsibility </w:t>
      </w:r>
    </w:p>
    <w:p w14:paraId="5441E408" w14:textId="77777777" w:rsidR="002B5149" w:rsidRDefault="002B5149" w:rsidP="002B5149">
      <w:pPr>
        <w:rPr>
          <w:rFonts w:eastAsia="Calibri" w:cs="Arial"/>
          <w:lang w:val="en-GB"/>
        </w:rPr>
      </w:pPr>
      <w:r w:rsidRPr="001E4DDC">
        <w:rPr>
          <w:rFonts w:eastAsia="Calibri" w:cs="Arial"/>
          <w:lang w:val="en-GB"/>
        </w:rPr>
        <w:t xml:space="preserve">It is </w:t>
      </w:r>
      <w:r>
        <w:rPr>
          <w:rFonts w:eastAsia="Calibri" w:cs="Arial"/>
          <w:lang w:val="en-GB"/>
        </w:rPr>
        <w:t>the responsibility of providers and practices</w:t>
      </w:r>
      <w:r w:rsidRPr="001E4DDC">
        <w:rPr>
          <w:rFonts w:eastAsia="Calibri" w:cs="Arial"/>
          <w:lang w:val="en-GB"/>
        </w:rPr>
        <w:t xml:space="preserve"> to ensure a patient is eligible.</w:t>
      </w:r>
      <w:r>
        <w:rPr>
          <w:rFonts w:eastAsia="Calibri" w:cs="Arial"/>
          <w:lang w:val="en-GB"/>
        </w:rPr>
        <w:t xml:space="preserve"> </w:t>
      </w:r>
    </w:p>
    <w:p w14:paraId="71912939" w14:textId="1B8D24FB" w:rsidR="002B5149" w:rsidRDefault="002B5149" w:rsidP="002B5149">
      <w:pPr>
        <w:rPr>
          <w:rFonts w:eastAsia="Calibri" w:cs="Arial"/>
          <w:lang w:val="en-GB"/>
        </w:rPr>
      </w:pPr>
      <w:r w:rsidRPr="001E4DDC">
        <w:rPr>
          <w:rFonts w:eastAsia="Calibri" w:cs="Arial"/>
          <w:lang w:val="en-GB"/>
        </w:rPr>
        <w:t xml:space="preserve">They must declare their patient meets eligibility criteria for </w:t>
      </w:r>
      <w:r>
        <w:rPr>
          <w:rFonts w:eastAsia="Calibri" w:cs="Arial"/>
          <w:lang w:val="en-GB"/>
        </w:rPr>
        <w:t>the incentive</w:t>
      </w:r>
      <w:r w:rsidRPr="001E4DDC">
        <w:rPr>
          <w:rFonts w:eastAsia="Calibri" w:cs="Arial"/>
          <w:lang w:val="en-GB"/>
        </w:rPr>
        <w:t xml:space="preserve"> as part of the patient registration process. </w:t>
      </w:r>
    </w:p>
    <w:p w14:paraId="68E76C50" w14:textId="77777777" w:rsidR="002B5149" w:rsidRPr="002B5149" w:rsidRDefault="002B5149" w:rsidP="002B5149">
      <w:pPr>
        <w:rPr>
          <w:rFonts w:eastAsia="Calibri" w:cs="Arial"/>
          <w:lang w:val="en-GB"/>
        </w:rPr>
      </w:pPr>
      <w:r w:rsidRPr="002B5149">
        <w:rPr>
          <w:rFonts w:eastAsia="Calibri" w:cs="Arial"/>
          <w:lang w:val="en-GB"/>
        </w:rPr>
        <w:t>Practices will need to:</w:t>
      </w:r>
    </w:p>
    <w:p w14:paraId="1133159A" w14:textId="77777777" w:rsidR="002B5149" w:rsidRPr="002B5149" w:rsidRDefault="002B5149" w:rsidP="00EC4AF4">
      <w:pPr>
        <w:pStyle w:val="ListBullet"/>
        <w:rPr>
          <w:lang w:val="en-GB"/>
        </w:rPr>
      </w:pPr>
      <w:r w:rsidRPr="002B5149">
        <w:rPr>
          <w:lang w:val="en-GB"/>
        </w:rPr>
        <w:t xml:space="preserve">link providers and their </w:t>
      </w:r>
      <w:proofErr w:type="spellStart"/>
      <w:r w:rsidRPr="002B5149">
        <w:rPr>
          <w:lang w:val="en-GB"/>
        </w:rPr>
        <w:t>MyMedicare</w:t>
      </w:r>
      <w:proofErr w:type="spellEnd"/>
      <w:r w:rsidRPr="002B5149">
        <w:rPr>
          <w:lang w:val="en-GB"/>
        </w:rPr>
        <w:t xml:space="preserve"> patients to their </w:t>
      </w:r>
      <w:proofErr w:type="gramStart"/>
      <w:r w:rsidRPr="002B5149">
        <w:rPr>
          <w:lang w:val="en-GB"/>
        </w:rPr>
        <w:t>practice</w:t>
      </w:r>
      <w:proofErr w:type="gramEnd"/>
      <w:r w:rsidRPr="002B5149">
        <w:rPr>
          <w:lang w:val="en-GB"/>
        </w:rPr>
        <w:t xml:space="preserve"> </w:t>
      </w:r>
    </w:p>
    <w:p w14:paraId="6FD074EE" w14:textId="77777777" w:rsidR="002B5149" w:rsidRPr="002B5149" w:rsidRDefault="002B5149" w:rsidP="00EC4AF4">
      <w:pPr>
        <w:pStyle w:val="ListBullet"/>
        <w:rPr>
          <w:lang w:val="en-GB"/>
        </w:rPr>
      </w:pPr>
      <w:r w:rsidRPr="002B5149">
        <w:rPr>
          <w:lang w:val="en-GB"/>
        </w:rPr>
        <w:lastRenderedPageBreak/>
        <w:t xml:space="preserve">select the </w:t>
      </w:r>
      <w:r w:rsidRPr="002B5149">
        <w:t xml:space="preserve">General Practice in Aged Care Incentive </w:t>
      </w:r>
      <w:r w:rsidRPr="002B5149">
        <w:rPr>
          <w:lang w:val="en-GB"/>
        </w:rPr>
        <w:t xml:space="preserve">indicator on their patients’ </w:t>
      </w:r>
      <w:proofErr w:type="spellStart"/>
      <w:r w:rsidRPr="002B5149">
        <w:rPr>
          <w:lang w:val="en-GB"/>
        </w:rPr>
        <w:t>MyMedicare</w:t>
      </w:r>
      <w:proofErr w:type="spellEnd"/>
      <w:r w:rsidRPr="002B5149">
        <w:rPr>
          <w:lang w:val="en-GB"/>
        </w:rPr>
        <w:t xml:space="preserve"> </w:t>
      </w:r>
      <w:proofErr w:type="gramStart"/>
      <w:r w:rsidRPr="002B5149">
        <w:rPr>
          <w:lang w:val="en-GB"/>
        </w:rPr>
        <w:t>profiles</w:t>
      </w:r>
      <w:proofErr w:type="gramEnd"/>
    </w:p>
    <w:p w14:paraId="7D3A70E4" w14:textId="1551382D" w:rsidR="002B5149" w:rsidRPr="002B5149" w:rsidRDefault="002B5149" w:rsidP="00EC4AF4">
      <w:pPr>
        <w:pStyle w:val="ListBullet"/>
        <w:rPr>
          <w:lang w:val="en-GB"/>
        </w:rPr>
      </w:pPr>
      <w:r w:rsidRPr="002B5149">
        <w:rPr>
          <w:lang w:val="en-GB"/>
        </w:rPr>
        <w:t xml:space="preserve">link patients to responsible providers in their practice. </w:t>
      </w:r>
    </w:p>
    <w:p w14:paraId="2F4FDC73" w14:textId="2674F89C" w:rsidR="002B5149" w:rsidRDefault="002B5149" w:rsidP="002B5149">
      <w:pPr>
        <w:pStyle w:val="Heading1"/>
      </w:pPr>
      <w:r>
        <w:t>Servicing requirements</w:t>
      </w:r>
    </w:p>
    <w:p w14:paraId="747EA034" w14:textId="77777777" w:rsidR="002B5149" w:rsidRPr="002B5149" w:rsidRDefault="002B5149" w:rsidP="002B5149">
      <w:pPr>
        <w:rPr>
          <w:rFonts w:cs="Arial"/>
          <w:lang w:val="en-GB"/>
        </w:rPr>
      </w:pPr>
      <w:bookmarkStart w:id="23" w:name="_Hlk164770347"/>
      <w:r>
        <w:rPr>
          <w:lang w:val="en-GB"/>
        </w:rPr>
        <w:t>E</w:t>
      </w:r>
      <w:r w:rsidRPr="00562004">
        <w:rPr>
          <w:lang w:val="en-GB"/>
        </w:rPr>
        <w:t xml:space="preserve">ligible providers and practices are required to meet the servicing requirements to be eligible for </w:t>
      </w:r>
      <w:r w:rsidRPr="002B5149">
        <w:rPr>
          <w:rFonts w:cs="Arial"/>
          <w:lang w:val="en-GB"/>
        </w:rPr>
        <w:t>incentive payments, including delivering:</w:t>
      </w:r>
    </w:p>
    <w:p w14:paraId="38D4EEFD" w14:textId="77777777" w:rsidR="002B5149" w:rsidRPr="002B5149" w:rsidRDefault="002B5149" w:rsidP="00EC4AF4">
      <w:pPr>
        <w:pStyle w:val="ListBullet"/>
        <w:rPr>
          <w:lang w:val="en-GB"/>
        </w:rPr>
      </w:pPr>
      <w:bookmarkStart w:id="24" w:name="_Hlk164771344"/>
      <w:bookmarkEnd w:id="23"/>
      <w:r w:rsidRPr="002B5149">
        <w:rPr>
          <w:lang w:val="en-GB"/>
        </w:rPr>
        <w:t>Two eligible care planning services over a 12-month period</w:t>
      </w:r>
    </w:p>
    <w:p w14:paraId="5BE142BD" w14:textId="77777777" w:rsidR="002B5149" w:rsidRDefault="002B5149" w:rsidP="00EC4AF4">
      <w:pPr>
        <w:pStyle w:val="ListBullet"/>
        <w:rPr>
          <w:lang w:val="en-GB"/>
        </w:rPr>
      </w:pPr>
      <w:r w:rsidRPr="002B5149">
        <w:rPr>
          <w:lang w:val="en-GB"/>
        </w:rPr>
        <w:t>Two eligible regular visits per quarter; each in a separate calendar month, delivering at least eight regular services</w:t>
      </w:r>
      <w:r w:rsidRPr="00A70160">
        <w:rPr>
          <w:lang w:val="en-GB"/>
        </w:rPr>
        <w:t xml:space="preserve"> in a 12-month period.  </w:t>
      </w:r>
      <w:bookmarkStart w:id="25" w:name="_Hlk164770480"/>
    </w:p>
    <w:p w14:paraId="126FD20A" w14:textId="0D4EDBCF" w:rsidR="002B5149" w:rsidRDefault="002B5149" w:rsidP="002B5149">
      <w:pPr>
        <w:pStyle w:val="Heading2"/>
      </w:pPr>
      <w:r>
        <w:t>Care planning</w:t>
      </w:r>
    </w:p>
    <w:p w14:paraId="1668D640" w14:textId="77777777" w:rsidR="002B5149" w:rsidRDefault="002B5149" w:rsidP="002B5149">
      <w:pPr>
        <w:rPr>
          <w:szCs w:val="22"/>
          <w:lang w:val="en-GB"/>
        </w:rPr>
      </w:pPr>
      <w:r w:rsidRPr="00684F3F">
        <w:rPr>
          <w:szCs w:val="22"/>
          <w:lang w:val="en-GB"/>
        </w:rPr>
        <w:t xml:space="preserve">The responsible provider must deliver at least </w:t>
      </w:r>
      <w:r>
        <w:rPr>
          <w:b/>
          <w:bCs/>
          <w:szCs w:val="22"/>
          <w:lang w:val="en-GB"/>
        </w:rPr>
        <w:t>two</w:t>
      </w:r>
      <w:r w:rsidRPr="00684F3F">
        <w:rPr>
          <w:b/>
          <w:bCs/>
          <w:szCs w:val="22"/>
          <w:lang w:val="en-GB"/>
        </w:rPr>
        <w:t xml:space="preserve"> eligible care planning </w:t>
      </w:r>
      <w:r>
        <w:rPr>
          <w:b/>
          <w:bCs/>
          <w:szCs w:val="22"/>
          <w:lang w:val="en-GB"/>
        </w:rPr>
        <w:t xml:space="preserve">services </w:t>
      </w:r>
      <w:r w:rsidRPr="00684F3F">
        <w:rPr>
          <w:b/>
          <w:bCs/>
          <w:szCs w:val="22"/>
          <w:lang w:val="en-GB"/>
        </w:rPr>
        <w:t>within a 12-month period.</w:t>
      </w:r>
    </w:p>
    <w:p w14:paraId="4EF00F65" w14:textId="77777777" w:rsidR="002B5149" w:rsidRPr="002B5149" w:rsidRDefault="002B5149" w:rsidP="002B5149">
      <w:pPr>
        <w:rPr>
          <w:rFonts w:cs="Arial"/>
          <w:szCs w:val="22"/>
          <w:lang w:val="en-GB"/>
        </w:rPr>
      </w:pPr>
      <w:r w:rsidRPr="00684F3F">
        <w:rPr>
          <w:szCs w:val="22"/>
          <w:lang w:val="en-GB"/>
        </w:rPr>
        <w:t xml:space="preserve">Eligible </w:t>
      </w:r>
      <w:r w:rsidRPr="002B5149">
        <w:rPr>
          <w:rFonts w:cs="Arial"/>
          <w:szCs w:val="22"/>
          <w:lang w:val="en-GB"/>
        </w:rPr>
        <w:t>care planning includes a range of Medicare Benefits Schedule (MBS) and Department of Veterans’ Affairs (DVA) items in the following categories:</w:t>
      </w:r>
    </w:p>
    <w:p w14:paraId="6A8B6DBB" w14:textId="77777777" w:rsidR="002B5149" w:rsidRPr="002B5149" w:rsidRDefault="002B5149" w:rsidP="00EC4AF4">
      <w:pPr>
        <w:pStyle w:val="ListBullet"/>
        <w:rPr>
          <w:lang w:val="en-GB"/>
        </w:rPr>
      </w:pPr>
      <w:r w:rsidRPr="002B5149">
        <w:rPr>
          <w:lang w:val="en-GB"/>
        </w:rPr>
        <w:t>comprehensive medical assessment</w:t>
      </w:r>
    </w:p>
    <w:p w14:paraId="01FD8930" w14:textId="77777777" w:rsidR="002B5149" w:rsidRPr="002B5149" w:rsidRDefault="002B5149" w:rsidP="00EC4AF4">
      <w:pPr>
        <w:pStyle w:val="ListBullet"/>
        <w:rPr>
          <w:lang w:val="en-GB"/>
        </w:rPr>
      </w:pPr>
      <w:r w:rsidRPr="002B5149">
        <w:rPr>
          <w:lang w:val="en-GB"/>
        </w:rPr>
        <w:t>contribution to, or review of, multidisciplinary care plan</w:t>
      </w:r>
    </w:p>
    <w:p w14:paraId="76849947" w14:textId="77777777" w:rsidR="002B5149" w:rsidRDefault="002B5149" w:rsidP="00EC4AF4">
      <w:pPr>
        <w:pStyle w:val="ListBullet"/>
        <w:rPr>
          <w:lang w:val="en-GB"/>
        </w:rPr>
      </w:pPr>
      <w:r>
        <w:rPr>
          <w:lang w:val="en-GB"/>
        </w:rPr>
        <w:t>multidisciplinary care conference (GP arranged or participated)</w:t>
      </w:r>
    </w:p>
    <w:p w14:paraId="69949D51" w14:textId="131422FA" w:rsidR="002B5149" w:rsidRPr="002B5149" w:rsidRDefault="002B5149" w:rsidP="00EC4AF4">
      <w:pPr>
        <w:pStyle w:val="ListBullet"/>
        <w:rPr>
          <w:lang w:val="en-GB"/>
        </w:rPr>
      </w:pPr>
      <w:bookmarkStart w:id="26" w:name="_Hlk164771675"/>
      <w:r>
        <w:rPr>
          <w:lang w:val="en-GB"/>
        </w:rPr>
        <w:t>Residential Medication Management Review.</w:t>
      </w:r>
    </w:p>
    <w:p w14:paraId="21D15EC5" w14:textId="4E512708" w:rsidR="002B5149" w:rsidRDefault="002B5149" w:rsidP="002B5149">
      <w:pPr>
        <w:pStyle w:val="Heading2"/>
      </w:pPr>
      <w:r>
        <w:t>Regular visits</w:t>
      </w:r>
    </w:p>
    <w:p w14:paraId="3EA88A47" w14:textId="77777777" w:rsidR="002B5149" w:rsidRPr="00FE3AB7" w:rsidRDefault="002B5149" w:rsidP="002B5149">
      <w:pPr>
        <w:spacing w:before="0" w:after="0" w:line="257" w:lineRule="auto"/>
        <w:rPr>
          <w:rFonts w:eastAsia="Calibri" w:cs="Arial"/>
          <w:color w:val="000000"/>
          <w:szCs w:val="22"/>
          <w:lang w:val="en-GB"/>
        </w:rPr>
      </w:pPr>
      <w:r w:rsidRPr="00FE3AB7">
        <w:rPr>
          <w:rFonts w:eastAsia="Calibri" w:cs="Arial"/>
          <w:color w:val="000000"/>
          <w:szCs w:val="22"/>
          <w:lang w:val="en-GB"/>
        </w:rPr>
        <w:t xml:space="preserve">The responsible provider and their care team must deliver at least </w:t>
      </w:r>
      <w:r>
        <w:rPr>
          <w:rFonts w:eastAsia="Calibri" w:cs="Arial"/>
          <w:b/>
          <w:bCs/>
          <w:color w:val="000000"/>
          <w:szCs w:val="22"/>
          <w:lang w:val="en-GB"/>
        </w:rPr>
        <w:t>two</w:t>
      </w:r>
      <w:r w:rsidRPr="00FE3AB7">
        <w:rPr>
          <w:rFonts w:eastAsia="Calibri" w:cs="Arial"/>
          <w:b/>
          <w:bCs/>
          <w:color w:val="000000"/>
          <w:szCs w:val="22"/>
          <w:lang w:val="en-GB"/>
        </w:rPr>
        <w:t xml:space="preserve"> eligible regular visits per quarter</w:t>
      </w:r>
      <w:r w:rsidRPr="00FE3AB7">
        <w:rPr>
          <w:rFonts w:eastAsia="Calibri" w:cs="Arial"/>
          <w:color w:val="000000"/>
          <w:szCs w:val="22"/>
          <w:lang w:val="en-GB"/>
        </w:rPr>
        <w:t xml:space="preserve">, delivered in separate calendar months, with a </w:t>
      </w:r>
      <w:r w:rsidRPr="00FE3AB7">
        <w:rPr>
          <w:rFonts w:eastAsia="Calibri" w:cs="Arial"/>
          <w:b/>
          <w:bCs/>
          <w:color w:val="000000"/>
          <w:szCs w:val="22"/>
          <w:lang w:val="en-GB"/>
        </w:rPr>
        <w:t xml:space="preserve">minimum of </w:t>
      </w:r>
      <w:r>
        <w:rPr>
          <w:rFonts w:eastAsia="Calibri" w:cs="Arial"/>
          <w:b/>
          <w:bCs/>
          <w:color w:val="000000"/>
          <w:szCs w:val="22"/>
          <w:lang w:val="en-GB"/>
        </w:rPr>
        <w:t>eight</w:t>
      </w:r>
      <w:r w:rsidRPr="00FE3AB7">
        <w:rPr>
          <w:rFonts w:eastAsia="Calibri" w:cs="Arial"/>
          <w:b/>
          <w:bCs/>
          <w:color w:val="000000"/>
          <w:szCs w:val="22"/>
          <w:lang w:val="en-GB"/>
        </w:rPr>
        <w:t xml:space="preserve"> regular visits per 12-month period</w:t>
      </w:r>
      <w:r w:rsidRPr="00FE3AB7">
        <w:rPr>
          <w:rFonts w:eastAsia="Calibri" w:cs="Arial"/>
          <w:color w:val="000000"/>
          <w:szCs w:val="22"/>
          <w:lang w:val="en-GB"/>
        </w:rPr>
        <w:t>.</w:t>
      </w:r>
    </w:p>
    <w:p w14:paraId="62CD8CAC" w14:textId="77777777" w:rsidR="002B5149" w:rsidRPr="00B24EA3" w:rsidRDefault="002B5149" w:rsidP="002B5149">
      <w:pPr>
        <w:spacing w:after="0" w:line="257" w:lineRule="auto"/>
        <w:rPr>
          <w:rFonts w:eastAsia="Calibri" w:cs="Arial"/>
        </w:rPr>
      </w:pPr>
      <w:r w:rsidRPr="00B24EA3">
        <w:rPr>
          <w:rFonts w:eastAsia="Calibri" w:cs="Arial"/>
        </w:rPr>
        <w:t>Eligible regular visits include a range of MBS items in the following categories:</w:t>
      </w:r>
    </w:p>
    <w:p w14:paraId="029A9C3F" w14:textId="77777777" w:rsidR="002B5149" w:rsidRDefault="002B5149" w:rsidP="00EC4AF4">
      <w:pPr>
        <w:pStyle w:val="ListBullet"/>
        <w:rPr>
          <w:lang w:val="en-GB"/>
        </w:rPr>
      </w:pPr>
      <w:r>
        <w:rPr>
          <w:lang w:val="en-GB"/>
        </w:rPr>
        <w:t>attendance at a RACH (Level B-E consultations or equivalent)</w:t>
      </w:r>
    </w:p>
    <w:p w14:paraId="0068D6BC" w14:textId="77777777" w:rsidR="002B5149" w:rsidRDefault="002B5149" w:rsidP="00EC4AF4">
      <w:pPr>
        <w:pStyle w:val="ListBullet"/>
        <w:rPr>
          <w:lang w:val="en-GB"/>
        </w:rPr>
      </w:pPr>
      <w:r>
        <w:rPr>
          <w:lang w:val="en-GB"/>
        </w:rPr>
        <w:t>after hours services</w:t>
      </w:r>
    </w:p>
    <w:p w14:paraId="5102A677" w14:textId="77777777" w:rsidR="002B5149" w:rsidRDefault="002B5149" w:rsidP="00EC4AF4">
      <w:pPr>
        <w:pStyle w:val="ListBullet"/>
        <w:rPr>
          <w:lang w:val="en-GB"/>
        </w:rPr>
      </w:pPr>
      <w:bookmarkStart w:id="27" w:name="_Hlk164772036"/>
      <w:r>
        <w:rPr>
          <w:lang w:val="en-GB"/>
        </w:rPr>
        <w:t xml:space="preserve">nurse practitioner </w:t>
      </w:r>
      <w:proofErr w:type="gramStart"/>
      <w:r>
        <w:rPr>
          <w:lang w:val="en-GB"/>
        </w:rPr>
        <w:t>services</w:t>
      </w:r>
      <w:proofErr w:type="gramEnd"/>
    </w:p>
    <w:p w14:paraId="6DB90E98" w14:textId="77777777" w:rsidR="002B5149" w:rsidRPr="00684F3F" w:rsidRDefault="002B5149" w:rsidP="00EC4AF4">
      <w:pPr>
        <w:pStyle w:val="ListBullet"/>
        <w:rPr>
          <w:lang w:val="en-GB"/>
        </w:rPr>
      </w:pPr>
      <w:r>
        <w:rPr>
          <w:lang w:val="en-GB"/>
        </w:rPr>
        <w:t xml:space="preserve">practice nurse and Aboriginal and Torres Strait Islander health practitioner and </w:t>
      </w:r>
      <w:bookmarkEnd w:id="27"/>
      <w:r>
        <w:rPr>
          <w:lang w:val="en-GB"/>
        </w:rPr>
        <w:t xml:space="preserve">health worker services. </w:t>
      </w:r>
    </w:p>
    <w:p w14:paraId="2616F688" w14:textId="64407307" w:rsidR="002B5149" w:rsidRDefault="002B5149" w:rsidP="002B5149">
      <w:pPr>
        <w:pStyle w:val="Heading2"/>
      </w:pPr>
      <w:r>
        <w:t>Quarterly visits</w:t>
      </w:r>
    </w:p>
    <w:p w14:paraId="0E900EB9" w14:textId="77777777" w:rsidR="002B5149" w:rsidRDefault="002B5149" w:rsidP="002B5149">
      <w:pPr>
        <w:rPr>
          <w:lang w:val="en-GB"/>
        </w:rPr>
      </w:pPr>
      <w:r>
        <w:rPr>
          <w:lang w:val="en-GB"/>
        </w:rPr>
        <w:t>S</w:t>
      </w:r>
      <w:r w:rsidRPr="00A70160">
        <w:rPr>
          <w:lang w:val="en-GB"/>
        </w:rPr>
        <w:t>ervices must be delivered under the responsibility and direction of the responsible provider.</w:t>
      </w:r>
    </w:p>
    <w:p w14:paraId="47918348" w14:textId="77777777" w:rsidR="002B5149" w:rsidRDefault="002B5149" w:rsidP="002B5149">
      <w:pPr>
        <w:rPr>
          <w:lang w:val="en-GB"/>
        </w:rPr>
      </w:pPr>
      <w:r w:rsidRPr="00A70160">
        <w:rPr>
          <w:lang w:val="en-GB"/>
        </w:rPr>
        <w:t>Providers and practices will be required to meet</w:t>
      </w:r>
      <w:r>
        <w:rPr>
          <w:lang w:val="en-GB"/>
        </w:rPr>
        <w:t xml:space="preserve">: </w:t>
      </w:r>
    </w:p>
    <w:p w14:paraId="34664436" w14:textId="77777777" w:rsidR="002B5149" w:rsidRDefault="002B5149" w:rsidP="00EC4AF4">
      <w:pPr>
        <w:pStyle w:val="ListBullet"/>
        <w:rPr>
          <w:lang w:val="en-GB"/>
        </w:rPr>
      </w:pPr>
      <w:bookmarkStart w:id="28" w:name="_Hlk164772271"/>
      <w:r>
        <w:rPr>
          <w:lang w:val="en-GB"/>
        </w:rPr>
        <w:t>all servicing requirements outlined in the Program Guidelines</w:t>
      </w:r>
    </w:p>
    <w:bookmarkEnd w:id="28"/>
    <w:p w14:paraId="5253AA67" w14:textId="77777777" w:rsidR="002B5149" w:rsidRPr="00DB2A55" w:rsidRDefault="002B5149" w:rsidP="00EC4AF4">
      <w:pPr>
        <w:pStyle w:val="ListBullet"/>
        <w:rPr>
          <w:lang w:val="en-GB"/>
        </w:rPr>
      </w:pPr>
      <w:r w:rsidRPr="00DB2A55">
        <w:rPr>
          <w:lang w:val="en-GB"/>
        </w:rPr>
        <w:t>individual servicing requirements for each assessment quarter to be eligible for payment.</w:t>
      </w:r>
    </w:p>
    <w:p w14:paraId="6EBD02A3" w14:textId="77777777" w:rsidR="002B5149" w:rsidRDefault="002B5149" w:rsidP="00EC4AF4">
      <w:pPr>
        <w:rPr>
          <w:lang w:val="en-GB"/>
        </w:rPr>
      </w:pPr>
      <w:r w:rsidRPr="00DB2A55">
        <w:rPr>
          <w:lang w:val="en-GB"/>
        </w:rPr>
        <w:lastRenderedPageBreak/>
        <w:t>At least one of the regular visits must be provided by the responsible provider.</w:t>
      </w:r>
    </w:p>
    <w:p w14:paraId="641B2385" w14:textId="77777777" w:rsidR="002B5149" w:rsidRPr="00DB2A55" w:rsidRDefault="002B5149" w:rsidP="00EC4AF4">
      <w:pPr>
        <w:rPr>
          <w:lang w:val="en-GB"/>
        </w:rPr>
      </w:pPr>
      <w:r w:rsidRPr="00DB2A55">
        <w:rPr>
          <w:lang w:val="en-GB"/>
        </w:rPr>
        <w:t xml:space="preserve">A second visit can be delivered by the responsible provider or another member of the patient’s care team. </w:t>
      </w:r>
    </w:p>
    <w:p w14:paraId="002E8C59" w14:textId="77777777" w:rsidR="002B5149" w:rsidRDefault="002B5149" w:rsidP="002B5149">
      <w:pPr>
        <w:rPr>
          <w:szCs w:val="22"/>
          <w:lang w:val="en-GB"/>
        </w:rPr>
      </w:pPr>
      <w:r>
        <w:rPr>
          <w:szCs w:val="22"/>
          <w:lang w:val="en-GB"/>
        </w:rPr>
        <w:t>This includes:</w:t>
      </w:r>
    </w:p>
    <w:p w14:paraId="14CADC72" w14:textId="77777777" w:rsidR="002B5149" w:rsidRDefault="002B5149" w:rsidP="00EC4AF4">
      <w:pPr>
        <w:pStyle w:val="ListBullet"/>
        <w:rPr>
          <w:lang w:val="en-GB"/>
        </w:rPr>
      </w:pPr>
      <w:r w:rsidRPr="00DB2A55">
        <w:rPr>
          <w:lang w:val="en-GB"/>
        </w:rPr>
        <w:t>an alternate provider within the same practice</w:t>
      </w:r>
    </w:p>
    <w:p w14:paraId="4577B80A" w14:textId="77777777" w:rsidR="002B5149" w:rsidRDefault="002B5149" w:rsidP="00EC4AF4">
      <w:pPr>
        <w:pStyle w:val="ListBullet"/>
        <w:rPr>
          <w:lang w:val="en-GB"/>
        </w:rPr>
      </w:pPr>
      <w:r>
        <w:rPr>
          <w:lang w:val="en-GB"/>
        </w:rPr>
        <w:t>GP registrar</w:t>
      </w:r>
    </w:p>
    <w:p w14:paraId="1CDC2970" w14:textId="77777777" w:rsidR="002B5149" w:rsidRDefault="002B5149" w:rsidP="00EC4AF4">
      <w:pPr>
        <w:pStyle w:val="ListBullet"/>
        <w:rPr>
          <w:lang w:val="en-GB"/>
        </w:rPr>
      </w:pPr>
      <w:r>
        <w:rPr>
          <w:lang w:val="en-GB"/>
        </w:rPr>
        <w:t xml:space="preserve">nurse </w:t>
      </w:r>
      <w:proofErr w:type="gramStart"/>
      <w:r>
        <w:rPr>
          <w:lang w:val="en-GB"/>
        </w:rPr>
        <w:t>practitioner</w:t>
      </w:r>
      <w:proofErr w:type="gramEnd"/>
    </w:p>
    <w:p w14:paraId="5023F58D" w14:textId="452E7685" w:rsidR="002B5149" w:rsidRDefault="002B5149" w:rsidP="002B5149">
      <w:pPr>
        <w:rPr>
          <w:szCs w:val="22"/>
          <w:lang w:val="en-GB"/>
        </w:rPr>
      </w:pPr>
      <w:r w:rsidRPr="00DB2A55">
        <w:rPr>
          <w:szCs w:val="22"/>
          <w:lang w:val="en-GB"/>
        </w:rPr>
        <w:t>Aboriginal and Torres Strait Islander health practitioner or health worker.</w:t>
      </w:r>
    </w:p>
    <w:p w14:paraId="42B0A5CB" w14:textId="5ED69302" w:rsidR="002B5149" w:rsidRDefault="002B5149" w:rsidP="002B5149">
      <w:pPr>
        <w:pStyle w:val="Heading2"/>
      </w:pPr>
      <w:r>
        <w:t>Telehealth</w:t>
      </w:r>
    </w:p>
    <w:p w14:paraId="720094A9" w14:textId="5E4E7B27" w:rsidR="002B5149" w:rsidRPr="002B5149" w:rsidRDefault="002B5149" w:rsidP="002B5149">
      <w:pPr>
        <w:spacing w:after="0" w:line="257" w:lineRule="auto"/>
        <w:rPr>
          <w:rFonts w:eastAsia="Calibri" w:cs="Arial"/>
        </w:rPr>
      </w:pPr>
      <w:r w:rsidRPr="00B24EA3">
        <w:rPr>
          <w:rFonts w:eastAsia="Calibri" w:cs="Arial"/>
        </w:rPr>
        <w:t xml:space="preserve">Practices located in </w:t>
      </w:r>
      <w:r w:rsidRPr="00DB2A55">
        <w:rPr>
          <w:rFonts w:eastAsia="Calibri" w:cs="Arial"/>
          <w:b/>
          <w:bCs/>
        </w:rPr>
        <w:t xml:space="preserve">Modified Monash Model (MMM) </w:t>
      </w:r>
      <w:r>
        <w:rPr>
          <w:rFonts w:eastAsia="Calibri" w:cs="Arial"/>
          <w:b/>
          <w:bCs/>
        </w:rPr>
        <w:t>area</w:t>
      </w:r>
      <w:r w:rsidRPr="00DB2A55">
        <w:rPr>
          <w:rFonts w:eastAsia="Calibri" w:cs="Arial"/>
          <w:b/>
          <w:bCs/>
        </w:rPr>
        <w:t>s MM</w:t>
      </w:r>
      <w:r>
        <w:rPr>
          <w:rFonts w:eastAsia="Calibri" w:cs="Arial"/>
          <w:b/>
          <w:bCs/>
        </w:rPr>
        <w:t>M</w:t>
      </w:r>
      <w:r w:rsidRPr="00DB2A55">
        <w:rPr>
          <w:rFonts w:eastAsia="Calibri" w:cs="Arial"/>
          <w:b/>
          <w:bCs/>
        </w:rPr>
        <w:t xml:space="preserve"> 4 </w:t>
      </w:r>
      <w:r>
        <w:rPr>
          <w:rFonts w:eastAsia="Calibri" w:cs="Arial"/>
          <w:b/>
          <w:bCs/>
        </w:rPr>
        <w:t>-</w:t>
      </w:r>
      <w:r w:rsidRPr="00DB2A55">
        <w:rPr>
          <w:rFonts w:eastAsia="Calibri" w:cs="Arial"/>
          <w:b/>
          <w:bCs/>
        </w:rPr>
        <w:t xml:space="preserve"> 7</w:t>
      </w:r>
      <w:r w:rsidRPr="00B24EA3">
        <w:rPr>
          <w:rFonts w:eastAsia="Calibri" w:cs="Arial"/>
        </w:rPr>
        <w:t xml:space="preserve"> will be able to provide 4</w:t>
      </w:r>
      <w:r>
        <w:rPr>
          <w:rFonts w:eastAsia="Calibri" w:cs="Arial"/>
        </w:rPr>
        <w:t xml:space="preserve"> four </w:t>
      </w:r>
      <w:r w:rsidRPr="00B24EA3">
        <w:rPr>
          <w:rFonts w:eastAsia="Calibri" w:cs="Arial"/>
        </w:rPr>
        <w:t>regular visits per 12-month period by eligible telehealth MBS items where they are unable to attend a face-to-face service.</w:t>
      </w:r>
    </w:p>
    <w:p w14:paraId="40850961" w14:textId="684E2BAC" w:rsidR="002B5149" w:rsidRDefault="002B5149" w:rsidP="002B5149">
      <w:pPr>
        <w:pStyle w:val="Heading2"/>
      </w:pPr>
      <w:r>
        <w:t>Contact</w:t>
      </w:r>
    </w:p>
    <w:p w14:paraId="1E6E558D" w14:textId="1D18829F" w:rsidR="009E30CD" w:rsidRPr="00297D57" w:rsidRDefault="00000000" w:rsidP="00817CB4">
      <w:pPr>
        <w:rPr>
          <w:szCs w:val="24"/>
        </w:rPr>
      </w:pPr>
      <w:hyperlink r:id="rId12" w:history="1">
        <w:r w:rsidR="002B5149" w:rsidRPr="002B5149">
          <w:rPr>
            <w:rFonts w:eastAsia="Times New Roman" w:cs="Times New Roman"/>
            <w:color w:val="0000FF"/>
            <w:szCs w:val="24"/>
            <w:u w:val="single"/>
            <w:lang w:eastAsia="en-US"/>
          </w:rPr>
          <w:t>mymedicare@health.gov.au</w:t>
        </w:r>
      </w:hyperlink>
      <w:bookmarkEnd w:id="9"/>
      <w:bookmarkEnd w:id="10"/>
      <w:bookmarkEnd w:id="11"/>
      <w:bookmarkEnd w:id="12"/>
      <w:bookmarkEnd w:id="13"/>
      <w:bookmarkEnd w:id="14"/>
      <w:bookmarkEnd w:id="24"/>
      <w:bookmarkEnd w:id="25"/>
      <w:bookmarkEnd w:id="26"/>
    </w:p>
    <w:p w14:paraId="4F143FC3" w14:textId="77777777" w:rsidR="00297D57" w:rsidRDefault="00297D57">
      <w:r>
        <w:br w:type="page"/>
      </w:r>
    </w:p>
    <w:p w14:paraId="1BF61669" w14:textId="77777777" w:rsidR="00297D57" w:rsidRDefault="00297D57" w:rsidP="009E30CD">
      <w:pPr>
        <w:jc w:val="center"/>
      </w:pPr>
    </w:p>
    <w:p w14:paraId="40FD9DAE" w14:textId="627AEC15" w:rsidR="009E30CD" w:rsidRPr="00817CB4" w:rsidRDefault="009E30CD" w:rsidP="00EC4AF4">
      <w:pPr>
        <w:pStyle w:val="Endofpagetext"/>
      </w:pPr>
      <w:r>
        <w:t xml:space="preserve">All information in this publication is correct as of </w:t>
      </w:r>
      <w:r w:rsidR="00297D57">
        <w:t>August</w:t>
      </w:r>
      <w:r>
        <w:t xml:space="preserve"> 2024</w:t>
      </w:r>
      <w:r w:rsidR="00F342F6">
        <w:t>.</w:t>
      </w:r>
    </w:p>
    <w:sectPr w:rsidR="009E30CD" w:rsidRPr="00817CB4" w:rsidSect="004963F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7881" w14:textId="77777777" w:rsidR="001A6E83" w:rsidRDefault="001A6E83" w:rsidP="00D560DC">
      <w:pPr>
        <w:spacing w:before="0" w:after="0" w:line="240" w:lineRule="auto"/>
      </w:pPr>
      <w:r>
        <w:separator/>
      </w:r>
    </w:p>
  </w:endnote>
  <w:endnote w:type="continuationSeparator" w:id="0">
    <w:p w14:paraId="10F1BB57" w14:textId="77777777" w:rsidR="001A6E83" w:rsidRDefault="001A6E8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986E" w14:textId="56FB1D23" w:rsidR="0039793D" w:rsidRPr="0039793D" w:rsidRDefault="00AF121B" w:rsidP="0039793D">
    <w:pPr>
      <w:pStyle w:val="Footer"/>
      <w:rPr>
        <w:color w:val="264F90" w:themeColor="accent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11757A5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63FC">
      <w:rPr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929368591" name="Picture 9293685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A2DD1">
          <w:t>General Practice in Aged Care Incentive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1B813AE4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1004004575" name="Picture 100400457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A2DD1">
          <w:t>General Practice in Aged Care Incentive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6336" w14:textId="77777777" w:rsidR="001A6E83" w:rsidRDefault="001A6E8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2147297" w14:textId="77777777" w:rsidR="001A6E83" w:rsidRDefault="001A6E8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6C43" w14:textId="2C27A1F7" w:rsidR="00D560DC" w:rsidRDefault="004963FC" w:rsidP="004963FC">
    <w:pPr>
      <w:pStyle w:val="Header"/>
      <w:spacing w:after="140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908229050" name="Picture 9082290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359513632" name="Picture 13595136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</w:abstractNum>
  <w:abstractNum w:abstractNumId="1" w15:restartNumberingAfterBreak="0">
    <w:nsid w:val="05B02235"/>
    <w:multiLevelType w:val="hybridMultilevel"/>
    <w:tmpl w:val="F9524D2E"/>
    <w:lvl w:ilvl="0" w:tplc="709A3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E02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300F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4C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2CC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E82D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08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A43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BFA1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57B4"/>
    <w:multiLevelType w:val="multilevel"/>
    <w:tmpl w:val="E27E9296"/>
    <w:numStyleLink w:val="NumberedListStyle"/>
  </w:abstractNum>
  <w:abstractNum w:abstractNumId="3" w15:restartNumberingAfterBreak="0">
    <w:nsid w:val="0BEF7718"/>
    <w:multiLevelType w:val="multilevel"/>
    <w:tmpl w:val="360A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0D5632"/>
    <w:multiLevelType w:val="multilevel"/>
    <w:tmpl w:val="59E2A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9646D7"/>
    <w:multiLevelType w:val="hybridMultilevel"/>
    <w:tmpl w:val="BC70B26E"/>
    <w:lvl w:ilvl="0" w:tplc="4D481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6701"/>
    <w:multiLevelType w:val="multilevel"/>
    <w:tmpl w:val="0680B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143913"/>
    <w:multiLevelType w:val="multilevel"/>
    <w:tmpl w:val="AA2E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952A99"/>
    <w:multiLevelType w:val="hybridMultilevel"/>
    <w:tmpl w:val="DA044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468F9"/>
    <w:multiLevelType w:val="multilevel"/>
    <w:tmpl w:val="F050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BD5A56"/>
    <w:multiLevelType w:val="hybridMultilevel"/>
    <w:tmpl w:val="DB1AECD4"/>
    <w:lvl w:ilvl="0" w:tplc="8A36A97C">
      <w:start w:val="1"/>
      <w:numFmt w:val="decimal"/>
      <w:lvlText w:val="%1.1.1"/>
      <w:lvlJc w:val="left"/>
      <w:pPr>
        <w:ind w:left="72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95396"/>
    <w:multiLevelType w:val="multilevel"/>
    <w:tmpl w:val="BD1C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252211"/>
    <w:multiLevelType w:val="multilevel"/>
    <w:tmpl w:val="1ADE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E57D46"/>
    <w:multiLevelType w:val="multilevel"/>
    <w:tmpl w:val="67E4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885E10"/>
    <w:multiLevelType w:val="hybridMultilevel"/>
    <w:tmpl w:val="9E2A3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D53EE"/>
    <w:multiLevelType w:val="multilevel"/>
    <w:tmpl w:val="55CC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EF054C"/>
    <w:multiLevelType w:val="multilevel"/>
    <w:tmpl w:val="B796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63433C9D"/>
    <w:multiLevelType w:val="multilevel"/>
    <w:tmpl w:val="22D4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2090A"/>
    <w:multiLevelType w:val="multilevel"/>
    <w:tmpl w:val="0C64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346834"/>
    <w:multiLevelType w:val="hybridMultilevel"/>
    <w:tmpl w:val="C06ED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34FAC"/>
    <w:multiLevelType w:val="hybridMultilevel"/>
    <w:tmpl w:val="83BC2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E04B9"/>
    <w:multiLevelType w:val="hybridMultilevel"/>
    <w:tmpl w:val="A66E3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2FDF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05144"/>
    <w:multiLevelType w:val="hybridMultilevel"/>
    <w:tmpl w:val="C6205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24"/>
  </w:num>
  <w:num w:numId="2" w16cid:durableId="842470679">
    <w:abstractNumId w:val="17"/>
  </w:num>
  <w:num w:numId="3" w16cid:durableId="1678968889">
    <w:abstractNumId w:val="0"/>
  </w:num>
  <w:num w:numId="4" w16cid:durableId="1842163252">
    <w:abstractNumId w:val="2"/>
  </w:num>
  <w:num w:numId="5" w16cid:durableId="1927687464">
    <w:abstractNumId w:val="22"/>
  </w:num>
  <w:num w:numId="6" w16cid:durableId="572276078">
    <w:abstractNumId w:val="4"/>
  </w:num>
  <w:num w:numId="7" w16cid:durableId="1993291614">
    <w:abstractNumId w:val="5"/>
  </w:num>
  <w:num w:numId="8" w16cid:durableId="1083137740">
    <w:abstractNumId w:val="10"/>
  </w:num>
  <w:num w:numId="9" w16cid:durableId="48652587">
    <w:abstractNumId w:val="21"/>
  </w:num>
  <w:num w:numId="10" w16cid:durableId="1857769057">
    <w:abstractNumId w:val="14"/>
  </w:num>
  <w:num w:numId="11" w16cid:durableId="57828738">
    <w:abstractNumId w:val="18"/>
  </w:num>
  <w:num w:numId="12" w16cid:durableId="315841346">
    <w:abstractNumId w:val="8"/>
  </w:num>
  <w:num w:numId="13" w16cid:durableId="1868250199">
    <w:abstractNumId w:val="6"/>
  </w:num>
  <w:num w:numId="14" w16cid:durableId="3174776">
    <w:abstractNumId w:val="16"/>
  </w:num>
  <w:num w:numId="15" w16cid:durableId="1491098834">
    <w:abstractNumId w:val="7"/>
  </w:num>
  <w:num w:numId="16" w16cid:durableId="547883866">
    <w:abstractNumId w:val="11"/>
  </w:num>
  <w:num w:numId="17" w16cid:durableId="791485548">
    <w:abstractNumId w:val="19"/>
  </w:num>
  <w:num w:numId="18" w16cid:durableId="128212453">
    <w:abstractNumId w:val="12"/>
  </w:num>
  <w:num w:numId="19" w16cid:durableId="1864318516">
    <w:abstractNumId w:val="9"/>
  </w:num>
  <w:num w:numId="20" w16cid:durableId="619455642">
    <w:abstractNumId w:val="15"/>
  </w:num>
  <w:num w:numId="21" w16cid:durableId="1733775671">
    <w:abstractNumId w:val="13"/>
  </w:num>
  <w:num w:numId="22" w16cid:durableId="557010401">
    <w:abstractNumId w:val="20"/>
  </w:num>
  <w:num w:numId="23" w16cid:durableId="1169176947">
    <w:abstractNumId w:val="1"/>
  </w:num>
  <w:num w:numId="24" w16cid:durableId="1778981195">
    <w:abstractNumId w:val="3"/>
  </w:num>
  <w:num w:numId="25" w16cid:durableId="138748697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16BF"/>
    <w:rsid w:val="00017597"/>
    <w:rsid w:val="00027E66"/>
    <w:rsid w:val="0003434C"/>
    <w:rsid w:val="00044464"/>
    <w:rsid w:val="00061D6A"/>
    <w:rsid w:val="00073057"/>
    <w:rsid w:val="0007659C"/>
    <w:rsid w:val="00082701"/>
    <w:rsid w:val="000B18A7"/>
    <w:rsid w:val="0011315D"/>
    <w:rsid w:val="0014204E"/>
    <w:rsid w:val="00163226"/>
    <w:rsid w:val="00197EC9"/>
    <w:rsid w:val="001A6E83"/>
    <w:rsid w:val="001B3342"/>
    <w:rsid w:val="001E3443"/>
    <w:rsid w:val="00205290"/>
    <w:rsid w:val="00212D92"/>
    <w:rsid w:val="00297D57"/>
    <w:rsid w:val="002A77A4"/>
    <w:rsid w:val="002B5149"/>
    <w:rsid w:val="002B5E7A"/>
    <w:rsid w:val="002C26E8"/>
    <w:rsid w:val="002D27AE"/>
    <w:rsid w:val="002E1B3E"/>
    <w:rsid w:val="002E4165"/>
    <w:rsid w:val="00304C7A"/>
    <w:rsid w:val="00324651"/>
    <w:rsid w:val="003932FC"/>
    <w:rsid w:val="0039793D"/>
    <w:rsid w:val="003A18B8"/>
    <w:rsid w:val="003B2E3D"/>
    <w:rsid w:val="003B36D9"/>
    <w:rsid w:val="003F6E9A"/>
    <w:rsid w:val="004050EF"/>
    <w:rsid w:val="00411AE3"/>
    <w:rsid w:val="0041233C"/>
    <w:rsid w:val="00432A99"/>
    <w:rsid w:val="004963FC"/>
    <w:rsid w:val="004A1E4C"/>
    <w:rsid w:val="004A2DD1"/>
    <w:rsid w:val="004A500A"/>
    <w:rsid w:val="004B3D3F"/>
    <w:rsid w:val="004C7058"/>
    <w:rsid w:val="004E540A"/>
    <w:rsid w:val="0050199B"/>
    <w:rsid w:val="00524B9A"/>
    <w:rsid w:val="00527D37"/>
    <w:rsid w:val="00535C06"/>
    <w:rsid w:val="005958B1"/>
    <w:rsid w:val="005D2DE6"/>
    <w:rsid w:val="00635A19"/>
    <w:rsid w:val="006A2EA6"/>
    <w:rsid w:val="007148D0"/>
    <w:rsid w:val="00762EB0"/>
    <w:rsid w:val="007661CA"/>
    <w:rsid w:val="00775EA0"/>
    <w:rsid w:val="007A0DC4"/>
    <w:rsid w:val="007B0499"/>
    <w:rsid w:val="007B4244"/>
    <w:rsid w:val="007C547B"/>
    <w:rsid w:val="007C5EAC"/>
    <w:rsid w:val="007C7E90"/>
    <w:rsid w:val="007E3DC7"/>
    <w:rsid w:val="0080053F"/>
    <w:rsid w:val="00802B82"/>
    <w:rsid w:val="00817CB4"/>
    <w:rsid w:val="008324E6"/>
    <w:rsid w:val="00842449"/>
    <w:rsid w:val="00844530"/>
    <w:rsid w:val="00845E13"/>
    <w:rsid w:val="00853B77"/>
    <w:rsid w:val="00865346"/>
    <w:rsid w:val="00891C26"/>
    <w:rsid w:val="008A340B"/>
    <w:rsid w:val="008C49B2"/>
    <w:rsid w:val="008F62F1"/>
    <w:rsid w:val="00901119"/>
    <w:rsid w:val="00927327"/>
    <w:rsid w:val="009426C5"/>
    <w:rsid w:val="0095530D"/>
    <w:rsid w:val="009A0C1C"/>
    <w:rsid w:val="009B02F7"/>
    <w:rsid w:val="009C01BF"/>
    <w:rsid w:val="009D70DA"/>
    <w:rsid w:val="009E30CD"/>
    <w:rsid w:val="00A03EB2"/>
    <w:rsid w:val="00A2470F"/>
    <w:rsid w:val="00A62134"/>
    <w:rsid w:val="00A828C2"/>
    <w:rsid w:val="00A9171E"/>
    <w:rsid w:val="00AB76A4"/>
    <w:rsid w:val="00AF121B"/>
    <w:rsid w:val="00AF71F9"/>
    <w:rsid w:val="00B305E8"/>
    <w:rsid w:val="00B349F8"/>
    <w:rsid w:val="00B612DA"/>
    <w:rsid w:val="00BA4643"/>
    <w:rsid w:val="00BA73B9"/>
    <w:rsid w:val="00BC2448"/>
    <w:rsid w:val="00C01113"/>
    <w:rsid w:val="00C1181F"/>
    <w:rsid w:val="00C579DD"/>
    <w:rsid w:val="00C70717"/>
    <w:rsid w:val="00C72181"/>
    <w:rsid w:val="00C74444"/>
    <w:rsid w:val="00CE2ACC"/>
    <w:rsid w:val="00CE7B7A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85825"/>
    <w:rsid w:val="00DB5904"/>
    <w:rsid w:val="00DB5D01"/>
    <w:rsid w:val="00DB786A"/>
    <w:rsid w:val="00DF666F"/>
    <w:rsid w:val="00E000BB"/>
    <w:rsid w:val="00E0199B"/>
    <w:rsid w:val="00E06FAF"/>
    <w:rsid w:val="00E47880"/>
    <w:rsid w:val="00E47EE2"/>
    <w:rsid w:val="00E57B52"/>
    <w:rsid w:val="00E65022"/>
    <w:rsid w:val="00E65DAB"/>
    <w:rsid w:val="00E909BD"/>
    <w:rsid w:val="00EA39DC"/>
    <w:rsid w:val="00EC4AF4"/>
    <w:rsid w:val="00ED2F56"/>
    <w:rsid w:val="00EF16B7"/>
    <w:rsid w:val="00F21192"/>
    <w:rsid w:val="00F342F6"/>
    <w:rsid w:val="00F52C02"/>
    <w:rsid w:val="00F57682"/>
    <w:rsid w:val="00F61C49"/>
    <w:rsid w:val="00F62279"/>
    <w:rsid w:val="00F64FDB"/>
    <w:rsid w:val="00FA3109"/>
    <w:rsid w:val="00FB1D7F"/>
    <w:rsid w:val="00FB7C1E"/>
    <w:rsid w:val="00FC2C6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EC4AF4"/>
    <w:pPr>
      <w:keepNext/>
      <w:keepLines/>
      <w:spacing w:before="120" w:after="12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EC4AF4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nhideWhenUsed/>
    <w:qFormat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qFormat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next w:val="Normal"/>
    <w:link w:val="TitleChar"/>
    <w:qFormat/>
    <w:rsid w:val="00EC4AF4"/>
    <w:pPr>
      <w:spacing w:before="120" w:after="120" w:line="240" w:lineRule="auto"/>
    </w:pPr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EC4AF4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rsid w:val="00EC4AF4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rsid w:val="00EC4AF4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4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2"/>
      </w:numPr>
    </w:pPr>
  </w:style>
  <w:style w:type="table" w:styleId="TableGrid">
    <w:name w:val="Table Grid"/>
    <w:basedOn w:val="TableNormal"/>
    <w:uiPriority w:val="5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nhideWhenUsed/>
    <w:qFormat/>
    <w:rsid w:val="00E0199B"/>
    <w:pPr>
      <w:numPr>
        <w:numId w:val="3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link w:val="NoSpacingChar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qFormat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customStyle="1" w:styleId="Endofpagetext">
    <w:name w:val="End of page text"/>
    <w:basedOn w:val="Normal"/>
    <w:link w:val="EndofpagetextChar"/>
    <w:qFormat/>
    <w:rsid w:val="00EC4AF4"/>
    <w:pPr>
      <w:spacing w:before="5000"/>
      <w:jc w:val="center"/>
    </w:pPr>
  </w:style>
  <w:style w:type="character" w:customStyle="1" w:styleId="EndofpagetextChar">
    <w:name w:val="End of page text Char"/>
    <w:basedOn w:val="DefaultParagraphFont"/>
    <w:link w:val="Endofpagetext"/>
    <w:rsid w:val="00EC4AF4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7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CB4"/>
    <w:pPr>
      <w:spacing w:before="0" w:after="160" w:line="240" w:lineRule="auto"/>
    </w:pPr>
    <w:rPr>
      <w:rFonts w:asciiTheme="minorHAnsi" w:eastAsiaTheme="minorHAnsi" w:hAnsiTheme="minorHAnsi" w:cs="Times New Roman"/>
      <w:color w:val="auto"/>
      <w:kern w:val="2"/>
      <w:sz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CB4"/>
    <w:rPr>
      <w:rFonts w:eastAsiaTheme="minorHAnsi" w:cs="Times New Roman"/>
      <w:color w:val="auto"/>
      <w:kern w:val="2"/>
      <w:lang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CB4"/>
    <w:rPr>
      <w:rFonts w:eastAsiaTheme="minorHAnsi" w:cs="Times New Roman"/>
      <w:b/>
      <w:bCs/>
      <w:color w:val="auto"/>
      <w:kern w:val="2"/>
      <w:lang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81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817CB4"/>
    <w:pPr>
      <w:spacing w:before="0" w:after="0" w:line="259" w:lineRule="auto"/>
      <w:ind w:left="480"/>
    </w:pPr>
    <w:rPr>
      <w:rFonts w:asciiTheme="minorHAnsi" w:eastAsiaTheme="minorHAnsi" w:hAnsiTheme="minorHAnsi" w:cstheme="minorHAnsi"/>
      <w:i/>
      <w:iCs/>
      <w:color w:val="auto"/>
      <w:kern w:val="2"/>
      <w:sz w:val="20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817CB4"/>
    <w:pPr>
      <w:spacing w:before="0" w:after="0" w:line="240" w:lineRule="auto"/>
    </w:pPr>
    <w:rPr>
      <w:rFonts w:eastAsiaTheme="minorHAnsi" w:cs="Times New Roman"/>
      <w:color w:val="auto"/>
      <w:kern w:val="2"/>
      <w:sz w:val="24"/>
      <w:szCs w:val="24"/>
      <w:lang w:eastAsia="en-US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CB4"/>
    <w:pPr>
      <w:spacing w:before="0" w:after="0" w:line="240" w:lineRule="auto"/>
    </w:pPr>
    <w:rPr>
      <w:rFonts w:asciiTheme="minorHAnsi" w:eastAsiaTheme="minorHAnsi" w:hAnsiTheme="minorHAnsi" w:cs="Times New Roman"/>
      <w:color w:val="auto"/>
      <w:kern w:val="2"/>
      <w:sz w:val="20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CB4"/>
    <w:rPr>
      <w:rFonts w:eastAsiaTheme="minorHAnsi" w:cs="Times New Roman"/>
      <w:color w:val="auto"/>
      <w:kern w:val="2"/>
      <w:lang w:eastAsia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817CB4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817CB4"/>
    <w:pPr>
      <w:spacing w:before="0" w:after="0" w:line="259" w:lineRule="auto"/>
      <w:ind w:left="720"/>
    </w:pPr>
    <w:rPr>
      <w:rFonts w:asciiTheme="minorHAnsi" w:eastAsiaTheme="minorHAnsi" w:hAnsiTheme="minorHAnsi" w:cstheme="minorHAnsi"/>
      <w:color w:val="auto"/>
      <w:kern w:val="2"/>
      <w:sz w:val="18"/>
      <w:szCs w:val="18"/>
      <w:lang w:eastAsia="en-US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817CB4"/>
    <w:pPr>
      <w:spacing w:before="0" w:after="0" w:line="259" w:lineRule="auto"/>
      <w:ind w:left="960"/>
    </w:pPr>
    <w:rPr>
      <w:rFonts w:asciiTheme="minorHAnsi" w:eastAsiaTheme="minorHAnsi" w:hAnsiTheme="minorHAnsi" w:cstheme="minorHAnsi"/>
      <w:color w:val="auto"/>
      <w:kern w:val="2"/>
      <w:sz w:val="18"/>
      <w:szCs w:val="18"/>
      <w:lang w:eastAsia="en-US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817CB4"/>
    <w:pPr>
      <w:spacing w:before="0" w:after="0" w:line="259" w:lineRule="auto"/>
      <w:ind w:left="1200"/>
    </w:pPr>
    <w:rPr>
      <w:rFonts w:asciiTheme="minorHAnsi" w:eastAsiaTheme="minorHAnsi" w:hAnsiTheme="minorHAnsi" w:cstheme="minorHAnsi"/>
      <w:color w:val="auto"/>
      <w:kern w:val="2"/>
      <w:sz w:val="18"/>
      <w:szCs w:val="18"/>
      <w:lang w:eastAsia="en-US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817CB4"/>
    <w:pPr>
      <w:spacing w:before="0" w:after="0" w:line="259" w:lineRule="auto"/>
      <w:ind w:left="1440"/>
    </w:pPr>
    <w:rPr>
      <w:rFonts w:asciiTheme="minorHAnsi" w:eastAsiaTheme="minorHAnsi" w:hAnsiTheme="minorHAnsi" w:cstheme="minorHAnsi"/>
      <w:color w:val="auto"/>
      <w:kern w:val="2"/>
      <w:sz w:val="18"/>
      <w:szCs w:val="18"/>
      <w:lang w:eastAsia="en-US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817CB4"/>
    <w:pPr>
      <w:spacing w:before="0" w:after="0" w:line="259" w:lineRule="auto"/>
      <w:ind w:left="1680"/>
    </w:pPr>
    <w:rPr>
      <w:rFonts w:asciiTheme="minorHAnsi" w:eastAsiaTheme="minorHAnsi" w:hAnsiTheme="minorHAnsi" w:cstheme="minorHAnsi"/>
      <w:color w:val="auto"/>
      <w:kern w:val="2"/>
      <w:sz w:val="18"/>
      <w:szCs w:val="18"/>
      <w:lang w:eastAsia="en-US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817CB4"/>
    <w:pPr>
      <w:spacing w:before="0" w:after="0" w:line="259" w:lineRule="auto"/>
      <w:ind w:left="1920"/>
    </w:pPr>
    <w:rPr>
      <w:rFonts w:asciiTheme="minorHAnsi" w:eastAsiaTheme="minorHAnsi" w:hAnsiTheme="minorHAnsi" w:cstheme="minorHAnsi"/>
      <w:color w:val="auto"/>
      <w:kern w:val="2"/>
      <w:sz w:val="18"/>
      <w:szCs w:val="18"/>
      <w:lang w:eastAsia="en-US"/>
      <w14:ligatures w14:val="standardContextual"/>
    </w:rPr>
  </w:style>
  <w:style w:type="paragraph" w:customStyle="1" w:styleId="Headingguidelines">
    <w:name w:val="Heading guidelines"/>
    <w:basedOn w:val="Heading1"/>
    <w:link w:val="HeadingguidelinesChar"/>
    <w:qFormat/>
    <w:rsid w:val="00817CB4"/>
    <w:pPr>
      <w:spacing w:before="240" w:after="0" w:line="259" w:lineRule="auto"/>
      <w:ind w:left="420" w:hanging="420"/>
    </w:pPr>
    <w:rPr>
      <w:rFonts w:eastAsia="Times New Roman" w:cs="Arial"/>
      <w:bCs/>
      <w:color w:val="3F4A75"/>
      <w:kern w:val="28"/>
      <w:sz w:val="36"/>
      <w:szCs w:val="28"/>
      <w:lang w:eastAsia="en-US"/>
    </w:rPr>
  </w:style>
  <w:style w:type="character" w:customStyle="1" w:styleId="HeadingguidelinesChar">
    <w:name w:val="Heading guidelines Char"/>
    <w:basedOn w:val="Heading1Char"/>
    <w:link w:val="Headingguidelines"/>
    <w:rsid w:val="00817CB4"/>
    <w:rPr>
      <w:rFonts w:ascii="Arial" w:eastAsia="Times New Roman" w:hAnsi="Arial" w:cs="Arial"/>
      <w:b/>
      <w:bCs/>
      <w:color w:val="3F4A75"/>
      <w:kern w:val="28"/>
      <w:sz w:val="36"/>
      <w:szCs w:val="28"/>
      <w:lang w:eastAsia="en-US"/>
    </w:rPr>
  </w:style>
  <w:style w:type="character" w:customStyle="1" w:styleId="StyleArial10pt">
    <w:name w:val="Style Arial 10 pt"/>
    <w:basedOn w:val="DefaultParagraphFont"/>
    <w:uiPriority w:val="99"/>
    <w:rsid w:val="00817CB4"/>
    <w:rPr>
      <w:rFonts w:ascii="Arial" w:hAnsi="Arial" w:cs="Arial" w:hint="default"/>
    </w:rPr>
  </w:style>
  <w:style w:type="character" w:styleId="Mention">
    <w:name w:val="Mention"/>
    <w:basedOn w:val="DefaultParagraphFont"/>
    <w:uiPriority w:val="99"/>
    <w:unhideWhenUsed/>
    <w:rsid w:val="00817CB4"/>
    <w:rPr>
      <w:color w:val="2B579A"/>
      <w:shd w:val="clear" w:color="auto" w:fill="E1DFDD"/>
    </w:rPr>
  </w:style>
  <w:style w:type="paragraph" w:customStyle="1" w:styleId="URL">
    <w:name w:val="URL"/>
    <w:basedOn w:val="Normal"/>
    <w:rsid w:val="00817CB4"/>
    <w:pPr>
      <w:spacing w:before="3120" w:after="120" w:line="276" w:lineRule="auto"/>
      <w:jc w:val="center"/>
    </w:pPr>
    <w:rPr>
      <w:rFonts w:eastAsia="Times New Roman" w:cs="Times New Roman"/>
      <w:b/>
      <w:bCs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17CB4"/>
    <w:rPr>
      <w:rFonts w:ascii="Arial" w:hAnsi="Arial"/>
    </w:rPr>
  </w:style>
  <w:style w:type="paragraph" w:customStyle="1" w:styleId="TableHeaderWhite">
    <w:name w:val="Table Header White"/>
    <w:basedOn w:val="Normal"/>
    <w:next w:val="Normal"/>
    <w:qFormat/>
    <w:rsid w:val="00817CB4"/>
    <w:pPr>
      <w:spacing w:before="80" w:line="276" w:lineRule="auto"/>
    </w:pPr>
    <w:rPr>
      <w:rFonts w:eastAsia="Cambria" w:cs="Times New Roman"/>
      <w:b/>
      <w:color w:val="FFFFFF" w:themeColor="background1"/>
      <w:sz w:val="22"/>
      <w:szCs w:val="22"/>
      <w:lang w:val="en-US" w:eastAsia="en-US"/>
    </w:rPr>
  </w:style>
  <w:style w:type="paragraph" w:customStyle="1" w:styleId="Tabletextleft">
    <w:name w:val="Table text left"/>
    <w:autoRedefine/>
    <w:qFormat/>
    <w:locked/>
    <w:rsid w:val="00817CB4"/>
    <w:pPr>
      <w:spacing w:before="60" w:after="60" w:line="240" w:lineRule="auto"/>
    </w:pPr>
    <w:rPr>
      <w:rFonts w:ascii="Arial" w:eastAsia="Times New Roman" w:hAnsi="Arial" w:cs="Times New Roman"/>
      <w:sz w:val="21"/>
      <w:szCs w:val="24"/>
      <w:lang w:eastAsia="en-US"/>
    </w:rPr>
  </w:style>
  <w:style w:type="paragraph" w:customStyle="1" w:styleId="TableHeader">
    <w:name w:val="Table Header"/>
    <w:basedOn w:val="Normal"/>
    <w:next w:val="Tabletextleft"/>
    <w:qFormat/>
    <w:rsid w:val="00817CB4"/>
    <w:pPr>
      <w:spacing w:before="80" w:line="276" w:lineRule="auto"/>
    </w:pPr>
    <w:rPr>
      <w:rFonts w:eastAsia="Cambria" w:cs="Times New Roman"/>
      <w:b/>
      <w:color w:val="FFFFFF" w:themeColor="background1"/>
      <w:sz w:val="22"/>
      <w:szCs w:val="22"/>
      <w:lang w:val="en-US" w:eastAsia="en-US"/>
    </w:rPr>
  </w:style>
  <w:style w:type="table" w:customStyle="1" w:styleId="DepartmentofHealthtable">
    <w:name w:val="Department of Health table"/>
    <w:basedOn w:val="TableNormal"/>
    <w:uiPriority w:val="99"/>
    <w:rsid w:val="00817CB4"/>
    <w:pPr>
      <w:spacing w:before="0" w:after="0" w:line="240" w:lineRule="auto"/>
    </w:pPr>
    <w:rPr>
      <w:rFonts w:ascii="Arial" w:eastAsia="Times New Roman" w:hAnsi="Arial" w:cs="Times New Roman"/>
      <w:sz w:val="21"/>
      <w:lang w:eastAsia="en-AU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extright">
    <w:name w:val="Table text right"/>
    <w:basedOn w:val="Tabletextleft"/>
    <w:rsid w:val="00817CB4"/>
    <w:pPr>
      <w:jc w:val="right"/>
    </w:pPr>
  </w:style>
  <w:style w:type="paragraph" w:customStyle="1" w:styleId="Tabletextcentre">
    <w:name w:val="Table text centre"/>
    <w:basedOn w:val="Tabletextleft"/>
    <w:rsid w:val="00817CB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ymedicare@health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topics/rural-health-workforce/classifications/mm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572C0" w:rsidRDefault="00C763A2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7F"/>
    <w:rsid w:val="00010B72"/>
    <w:rsid w:val="002B42BD"/>
    <w:rsid w:val="00304C7A"/>
    <w:rsid w:val="00685EC1"/>
    <w:rsid w:val="007572C0"/>
    <w:rsid w:val="007C7E90"/>
    <w:rsid w:val="007F147F"/>
    <w:rsid w:val="008F3111"/>
    <w:rsid w:val="00A63CE6"/>
    <w:rsid w:val="00BA3452"/>
    <w:rsid w:val="00C763A2"/>
    <w:rsid w:val="00C9762E"/>
    <w:rsid w:val="00E57B52"/>
    <w:rsid w:val="00EE1D10"/>
    <w:rsid w:val="00F5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452"/>
    <w:rPr>
      <w:rFonts w:ascii="Arial" w:hAnsi="Arial"/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756645B5D2A428763B0189B7EC204" ma:contentTypeVersion="15" ma:contentTypeDescription="Create a new document." ma:contentTypeScope="" ma:versionID="694a4e33493e4c1fcf52ba2fb96c24dd">
  <xsd:schema xmlns:xsd="http://www.w3.org/2001/XMLSchema" xmlns:xs="http://www.w3.org/2001/XMLSchema" xmlns:p="http://schemas.microsoft.com/office/2006/metadata/properties" xmlns:ns2="7c980402-323e-4976-aa94-186e43b5ebe6" xmlns:ns3="64f1bf92-8efe-42de-a57b-c47f1363fb08" targetNamespace="http://schemas.microsoft.com/office/2006/metadata/properties" ma:root="true" ma:fieldsID="1be21bcf681988cba87f1679f4922a2f" ns2:_="" ns3:_="">
    <xsd:import namespace="7c980402-323e-4976-aa94-186e43b5ebe6"/>
    <xsd:import namespace="64f1bf92-8efe-42de-a57b-c47f1363f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0402-323e-4976-aa94-186e43b5e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1bf92-8efe-42de-a57b-c47f1363f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af9e385-1bd1-4bfa-a23e-9bc8d2b423c5}" ma:internalName="TaxCatchAll" ma:showField="CatchAllData" ma:web="64f1bf92-8efe-42de-a57b-c47f1363f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f1bf92-8efe-42de-a57b-c47f1363fb08" xsi:nil="true"/>
    <lcf76f155ced4ddcb4097134ff3c332f xmlns="7c980402-323e-4976-aa94-186e43b5eb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B1419B-9BB5-48EE-9621-D352A0E9F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80402-323e-4976-aa94-186e43b5ebe6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8427DD-31CC-4478-9152-877A989C59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C46B9-71BA-4114-AF20-7B6514AAEE7B}">
  <ds:schemaRefs>
    <ds:schemaRef ds:uri="http://schemas.microsoft.com/office/2006/metadata/properties"/>
    <ds:schemaRef ds:uri="http://schemas.microsoft.com/office/infopath/2007/PartnerControls"/>
    <ds:schemaRef ds:uri="64f1bf92-8efe-42de-a57b-c47f1363fb08"/>
    <ds:schemaRef ds:uri="7c980402-323e-4976-aa94-186e43b5eb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Practice in Aged Care Incentive</vt:lpstr>
    </vt:vector>
  </TitlesOfParts>
  <Manager/>
  <Company/>
  <LinksUpToDate>false</LinksUpToDate>
  <CharactersWithSpaces>5759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Practice in Aged Care Incentive</dc:title>
  <dc:subject>Medicare</dc:subject>
  <dc:creator>Australian Government Department of Health and Aged Care</dc:creator>
  <cp:keywords>Aged Care; General Practice </cp:keywords>
  <dc:description/>
  <cp:lastModifiedBy>Australian Government Department of Health and Aged </cp:lastModifiedBy>
  <cp:revision>2</cp:revision>
  <dcterms:created xsi:type="dcterms:W3CDTF">2024-08-14T22:34:00Z</dcterms:created>
  <dcterms:modified xsi:type="dcterms:W3CDTF">2024-08-14T22:34:00Z</dcterms:modified>
  <cp:category/>
</cp:coreProperties>
</file>